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charts/chart5.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2.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3.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4.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5.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6.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7.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8.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drawings/drawing9.xml" ContentType="application/vnd.openxmlformats-officedocument.drawingml.chartshapes+xml"/>
  <Override PartName="/word/charts/chart14.xml" ContentType="application/vnd.openxmlformats-officedocument.drawingml.chart+xml"/>
  <Override PartName="/word/theme/themeOverride14.xml" ContentType="application/vnd.openxmlformats-officedocument.themeOverride+xml"/>
  <Override PartName="/word/drawings/drawing10.xml" ContentType="application/vnd.openxmlformats-officedocument.drawingml.chartshapes+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charts/chart30.xml" ContentType="application/vnd.openxmlformats-officedocument.drawingml.chart+xml"/>
  <Override PartName="/word/theme/themeOverride30.xml" ContentType="application/vnd.openxmlformats-officedocument.themeOverride+xml"/>
  <Override PartName="/word/drawings/drawing11.xml" ContentType="application/vnd.openxmlformats-officedocument.drawingml.chartshapes+xml"/>
  <Override PartName="/word/charts/chart31.xml" ContentType="application/vnd.openxmlformats-officedocument.drawingml.chart+xml"/>
  <Override PartName="/word/theme/themeOverride31.xml" ContentType="application/vnd.openxmlformats-officedocument.themeOverride+xml"/>
  <Override PartName="/word/drawings/drawing12.xml" ContentType="application/vnd.openxmlformats-officedocument.drawingml.chartshapes+xml"/>
  <Override PartName="/word/charts/chart32.xml" ContentType="application/vnd.openxmlformats-officedocument.drawingml.chart+xml"/>
  <Override PartName="/word/theme/themeOverride32.xml" ContentType="application/vnd.openxmlformats-officedocument.themeOverride+xml"/>
  <Override PartName="/word/drawings/drawing13.xml" ContentType="application/vnd.openxmlformats-officedocument.drawingml.chartshapes+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33.xml" ContentType="application/vnd.openxmlformats-officedocument.drawingml.chart+xml"/>
  <Override PartName="/word/theme/themeOverride33.xml" ContentType="application/vnd.openxmlformats-officedocument.themeOverride+xml"/>
  <Override PartName="/word/drawings/drawing14.xml" ContentType="application/vnd.openxmlformats-officedocument.drawingml.chartshapes+xml"/>
  <Override PartName="/word/charts/chart34.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drawings/drawing15.xml" ContentType="application/vnd.openxmlformats-officedocument.drawingml.chartshapes+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drawings/drawing16.xml" ContentType="application/vnd.openxmlformats-officedocument.drawingml.chartshapes+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drawings/drawing17.xml" ContentType="application/vnd.openxmlformats-officedocument.drawingml.chartshapes+xml"/>
  <Override PartName="/word/charts/chart42.xml" ContentType="application/vnd.openxmlformats-officedocument.drawingml.chart+xml"/>
  <Override PartName="/word/drawings/drawing18.xml" ContentType="application/vnd.openxmlformats-officedocument.drawingml.chartshapes+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charts/chart43.xml" ContentType="application/vnd.openxmlformats-officedocument.drawingml.chart+xml"/>
  <Override PartName="/word/theme/themeOverride39.xml" ContentType="application/vnd.openxmlformats-officedocument.themeOverride+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9.xml" ContentType="application/vnd.openxmlformats-officedocument.wordprocessingml.header+xml"/>
  <Override PartName="/word/charts/chart44.xml" ContentType="application/vnd.openxmlformats-officedocument.drawingml.chart+xml"/>
  <Override PartName="/word/header30.xml" ContentType="application/vnd.openxmlformats-officedocument.wordprocessingml.header+xml"/>
  <Override PartName="/word/header31.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32.xml" ContentType="application/vnd.openxmlformats-officedocument.wordprocessingml.header+xml"/>
  <Override PartName="/word/charts/chart45.xml" ContentType="application/vnd.openxmlformats-officedocument.drawingml.chart+xml"/>
  <Override PartName="/word/theme/themeOverride40.xml" ContentType="application/vnd.openxmlformats-officedocument.themeOverride+xml"/>
  <Override PartName="/word/charts/chart46.xml" ContentType="application/vnd.openxmlformats-officedocument.drawingml.chart+xml"/>
  <Override PartName="/word/theme/themeOverride41.xml" ContentType="application/vnd.openxmlformats-officedocument.themeOverride+xml"/>
  <Override PartName="/word/drawings/drawing19.xml" ContentType="application/vnd.openxmlformats-officedocument.drawingml.chartshapes+xml"/>
  <Override PartName="/word/header33.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4.xml" ContentType="application/vnd.openxmlformats-officedocument.wordprocessingml.header+xml"/>
  <Override PartName="/word/charts/chart47.xml" ContentType="application/vnd.openxmlformats-officedocument.drawingml.chart+xml"/>
  <Override PartName="/word/drawings/drawing20.xml" ContentType="application/vnd.openxmlformats-officedocument.drawingml.chartshapes+xml"/>
  <Override PartName="/word/header35.xml" ContentType="application/vnd.openxmlformats-officedocument.wordprocessingml.header+xml"/>
  <Override PartName="/word/header36.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42.xml" ContentType="application/vnd.openxmlformats-officedocument.wordprocessingml.header+xml"/>
  <Override PartName="/word/charts/chart48.xml" ContentType="application/vnd.openxmlformats-officedocument.drawingml.chart+xml"/>
  <Override PartName="/word/drawings/drawing21.xml" ContentType="application/vnd.openxmlformats-officedocument.drawingml.chartshapes+xml"/>
  <Override PartName="/word/charts/chart49.xml" ContentType="application/vnd.openxmlformats-officedocument.drawingml.chart+xml"/>
  <Override PartName="/word/drawings/drawing22.xml" ContentType="application/vnd.openxmlformats-officedocument.drawingml.chartshapes+xml"/>
  <Override PartName="/word/charts/chart50.xml" ContentType="application/vnd.openxmlformats-officedocument.drawingml.chart+xml"/>
  <Override PartName="/word/theme/themeOverride42.xml" ContentType="application/vnd.openxmlformats-officedocument.themeOverride+xml"/>
  <Override PartName="/word/drawings/drawing23.xml" ContentType="application/vnd.openxmlformats-officedocument.drawingml.chartshapes+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drawings/drawing24.xml" ContentType="application/vnd.openxmlformats-officedocument.drawingml.chartshapes+xml"/>
  <Override PartName="/word/header43.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6.xml" ContentType="application/vnd.openxmlformats-officedocument.wordprocessingml.header+xml"/>
  <Override PartName="/word/charts/chart54.xml" ContentType="application/vnd.openxmlformats-officedocument.drawingml.chart+xml"/>
  <Override PartName="/word/theme/themeOverride43.xml" ContentType="application/vnd.openxmlformats-officedocument.themeOverride+xml"/>
  <Override PartName="/word/charts/chart55.xml" ContentType="application/vnd.openxmlformats-officedocument.drawingml.chart+xml"/>
  <Override PartName="/word/theme/themeOverride44.xml" ContentType="application/vnd.openxmlformats-officedocument.themeOverride+xml"/>
  <Override PartName="/word/charts/chart56.xml" ContentType="application/vnd.openxmlformats-officedocument.drawingml.chart+xml"/>
  <Override PartName="/word/theme/themeOverride45.xml" ContentType="application/vnd.openxmlformats-officedocument.themeOverride+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theme/themeOverride46.xml" ContentType="application/vnd.openxmlformats-officedocument.themeOverride+xml"/>
  <Override PartName="/word/charts/chart60.xml" ContentType="application/vnd.openxmlformats-officedocument.drawingml.chart+xml"/>
  <Override PartName="/word/theme/themeOverride47.xml" ContentType="application/vnd.openxmlformats-officedocument.themeOverride+xml"/>
  <Override PartName="/word/charts/chart61.xml" ContentType="application/vnd.openxmlformats-officedocument.drawingml.chart+xml"/>
  <Override PartName="/word/theme/themeOverride48.xml" ContentType="application/vnd.openxmlformats-officedocument.themeOverride+xml"/>
  <Override PartName="/word/charts/chart62.xml" ContentType="application/vnd.openxmlformats-officedocument.drawingml.chart+xml"/>
  <Override PartName="/word/theme/themeOverride49.xml" ContentType="application/vnd.openxmlformats-officedocument.themeOverride+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theme/themeOverride50.xml" ContentType="application/vnd.openxmlformats-officedocument.themeOverride+xml"/>
  <Override PartName="/word/charts/chart66.xml" ContentType="application/vnd.openxmlformats-officedocument.drawingml.chart+xml"/>
  <Override PartName="/word/theme/themeOverride51.xml" ContentType="application/vnd.openxmlformats-officedocument.themeOverride+xml"/>
  <Override PartName="/word/footer4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064D0F" w14:textId="32F80DD4" w:rsidR="00C55154" w:rsidRPr="00EA3D8C" w:rsidRDefault="00C55154" w:rsidP="00B46CA9">
      <w:pPr>
        <w:spacing w:before="240"/>
        <w:ind w:firstLine="720"/>
        <w:rPr>
          <w:rFonts w:cstheme="minorHAnsi"/>
          <w:sz w:val="48"/>
          <w:szCs w:val="64"/>
          <w:lang w:val="sr-Cyrl-RS"/>
        </w:rPr>
      </w:pPr>
      <w:r w:rsidRPr="00D268D0">
        <w:rPr>
          <w:rFonts w:cstheme="minorHAnsi"/>
          <w:bCs/>
          <w:szCs w:val="72"/>
          <w:lang w:val="sr-Cyrl-RS"/>
        </w:rPr>
        <w:t>На основу члана</w:t>
      </w:r>
      <w:r w:rsidR="00B46CA9" w:rsidRPr="00D268D0">
        <w:rPr>
          <w:rFonts w:cstheme="minorHAnsi"/>
          <w:bCs/>
          <w:szCs w:val="72"/>
          <w:lang w:val="sr-Cyrl-RS"/>
        </w:rPr>
        <w:t xml:space="preserve"> 27в став 1. и члана</w:t>
      </w:r>
      <w:r w:rsidRPr="00D268D0">
        <w:rPr>
          <w:rFonts w:cstheme="minorHAnsi"/>
          <w:bCs/>
          <w:szCs w:val="72"/>
          <w:lang w:val="sr-Cyrl-RS"/>
        </w:rPr>
        <w:t xml:space="preserve"> 31</w:t>
      </w:r>
      <w:r w:rsidR="003A3F7F" w:rsidRPr="00D268D0">
        <w:rPr>
          <w:rFonts w:cstheme="minorHAnsi"/>
          <w:bCs/>
          <w:szCs w:val="72"/>
          <w:lang w:val="sr-Cyrl-RS"/>
        </w:rPr>
        <w:t xml:space="preserve">. </w:t>
      </w:r>
      <w:r w:rsidRPr="00D268D0">
        <w:rPr>
          <w:rFonts w:cstheme="minorHAnsi"/>
          <w:bCs/>
          <w:szCs w:val="72"/>
          <w:lang w:val="sr-Cyrl-RS"/>
        </w:rPr>
        <w:t xml:space="preserve">став 1. тачка </w:t>
      </w:r>
      <w:r w:rsidR="008F73A2" w:rsidRPr="00D268D0">
        <w:rPr>
          <w:rFonts w:cstheme="minorHAnsi"/>
          <w:bCs/>
          <w:szCs w:val="72"/>
          <w:lang w:val="sr-Cyrl-RS"/>
        </w:rPr>
        <w:t>1) подтач.</w:t>
      </w:r>
      <w:r w:rsidR="00B46CA9" w:rsidRPr="00D268D0">
        <w:rPr>
          <w:rFonts w:cstheme="minorHAnsi"/>
          <w:bCs/>
          <w:szCs w:val="72"/>
          <w:lang w:val="sr-Cyrl-RS"/>
        </w:rPr>
        <w:t xml:space="preserve"> (</w:t>
      </w:r>
      <w:r w:rsidR="00AB0E2B" w:rsidRPr="00D268D0">
        <w:rPr>
          <w:rFonts w:cstheme="minorHAnsi"/>
          <w:bCs/>
          <w:szCs w:val="72"/>
          <w:lang w:val="sr-Cyrl-RS"/>
        </w:rPr>
        <w:t>13</w:t>
      </w:r>
      <w:r w:rsidR="00B46CA9" w:rsidRPr="00D268D0">
        <w:rPr>
          <w:rFonts w:cstheme="minorHAnsi"/>
          <w:bCs/>
          <w:szCs w:val="72"/>
          <w:lang w:val="sr-Cyrl-RS"/>
        </w:rPr>
        <w:t xml:space="preserve">) </w:t>
      </w:r>
      <w:r w:rsidR="008F73A2" w:rsidRPr="00D268D0">
        <w:rPr>
          <w:rFonts w:cstheme="minorHAnsi"/>
          <w:bCs/>
          <w:szCs w:val="72"/>
          <w:lang w:val="sr-Cyrl-RS"/>
        </w:rPr>
        <w:t xml:space="preserve">и (14) </w:t>
      </w:r>
      <w:r w:rsidR="00B46CA9" w:rsidRPr="00D268D0">
        <w:rPr>
          <w:rFonts w:cstheme="minorHAnsi"/>
          <w:bCs/>
          <w:szCs w:val="72"/>
          <w:lang w:val="sr-Cyrl-RS"/>
        </w:rPr>
        <w:t>Закона о буџетском систему („</w:t>
      </w:r>
      <w:r w:rsidRPr="00D268D0">
        <w:rPr>
          <w:rFonts w:cstheme="minorHAnsi"/>
          <w:bCs/>
          <w:szCs w:val="72"/>
          <w:lang w:val="sr-Cyrl-RS"/>
        </w:rPr>
        <w:t xml:space="preserve">Службени </w:t>
      </w:r>
      <w:r w:rsidR="00B46CA9" w:rsidRPr="00D268D0">
        <w:rPr>
          <w:rFonts w:cstheme="minorHAnsi"/>
          <w:bCs/>
          <w:szCs w:val="72"/>
          <w:lang w:val="sr-Cyrl-RS"/>
        </w:rPr>
        <w:t xml:space="preserve">гласник РСˮ, бр. 54/09, 73/10, 101/10, 101/11, 93/12, 62/13, 63/13-исправка, 108/13, 142/14, 68/15-др. закон, 103/15, 99/16, 113/17, </w:t>
      </w:r>
      <w:r w:rsidR="00AB0E2B" w:rsidRPr="00D268D0">
        <w:rPr>
          <w:rFonts w:cstheme="minorHAnsi"/>
          <w:bCs/>
          <w:szCs w:val="72"/>
          <w:lang w:val="sr-Cyrl-RS"/>
        </w:rPr>
        <w:t xml:space="preserve">95/18, </w:t>
      </w:r>
      <w:r w:rsidR="00B46CA9" w:rsidRPr="00D268D0">
        <w:rPr>
          <w:rFonts w:cstheme="minorHAnsi"/>
          <w:bCs/>
          <w:szCs w:val="72"/>
          <w:lang w:val="sr-Cyrl-RS"/>
        </w:rPr>
        <w:t>31/</w:t>
      </w:r>
      <w:r w:rsidRPr="00D268D0">
        <w:rPr>
          <w:rFonts w:cstheme="minorHAnsi"/>
          <w:bCs/>
          <w:szCs w:val="72"/>
          <w:lang w:val="sr-Cyrl-RS"/>
        </w:rPr>
        <w:t>19</w:t>
      </w:r>
      <w:r w:rsidR="00AB0E2B" w:rsidRPr="00D268D0">
        <w:rPr>
          <w:lang w:val="sr-Cyrl-RS"/>
        </w:rPr>
        <w:t xml:space="preserve"> </w:t>
      </w:r>
      <w:r w:rsidR="00AB0E2B" w:rsidRPr="00D268D0">
        <w:rPr>
          <w:rFonts w:cstheme="minorHAnsi"/>
          <w:bCs/>
          <w:szCs w:val="72"/>
          <w:lang w:val="sr-Cyrl-RS"/>
        </w:rPr>
        <w:t>и 72/19</w:t>
      </w:r>
      <w:r w:rsidRPr="00D268D0">
        <w:rPr>
          <w:rFonts w:cstheme="minorHAnsi"/>
          <w:bCs/>
          <w:szCs w:val="72"/>
          <w:lang w:val="sr-Cyrl-RS"/>
        </w:rPr>
        <w:t>),</w:t>
      </w:r>
    </w:p>
    <w:p w14:paraId="0BC6F837" w14:textId="525B84E5" w:rsidR="00C55154" w:rsidRPr="00EA3D8C" w:rsidRDefault="00B46CA9" w:rsidP="00B46CA9">
      <w:pPr>
        <w:ind w:firstLine="720"/>
        <w:rPr>
          <w:rFonts w:cstheme="minorHAnsi"/>
          <w:bCs/>
          <w:szCs w:val="72"/>
          <w:lang w:val="sr-Cyrl-RS"/>
        </w:rPr>
      </w:pPr>
      <w:r w:rsidRPr="00EA3D8C">
        <w:rPr>
          <w:rFonts w:cstheme="minorHAnsi"/>
          <w:bCs/>
          <w:szCs w:val="72"/>
          <w:lang w:val="sr-Cyrl-RS"/>
        </w:rPr>
        <w:t>Влада усваја</w:t>
      </w:r>
    </w:p>
    <w:p w14:paraId="6B2D1F8F" w14:textId="0A35E654" w:rsidR="00C55154" w:rsidRPr="00EA3D8C" w:rsidRDefault="00C55154" w:rsidP="008420D4">
      <w:pPr>
        <w:spacing w:after="0" w:line="240" w:lineRule="auto"/>
        <w:jc w:val="center"/>
        <w:rPr>
          <w:rFonts w:cstheme="minorHAnsi"/>
          <w:b/>
          <w:bCs/>
          <w:sz w:val="26"/>
          <w:szCs w:val="26"/>
          <w:lang w:val="sr-Cyrl-RS"/>
        </w:rPr>
      </w:pPr>
      <w:r w:rsidRPr="00EA3D8C">
        <w:rPr>
          <w:rFonts w:cstheme="minorHAnsi"/>
          <w:b/>
          <w:bCs/>
          <w:sz w:val="26"/>
          <w:szCs w:val="26"/>
          <w:lang w:val="sr-Cyrl-RS"/>
        </w:rPr>
        <w:t>ФИСКАЛНУ СТРАТЕГИЈУ</w:t>
      </w:r>
    </w:p>
    <w:p w14:paraId="3D209906" w14:textId="2E522EB5" w:rsidR="00C55154" w:rsidRPr="00EA3D8C" w:rsidRDefault="00C55154" w:rsidP="008420D4">
      <w:pPr>
        <w:spacing w:after="0" w:line="240" w:lineRule="auto"/>
        <w:jc w:val="center"/>
        <w:rPr>
          <w:rFonts w:cstheme="minorHAnsi"/>
          <w:b/>
          <w:bCs/>
          <w:sz w:val="26"/>
          <w:szCs w:val="26"/>
          <w:lang w:val="sr-Cyrl-RS"/>
        </w:rPr>
      </w:pPr>
      <w:r w:rsidRPr="00EA3D8C">
        <w:rPr>
          <w:rFonts w:cstheme="minorHAnsi"/>
          <w:b/>
          <w:bCs/>
          <w:sz w:val="26"/>
          <w:szCs w:val="26"/>
          <w:lang w:val="sr-Cyrl-RS"/>
        </w:rPr>
        <w:t>ЗА 202</w:t>
      </w:r>
      <w:r w:rsidR="00A96B13" w:rsidRPr="00EA3D8C">
        <w:rPr>
          <w:rFonts w:cstheme="minorHAnsi"/>
          <w:b/>
          <w:bCs/>
          <w:sz w:val="26"/>
          <w:szCs w:val="26"/>
          <w:lang w:val="sr-Cyrl-RS"/>
        </w:rPr>
        <w:t>1</w:t>
      </w:r>
      <w:r w:rsidRPr="00EA3D8C">
        <w:rPr>
          <w:rFonts w:cstheme="minorHAnsi"/>
          <w:b/>
          <w:bCs/>
          <w:sz w:val="26"/>
          <w:szCs w:val="26"/>
          <w:lang w:val="sr-Cyrl-RS"/>
        </w:rPr>
        <w:t>. ГОДИНУ СА ПРОЈЕКЦИЈАМА ЗА 202</w:t>
      </w:r>
      <w:r w:rsidR="00A96B13" w:rsidRPr="00EA3D8C">
        <w:rPr>
          <w:rFonts w:cstheme="minorHAnsi"/>
          <w:b/>
          <w:bCs/>
          <w:sz w:val="26"/>
          <w:szCs w:val="26"/>
          <w:lang w:val="sr-Cyrl-RS"/>
        </w:rPr>
        <w:t>2</w:t>
      </w:r>
      <w:r w:rsidRPr="00EA3D8C">
        <w:rPr>
          <w:rFonts w:cstheme="minorHAnsi"/>
          <w:b/>
          <w:bCs/>
          <w:sz w:val="26"/>
          <w:szCs w:val="26"/>
          <w:lang w:val="sr-Cyrl-RS"/>
        </w:rPr>
        <w:t>. И 202</w:t>
      </w:r>
      <w:r w:rsidR="00A96B13" w:rsidRPr="00EA3D8C">
        <w:rPr>
          <w:rFonts w:cstheme="minorHAnsi"/>
          <w:b/>
          <w:bCs/>
          <w:sz w:val="26"/>
          <w:szCs w:val="26"/>
          <w:lang w:val="sr-Cyrl-RS"/>
        </w:rPr>
        <w:t>3</w:t>
      </w:r>
      <w:r w:rsidRPr="00EA3D8C">
        <w:rPr>
          <w:rFonts w:cstheme="minorHAnsi"/>
          <w:b/>
          <w:bCs/>
          <w:sz w:val="26"/>
          <w:szCs w:val="26"/>
          <w:lang w:val="sr-Cyrl-RS"/>
        </w:rPr>
        <w:t>. ГОДИНУ</w:t>
      </w:r>
    </w:p>
    <w:p w14:paraId="269B608F" w14:textId="77777777" w:rsidR="00C55154" w:rsidRPr="00EA3D8C" w:rsidRDefault="00C55154" w:rsidP="008420D4">
      <w:pPr>
        <w:spacing w:after="0" w:line="240" w:lineRule="auto"/>
        <w:jc w:val="center"/>
        <w:rPr>
          <w:rFonts w:cstheme="minorHAnsi"/>
          <w:b/>
          <w:bCs/>
          <w:sz w:val="24"/>
          <w:szCs w:val="72"/>
          <w:lang w:val="sr-Cyrl-RS"/>
        </w:rPr>
      </w:pPr>
    </w:p>
    <w:p w14:paraId="31D41E93" w14:textId="5C64EC8C" w:rsidR="00C55154" w:rsidRPr="00EA3D8C" w:rsidRDefault="00C55154" w:rsidP="00D20C27">
      <w:pPr>
        <w:pStyle w:val="Heading1"/>
        <w:jc w:val="center"/>
        <w:rPr>
          <w:rFonts w:asciiTheme="minorHAnsi" w:hAnsiTheme="minorHAnsi" w:cstheme="minorHAnsi"/>
          <w:b/>
          <w:sz w:val="26"/>
          <w:szCs w:val="26"/>
          <w:lang w:val="sr-Cyrl-RS"/>
        </w:rPr>
      </w:pPr>
      <w:bookmarkStart w:id="0" w:name="_Toc56667069"/>
      <w:r w:rsidRPr="00EA3D8C">
        <w:rPr>
          <w:rFonts w:asciiTheme="minorHAnsi" w:hAnsiTheme="minorHAnsi" w:cstheme="minorHAnsi"/>
          <w:b/>
          <w:sz w:val="26"/>
          <w:szCs w:val="26"/>
          <w:lang w:val="sr-Cyrl-RS"/>
        </w:rPr>
        <w:t>I. МАКРОЕКОНОМСКИ ОКВИР ЗА ПЕРИОД ОД 202</w:t>
      </w:r>
      <w:r w:rsidR="00A96B13" w:rsidRPr="00EA3D8C">
        <w:rPr>
          <w:rFonts w:asciiTheme="minorHAnsi" w:hAnsiTheme="minorHAnsi" w:cstheme="minorHAnsi"/>
          <w:b/>
          <w:sz w:val="26"/>
          <w:szCs w:val="26"/>
          <w:lang w:val="sr-Cyrl-RS"/>
        </w:rPr>
        <w:t>1</w:t>
      </w:r>
      <w:r w:rsidRPr="00EA3D8C">
        <w:rPr>
          <w:rFonts w:asciiTheme="minorHAnsi" w:hAnsiTheme="minorHAnsi" w:cstheme="minorHAnsi"/>
          <w:b/>
          <w:sz w:val="26"/>
          <w:szCs w:val="26"/>
          <w:lang w:val="sr-Cyrl-RS"/>
        </w:rPr>
        <w:t>. ДО 202</w:t>
      </w:r>
      <w:r w:rsidR="00A96B13" w:rsidRPr="00EA3D8C">
        <w:rPr>
          <w:rFonts w:asciiTheme="minorHAnsi" w:hAnsiTheme="minorHAnsi" w:cstheme="minorHAnsi"/>
          <w:b/>
          <w:sz w:val="26"/>
          <w:szCs w:val="26"/>
          <w:lang w:val="sr-Cyrl-RS"/>
        </w:rPr>
        <w:t>3</w:t>
      </w:r>
      <w:r w:rsidRPr="00EA3D8C">
        <w:rPr>
          <w:rFonts w:asciiTheme="minorHAnsi" w:hAnsiTheme="minorHAnsi" w:cstheme="minorHAnsi"/>
          <w:b/>
          <w:sz w:val="26"/>
          <w:szCs w:val="26"/>
          <w:lang w:val="sr-Cyrl-RS"/>
        </w:rPr>
        <w:t>. ГОДИНЕ</w:t>
      </w:r>
      <w:bookmarkEnd w:id="0"/>
    </w:p>
    <w:p w14:paraId="31A5B1F7" w14:textId="77777777" w:rsidR="00C55154" w:rsidRPr="00EA3D8C" w:rsidRDefault="00C55154" w:rsidP="00087CD9">
      <w:pPr>
        <w:spacing w:after="120"/>
        <w:jc w:val="center"/>
        <w:rPr>
          <w:rFonts w:cstheme="minorHAnsi"/>
          <w:color w:val="2F5496" w:themeColor="accent1" w:themeShade="BF"/>
          <w:sz w:val="18"/>
          <w:lang w:val="sr-Cyrl-RS"/>
        </w:rPr>
      </w:pPr>
    </w:p>
    <w:p w14:paraId="3CA90BED" w14:textId="77777777" w:rsidR="00C55154" w:rsidRPr="00EA3D8C" w:rsidRDefault="00C55154" w:rsidP="00D20C27">
      <w:pPr>
        <w:pStyle w:val="Heading2"/>
        <w:jc w:val="center"/>
        <w:rPr>
          <w:rFonts w:asciiTheme="minorHAnsi" w:hAnsiTheme="minorHAnsi" w:cstheme="minorHAnsi"/>
          <w:b/>
          <w:sz w:val="24"/>
          <w:lang w:val="sr-Cyrl-RS"/>
        </w:rPr>
      </w:pPr>
      <w:bookmarkStart w:id="1" w:name="_Toc56667070"/>
      <w:r w:rsidRPr="00EA3D8C">
        <w:rPr>
          <w:rFonts w:asciiTheme="minorHAnsi" w:hAnsiTheme="minorHAnsi" w:cstheme="minorHAnsi"/>
          <w:b/>
          <w:sz w:val="22"/>
          <w:lang w:val="sr-Cyrl-RS"/>
        </w:rPr>
        <w:t xml:space="preserve">1. </w:t>
      </w:r>
      <w:r w:rsidRPr="00EA3D8C">
        <w:rPr>
          <w:rFonts w:asciiTheme="minorHAnsi" w:hAnsiTheme="minorHAnsi" w:cstheme="minorHAnsi"/>
          <w:b/>
          <w:sz w:val="24"/>
          <w:lang w:val="sr-Cyrl-RS"/>
        </w:rPr>
        <w:t>Општи оквир и главни циљеви и смернице економске политике</w:t>
      </w:r>
      <w:bookmarkEnd w:id="1"/>
    </w:p>
    <w:p w14:paraId="3C3B499B" w14:textId="77777777" w:rsidR="00C55154" w:rsidRPr="00EA3D8C" w:rsidRDefault="00C55154" w:rsidP="00AF2359">
      <w:pPr>
        <w:rPr>
          <w:rFonts w:cstheme="minorHAnsi"/>
          <w:color w:val="auto"/>
          <w:sz w:val="18"/>
          <w:lang w:val="sr-Cyrl-RS"/>
        </w:rPr>
      </w:pPr>
    </w:p>
    <w:p w14:paraId="4983963A" w14:textId="77777777" w:rsidR="00C55154" w:rsidRPr="00EA3D8C" w:rsidRDefault="00C55154" w:rsidP="00AF2359">
      <w:pPr>
        <w:rPr>
          <w:rFonts w:cstheme="minorHAnsi"/>
          <w:color w:val="auto"/>
          <w:lang w:val="sr-Cyrl-RS"/>
        </w:rPr>
        <w:sectPr w:rsidR="00C55154" w:rsidRPr="00EA3D8C" w:rsidSect="00AE40EB">
          <w:headerReference w:type="even" r:id="rId8"/>
          <w:headerReference w:type="default" r:id="rId9"/>
          <w:footerReference w:type="even" r:id="rId10"/>
          <w:footerReference w:type="default" r:id="rId11"/>
          <w:headerReference w:type="first" r:id="rId12"/>
          <w:footerReference w:type="first" r:id="rId13"/>
          <w:type w:val="continuous"/>
          <w:pgSz w:w="12240" w:h="15840" w:code="1"/>
          <w:pgMar w:top="1440" w:right="1440" w:bottom="1440" w:left="1440" w:header="720" w:footer="720" w:gutter="0"/>
          <w:cols w:space="720"/>
          <w:titlePg/>
          <w:docGrid w:linePitch="360"/>
        </w:sectPr>
      </w:pPr>
    </w:p>
    <w:p w14:paraId="36754E5A" w14:textId="183446D2" w:rsidR="00BA5C3A" w:rsidRPr="00EA3D8C" w:rsidRDefault="00BA5C3A" w:rsidP="00BA5C3A">
      <w:pPr>
        <w:rPr>
          <w:rFonts w:cstheme="minorHAnsi"/>
          <w:bCs/>
          <w:color w:val="4472C4" w:themeColor="accent1"/>
          <w:szCs w:val="72"/>
          <w:lang w:val="sr-Cyrl-RS"/>
        </w:rPr>
      </w:pPr>
      <w:r w:rsidRPr="00EA3D8C">
        <w:rPr>
          <w:rFonts w:cstheme="minorHAnsi"/>
          <w:b/>
          <w:bCs/>
          <w:color w:val="4472C4" w:themeColor="accent1"/>
          <w:szCs w:val="72"/>
          <w:lang w:val="sr-Cyrl-RS"/>
        </w:rPr>
        <w:lastRenderedPageBreak/>
        <w:t>Свет се у 2020. години суочио са тешким економским последицама глобалне здравствене кр</w:t>
      </w:r>
      <w:r w:rsidR="00285491">
        <w:rPr>
          <w:rFonts w:cstheme="minorHAnsi"/>
          <w:b/>
          <w:bCs/>
          <w:color w:val="4472C4" w:themeColor="accent1"/>
          <w:szCs w:val="72"/>
          <w:lang w:val="sr-Cyrl-RS"/>
        </w:rPr>
        <w:t>изе изазване пандемијом корона</w:t>
      </w:r>
      <w:r w:rsidRPr="00EA3D8C">
        <w:rPr>
          <w:rFonts w:cstheme="minorHAnsi"/>
          <w:b/>
          <w:bCs/>
          <w:color w:val="4472C4" w:themeColor="accent1"/>
          <w:szCs w:val="72"/>
          <w:lang w:val="sr-Cyrl-RS"/>
        </w:rPr>
        <w:t>вируса.</w:t>
      </w:r>
      <w:r w:rsidRPr="00EA3D8C">
        <w:rPr>
          <w:rFonts w:cstheme="minorHAnsi"/>
          <w:bCs/>
          <w:color w:val="4472C4" w:themeColor="accent1"/>
          <w:szCs w:val="72"/>
          <w:lang w:val="sr-Cyrl-RS"/>
        </w:rPr>
        <w:t xml:space="preserve"> Од марта </w:t>
      </w:r>
      <w:r w:rsidR="007B1BB4" w:rsidRPr="00EA3D8C">
        <w:rPr>
          <w:rFonts w:cstheme="minorHAnsi"/>
          <w:bCs/>
          <w:color w:val="4472C4" w:themeColor="accent1"/>
          <w:szCs w:val="72"/>
          <w:lang w:val="sr-Cyrl-RS"/>
        </w:rPr>
        <w:t>2020. године када је потврђен</w:t>
      </w:r>
      <w:r w:rsidRPr="00EA3D8C">
        <w:rPr>
          <w:rFonts w:cstheme="minorHAnsi"/>
          <w:bCs/>
          <w:color w:val="4472C4" w:themeColor="accent1"/>
          <w:szCs w:val="72"/>
          <w:lang w:val="sr-Cyrl-RS"/>
        </w:rPr>
        <w:t xml:space="preserve"> први случај вируса у Републици Србији на снази су епидемиолошке мере различитог степена ограничења. Од потпуног „затварања</w:t>
      </w:r>
      <w:r w:rsidR="008A2849" w:rsidRPr="00EA3D8C">
        <w:rPr>
          <w:rFonts w:cstheme="minorHAnsi"/>
          <w:bCs/>
          <w:color w:val="4472C4" w:themeColor="accent1"/>
          <w:szCs w:val="72"/>
          <w:lang w:val="sr-Cyrl-RS"/>
        </w:rPr>
        <w:t>ˮ</w:t>
      </w:r>
      <w:r w:rsidRPr="00EA3D8C">
        <w:rPr>
          <w:rFonts w:cstheme="minorHAnsi"/>
          <w:bCs/>
          <w:color w:val="4472C4" w:themeColor="accent1"/>
          <w:szCs w:val="72"/>
          <w:lang w:val="sr-Cyrl-RS"/>
        </w:rPr>
        <w:t xml:space="preserve"> у првих месец и по дана </w:t>
      </w:r>
      <w:r w:rsidR="008E4992" w:rsidRPr="008E4992">
        <w:rPr>
          <w:rFonts w:cstheme="minorHAnsi"/>
          <w:bCs/>
          <w:color w:val="4472C4" w:themeColor="accent1"/>
          <w:szCs w:val="72"/>
          <w:lang w:val="sr-Cyrl-RS"/>
        </w:rPr>
        <w:t>пан</w:t>
      </w:r>
      <w:r w:rsidRPr="00EA3D8C">
        <w:rPr>
          <w:rFonts w:cstheme="minorHAnsi"/>
          <w:bCs/>
          <w:color w:val="4472C4" w:themeColor="accent1"/>
          <w:szCs w:val="72"/>
          <w:lang w:val="sr-Cyrl-RS"/>
        </w:rPr>
        <w:t xml:space="preserve">демије, до релативно нормалног функционисања економије уз придржавање мера превенције у циљу успоравања ширења </w:t>
      </w:r>
      <w:r w:rsidR="008E4992" w:rsidRPr="008E4992">
        <w:rPr>
          <w:rFonts w:cstheme="minorHAnsi"/>
          <w:bCs/>
          <w:color w:val="4472C4" w:themeColor="accent1"/>
          <w:szCs w:val="72"/>
          <w:lang w:val="sr-Cyrl-RS"/>
        </w:rPr>
        <w:t>пан</w:t>
      </w:r>
      <w:r w:rsidRPr="00EA3D8C">
        <w:rPr>
          <w:rFonts w:cstheme="minorHAnsi"/>
          <w:bCs/>
          <w:color w:val="4472C4" w:themeColor="accent1"/>
          <w:szCs w:val="72"/>
          <w:lang w:val="sr-Cyrl-RS"/>
        </w:rPr>
        <w:t>демије.</w:t>
      </w:r>
    </w:p>
    <w:p w14:paraId="4D4B9322" w14:textId="1233000A" w:rsidR="00BA5C3A" w:rsidRPr="00EA3D8C" w:rsidRDefault="00BA5C3A" w:rsidP="00BA5C3A">
      <w:pPr>
        <w:rPr>
          <w:rFonts w:cstheme="minorHAnsi"/>
          <w:bCs/>
          <w:color w:val="4472C4" w:themeColor="accent1"/>
          <w:szCs w:val="72"/>
          <w:lang w:val="sr-Cyrl-RS"/>
        </w:rPr>
      </w:pPr>
      <w:r w:rsidRPr="00EA3D8C">
        <w:rPr>
          <w:rFonts w:cstheme="minorHAnsi"/>
          <w:b/>
          <w:bCs/>
          <w:color w:val="4472C4" w:themeColor="accent1"/>
          <w:szCs w:val="72"/>
          <w:lang w:val="sr-Cyrl-RS"/>
        </w:rPr>
        <w:t>Република Србија је правовремено одговорила на изазове које је пред економску, пре свега фискалну политику поставила здравствена криза.</w:t>
      </w:r>
      <w:r w:rsidRPr="00EA3D8C">
        <w:rPr>
          <w:rFonts w:cstheme="minorHAnsi"/>
          <w:bCs/>
          <w:color w:val="4472C4" w:themeColor="accent1"/>
          <w:szCs w:val="72"/>
          <w:lang w:val="sr-Cyrl-RS"/>
        </w:rPr>
        <w:t xml:space="preserve"> Први и најважнији задатак државне касе било је довољно и неометано финансирање борбе за очување здравља и живота људи. Здравствени систем који је на првој линији одбране има сву потребну подршку кроз неометано финансирање и обезбеђење потребних додатних средстава. Додатно финансирање обезбеђено је за набавку потрошног материјала, медицинске опреме и др. Започета је и изградња две потпуно нове </w:t>
      </w:r>
      <w:r w:rsidR="007451D1" w:rsidRPr="007451D1">
        <w:rPr>
          <w:rFonts w:cstheme="minorHAnsi"/>
          <w:bCs/>
          <w:color w:val="4472C4" w:themeColor="accent1"/>
          <w:szCs w:val="72"/>
          <w:lang w:val="sr-Cyrl-RS"/>
        </w:rPr>
        <w:t>COVID</w:t>
      </w:r>
      <w:r w:rsidRPr="00EA3D8C">
        <w:rPr>
          <w:rFonts w:cstheme="minorHAnsi"/>
          <w:bCs/>
          <w:color w:val="4472C4" w:themeColor="accent1"/>
          <w:szCs w:val="72"/>
          <w:lang w:val="sr-Cyrl-RS"/>
        </w:rPr>
        <w:t xml:space="preserve"> болнице у циљу обезбеђивања потребног капацитета за пацијенте чије стање захтева болничко лечење.</w:t>
      </w:r>
    </w:p>
    <w:p w14:paraId="67586148" w14:textId="3D4EA000" w:rsidR="00BA5C3A" w:rsidRPr="00EA3D8C" w:rsidRDefault="00BA5C3A" w:rsidP="00BA5C3A">
      <w:pPr>
        <w:rPr>
          <w:rFonts w:cstheme="minorHAnsi"/>
          <w:bCs/>
          <w:color w:val="4472C4" w:themeColor="accent1"/>
          <w:szCs w:val="72"/>
          <w:lang w:val="sr-Cyrl-RS"/>
        </w:rPr>
      </w:pPr>
      <w:r w:rsidRPr="00EA3D8C">
        <w:rPr>
          <w:rFonts w:cstheme="minorHAnsi"/>
          <w:b/>
          <w:bCs/>
          <w:color w:val="4472C4" w:themeColor="accent1"/>
          <w:szCs w:val="72"/>
          <w:lang w:val="sr-Cyrl-RS"/>
        </w:rPr>
        <w:t>Основни циљеви постављени усвојеним Програмом економских мера за подршку привреди Србије испуњени су. Очувани су привредни капацитети и пружена подршка у одржавању ликвидности привреде у току трајања ових ванредних околности.</w:t>
      </w:r>
      <w:r w:rsidRPr="00EA3D8C">
        <w:rPr>
          <w:rFonts w:cstheme="minorHAnsi"/>
          <w:bCs/>
          <w:color w:val="4472C4" w:themeColor="accent1"/>
          <w:szCs w:val="72"/>
          <w:lang w:val="sr-Cyrl-RS"/>
        </w:rPr>
        <w:t xml:space="preserve"> То је био </w:t>
      </w:r>
      <w:r w:rsidRPr="00EA3D8C">
        <w:rPr>
          <w:rFonts w:cstheme="minorHAnsi"/>
          <w:bCs/>
          <w:color w:val="4472C4" w:themeColor="accent1"/>
          <w:szCs w:val="72"/>
          <w:lang w:val="sr-Cyrl-RS"/>
        </w:rPr>
        <w:lastRenderedPageBreak/>
        <w:t>други, не мање важан, задатак јавних финансија. Захваљујући макроекономској и фискалној стабилности постигнутој у претходном периоду Република Србија имала је довољно простора да монетарним и фискалним мерама помогне привреди у ублажавању нега</w:t>
      </w:r>
      <w:r w:rsidR="00285491">
        <w:rPr>
          <w:rFonts w:cstheme="minorHAnsi"/>
          <w:bCs/>
          <w:color w:val="4472C4" w:themeColor="accent1"/>
          <w:szCs w:val="72"/>
          <w:lang w:val="sr-Cyrl-RS"/>
        </w:rPr>
        <w:t>тивних ефеката пандемије корона</w:t>
      </w:r>
      <w:r w:rsidRPr="00EA3D8C">
        <w:rPr>
          <w:rFonts w:cstheme="minorHAnsi"/>
          <w:bCs/>
          <w:color w:val="4472C4" w:themeColor="accent1"/>
          <w:szCs w:val="72"/>
          <w:lang w:val="sr-Cyrl-RS"/>
        </w:rPr>
        <w:t>вируса. Фискалном политиком предвиђен је свеобухватан пакет мера којим је пружена помоћ привреди и чији су се позитивни ефекти одразили на макроекономске показатеље (незапосленост, мањи пад привредне активности и др). Планирана вредност укупног пакета мера помоћи привреди и становништву процењена је на 12,5%</w:t>
      </w:r>
      <w:r w:rsidR="00896B97">
        <w:rPr>
          <w:rFonts w:cstheme="minorHAnsi"/>
          <w:bCs/>
          <w:color w:val="4472C4" w:themeColor="accent1"/>
          <w:szCs w:val="72"/>
          <w:lang w:val="sr-Cyrl-RS"/>
        </w:rPr>
        <w:t xml:space="preserve"> бруто домаћег производа (у даљем тексту:</w:t>
      </w:r>
      <w:r w:rsidRPr="00EA3D8C">
        <w:rPr>
          <w:rFonts w:cstheme="minorHAnsi"/>
          <w:bCs/>
          <w:color w:val="4472C4" w:themeColor="accent1"/>
          <w:szCs w:val="72"/>
          <w:lang w:val="sr-Cyrl-RS"/>
        </w:rPr>
        <w:t xml:space="preserve"> БДП</w:t>
      </w:r>
      <w:r w:rsidR="00896B97">
        <w:rPr>
          <w:rFonts w:cstheme="minorHAnsi"/>
          <w:bCs/>
          <w:color w:val="4472C4" w:themeColor="accent1"/>
          <w:szCs w:val="72"/>
          <w:lang w:val="sr-Cyrl-RS"/>
        </w:rPr>
        <w:t>)</w:t>
      </w:r>
      <w:r w:rsidRPr="00EA3D8C">
        <w:rPr>
          <w:rFonts w:cstheme="minorHAnsi"/>
          <w:bCs/>
          <w:color w:val="4472C4" w:themeColor="accent1"/>
          <w:szCs w:val="72"/>
          <w:lang w:val="sr-Cyrl-RS"/>
        </w:rPr>
        <w:t>.</w:t>
      </w:r>
    </w:p>
    <w:p w14:paraId="4498F081" w14:textId="04D857EE" w:rsidR="00BA5C3A" w:rsidRPr="00EA3D8C" w:rsidRDefault="00BA5C3A" w:rsidP="00BA5C3A">
      <w:pPr>
        <w:rPr>
          <w:rFonts w:cstheme="minorHAnsi"/>
          <w:bCs/>
          <w:color w:val="4472C4" w:themeColor="accent1"/>
          <w:szCs w:val="72"/>
          <w:lang w:val="sr-Cyrl-RS"/>
        </w:rPr>
      </w:pPr>
      <w:r w:rsidRPr="00EA3D8C">
        <w:rPr>
          <w:rFonts w:cstheme="minorHAnsi"/>
          <w:b/>
          <w:bCs/>
          <w:color w:val="4472C4" w:themeColor="accent1"/>
          <w:szCs w:val="72"/>
          <w:lang w:val="sr-Cyrl-RS"/>
        </w:rPr>
        <w:t>Фискална стратегија у средњем року предвиђа постепену стабилизацију јавних финансија и усмеравање фискалног простора на раст јавних</w:t>
      </w:r>
      <w:r w:rsidRPr="00EA3D8C">
        <w:rPr>
          <w:rFonts w:cstheme="minorHAnsi"/>
          <w:bCs/>
          <w:color w:val="4472C4" w:themeColor="accent1"/>
          <w:szCs w:val="72"/>
          <w:lang w:val="sr-Cyrl-RS"/>
        </w:rPr>
        <w:t xml:space="preserve"> </w:t>
      </w:r>
      <w:r w:rsidRPr="00EA3D8C">
        <w:rPr>
          <w:rFonts w:cstheme="minorHAnsi"/>
          <w:b/>
          <w:bCs/>
          <w:color w:val="4472C4" w:themeColor="accent1"/>
          <w:szCs w:val="72"/>
          <w:lang w:val="sr-Cyrl-RS"/>
        </w:rPr>
        <w:t>инвестиција у циљу опоравка и раста привреде</w:t>
      </w:r>
      <w:r w:rsidRPr="00EA3D8C">
        <w:rPr>
          <w:rFonts w:cstheme="minorHAnsi"/>
          <w:bCs/>
          <w:color w:val="4472C4" w:themeColor="accent1"/>
          <w:szCs w:val="72"/>
          <w:lang w:val="sr-Cyrl-RS"/>
        </w:rPr>
        <w:t xml:space="preserve">. Основни сценарио економских кретања представљен овим документом претпоставља окончање здравствене кризе и економски опоравак. Под тим претпоставкама средњорочна путања дефицита је опадајућа и приближна одрживом нивоу на крају посматраног периода. Изузетно, повећано учешће јавног дуга у БДП у 2020. години, имајући у виду пројектоване фискалне резултате, од 2021. године и на даље се смањује и враћа у одрживе оквире. Искуство у претходном периоду нам показује да су стабилне јавне финансије нужне не само као претпоставка одрживог раста, већ пре свега, као предуслов </w:t>
      </w:r>
      <w:r w:rsidRPr="00EA3D8C">
        <w:rPr>
          <w:rFonts w:cstheme="minorHAnsi"/>
          <w:bCs/>
          <w:color w:val="4472C4" w:themeColor="accent1"/>
          <w:szCs w:val="72"/>
          <w:lang w:val="sr-Cyrl-RS"/>
        </w:rPr>
        <w:lastRenderedPageBreak/>
        <w:t>адекватне реакције државе у ванредним околностима попут</w:t>
      </w:r>
      <w:r w:rsidR="00285491">
        <w:rPr>
          <w:rFonts w:cstheme="minorHAnsi"/>
          <w:bCs/>
          <w:color w:val="4472C4" w:themeColor="accent1"/>
          <w:szCs w:val="72"/>
          <w:lang w:val="sr-Cyrl-RS"/>
        </w:rPr>
        <w:t xml:space="preserve"> ове изазване пандемијом корона</w:t>
      </w:r>
      <w:r w:rsidRPr="00EA3D8C">
        <w:rPr>
          <w:rFonts w:cstheme="minorHAnsi"/>
          <w:bCs/>
          <w:color w:val="4472C4" w:themeColor="accent1"/>
          <w:szCs w:val="72"/>
          <w:lang w:val="sr-Cyrl-RS"/>
        </w:rPr>
        <w:t>вируса. Расположив фискални простор у наредном средњорочном периоду усмерава се на јавне инвестиције уз благо повећање њиховог удела у БДП, а затим и одржања достигнутог нивоа јавних улагања. Јавне инвестиције кључан су фактор бржег опоравка привреде и стварања основа за динамичан привредни раст.</w:t>
      </w:r>
    </w:p>
    <w:p w14:paraId="36E8D41D" w14:textId="0ADBDC59" w:rsidR="00BA5C3A" w:rsidRPr="00EA3D8C" w:rsidRDefault="00BA5C3A" w:rsidP="00BA5C3A">
      <w:pPr>
        <w:rPr>
          <w:rFonts w:cstheme="minorHAnsi"/>
          <w:bCs/>
          <w:color w:val="4472C4" w:themeColor="accent1"/>
          <w:szCs w:val="72"/>
          <w:lang w:val="sr-Cyrl-RS"/>
        </w:rPr>
        <w:sectPr w:rsidR="00BA5C3A" w:rsidRPr="00EA3D8C" w:rsidSect="00AE40EB">
          <w:type w:val="continuous"/>
          <w:pgSz w:w="12240" w:h="15840" w:code="1"/>
          <w:pgMar w:top="1440" w:right="1440" w:bottom="1440" w:left="1440" w:header="720" w:footer="720" w:gutter="0"/>
          <w:cols w:num="2" w:space="720"/>
          <w:docGrid w:linePitch="360"/>
        </w:sectPr>
      </w:pPr>
      <w:r w:rsidRPr="00EA3D8C">
        <w:rPr>
          <w:rFonts w:cstheme="minorHAnsi"/>
          <w:b/>
          <w:bCs/>
          <w:color w:val="4472C4" w:themeColor="accent1"/>
          <w:szCs w:val="72"/>
          <w:lang w:val="sr-Cyrl-RS"/>
        </w:rPr>
        <w:lastRenderedPageBreak/>
        <w:t xml:space="preserve">Макроекономски и фискални ризици по представљени основни сценарио су значајни и преовлађујуће негативни. </w:t>
      </w:r>
      <w:r w:rsidRPr="00EA3D8C">
        <w:rPr>
          <w:rFonts w:cstheme="minorHAnsi"/>
          <w:bCs/>
          <w:color w:val="4472C4" w:themeColor="accent1"/>
          <w:szCs w:val="72"/>
          <w:lang w:val="sr-Cyrl-RS"/>
        </w:rPr>
        <w:t>Присутне су неизвесности у вези са током и трајањем пандемије, начином и брзином којом ће се привреде опорављати, потребе за додатном помоћи привреди, као и бројне обавезе које могу проистећи из имплицитних и експлицитних гаранција државе датих као подршка привреди у току пандемије.</w:t>
      </w:r>
      <w:r w:rsidR="00E336BD" w:rsidRPr="00EA3D8C">
        <w:rPr>
          <w:rFonts w:cstheme="minorHAnsi"/>
          <w:bCs/>
          <w:color w:val="4472C4" w:themeColor="accent1"/>
          <w:szCs w:val="72"/>
          <w:lang w:val="sr-Cyrl-RS"/>
        </w:rPr>
        <w:tab/>
      </w:r>
    </w:p>
    <w:p w14:paraId="3AE76FBA" w14:textId="5A7789A8" w:rsidR="00C55154" w:rsidRPr="00EA3D8C" w:rsidRDefault="00C55154" w:rsidP="00BA5C3A">
      <w:pPr>
        <w:rPr>
          <w:rFonts w:cstheme="minorHAnsi"/>
          <w:bCs/>
          <w:color w:val="4472C4" w:themeColor="accent1"/>
          <w:szCs w:val="72"/>
          <w:lang w:val="sr-Cyrl-RS"/>
        </w:rPr>
      </w:pPr>
    </w:p>
    <w:p w14:paraId="5BB5FA93" w14:textId="77777777" w:rsidR="00C55154" w:rsidRPr="00EA3D8C" w:rsidRDefault="00C55154" w:rsidP="00C130D2">
      <w:pPr>
        <w:spacing w:after="0"/>
        <w:rPr>
          <w:rFonts w:cstheme="minorHAnsi"/>
          <w:color w:val="auto"/>
          <w:lang w:val="sr-Cyrl-RS"/>
        </w:rPr>
        <w:sectPr w:rsidR="00C55154" w:rsidRPr="00EA3D8C" w:rsidSect="00AE40EB">
          <w:type w:val="continuous"/>
          <w:pgSz w:w="12240" w:h="15840" w:code="1"/>
          <w:pgMar w:top="1440" w:right="1440" w:bottom="1440" w:left="1440" w:header="720" w:footer="720" w:gutter="0"/>
          <w:cols w:num="2" w:space="720"/>
          <w:docGrid w:linePitch="360"/>
        </w:sectPr>
      </w:pPr>
    </w:p>
    <w:p w14:paraId="2F723D1A" w14:textId="77777777" w:rsidR="00BA5C3A" w:rsidRPr="00EA3D8C" w:rsidRDefault="00BA5C3A">
      <w:pPr>
        <w:jc w:val="left"/>
        <w:rPr>
          <w:rFonts w:eastAsiaTheme="majorEastAsia" w:cstheme="minorHAnsi"/>
          <w:b/>
          <w:color w:val="2F5496" w:themeColor="accent1" w:themeShade="BF"/>
          <w:sz w:val="24"/>
          <w:szCs w:val="26"/>
          <w:lang w:val="sr-Cyrl-RS"/>
        </w:rPr>
      </w:pPr>
      <w:bookmarkStart w:id="2" w:name="_Toc23342461"/>
      <w:bookmarkStart w:id="3" w:name="_Toc530041993"/>
      <w:r w:rsidRPr="00EA3D8C">
        <w:rPr>
          <w:rFonts w:cstheme="minorHAnsi"/>
          <w:b/>
          <w:sz w:val="24"/>
          <w:lang w:val="sr-Cyrl-RS"/>
        </w:rPr>
        <w:lastRenderedPageBreak/>
        <w:br w:type="page"/>
      </w:r>
    </w:p>
    <w:p w14:paraId="7318D5CA" w14:textId="00004C45" w:rsidR="00C10FA7" w:rsidRPr="00EA3D8C" w:rsidRDefault="009453BD" w:rsidP="007A7960">
      <w:pPr>
        <w:pStyle w:val="Heading2"/>
        <w:jc w:val="center"/>
        <w:rPr>
          <w:rFonts w:asciiTheme="minorHAnsi" w:hAnsiTheme="minorHAnsi" w:cstheme="minorHAnsi"/>
          <w:b/>
          <w:sz w:val="24"/>
          <w:lang w:val="sr-Cyrl-RS"/>
        </w:rPr>
      </w:pPr>
      <w:bookmarkStart w:id="4" w:name="_Toc56667071"/>
      <w:r w:rsidRPr="00EA3D8C">
        <w:rPr>
          <w:rFonts w:asciiTheme="minorHAnsi" w:hAnsiTheme="minorHAnsi" w:cstheme="minorHAnsi"/>
          <w:b/>
          <w:sz w:val="24"/>
          <w:lang w:val="sr-Cyrl-RS"/>
        </w:rPr>
        <w:lastRenderedPageBreak/>
        <w:t>2. Процене међународног економског окружења</w:t>
      </w:r>
      <w:bookmarkEnd w:id="2"/>
      <w:bookmarkEnd w:id="4"/>
    </w:p>
    <w:p w14:paraId="585D9201" w14:textId="1454F4B2" w:rsidR="009453BD" w:rsidRPr="00EA3D8C" w:rsidRDefault="00C10FA7" w:rsidP="00C10FA7">
      <w:pPr>
        <w:spacing w:before="40" w:after="0"/>
        <w:rPr>
          <w:lang w:val="sr-Cyrl-RS"/>
        </w:rPr>
      </w:pPr>
      <w:r w:rsidRPr="00EA3D8C">
        <w:rPr>
          <w:rFonts w:cstheme="minorHAnsi"/>
          <w:b/>
          <w:noProof/>
          <w:sz w:val="24"/>
        </w:rPr>
        <mc:AlternateContent>
          <mc:Choice Requires="wps">
            <w:drawing>
              <wp:anchor distT="0" distB="0" distL="114300" distR="114300" simplePos="0" relativeHeight="251654656" behindDoc="1" locked="0" layoutInCell="1" allowOverlap="1" wp14:anchorId="2817B3BC" wp14:editId="39EC0A18">
                <wp:simplePos x="0" y="0"/>
                <wp:positionH relativeFrom="margin">
                  <wp:posOffset>-47625</wp:posOffset>
                </wp:positionH>
                <wp:positionV relativeFrom="paragraph">
                  <wp:posOffset>189865</wp:posOffset>
                </wp:positionV>
                <wp:extent cx="6028055" cy="4210050"/>
                <wp:effectExtent l="0" t="0" r="0" b="0"/>
                <wp:wrapNone/>
                <wp:docPr id="27" name="Rectangle 27"/>
                <wp:cNvGraphicFramePr/>
                <a:graphic xmlns:a="http://schemas.openxmlformats.org/drawingml/2006/main">
                  <a:graphicData uri="http://schemas.microsoft.com/office/word/2010/wordprocessingShape">
                    <wps:wsp>
                      <wps:cNvSpPr/>
                      <wps:spPr>
                        <a:xfrm>
                          <a:off x="0" y="0"/>
                          <a:ext cx="6028055" cy="421005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6AD90C3D" id="Rectangle 27" o:spid="_x0000_s1026" style="position:absolute;margin-left:-3.75pt;margin-top:14.95pt;width:474.65pt;height:331.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" fillcolor="#d8d8d8 [2732]" stroked="f" strokeweight="1pt">
                <v:fill r:id="rId19" o:title="" color2="white [3212]" type="pattern"/>
                <w10:wrap anchorx="margin"/>
              </v:rect>
            </w:pict>
          </mc:Fallback>
        </mc:AlternateContent>
      </w:r>
    </w:p>
    <w:p w14:paraId="2D094EF9" w14:textId="77777777" w:rsidR="00C10FA7" w:rsidRPr="00EA3D8C" w:rsidRDefault="00C10FA7" w:rsidP="00C10FA7">
      <w:pPr>
        <w:spacing w:before="40" w:after="0"/>
        <w:rPr>
          <w:sz w:val="22"/>
          <w:lang w:val="sr-Cyrl-RS"/>
        </w:rPr>
        <w:sectPr w:rsidR="00C10FA7" w:rsidRPr="00EA3D8C" w:rsidSect="00AE40EB">
          <w:headerReference w:type="default" r:id="rId20"/>
          <w:footerReference w:type="even" r:id="rId21"/>
          <w:footerReference w:type="default" r:id="rId22"/>
          <w:headerReference w:type="first" r:id="rId23"/>
          <w:type w:val="continuous"/>
          <w:pgSz w:w="12240" w:h="15840" w:code="1"/>
          <w:pgMar w:top="1440" w:right="1440" w:bottom="1440" w:left="1440" w:header="720" w:footer="720" w:gutter="0"/>
          <w:cols w:space="720"/>
          <w:docGrid w:linePitch="360"/>
        </w:sectPr>
      </w:pPr>
    </w:p>
    <w:p w14:paraId="18B710B9" w14:textId="20857C2D" w:rsidR="009453BD" w:rsidRPr="00EA3D8C" w:rsidRDefault="009453BD" w:rsidP="008443FC">
      <w:pPr>
        <w:spacing w:after="360"/>
        <w:rPr>
          <w:rFonts w:cstheme="minorHAnsi"/>
          <w:bCs/>
          <w:color w:val="0070C0"/>
          <w:lang w:val="sr-Cyrl-RS"/>
        </w:rPr>
      </w:pPr>
      <w:r w:rsidRPr="00EA3D8C">
        <w:rPr>
          <w:rFonts w:cstheme="minorHAnsi"/>
          <w:bCs/>
          <w:color w:val="0070C0"/>
          <w:lang w:val="sr-Cyrl-RS"/>
        </w:rPr>
        <w:lastRenderedPageBreak/>
        <w:t xml:space="preserve">Глобална економија захваћена је најразорнијом кризом јавног здравља и у најдубљој је рецесији у последњих неколико деценија. </w:t>
      </w:r>
      <w:r w:rsidRPr="00EA3D8C">
        <w:rPr>
          <w:rFonts w:cstheme="minorHAnsi"/>
          <w:color w:val="0070C0"/>
          <w:lang w:val="sr-Cyrl-RS"/>
        </w:rPr>
        <w:t>Пандемија вируса која је однела преко милион живота и последична економска криза која је захватила свет, заједнички су изазов са којим су суочене готово све земље. Најновије пројекције ипак указују на нешто бољу ситуацију од претходно очекиване: пораст броја тестирања, ефикаснија терапија, бржи развој вакцине, јачање међународне солидарности, брже отварање економија и опоравак након периода „закључавања</w:t>
      </w:r>
      <w:r w:rsidR="008A2849" w:rsidRPr="00EA3D8C">
        <w:rPr>
          <w:rFonts w:cstheme="minorHAnsi"/>
          <w:color w:val="0070C0"/>
          <w:lang w:val="sr-Cyrl-RS"/>
        </w:rPr>
        <w:t>ˮ</w:t>
      </w:r>
      <w:r w:rsidRPr="00EA3D8C">
        <w:rPr>
          <w:rFonts w:cstheme="minorHAnsi"/>
          <w:color w:val="0070C0"/>
          <w:lang w:val="sr-Cyrl-RS"/>
        </w:rPr>
        <w:t xml:space="preserve"> довели су до тога да су предвиђања о предстојећој рецесији нешто блажа. Ревизија навише за 2020. годину је потпомогнута и резултатима из другог квартала, који нису били толико негативни као што се првобитно очекивало, као и јачим растом Кине, те назнакама бржег опоравка током трећег квартала. Макроекономски резултати би били осетно слабији да није било фискалних, монетарних и регулаторних реакција које су биле значајне, брзе и без преседана, а чиме је спречена финансијска катастрофа. Међународне финансијске институције очекују да глобални економски опоравак буде дуг и неуједначен, док ће поновно </w:t>
      </w:r>
      <w:r w:rsidRPr="00EA3D8C">
        <w:rPr>
          <w:rFonts w:cstheme="minorHAnsi"/>
          <w:color w:val="0070C0"/>
          <w:lang w:val="sr-Cyrl-RS"/>
        </w:rPr>
        <w:lastRenderedPageBreak/>
        <w:t xml:space="preserve">ширење вируса и увођења рестриктивних епидемиолошких мера, успорити повратак економске активности на преткризни ниво. Већина земаља се суочава са </w:t>
      </w:r>
      <w:r w:rsidRPr="00EA3D8C">
        <w:rPr>
          <w:rFonts w:cstheme="minorHAnsi"/>
          <w:bCs/>
          <w:color w:val="0070C0"/>
          <w:lang w:val="sr-Cyrl-RS"/>
        </w:rPr>
        <w:t>неуобичајено високим негативном ризицима који проистичу из даљег тока и трајања пандемије и одговора на њу. Основни изазови биће очување постојећих производних капацитета и спровођење</w:t>
      </w:r>
      <w:r w:rsidRPr="00EA3D8C">
        <w:rPr>
          <w:rFonts w:cstheme="minorHAnsi"/>
          <w:color w:val="0070C0"/>
          <w:lang w:val="sr-Cyrl-RS"/>
        </w:rPr>
        <w:t xml:space="preserve"> структурних промена усмерених на креирање снажнијег, праведнијег и одрживијег раста.</w:t>
      </w:r>
      <w:r w:rsidRPr="00EA3D8C">
        <w:rPr>
          <w:rFonts w:cstheme="minorHAnsi"/>
          <w:bCs/>
          <w:color w:val="0070C0"/>
          <w:lang w:val="sr-Cyrl-RS"/>
        </w:rPr>
        <w:t xml:space="preserve"> Приоритет друштвеног и економског система јесте правовремено обезбеђење ресурса за </w:t>
      </w:r>
      <w:r w:rsidR="008C6D92" w:rsidRPr="00EA3D8C">
        <w:rPr>
          <w:rFonts w:cstheme="minorHAnsi"/>
          <w:bCs/>
          <w:color w:val="0070C0"/>
          <w:lang w:val="sr-Cyrl-RS"/>
        </w:rPr>
        <w:t>функционисање</w:t>
      </w:r>
      <w:r w:rsidRPr="00EA3D8C">
        <w:rPr>
          <w:rFonts w:cstheme="minorHAnsi"/>
          <w:bCs/>
          <w:color w:val="0070C0"/>
          <w:lang w:val="sr-Cyrl-RS"/>
        </w:rPr>
        <w:t xml:space="preserve"> здравственог система и ограничавање економске штете. Да би се то остварило, неопходна је значајна међународна сарадња и подршка здравственим системима, финансијска потпора теже погођеним земљама, подршка државама које су у процесу нормализације након сузбијања вируса, али и примена политика и економских мера које се тичу решавања јавног и корпоративног дуга чији се раст очекује у будућности. Глобална сарадња је неопходна и поводом дугорочног проблема климатских промена и евентуалних будућих здравствених криза.</w:t>
      </w:r>
    </w:p>
    <w:p w14:paraId="42095350" w14:textId="77777777" w:rsidR="009453BD" w:rsidRPr="00EA3D8C" w:rsidRDefault="009453BD" w:rsidP="008443FC">
      <w:pPr>
        <w:spacing w:after="240"/>
        <w:rPr>
          <w:rFonts w:cstheme="minorHAnsi"/>
          <w:color w:val="0070C0"/>
          <w:lang w:val="sr-Cyrl-RS"/>
        </w:rPr>
        <w:sectPr w:rsidR="009453BD" w:rsidRPr="00EA3D8C" w:rsidSect="00AE40EB">
          <w:type w:val="continuous"/>
          <w:pgSz w:w="12240" w:h="15840" w:code="1"/>
          <w:pgMar w:top="1440" w:right="1440" w:bottom="1440" w:left="1440" w:header="720" w:footer="720" w:gutter="0"/>
          <w:cols w:num="2" w:space="720"/>
          <w:docGrid w:linePitch="360"/>
        </w:sectPr>
      </w:pPr>
    </w:p>
    <w:p w14:paraId="7ACDF030" w14:textId="77777777" w:rsidR="009453BD" w:rsidRPr="00EA3D8C" w:rsidRDefault="009453BD" w:rsidP="00372639">
      <w:pPr>
        <w:jc w:val="left"/>
        <w:rPr>
          <w:rFonts w:cstheme="minorHAnsi"/>
          <w:b/>
          <w:color w:val="2F5496" w:themeColor="accent1" w:themeShade="BF"/>
          <w:sz w:val="22"/>
          <w:lang w:val="sr-Cyrl-RS"/>
        </w:rPr>
      </w:pPr>
      <w:r w:rsidRPr="00EA3D8C">
        <w:rPr>
          <w:rFonts w:cstheme="minorHAnsi"/>
          <w:b/>
          <w:color w:val="2F5496" w:themeColor="accent1" w:themeShade="BF"/>
          <w:sz w:val="22"/>
          <w:lang w:val="sr-Cyrl-RS"/>
        </w:rPr>
        <w:lastRenderedPageBreak/>
        <w:t>Макроекономске процене Међународног монетарног фонда</w:t>
      </w:r>
    </w:p>
    <w:p w14:paraId="49845042" w14:textId="0C5BDD17" w:rsidR="009453BD" w:rsidRPr="00EA3D8C" w:rsidRDefault="009453BD" w:rsidP="009453BD">
      <w:pPr>
        <w:rPr>
          <w:rFonts w:cstheme="minorHAnsi"/>
          <w:bCs/>
          <w:szCs w:val="72"/>
          <w:lang w:val="sr-Cyrl-RS"/>
        </w:rPr>
      </w:pPr>
      <w:r w:rsidRPr="00EA3D8C">
        <w:rPr>
          <w:rFonts w:cstheme="minorHAnsi"/>
          <w:bCs/>
          <w:szCs w:val="72"/>
          <w:lang w:val="sr-Cyrl-RS"/>
        </w:rPr>
        <w:t>Глобална економија се опоравља од шока изазваног „Великим закључавањем</w:t>
      </w:r>
      <w:r w:rsidR="008A2849" w:rsidRPr="00EA3D8C">
        <w:rPr>
          <w:rFonts w:cstheme="minorHAnsi"/>
          <w:bCs/>
          <w:szCs w:val="72"/>
          <w:lang w:val="sr-Cyrl-RS"/>
        </w:rPr>
        <w:t>ˮ</w:t>
      </w:r>
      <w:r w:rsidRPr="00EA3D8C">
        <w:rPr>
          <w:rFonts w:cstheme="minorHAnsi"/>
          <w:bCs/>
          <w:szCs w:val="72"/>
          <w:lang w:val="sr-Cyrl-RS"/>
        </w:rPr>
        <w:t xml:space="preserve">. Иако је, после почетне фазе пандемије, од маја на глобалном нивоу уследило постепено ублажавање здравствених мера и опоравак економске активности, и даље је присутан висок степен неизвесности у погледу брзине опоравка светске привреде, што се одражава на кретања на међународном робном и финансијском тржишту. Према јесењим пројекцијама релевантних међународних институција криза ће бити слабијег интензитета од очекиваног, уз неуједначен глобални опоравак. Актуелне пројекције поред изазова кризе указују и на одређене разлоге за оптимизам. Опоравак у развијеним земљама и Кини био је бржи него што се процењивало, али је ипак очекивани повратак глобалне економије на </w:t>
      </w:r>
      <w:r w:rsidRPr="00EA3D8C">
        <w:rPr>
          <w:rFonts w:cstheme="minorHAnsi"/>
          <w:bCs/>
          <w:szCs w:val="72"/>
          <w:lang w:val="sr-Cyrl-RS"/>
        </w:rPr>
        <w:lastRenderedPageBreak/>
        <w:t>пре-пандемијске нивое и даље неизвестан и склон високим ризицима. Како пандемија наставља да се шири многе земље су успориле отварање својих економија, а неке поново успостављају превентивне епидемиолошке мере заштите становништва.</w:t>
      </w:r>
    </w:p>
    <w:p w14:paraId="7407C053" w14:textId="4CE176E8" w:rsidR="009453BD" w:rsidRPr="00EA3D8C" w:rsidRDefault="009453BD" w:rsidP="008443FC">
      <w:pPr>
        <w:spacing w:after="400"/>
        <w:rPr>
          <w:rFonts w:cstheme="minorHAnsi"/>
          <w:lang w:val="sr-Cyrl-RS"/>
        </w:rPr>
      </w:pPr>
      <w:r w:rsidRPr="00EA3D8C">
        <w:rPr>
          <w:rFonts w:cstheme="minorHAnsi"/>
          <w:lang w:val="sr-Cyrl-RS"/>
        </w:rPr>
        <w:t xml:space="preserve">Ризици за остваривање пројекција су и даље праћени неуобичајено високом неизвесношћу. Негативни ризици по остварење пројекције су значајни и углавном су везани за поновну појаву вируса у областима које су га „прележалеˮ. Спорији развој вакцине од очекиваног или њен неуједначен приступ би такође могли утицати на спорије сузбијање вируса. Прерано укидање мера подршке због кризе изазване пандемијом или њихова неефикасна примена, такође представљају ризик, који би уз неповољније услове финансирања могао довести до пада ликвидности, а дугорочно и несолвентности. Са </w:t>
      </w:r>
      <w:r w:rsidRPr="00EA3D8C">
        <w:rPr>
          <w:rFonts w:cstheme="minorHAnsi"/>
          <w:lang w:val="sr-Cyrl-RS"/>
        </w:rPr>
        <w:lastRenderedPageBreak/>
        <w:t xml:space="preserve">друге стране, блажа рецесија од првобитно предвиђене, наставак примене фискалних мера и у 2021. години и бржи раст продуктивности би </w:t>
      </w:r>
      <w:r w:rsidRPr="00EA3D8C">
        <w:rPr>
          <w:rFonts w:cstheme="minorHAnsi"/>
          <w:lang w:val="sr-Cyrl-RS"/>
        </w:rPr>
        <w:lastRenderedPageBreak/>
        <w:t>допринели убрзању глобалног опоравка и нормализацији економске активности.</w:t>
      </w:r>
    </w:p>
    <w:p w14:paraId="009B8497" w14:textId="77777777" w:rsidR="008443FC" w:rsidRPr="00EA3D8C" w:rsidRDefault="008443FC" w:rsidP="007A7960">
      <w:pPr>
        <w:rPr>
          <w:rFonts w:cstheme="minorHAnsi"/>
          <w:lang w:val="sr-Cyrl-RS"/>
        </w:rPr>
        <w:sectPr w:rsidR="008443FC" w:rsidRPr="00EA3D8C" w:rsidSect="00AE40EB">
          <w:type w:val="continuous"/>
          <w:pgSz w:w="12240" w:h="15840" w:code="1"/>
          <w:pgMar w:top="1440" w:right="1440" w:bottom="1440" w:left="1440" w:header="720" w:footer="720" w:gutter="0"/>
          <w:cols w:num="2"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1033"/>
        <w:gridCol w:w="1035"/>
        <w:gridCol w:w="1035"/>
        <w:gridCol w:w="1041"/>
      </w:tblGrid>
      <w:tr w:rsidR="009453BD" w:rsidRPr="00EA3D8C" w14:paraId="50BFE3ED" w14:textId="77777777" w:rsidTr="004F4B48">
        <w:trPr>
          <w:trHeight w:val="414"/>
        </w:trPr>
        <w:tc>
          <w:tcPr>
            <w:tcW w:w="5000" w:type="pct"/>
            <w:gridSpan w:val="5"/>
            <w:tcBorders>
              <w:bottom w:val="single" w:sz="4" w:space="0" w:color="002060"/>
            </w:tcBorders>
            <w:vAlign w:val="center"/>
          </w:tcPr>
          <w:p w14:paraId="4D54FECD" w14:textId="77777777" w:rsidR="009453BD" w:rsidRPr="00EA3D8C" w:rsidRDefault="009453BD" w:rsidP="004F4B48">
            <w:pPr>
              <w:jc w:val="center"/>
              <w:rPr>
                <w:rFonts w:cstheme="minorHAnsi"/>
                <w:b/>
                <w:color w:val="002060"/>
                <w:lang w:val="sr-Cyrl-RS"/>
              </w:rPr>
            </w:pPr>
            <w:r w:rsidRPr="00EA3D8C">
              <w:rPr>
                <w:rFonts w:cstheme="minorHAnsi"/>
                <w:b/>
                <w:color w:val="002060"/>
                <w:lang w:val="sr-Cyrl-RS"/>
              </w:rPr>
              <w:lastRenderedPageBreak/>
              <w:t>Табела 1. Међународно окружење – макроекономски показатељи</w:t>
            </w:r>
          </w:p>
        </w:tc>
      </w:tr>
      <w:tr w:rsidR="009453BD" w:rsidRPr="00EA3D8C" w14:paraId="15708014" w14:textId="77777777" w:rsidTr="00D670D2">
        <w:tc>
          <w:tcPr>
            <w:tcW w:w="2786"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6C97D2B0" w14:textId="77777777" w:rsidR="009453BD" w:rsidRPr="00EA3D8C" w:rsidRDefault="009453BD" w:rsidP="00D670D2">
            <w:pPr>
              <w:rPr>
                <w:rFonts w:cstheme="minorHAnsi"/>
                <w:color w:val="002060"/>
                <w:sz w:val="18"/>
                <w:lang w:val="sr-Cyrl-RS"/>
              </w:rPr>
            </w:pPr>
          </w:p>
        </w:tc>
        <w:tc>
          <w:tcPr>
            <w:tcW w:w="552" w:type="pct"/>
            <w:tcBorders>
              <w:top w:val="single" w:sz="4" w:space="0" w:color="002060"/>
              <w:left w:val="single" w:sz="2" w:space="0" w:color="FFFFFF" w:themeColor="background1"/>
              <w:bottom w:val="single" w:sz="4" w:space="0" w:color="002060"/>
              <w:right w:val="single" w:sz="2" w:space="0" w:color="FFFFFF" w:themeColor="background1"/>
            </w:tcBorders>
          </w:tcPr>
          <w:p w14:paraId="177A90B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2020</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540F8497"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2021</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725E7E34"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2022</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2E1C7991"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2023</w:t>
            </w:r>
          </w:p>
        </w:tc>
      </w:tr>
      <w:tr w:rsidR="009453BD" w:rsidRPr="00EA3D8C" w14:paraId="278ADB4B" w14:textId="77777777" w:rsidTr="00D670D2">
        <w:tc>
          <w:tcPr>
            <w:tcW w:w="5000" w:type="pct"/>
            <w:gridSpan w:val="5"/>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17EE2EEC" w14:textId="26DAAB3B" w:rsidR="009453BD" w:rsidRPr="00EA3D8C" w:rsidRDefault="009453BD" w:rsidP="00896B97">
            <w:pPr>
              <w:rPr>
                <w:rFonts w:cstheme="minorHAnsi"/>
                <w:color w:val="002060"/>
                <w:sz w:val="18"/>
                <w:lang w:val="sr-Cyrl-RS"/>
              </w:rPr>
            </w:pPr>
            <w:r w:rsidRPr="00EA3D8C">
              <w:rPr>
                <w:rFonts w:cstheme="minorHAnsi"/>
                <w:color w:val="002060"/>
                <w:sz w:val="18"/>
                <w:lang w:val="sr-Cyrl-RS"/>
              </w:rPr>
              <w:t xml:space="preserve">Реални раст </w:t>
            </w:r>
            <w:r w:rsidR="00896B97">
              <w:rPr>
                <w:rFonts w:cstheme="minorHAnsi"/>
                <w:color w:val="002060"/>
                <w:sz w:val="18"/>
                <w:lang w:val="sr-Cyrl-RS"/>
              </w:rPr>
              <w:t>БДП</w:t>
            </w:r>
            <w:r w:rsidRPr="00EA3D8C">
              <w:rPr>
                <w:rFonts w:cstheme="minorHAnsi"/>
                <w:color w:val="002060"/>
                <w:sz w:val="18"/>
                <w:lang w:val="sr-Cyrl-RS"/>
              </w:rPr>
              <w:t>, %</w:t>
            </w:r>
          </w:p>
        </w:tc>
      </w:tr>
      <w:tr w:rsidR="009453BD" w:rsidRPr="00EA3D8C" w14:paraId="2B0385EA" w14:textId="77777777" w:rsidTr="00D670D2">
        <w:tc>
          <w:tcPr>
            <w:tcW w:w="2786" w:type="pct"/>
            <w:tcBorders>
              <w:top w:val="single" w:sz="2" w:space="0" w:color="FFFFFF" w:themeColor="background1"/>
            </w:tcBorders>
          </w:tcPr>
          <w:p w14:paraId="150B91A2" w14:textId="77777777" w:rsidR="009453BD" w:rsidRPr="00EA3D8C" w:rsidRDefault="009453BD" w:rsidP="00D670D2">
            <w:pPr>
              <w:ind w:left="255"/>
              <w:rPr>
                <w:rFonts w:cstheme="minorHAnsi"/>
                <w:color w:val="002060"/>
                <w:sz w:val="18"/>
                <w:lang w:val="sr-Cyrl-RS"/>
              </w:rPr>
            </w:pPr>
            <w:r w:rsidRPr="00EA3D8C">
              <w:rPr>
                <w:rFonts w:cstheme="minorHAnsi"/>
                <w:color w:val="002060"/>
                <w:sz w:val="18"/>
                <w:lang w:val="sr-Cyrl-RS"/>
              </w:rPr>
              <w:t>Свет укупно</w:t>
            </w:r>
          </w:p>
        </w:tc>
        <w:tc>
          <w:tcPr>
            <w:tcW w:w="552" w:type="pct"/>
            <w:tcBorders>
              <w:top w:val="single" w:sz="2" w:space="0" w:color="FFFFFF" w:themeColor="background1"/>
            </w:tcBorders>
          </w:tcPr>
          <w:p w14:paraId="77DEAEF8"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-4,4</w:t>
            </w:r>
          </w:p>
        </w:tc>
        <w:tc>
          <w:tcPr>
            <w:tcW w:w="553" w:type="pct"/>
            <w:tcBorders>
              <w:top w:val="single" w:sz="2" w:space="0" w:color="FFFFFF" w:themeColor="background1"/>
            </w:tcBorders>
          </w:tcPr>
          <w:p w14:paraId="34EB45FF"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5,2</w:t>
            </w:r>
          </w:p>
        </w:tc>
        <w:tc>
          <w:tcPr>
            <w:tcW w:w="553" w:type="pct"/>
            <w:tcBorders>
              <w:top w:val="single" w:sz="2" w:space="0" w:color="FFFFFF" w:themeColor="background1"/>
            </w:tcBorders>
          </w:tcPr>
          <w:p w14:paraId="40E922A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4,2</w:t>
            </w:r>
          </w:p>
        </w:tc>
        <w:tc>
          <w:tcPr>
            <w:tcW w:w="556" w:type="pct"/>
            <w:tcBorders>
              <w:top w:val="single" w:sz="2" w:space="0" w:color="FFFFFF" w:themeColor="background1"/>
            </w:tcBorders>
          </w:tcPr>
          <w:p w14:paraId="4AE414EC"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3,8</w:t>
            </w:r>
          </w:p>
        </w:tc>
      </w:tr>
      <w:tr w:rsidR="009453BD" w:rsidRPr="00EA3D8C" w14:paraId="6422FEC9" w14:textId="77777777" w:rsidTr="00D670D2">
        <w:tc>
          <w:tcPr>
            <w:tcW w:w="2786" w:type="pct"/>
          </w:tcPr>
          <w:p w14:paraId="4135363A" w14:textId="77777777" w:rsidR="009453BD" w:rsidRPr="00EA3D8C" w:rsidRDefault="009453BD" w:rsidP="00D670D2">
            <w:pPr>
              <w:ind w:left="255"/>
              <w:rPr>
                <w:rFonts w:cstheme="minorHAnsi"/>
                <w:color w:val="002060"/>
                <w:sz w:val="18"/>
                <w:lang w:val="sr-Cyrl-RS"/>
              </w:rPr>
            </w:pPr>
            <w:r w:rsidRPr="00EA3D8C">
              <w:rPr>
                <w:rFonts w:cstheme="minorHAnsi"/>
                <w:color w:val="002060"/>
                <w:sz w:val="18"/>
                <w:lang w:val="sr-Cyrl-RS"/>
              </w:rPr>
              <w:t>Развијене економије</w:t>
            </w:r>
          </w:p>
        </w:tc>
        <w:tc>
          <w:tcPr>
            <w:tcW w:w="552" w:type="pct"/>
          </w:tcPr>
          <w:p w14:paraId="316E2F34"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-5,8</w:t>
            </w:r>
          </w:p>
        </w:tc>
        <w:tc>
          <w:tcPr>
            <w:tcW w:w="553" w:type="pct"/>
          </w:tcPr>
          <w:p w14:paraId="6B15B97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3,9</w:t>
            </w:r>
          </w:p>
        </w:tc>
        <w:tc>
          <w:tcPr>
            <w:tcW w:w="553" w:type="pct"/>
          </w:tcPr>
          <w:p w14:paraId="3B786FA2"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2,9</w:t>
            </w:r>
          </w:p>
        </w:tc>
        <w:tc>
          <w:tcPr>
            <w:tcW w:w="556" w:type="pct"/>
          </w:tcPr>
          <w:p w14:paraId="165F614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2,2</w:t>
            </w:r>
          </w:p>
        </w:tc>
      </w:tr>
      <w:tr w:rsidR="009453BD" w:rsidRPr="00EA3D8C" w14:paraId="34E81ED8" w14:textId="77777777" w:rsidTr="00D670D2">
        <w:tc>
          <w:tcPr>
            <w:tcW w:w="2786" w:type="pct"/>
          </w:tcPr>
          <w:p w14:paraId="2D954EBF" w14:textId="77777777" w:rsidR="009453BD" w:rsidRPr="00EA3D8C" w:rsidRDefault="009453BD" w:rsidP="00D670D2">
            <w:pPr>
              <w:ind w:left="615" w:hanging="180"/>
              <w:rPr>
                <w:rFonts w:cstheme="minorHAnsi"/>
                <w:color w:val="002060"/>
                <w:sz w:val="18"/>
                <w:lang w:val="sr-Cyrl-RS"/>
              </w:rPr>
            </w:pPr>
            <w:r w:rsidRPr="00EA3D8C">
              <w:rPr>
                <w:rFonts w:cstheme="minorHAnsi"/>
                <w:color w:val="002060"/>
                <w:sz w:val="18"/>
                <w:lang w:val="sr-Cyrl-RS"/>
              </w:rPr>
              <w:t>САД</w:t>
            </w:r>
          </w:p>
        </w:tc>
        <w:tc>
          <w:tcPr>
            <w:tcW w:w="552" w:type="pct"/>
          </w:tcPr>
          <w:p w14:paraId="53FAB42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-4,3</w:t>
            </w:r>
          </w:p>
        </w:tc>
        <w:tc>
          <w:tcPr>
            <w:tcW w:w="553" w:type="pct"/>
          </w:tcPr>
          <w:p w14:paraId="53DF046E"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3,1</w:t>
            </w:r>
          </w:p>
        </w:tc>
        <w:tc>
          <w:tcPr>
            <w:tcW w:w="553" w:type="pct"/>
          </w:tcPr>
          <w:p w14:paraId="2DB9C0E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2,9</w:t>
            </w:r>
          </w:p>
        </w:tc>
        <w:tc>
          <w:tcPr>
            <w:tcW w:w="556" w:type="pct"/>
          </w:tcPr>
          <w:p w14:paraId="4A297E89"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2,3</w:t>
            </w:r>
          </w:p>
        </w:tc>
      </w:tr>
      <w:tr w:rsidR="009453BD" w:rsidRPr="00EA3D8C" w14:paraId="08843E4E" w14:textId="77777777" w:rsidTr="00D670D2">
        <w:tc>
          <w:tcPr>
            <w:tcW w:w="2786" w:type="pct"/>
          </w:tcPr>
          <w:p w14:paraId="47F40C7A" w14:textId="77777777" w:rsidR="009453BD" w:rsidRPr="00EA3D8C" w:rsidRDefault="009453BD" w:rsidP="00D670D2">
            <w:pPr>
              <w:ind w:left="615" w:hanging="180"/>
              <w:rPr>
                <w:rFonts w:cstheme="minorHAnsi"/>
                <w:color w:val="002060"/>
                <w:sz w:val="18"/>
                <w:lang w:val="sr-Cyrl-RS"/>
              </w:rPr>
            </w:pPr>
            <w:r w:rsidRPr="00EA3D8C">
              <w:rPr>
                <w:rFonts w:cstheme="minorHAnsi"/>
                <w:color w:val="002060"/>
                <w:sz w:val="18"/>
                <w:lang w:val="sr-Cyrl-RS"/>
              </w:rPr>
              <w:t>Еврозона</w:t>
            </w:r>
          </w:p>
        </w:tc>
        <w:tc>
          <w:tcPr>
            <w:tcW w:w="552" w:type="pct"/>
          </w:tcPr>
          <w:p w14:paraId="788F6D2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-8,3</w:t>
            </w:r>
          </w:p>
        </w:tc>
        <w:tc>
          <w:tcPr>
            <w:tcW w:w="553" w:type="pct"/>
          </w:tcPr>
          <w:p w14:paraId="315B39E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5,2</w:t>
            </w:r>
          </w:p>
        </w:tc>
        <w:tc>
          <w:tcPr>
            <w:tcW w:w="553" w:type="pct"/>
          </w:tcPr>
          <w:p w14:paraId="13C9FAF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3,1</w:t>
            </w:r>
          </w:p>
        </w:tc>
        <w:tc>
          <w:tcPr>
            <w:tcW w:w="556" w:type="pct"/>
          </w:tcPr>
          <w:p w14:paraId="46AD7C3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2,2</w:t>
            </w:r>
          </w:p>
        </w:tc>
      </w:tr>
      <w:tr w:rsidR="009453BD" w:rsidRPr="00EA3D8C" w14:paraId="116BEE0F" w14:textId="77777777" w:rsidTr="00D670D2">
        <w:tc>
          <w:tcPr>
            <w:tcW w:w="2786" w:type="pct"/>
          </w:tcPr>
          <w:p w14:paraId="5456D967" w14:textId="77777777" w:rsidR="009453BD" w:rsidRPr="00EA3D8C" w:rsidRDefault="009453BD" w:rsidP="00D670D2">
            <w:pPr>
              <w:ind w:left="345" w:hanging="90"/>
              <w:rPr>
                <w:rFonts w:cstheme="minorHAnsi"/>
                <w:color w:val="002060"/>
                <w:sz w:val="18"/>
                <w:lang w:val="sr-Cyrl-RS"/>
              </w:rPr>
            </w:pPr>
            <w:r w:rsidRPr="00EA3D8C">
              <w:rPr>
                <w:rFonts w:cstheme="minorHAnsi"/>
                <w:color w:val="002060"/>
                <w:sz w:val="18"/>
                <w:lang w:val="sr-Cyrl-RS"/>
              </w:rPr>
              <w:t>Земље у успону</w:t>
            </w:r>
          </w:p>
        </w:tc>
        <w:tc>
          <w:tcPr>
            <w:tcW w:w="552" w:type="pct"/>
          </w:tcPr>
          <w:p w14:paraId="22DF1E8F"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-3,3</w:t>
            </w:r>
          </w:p>
        </w:tc>
        <w:tc>
          <w:tcPr>
            <w:tcW w:w="553" w:type="pct"/>
          </w:tcPr>
          <w:p w14:paraId="64A41B21"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6,0</w:t>
            </w:r>
          </w:p>
        </w:tc>
        <w:tc>
          <w:tcPr>
            <w:tcW w:w="553" w:type="pct"/>
          </w:tcPr>
          <w:p w14:paraId="06B1B04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5,1</w:t>
            </w:r>
          </w:p>
        </w:tc>
        <w:tc>
          <w:tcPr>
            <w:tcW w:w="556" w:type="pct"/>
          </w:tcPr>
          <w:p w14:paraId="69C3A3B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4,9</w:t>
            </w:r>
          </w:p>
        </w:tc>
      </w:tr>
      <w:tr w:rsidR="009453BD" w:rsidRPr="00EA3D8C" w14:paraId="39290E23" w14:textId="77777777" w:rsidTr="00D670D2">
        <w:tc>
          <w:tcPr>
            <w:tcW w:w="2786" w:type="pct"/>
          </w:tcPr>
          <w:p w14:paraId="74987BBB" w14:textId="77777777" w:rsidR="009453BD" w:rsidRPr="00EA3D8C" w:rsidRDefault="009453BD" w:rsidP="00D670D2">
            <w:pPr>
              <w:ind w:left="615" w:hanging="180"/>
              <w:rPr>
                <w:rFonts w:cstheme="minorHAnsi"/>
                <w:color w:val="002060"/>
                <w:sz w:val="18"/>
                <w:lang w:val="sr-Cyrl-RS"/>
              </w:rPr>
            </w:pPr>
            <w:r w:rsidRPr="00EA3D8C">
              <w:rPr>
                <w:rFonts w:cstheme="minorHAnsi"/>
                <w:color w:val="002060"/>
                <w:sz w:val="18"/>
                <w:lang w:val="sr-Cyrl-RS"/>
              </w:rPr>
              <w:t>Кина</w:t>
            </w:r>
          </w:p>
        </w:tc>
        <w:tc>
          <w:tcPr>
            <w:tcW w:w="552" w:type="pct"/>
          </w:tcPr>
          <w:p w14:paraId="18CF9D50"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1,9</w:t>
            </w:r>
          </w:p>
        </w:tc>
        <w:tc>
          <w:tcPr>
            <w:tcW w:w="553" w:type="pct"/>
          </w:tcPr>
          <w:p w14:paraId="6FD2BA9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8,2</w:t>
            </w:r>
          </w:p>
        </w:tc>
        <w:tc>
          <w:tcPr>
            <w:tcW w:w="553" w:type="pct"/>
          </w:tcPr>
          <w:p w14:paraId="024CF300"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5,8</w:t>
            </w:r>
          </w:p>
        </w:tc>
        <w:tc>
          <w:tcPr>
            <w:tcW w:w="556" w:type="pct"/>
          </w:tcPr>
          <w:p w14:paraId="5D12E6B1"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5,7</w:t>
            </w:r>
          </w:p>
        </w:tc>
      </w:tr>
      <w:tr w:rsidR="009453BD" w:rsidRPr="00EA3D8C" w14:paraId="0C8E9846" w14:textId="77777777" w:rsidTr="00D670D2">
        <w:tc>
          <w:tcPr>
            <w:tcW w:w="2786" w:type="pct"/>
          </w:tcPr>
          <w:p w14:paraId="77102C87" w14:textId="77777777" w:rsidR="009453BD" w:rsidRPr="00EA3D8C" w:rsidRDefault="009453BD" w:rsidP="00D670D2">
            <w:pPr>
              <w:ind w:left="615" w:hanging="180"/>
              <w:rPr>
                <w:rFonts w:cstheme="minorHAnsi"/>
                <w:color w:val="002060"/>
                <w:sz w:val="18"/>
                <w:lang w:val="sr-Cyrl-RS"/>
              </w:rPr>
            </w:pPr>
            <w:r w:rsidRPr="00EA3D8C">
              <w:rPr>
                <w:rFonts w:cstheme="minorHAnsi"/>
                <w:color w:val="002060"/>
                <w:sz w:val="18"/>
                <w:lang w:val="sr-Cyrl-RS"/>
              </w:rPr>
              <w:t xml:space="preserve">Русија </w:t>
            </w:r>
          </w:p>
        </w:tc>
        <w:tc>
          <w:tcPr>
            <w:tcW w:w="552" w:type="pct"/>
          </w:tcPr>
          <w:p w14:paraId="428932C0"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-4,1</w:t>
            </w:r>
          </w:p>
        </w:tc>
        <w:tc>
          <w:tcPr>
            <w:tcW w:w="553" w:type="pct"/>
          </w:tcPr>
          <w:p w14:paraId="246CC565"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2,8</w:t>
            </w:r>
          </w:p>
        </w:tc>
        <w:tc>
          <w:tcPr>
            <w:tcW w:w="553" w:type="pct"/>
          </w:tcPr>
          <w:p w14:paraId="7BDD7EC4"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2,3</w:t>
            </w:r>
          </w:p>
        </w:tc>
        <w:tc>
          <w:tcPr>
            <w:tcW w:w="556" w:type="pct"/>
          </w:tcPr>
          <w:p w14:paraId="7B55258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2,1</w:t>
            </w:r>
          </w:p>
        </w:tc>
      </w:tr>
      <w:tr w:rsidR="009453BD" w:rsidRPr="00EA3D8C" w14:paraId="62581DBC" w14:textId="77777777" w:rsidTr="00D670D2">
        <w:tc>
          <w:tcPr>
            <w:tcW w:w="2786" w:type="pct"/>
          </w:tcPr>
          <w:p w14:paraId="55746742" w14:textId="77777777" w:rsidR="009453BD" w:rsidRPr="00EA3D8C" w:rsidRDefault="009453BD" w:rsidP="00D670D2">
            <w:pPr>
              <w:ind w:left="345" w:hanging="90"/>
              <w:rPr>
                <w:rFonts w:cstheme="minorHAnsi"/>
                <w:color w:val="002060"/>
                <w:sz w:val="18"/>
                <w:lang w:val="sr-Cyrl-RS"/>
              </w:rPr>
            </w:pPr>
            <w:r w:rsidRPr="00EA3D8C">
              <w:rPr>
                <w:rFonts w:cstheme="minorHAnsi"/>
                <w:color w:val="002060"/>
                <w:sz w:val="18"/>
                <w:lang w:val="sr-Cyrl-RS"/>
              </w:rPr>
              <w:t>Раст светске трговине, %</w:t>
            </w:r>
          </w:p>
        </w:tc>
        <w:tc>
          <w:tcPr>
            <w:tcW w:w="552" w:type="pct"/>
          </w:tcPr>
          <w:p w14:paraId="6DAA20CC"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-10,4</w:t>
            </w:r>
          </w:p>
        </w:tc>
        <w:tc>
          <w:tcPr>
            <w:tcW w:w="553" w:type="pct"/>
          </w:tcPr>
          <w:p w14:paraId="32B91970"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8,3</w:t>
            </w:r>
          </w:p>
        </w:tc>
        <w:tc>
          <w:tcPr>
            <w:tcW w:w="553" w:type="pct"/>
          </w:tcPr>
          <w:p w14:paraId="0211A3C0"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5,4</w:t>
            </w:r>
          </w:p>
        </w:tc>
        <w:tc>
          <w:tcPr>
            <w:tcW w:w="556" w:type="pct"/>
          </w:tcPr>
          <w:p w14:paraId="79C3A9DB"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4,3</w:t>
            </w:r>
          </w:p>
        </w:tc>
      </w:tr>
      <w:tr w:rsidR="009453BD" w:rsidRPr="00EA3D8C" w14:paraId="7B96D3CB" w14:textId="77777777" w:rsidTr="00D670D2">
        <w:tc>
          <w:tcPr>
            <w:tcW w:w="5000" w:type="pct"/>
            <w:gridSpan w:val="5"/>
            <w:shd w:val="clear" w:color="auto" w:fill="E7E6E6" w:themeFill="background2"/>
          </w:tcPr>
          <w:p w14:paraId="6979AAB5" w14:textId="77777777" w:rsidR="009453BD" w:rsidRPr="00EA3D8C" w:rsidRDefault="009453BD" w:rsidP="001E0313">
            <w:pPr>
              <w:rPr>
                <w:rFonts w:cstheme="minorHAnsi"/>
                <w:color w:val="002060"/>
                <w:sz w:val="18"/>
                <w:lang w:val="sr-Cyrl-RS"/>
              </w:rPr>
            </w:pPr>
            <w:r w:rsidRPr="00EA3D8C">
              <w:rPr>
                <w:rFonts w:cstheme="minorHAnsi"/>
                <w:color w:val="002060"/>
                <w:sz w:val="18"/>
                <w:lang w:val="sr-Cyrl-RS"/>
              </w:rPr>
              <w:t>Стопа незапослености, %</w:t>
            </w:r>
          </w:p>
        </w:tc>
      </w:tr>
      <w:tr w:rsidR="009453BD" w:rsidRPr="00EA3D8C" w14:paraId="1DBE2380" w14:textId="77777777" w:rsidTr="00D670D2">
        <w:tc>
          <w:tcPr>
            <w:tcW w:w="2786" w:type="pct"/>
          </w:tcPr>
          <w:p w14:paraId="6447FE1E" w14:textId="77777777" w:rsidR="009453BD" w:rsidRPr="00EA3D8C" w:rsidRDefault="009453BD" w:rsidP="00D670D2">
            <w:pPr>
              <w:ind w:left="440" w:hanging="180"/>
              <w:rPr>
                <w:rFonts w:cstheme="minorHAnsi"/>
                <w:color w:val="002060"/>
                <w:sz w:val="18"/>
                <w:lang w:val="sr-Cyrl-RS"/>
              </w:rPr>
            </w:pPr>
            <w:r w:rsidRPr="00EA3D8C">
              <w:rPr>
                <w:rFonts w:cstheme="minorHAnsi"/>
                <w:color w:val="002060"/>
                <w:sz w:val="18"/>
                <w:lang w:val="sr-Cyrl-RS"/>
              </w:rPr>
              <w:t>Еврозона</w:t>
            </w:r>
          </w:p>
        </w:tc>
        <w:tc>
          <w:tcPr>
            <w:tcW w:w="552" w:type="pct"/>
          </w:tcPr>
          <w:p w14:paraId="38ECA9FA"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8,9</w:t>
            </w:r>
          </w:p>
        </w:tc>
        <w:tc>
          <w:tcPr>
            <w:tcW w:w="553" w:type="pct"/>
          </w:tcPr>
          <w:p w14:paraId="6A41B6E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9,1</w:t>
            </w:r>
          </w:p>
        </w:tc>
        <w:tc>
          <w:tcPr>
            <w:tcW w:w="553" w:type="pct"/>
          </w:tcPr>
          <w:p w14:paraId="7613C3D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8,4</w:t>
            </w:r>
          </w:p>
        </w:tc>
        <w:tc>
          <w:tcPr>
            <w:tcW w:w="556" w:type="pct"/>
          </w:tcPr>
          <w:p w14:paraId="6F4DFBB4"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7,9</w:t>
            </w:r>
          </w:p>
        </w:tc>
      </w:tr>
      <w:tr w:rsidR="009453BD" w:rsidRPr="00EA3D8C" w14:paraId="623BB77E" w14:textId="77777777" w:rsidTr="00D670D2">
        <w:tc>
          <w:tcPr>
            <w:tcW w:w="2786" w:type="pct"/>
          </w:tcPr>
          <w:p w14:paraId="2264A9C3" w14:textId="77777777" w:rsidR="009453BD" w:rsidRPr="00EA3D8C" w:rsidRDefault="009453BD" w:rsidP="00D670D2">
            <w:pPr>
              <w:ind w:left="440" w:hanging="180"/>
              <w:rPr>
                <w:rFonts w:cstheme="minorHAnsi"/>
                <w:color w:val="002060"/>
                <w:sz w:val="18"/>
                <w:lang w:val="sr-Cyrl-RS"/>
              </w:rPr>
            </w:pPr>
            <w:r w:rsidRPr="00EA3D8C">
              <w:rPr>
                <w:rFonts w:cstheme="minorHAnsi"/>
                <w:color w:val="002060"/>
                <w:sz w:val="18"/>
                <w:lang w:val="sr-Cyrl-RS"/>
              </w:rPr>
              <w:t>САД</w:t>
            </w:r>
          </w:p>
        </w:tc>
        <w:tc>
          <w:tcPr>
            <w:tcW w:w="552" w:type="pct"/>
          </w:tcPr>
          <w:p w14:paraId="0AD16387"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8,9</w:t>
            </w:r>
          </w:p>
        </w:tc>
        <w:tc>
          <w:tcPr>
            <w:tcW w:w="553" w:type="pct"/>
          </w:tcPr>
          <w:p w14:paraId="1DE3E2A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7,3</w:t>
            </w:r>
          </w:p>
        </w:tc>
        <w:tc>
          <w:tcPr>
            <w:tcW w:w="553" w:type="pct"/>
          </w:tcPr>
          <w:p w14:paraId="4A7BB5E7"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5,7</w:t>
            </w:r>
          </w:p>
        </w:tc>
        <w:tc>
          <w:tcPr>
            <w:tcW w:w="556" w:type="pct"/>
          </w:tcPr>
          <w:p w14:paraId="06FE3B75"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5,1</w:t>
            </w:r>
          </w:p>
        </w:tc>
      </w:tr>
      <w:tr w:rsidR="009453BD" w:rsidRPr="00EA3D8C" w14:paraId="6C1D2EB0" w14:textId="77777777" w:rsidTr="00D670D2">
        <w:tc>
          <w:tcPr>
            <w:tcW w:w="5000" w:type="pct"/>
            <w:gridSpan w:val="5"/>
            <w:shd w:val="clear" w:color="auto" w:fill="E7E6E6" w:themeFill="background2"/>
          </w:tcPr>
          <w:p w14:paraId="27FB3B43" w14:textId="77777777" w:rsidR="009453BD" w:rsidRPr="00EA3D8C" w:rsidRDefault="009453BD" w:rsidP="001E0313">
            <w:pPr>
              <w:rPr>
                <w:rFonts w:cstheme="minorHAnsi"/>
                <w:color w:val="002060"/>
                <w:sz w:val="18"/>
                <w:lang w:val="sr-Cyrl-RS"/>
              </w:rPr>
            </w:pPr>
            <w:r w:rsidRPr="00EA3D8C">
              <w:rPr>
                <w:rFonts w:cstheme="minorHAnsi"/>
                <w:color w:val="002060"/>
                <w:sz w:val="18"/>
                <w:lang w:val="sr-Cyrl-RS"/>
              </w:rPr>
              <w:t>Потрошачке цене, просек периода, %</w:t>
            </w:r>
          </w:p>
        </w:tc>
      </w:tr>
      <w:tr w:rsidR="009453BD" w:rsidRPr="00EA3D8C" w14:paraId="4F52D3E3" w14:textId="77777777" w:rsidTr="00D670D2">
        <w:tc>
          <w:tcPr>
            <w:tcW w:w="2786" w:type="pct"/>
          </w:tcPr>
          <w:p w14:paraId="3694FC5E" w14:textId="77777777" w:rsidR="009453BD" w:rsidRPr="00EA3D8C" w:rsidRDefault="009453BD" w:rsidP="00D670D2">
            <w:pPr>
              <w:ind w:left="350" w:hanging="90"/>
              <w:rPr>
                <w:rFonts w:cstheme="minorHAnsi"/>
                <w:color w:val="002060"/>
                <w:sz w:val="18"/>
                <w:lang w:val="sr-Cyrl-RS"/>
              </w:rPr>
            </w:pPr>
            <w:r w:rsidRPr="00EA3D8C">
              <w:rPr>
                <w:rFonts w:cstheme="minorHAnsi"/>
                <w:color w:val="002060"/>
                <w:sz w:val="18"/>
                <w:lang w:val="sr-Cyrl-RS"/>
              </w:rPr>
              <w:t>Еврозона</w:t>
            </w:r>
          </w:p>
        </w:tc>
        <w:tc>
          <w:tcPr>
            <w:tcW w:w="552" w:type="pct"/>
          </w:tcPr>
          <w:p w14:paraId="0CA26151"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0,4</w:t>
            </w:r>
          </w:p>
        </w:tc>
        <w:tc>
          <w:tcPr>
            <w:tcW w:w="553" w:type="pct"/>
          </w:tcPr>
          <w:p w14:paraId="4C7C189F"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0,9</w:t>
            </w:r>
          </w:p>
        </w:tc>
        <w:tc>
          <w:tcPr>
            <w:tcW w:w="553" w:type="pct"/>
          </w:tcPr>
          <w:p w14:paraId="4FC96E71"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1,2</w:t>
            </w:r>
          </w:p>
        </w:tc>
        <w:tc>
          <w:tcPr>
            <w:tcW w:w="556" w:type="pct"/>
          </w:tcPr>
          <w:p w14:paraId="7D9EC75A"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1,4</w:t>
            </w:r>
          </w:p>
        </w:tc>
      </w:tr>
      <w:tr w:rsidR="009453BD" w:rsidRPr="00EA3D8C" w14:paraId="052FC954" w14:textId="77777777" w:rsidTr="00D670D2">
        <w:tc>
          <w:tcPr>
            <w:tcW w:w="2786" w:type="pct"/>
          </w:tcPr>
          <w:p w14:paraId="37977F9C" w14:textId="77777777" w:rsidR="009453BD" w:rsidRPr="00EA3D8C" w:rsidRDefault="009453BD" w:rsidP="00D670D2">
            <w:pPr>
              <w:ind w:left="350" w:hanging="90"/>
              <w:rPr>
                <w:rFonts w:cstheme="minorHAnsi"/>
                <w:color w:val="002060"/>
                <w:sz w:val="18"/>
                <w:lang w:val="sr-Cyrl-RS"/>
              </w:rPr>
            </w:pPr>
            <w:r w:rsidRPr="00EA3D8C">
              <w:rPr>
                <w:rFonts w:cstheme="minorHAnsi"/>
                <w:color w:val="002060"/>
                <w:sz w:val="18"/>
                <w:lang w:val="sr-Cyrl-RS"/>
              </w:rPr>
              <w:t>Развијене економије</w:t>
            </w:r>
          </w:p>
        </w:tc>
        <w:tc>
          <w:tcPr>
            <w:tcW w:w="552" w:type="pct"/>
          </w:tcPr>
          <w:p w14:paraId="4A075CD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0,8</w:t>
            </w:r>
          </w:p>
        </w:tc>
        <w:tc>
          <w:tcPr>
            <w:tcW w:w="553" w:type="pct"/>
          </w:tcPr>
          <w:p w14:paraId="17815D6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1,6</w:t>
            </w:r>
          </w:p>
        </w:tc>
        <w:tc>
          <w:tcPr>
            <w:tcW w:w="553" w:type="pct"/>
          </w:tcPr>
          <w:p w14:paraId="58E9F6B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1,6</w:t>
            </w:r>
          </w:p>
        </w:tc>
        <w:tc>
          <w:tcPr>
            <w:tcW w:w="556" w:type="pct"/>
          </w:tcPr>
          <w:p w14:paraId="22AA9556"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1,7</w:t>
            </w:r>
          </w:p>
        </w:tc>
      </w:tr>
      <w:tr w:rsidR="009453BD" w:rsidRPr="00EA3D8C" w14:paraId="0165DD84" w14:textId="77777777" w:rsidTr="00D670D2">
        <w:tc>
          <w:tcPr>
            <w:tcW w:w="2786" w:type="pct"/>
          </w:tcPr>
          <w:p w14:paraId="154B6120" w14:textId="77777777" w:rsidR="009453BD" w:rsidRPr="00EA3D8C" w:rsidRDefault="009453BD" w:rsidP="00D670D2">
            <w:pPr>
              <w:ind w:left="350" w:hanging="90"/>
              <w:rPr>
                <w:rFonts w:cstheme="minorHAnsi"/>
                <w:color w:val="002060"/>
                <w:sz w:val="18"/>
                <w:lang w:val="sr-Cyrl-RS"/>
              </w:rPr>
            </w:pPr>
            <w:r w:rsidRPr="00EA3D8C">
              <w:rPr>
                <w:rFonts w:cstheme="minorHAnsi"/>
                <w:color w:val="002060"/>
                <w:sz w:val="18"/>
                <w:lang w:val="sr-Cyrl-RS"/>
              </w:rPr>
              <w:t>Земље у успону</w:t>
            </w:r>
          </w:p>
        </w:tc>
        <w:tc>
          <w:tcPr>
            <w:tcW w:w="552" w:type="pct"/>
          </w:tcPr>
          <w:p w14:paraId="07D9D8A7"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5,0</w:t>
            </w:r>
          </w:p>
        </w:tc>
        <w:tc>
          <w:tcPr>
            <w:tcW w:w="553" w:type="pct"/>
          </w:tcPr>
          <w:p w14:paraId="4B5931D8"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4,7</w:t>
            </w:r>
          </w:p>
        </w:tc>
        <w:tc>
          <w:tcPr>
            <w:tcW w:w="553" w:type="pct"/>
          </w:tcPr>
          <w:p w14:paraId="37DA07A2"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4,3</w:t>
            </w:r>
          </w:p>
        </w:tc>
        <w:tc>
          <w:tcPr>
            <w:tcW w:w="556" w:type="pct"/>
          </w:tcPr>
          <w:p w14:paraId="4263955D"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4,2</w:t>
            </w:r>
          </w:p>
        </w:tc>
      </w:tr>
      <w:tr w:rsidR="009453BD" w:rsidRPr="00EA3D8C" w14:paraId="348259A5" w14:textId="77777777" w:rsidTr="00D670D2">
        <w:tc>
          <w:tcPr>
            <w:tcW w:w="2786" w:type="pct"/>
          </w:tcPr>
          <w:p w14:paraId="3BEFC46E" w14:textId="77777777" w:rsidR="009453BD" w:rsidRPr="00EA3D8C" w:rsidRDefault="009453BD" w:rsidP="00D670D2">
            <w:pPr>
              <w:rPr>
                <w:rFonts w:cstheme="minorHAnsi"/>
                <w:color w:val="002060"/>
                <w:sz w:val="18"/>
                <w:lang w:val="sr-Cyrl-RS"/>
              </w:rPr>
            </w:pPr>
          </w:p>
        </w:tc>
        <w:tc>
          <w:tcPr>
            <w:tcW w:w="552" w:type="pct"/>
          </w:tcPr>
          <w:p w14:paraId="784F81A1" w14:textId="77777777" w:rsidR="009453BD" w:rsidRPr="00EA3D8C" w:rsidRDefault="009453BD" w:rsidP="00D670D2">
            <w:pPr>
              <w:rPr>
                <w:rFonts w:cstheme="minorHAnsi"/>
                <w:color w:val="002060"/>
                <w:sz w:val="18"/>
                <w:lang w:val="sr-Cyrl-RS"/>
              </w:rPr>
            </w:pPr>
          </w:p>
        </w:tc>
        <w:tc>
          <w:tcPr>
            <w:tcW w:w="553" w:type="pct"/>
          </w:tcPr>
          <w:p w14:paraId="1D2D08B5" w14:textId="77777777" w:rsidR="009453BD" w:rsidRPr="00EA3D8C" w:rsidRDefault="009453BD" w:rsidP="00D670D2">
            <w:pPr>
              <w:rPr>
                <w:rFonts w:cstheme="minorHAnsi"/>
                <w:color w:val="002060"/>
                <w:sz w:val="18"/>
                <w:lang w:val="sr-Cyrl-RS"/>
              </w:rPr>
            </w:pPr>
          </w:p>
        </w:tc>
        <w:tc>
          <w:tcPr>
            <w:tcW w:w="553" w:type="pct"/>
          </w:tcPr>
          <w:p w14:paraId="63B3CE1C" w14:textId="77777777" w:rsidR="009453BD" w:rsidRPr="00EA3D8C" w:rsidRDefault="009453BD" w:rsidP="00D670D2">
            <w:pPr>
              <w:rPr>
                <w:rFonts w:cstheme="minorHAnsi"/>
                <w:color w:val="002060"/>
                <w:sz w:val="18"/>
                <w:lang w:val="sr-Cyrl-RS"/>
              </w:rPr>
            </w:pPr>
          </w:p>
        </w:tc>
        <w:tc>
          <w:tcPr>
            <w:tcW w:w="556" w:type="pct"/>
          </w:tcPr>
          <w:p w14:paraId="03F6F785" w14:textId="77777777" w:rsidR="009453BD" w:rsidRPr="00EA3D8C" w:rsidRDefault="009453BD" w:rsidP="00D670D2">
            <w:pPr>
              <w:rPr>
                <w:rFonts w:cstheme="minorHAnsi"/>
                <w:color w:val="002060"/>
                <w:sz w:val="18"/>
                <w:lang w:val="sr-Cyrl-RS"/>
              </w:rPr>
            </w:pPr>
          </w:p>
        </w:tc>
      </w:tr>
      <w:tr w:rsidR="009453BD" w:rsidRPr="00EA3D8C" w14:paraId="00028196" w14:textId="77777777" w:rsidTr="00D670D2">
        <w:tc>
          <w:tcPr>
            <w:tcW w:w="2786" w:type="pct"/>
          </w:tcPr>
          <w:p w14:paraId="07B5EEDA" w14:textId="77777777" w:rsidR="009453BD" w:rsidRPr="00EA3D8C" w:rsidRDefault="009453BD" w:rsidP="00D670D2">
            <w:pPr>
              <w:rPr>
                <w:rFonts w:cstheme="minorHAnsi"/>
                <w:color w:val="002060"/>
                <w:sz w:val="18"/>
                <w:lang w:val="sr-Cyrl-RS"/>
              </w:rPr>
            </w:pPr>
            <w:r w:rsidRPr="00EA3D8C">
              <w:rPr>
                <w:rFonts w:cstheme="minorHAnsi"/>
                <w:color w:val="002060"/>
                <w:sz w:val="18"/>
                <w:lang w:val="sr-Cyrl-RS"/>
              </w:rPr>
              <w:t>Девизни курс, евро/долар, крај периода</w:t>
            </w:r>
          </w:p>
        </w:tc>
        <w:tc>
          <w:tcPr>
            <w:tcW w:w="552" w:type="pct"/>
          </w:tcPr>
          <w:p w14:paraId="6998E7DA"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1,1</w:t>
            </w:r>
          </w:p>
        </w:tc>
        <w:tc>
          <w:tcPr>
            <w:tcW w:w="553" w:type="pct"/>
          </w:tcPr>
          <w:p w14:paraId="2A037B0D"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1,1</w:t>
            </w:r>
          </w:p>
        </w:tc>
        <w:tc>
          <w:tcPr>
            <w:tcW w:w="553" w:type="pct"/>
          </w:tcPr>
          <w:p w14:paraId="629467EE"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w:t>
            </w:r>
          </w:p>
        </w:tc>
        <w:tc>
          <w:tcPr>
            <w:tcW w:w="556" w:type="pct"/>
          </w:tcPr>
          <w:p w14:paraId="7263F6DD"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w:t>
            </w:r>
          </w:p>
        </w:tc>
      </w:tr>
      <w:tr w:rsidR="009453BD" w:rsidRPr="00EA3D8C" w14:paraId="598353A6" w14:textId="77777777" w:rsidTr="00D670D2">
        <w:tc>
          <w:tcPr>
            <w:tcW w:w="2786" w:type="pct"/>
          </w:tcPr>
          <w:p w14:paraId="7B32105C" w14:textId="77777777" w:rsidR="009453BD" w:rsidRPr="00EA3D8C" w:rsidRDefault="009453BD" w:rsidP="00D670D2">
            <w:pPr>
              <w:rPr>
                <w:rFonts w:cstheme="minorHAnsi"/>
                <w:color w:val="002060"/>
                <w:sz w:val="18"/>
                <w:lang w:val="sr-Cyrl-RS"/>
              </w:rPr>
            </w:pPr>
            <w:r w:rsidRPr="00EA3D8C">
              <w:rPr>
                <w:rFonts w:cstheme="minorHAnsi"/>
                <w:color w:val="002060"/>
                <w:sz w:val="18"/>
                <w:lang w:val="sr-Cyrl-RS"/>
              </w:rPr>
              <w:t>Цене житарица, у доларима, годишње промене</w:t>
            </w:r>
            <w:r w:rsidRPr="00EA3D8C">
              <w:rPr>
                <w:rFonts w:cstheme="minorHAnsi"/>
                <w:color w:val="002060"/>
                <w:sz w:val="18"/>
                <w:vertAlign w:val="superscript"/>
                <w:lang w:val="sr-Cyrl-RS"/>
              </w:rPr>
              <w:t>2</w:t>
            </w:r>
          </w:p>
        </w:tc>
        <w:tc>
          <w:tcPr>
            <w:tcW w:w="552" w:type="pct"/>
          </w:tcPr>
          <w:p w14:paraId="4AAA9475"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1,0</w:t>
            </w:r>
          </w:p>
        </w:tc>
        <w:tc>
          <w:tcPr>
            <w:tcW w:w="553" w:type="pct"/>
          </w:tcPr>
          <w:p w14:paraId="0D0E17A9"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1,8</w:t>
            </w:r>
          </w:p>
        </w:tc>
        <w:tc>
          <w:tcPr>
            <w:tcW w:w="553" w:type="pct"/>
          </w:tcPr>
          <w:p w14:paraId="70AE68FC"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3,4</w:t>
            </w:r>
          </w:p>
        </w:tc>
        <w:tc>
          <w:tcPr>
            <w:tcW w:w="556" w:type="pct"/>
          </w:tcPr>
          <w:p w14:paraId="6DFE8D65"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0,0</w:t>
            </w:r>
          </w:p>
        </w:tc>
      </w:tr>
      <w:tr w:rsidR="009453BD" w:rsidRPr="00EA3D8C" w14:paraId="43C5C386" w14:textId="77777777" w:rsidTr="00D670D2">
        <w:tc>
          <w:tcPr>
            <w:tcW w:w="2786" w:type="pct"/>
          </w:tcPr>
          <w:p w14:paraId="1E2D002B" w14:textId="77777777" w:rsidR="009453BD" w:rsidRPr="00EA3D8C" w:rsidRDefault="009453BD" w:rsidP="00D670D2">
            <w:pPr>
              <w:rPr>
                <w:rFonts w:cstheme="minorHAnsi"/>
                <w:color w:val="002060"/>
                <w:sz w:val="18"/>
                <w:lang w:val="sr-Cyrl-RS"/>
              </w:rPr>
            </w:pPr>
            <w:r w:rsidRPr="00EA3D8C">
              <w:rPr>
                <w:rFonts w:cstheme="minorHAnsi"/>
                <w:color w:val="002060"/>
                <w:sz w:val="18"/>
                <w:lang w:val="sr-Cyrl-RS"/>
              </w:rPr>
              <w:t>Цене метала, у доларима, годишње промене</w:t>
            </w:r>
            <w:r w:rsidRPr="00EA3D8C">
              <w:rPr>
                <w:rFonts w:cstheme="minorHAnsi"/>
                <w:color w:val="002060"/>
                <w:sz w:val="18"/>
                <w:vertAlign w:val="superscript"/>
                <w:lang w:val="sr-Cyrl-RS"/>
              </w:rPr>
              <w:t>3</w:t>
            </w:r>
          </w:p>
        </w:tc>
        <w:tc>
          <w:tcPr>
            <w:tcW w:w="552" w:type="pct"/>
          </w:tcPr>
          <w:p w14:paraId="3F6C249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0,8</w:t>
            </w:r>
          </w:p>
        </w:tc>
        <w:tc>
          <w:tcPr>
            <w:tcW w:w="553" w:type="pct"/>
          </w:tcPr>
          <w:p w14:paraId="32C3E2A9"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3,0</w:t>
            </w:r>
          </w:p>
        </w:tc>
        <w:tc>
          <w:tcPr>
            <w:tcW w:w="553" w:type="pct"/>
          </w:tcPr>
          <w:p w14:paraId="1FDB3D45"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0,6</w:t>
            </w:r>
          </w:p>
        </w:tc>
        <w:tc>
          <w:tcPr>
            <w:tcW w:w="556" w:type="pct"/>
          </w:tcPr>
          <w:p w14:paraId="38CA4BAB"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0,7</w:t>
            </w:r>
          </w:p>
        </w:tc>
      </w:tr>
      <w:tr w:rsidR="009453BD" w:rsidRPr="00EA3D8C" w14:paraId="5AA5CE0C" w14:textId="77777777" w:rsidTr="00A86002">
        <w:tc>
          <w:tcPr>
            <w:tcW w:w="2786" w:type="pct"/>
          </w:tcPr>
          <w:p w14:paraId="14EAD4CF" w14:textId="77777777" w:rsidR="009453BD" w:rsidRPr="00EA3D8C" w:rsidRDefault="009453BD" w:rsidP="00D670D2">
            <w:pPr>
              <w:rPr>
                <w:rFonts w:cstheme="minorHAnsi"/>
                <w:color w:val="002060"/>
                <w:sz w:val="18"/>
                <w:lang w:val="sr-Cyrl-RS"/>
              </w:rPr>
            </w:pPr>
            <w:r w:rsidRPr="00EA3D8C">
              <w:rPr>
                <w:rFonts w:cstheme="minorHAnsi"/>
                <w:color w:val="002060"/>
                <w:sz w:val="18"/>
                <w:lang w:val="sr-Cyrl-RS"/>
              </w:rPr>
              <w:t>Цена руде гвожђа, у доларима</w:t>
            </w:r>
            <w:r w:rsidRPr="00EA3D8C">
              <w:rPr>
                <w:rFonts w:cstheme="minorHAnsi"/>
                <w:color w:val="002060"/>
                <w:sz w:val="18"/>
                <w:vertAlign w:val="superscript"/>
                <w:lang w:val="sr-Cyrl-RS"/>
              </w:rPr>
              <w:t>4</w:t>
            </w:r>
          </w:p>
        </w:tc>
        <w:tc>
          <w:tcPr>
            <w:tcW w:w="552" w:type="pct"/>
          </w:tcPr>
          <w:p w14:paraId="0FF2B69C"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104,2</w:t>
            </w:r>
          </w:p>
        </w:tc>
        <w:tc>
          <w:tcPr>
            <w:tcW w:w="553" w:type="pct"/>
          </w:tcPr>
          <w:p w14:paraId="6D5434F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99,1</w:t>
            </w:r>
          </w:p>
        </w:tc>
        <w:tc>
          <w:tcPr>
            <w:tcW w:w="553" w:type="pct"/>
          </w:tcPr>
          <w:p w14:paraId="5281E890"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99,1</w:t>
            </w:r>
          </w:p>
        </w:tc>
        <w:tc>
          <w:tcPr>
            <w:tcW w:w="556" w:type="pct"/>
          </w:tcPr>
          <w:p w14:paraId="5CC3B28E"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99,1</w:t>
            </w:r>
          </w:p>
        </w:tc>
      </w:tr>
      <w:tr w:rsidR="009453BD" w:rsidRPr="00EA3D8C" w14:paraId="1AC3BB4C" w14:textId="77777777" w:rsidTr="00D670D2">
        <w:trPr>
          <w:trHeight w:val="369"/>
        </w:trPr>
        <w:tc>
          <w:tcPr>
            <w:tcW w:w="2786" w:type="pct"/>
            <w:tcBorders>
              <w:bottom w:val="single" w:sz="4" w:space="0" w:color="002060"/>
            </w:tcBorders>
          </w:tcPr>
          <w:p w14:paraId="25DE81BF" w14:textId="77777777" w:rsidR="009453BD" w:rsidRPr="00EA3D8C" w:rsidRDefault="009453BD" w:rsidP="00D670D2">
            <w:pPr>
              <w:rPr>
                <w:rFonts w:cstheme="minorHAnsi"/>
                <w:color w:val="002060"/>
                <w:sz w:val="18"/>
                <w:lang w:val="sr-Cyrl-RS"/>
              </w:rPr>
            </w:pPr>
            <w:r w:rsidRPr="00EA3D8C">
              <w:rPr>
                <w:rFonts w:cstheme="minorHAnsi"/>
                <w:color w:val="002060"/>
                <w:sz w:val="18"/>
                <w:lang w:val="sr-Cyrl-RS"/>
              </w:rPr>
              <w:t>Цене нафте, у доларима, годишње промене, %</w:t>
            </w:r>
          </w:p>
        </w:tc>
        <w:tc>
          <w:tcPr>
            <w:tcW w:w="552" w:type="pct"/>
            <w:tcBorders>
              <w:bottom w:val="single" w:sz="4" w:space="0" w:color="002060"/>
            </w:tcBorders>
          </w:tcPr>
          <w:p w14:paraId="642438A1"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-32,1</w:t>
            </w:r>
          </w:p>
        </w:tc>
        <w:tc>
          <w:tcPr>
            <w:tcW w:w="553" w:type="pct"/>
            <w:tcBorders>
              <w:bottom w:val="single" w:sz="4" w:space="0" w:color="002060"/>
            </w:tcBorders>
          </w:tcPr>
          <w:p w14:paraId="5C9D53D3"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12,0</w:t>
            </w:r>
          </w:p>
        </w:tc>
        <w:tc>
          <w:tcPr>
            <w:tcW w:w="553" w:type="pct"/>
            <w:tcBorders>
              <w:bottom w:val="single" w:sz="4" w:space="0" w:color="002060"/>
            </w:tcBorders>
          </w:tcPr>
          <w:p w14:paraId="1AA5AF9B" w14:textId="77777777" w:rsidR="009453BD" w:rsidRPr="00EA3D8C" w:rsidRDefault="009453BD" w:rsidP="009453BD">
            <w:pPr>
              <w:jc w:val="center"/>
              <w:rPr>
                <w:rFonts w:cstheme="minorHAnsi"/>
                <w:color w:val="002060"/>
                <w:sz w:val="18"/>
                <w:lang w:val="sr-Cyrl-RS"/>
              </w:rPr>
            </w:pPr>
            <w:r w:rsidRPr="00EA3D8C">
              <w:rPr>
                <w:rFonts w:cstheme="minorHAnsi"/>
                <w:color w:val="002060"/>
                <w:sz w:val="18"/>
                <w:lang w:val="sr-Cyrl-RS"/>
              </w:rPr>
              <w:t>3,0</w:t>
            </w:r>
          </w:p>
        </w:tc>
        <w:tc>
          <w:tcPr>
            <w:tcW w:w="556" w:type="pct"/>
            <w:tcBorders>
              <w:bottom w:val="single" w:sz="4" w:space="0" w:color="002060"/>
            </w:tcBorders>
          </w:tcPr>
          <w:p w14:paraId="614E7AA3" w14:textId="77777777" w:rsidR="009453BD" w:rsidRPr="00EA3D8C" w:rsidRDefault="009453BD" w:rsidP="00D670D2">
            <w:pPr>
              <w:jc w:val="center"/>
              <w:rPr>
                <w:rFonts w:cstheme="minorHAnsi"/>
                <w:color w:val="002060"/>
                <w:sz w:val="18"/>
                <w:lang w:val="sr-Cyrl-RS"/>
              </w:rPr>
            </w:pPr>
            <w:r w:rsidRPr="00EA3D8C">
              <w:rPr>
                <w:rFonts w:cstheme="minorHAnsi"/>
                <w:color w:val="002060"/>
                <w:sz w:val="18"/>
                <w:lang w:val="sr-Cyrl-RS"/>
              </w:rPr>
              <w:t>2,3</w:t>
            </w:r>
          </w:p>
        </w:tc>
      </w:tr>
      <w:tr w:rsidR="00B32115" w:rsidRPr="00EA3D8C" w14:paraId="19996147" w14:textId="77777777" w:rsidTr="00B32115">
        <w:tc>
          <w:tcPr>
            <w:tcW w:w="5000" w:type="pct"/>
            <w:gridSpan w:val="5"/>
            <w:tcBorders>
              <w:top w:val="single" w:sz="4" w:space="0" w:color="002060"/>
            </w:tcBorders>
          </w:tcPr>
          <w:p w14:paraId="1CE85F36" w14:textId="6F90952A" w:rsidR="00B32115" w:rsidRPr="00EA3D8C" w:rsidRDefault="00B32115" w:rsidP="001E0313">
            <w:pPr>
              <w:rPr>
                <w:rFonts w:cstheme="minorHAnsi"/>
                <w:color w:val="002060"/>
                <w:sz w:val="16"/>
                <w:lang w:val="sr-Cyrl-RS"/>
              </w:rPr>
            </w:pPr>
            <w:r w:rsidRPr="00EA3D8C">
              <w:rPr>
                <w:rFonts w:cstheme="minorHAnsi"/>
                <w:bCs/>
                <w:sz w:val="16"/>
                <w:szCs w:val="72"/>
                <w:lang w:val="sr-Cyrl-RS"/>
              </w:rPr>
              <w:t xml:space="preserve">Извор: </w:t>
            </w:r>
            <w:r>
              <w:rPr>
                <w:rFonts w:cstheme="minorHAnsi"/>
                <w:bCs/>
                <w:sz w:val="16"/>
                <w:szCs w:val="72"/>
                <w:lang w:val="sr-Cyrl-RS"/>
              </w:rPr>
              <w:t xml:space="preserve">Међународни монетарни фонд (у даљем тексту: </w:t>
            </w:r>
            <w:r w:rsidRPr="00EA3D8C">
              <w:rPr>
                <w:rFonts w:cstheme="minorHAnsi"/>
                <w:bCs/>
                <w:sz w:val="16"/>
                <w:szCs w:val="72"/>
                <w:lang w:val="sr-Cyrl-RS"/>
              </w:rPr>
              <w:t>ММФ</w:t>
            </w:r>
            <w:r>
              <w:rPr>
                <w:rFonts w:cstheme="minorHAnsi"/>
                <w:bCs/>
                <w:sz w:val="16"/>
                <w:szCs w:val="72"/>
                <w:lang w:val="sr-Cyrl-RS"/>
              </w:rPr>
              <w:t>)</w:t>
            </w:r>
            <w:r w:rsidRPr="00EA3D8C">
              <w:rPr>
                <w:rFonts w:cstheme="minorHAnsi"/>
                <w:bCs/>
                <w:sz w:val="16"/>
                <w:szCs w:val="72"/>
                <w:lang w:val="sr-Cyrl-RS"/>
              </w:rPr>
              <w:t xml:space="preserve">, </w:t>
            </w:r>
            <w:r w:rsidRPr="00EA3D8C">
              <w:rPr>
                <w:rFonts w:cstheme="minorHAnsi"/>
                <w:bCs/>
                <w:i/>
                <w:sz w:val="16"/>
                <w:szCs w:val="72"/>
                <w:lang w:val="sr-Cyrl-RS"/>
              </w:rPr>
              <w:t>World Economic Outlook</w:t>
            </w:r>
            <w:r w:rsidRPr="00EA3D8C">
              <w:rPr>
                <w:rFonts w:cstheme="minorHAnsi"/>
                <w:bCs/>
                <w:sz w:val="16"/>
                <w:szCs w:val="72"/>
                <w:lang w:val="sr-Cyrl-RS"/>
              </w:rPr>
              <w:t>, октобар 2020.</w:t>
            </w:r>
          </w:p>
        </w:tc>
      </w:tr>
      <w:tr w:rsidR="009453BD" w:rsidRPr="00EA3D8C" w14:paraId="3835C946" w14:textId="77777777" w:rsidTr="00D670D2">
        <w:trPr>
          <w:trHeight w:val="630"/>
        </w:trPr>
        <w:tc>
          <w:tcPr>
            <w:tcW w:w="5000" w:type="pct"/>
            <w:gridSpan w:val="5"/>
          </w:tcPr>
          <w:p w14:paraId="2C359F49" w14:textId="77777777" w:rsidR="009453BD" w:rsidRPr="00EA3D8C" w:rsidRDefault="009453BD" w:rsidP="001E0313">
            <w:pPr>
              <w:rPr>
                <w:rFonts w:cstheme="minorHAnsi"/>
                <w:bCs/>
                <w:sz w:val="16"/>
                <w:szCs w:val="72"/>
                <w:lang w:val="sr-Cyrl-RS"/>
              </w:rPr>
            </w:pPr>
            <w:r w:rsidRPr="00EA3D8C">
              <w:rPr>
                <w:rFonts w:cstheme="minorHAnsi"/>
                <w:bCs/>
                <w:sz w:val="16"/>
                <w:szCs w:val="72"/>
                <w:vertAlign w:val="superscript"/>
                <w:lang w:val="sr-Cyrl-RS"/>
              </w:rPr>
              <w:t>1</w:t>
            </w:r>
            <w:r w:rsidRPr="00EA3D8C">
              <w:rPr>
                <w:rFonts w:cstheme="minorHAnsi"/>
                <w:bCs/>
                <w:sz w:val="16"/>
                <w:szCs w:val="72"/>
                <w:lang w:val="sr-Cyrl-RS"/>
              </w:rPr>
              <w:t xml:space="preserve"> Светски БДП израчунат је према паритету куповне моћи.</w:t>
            </w:r>
          </w:p>
          <w:p w14:paraId="202C79BB" w14:textId="77777777" w:rsidR="009453BD" w:rsidRPr="00EA3D8C" w:rsidRDefault="009453BD" w:rsidP="001E0313">
            <w:pPr>
              <w:rPr>
                <w:rFonts w:cstheme="minorHAnsi"/>
                <w:bCs/>
                <w:sz w:val="16"/>
                <w:szCs w:val="72"/>
                <w:lang w:val="sr-Cyrl-RS"/>
              </w:rPr>
            </w:pPr>
            <w:r w:rsidRPr="00EA3D8C">
              <w:rPr>
                <w:rFonts w:cstheme="minorHAnsi"/>
                <w:bCs/>
                <w:sz w:val="16"/>
                <w:szCs w:val="72"/>
                <w:vertAlign w:val="superscript"/>
                <w:lang w:val="sr-Cyrl-RS"/>
              </w:rPr>
              <w:t>2</w:t>
            </w:r>
            <w:r w:rsidRPr="00EA3D8C">
              <w:rPr>
                <w:rFonts w:cstheme="minorHAnsi"/>
                <w:bCs/>
                <w:sz w:val="16"/>
                <w:szCs w:val="72"/>
                <w:lang w:val="sr-Cyrl-RS"/>
              </w:rPr>
              <w:t xml:space="preserve"> Цена житарица добијена као пондерисани просек цена пшенице, кукуруза, соје, пиринча и јечма.</w:t>
            </w:r>
          </w:p>
          <w:p w14:paraId="6546B5FA" w14:textId="77777777" w:rsidR="009453BD" w:rsidRPr="00EA3D8C" w:rsidRDefault="009453BD" w:rsidP="001E0313">
            <w:pPr>
              <w:rPr>
                <w:rFonts w:cstheme="minorHAnsi"/>
                <w:bCs/>
                <w:sz w:val="16"/>
                <w:szCs w:val="72"/>
                <w:lang w:val="sr-Cyrl-RS"/>
              </w:rPr>
            </w:pPr>
            <w:r w:rsidRPr="00EA3D8C">
              <w:rPr>
                <w:rFonts w:cstheme="minorHAnsi"/>
                <w:bCs/>
                <w:sz w:val="16"/>
                <w:szCs w:val="72"/>
                <w:vertAlign w:val="superscript"/>
                <w:lang w:val="sr-Cyrl-RS"/>
              </w:rPr>
              <w:t>3</w:t>
            </w:r>
            <w:r w:rsidRPr="00EA3D8C">
              <w:rPr>
                <w:rFonts w:cstheme="minorHAnsi"/>
                <w:bCs/>
                <w:sz w:val="16"/>
                <w:szCs w:val="72"/>
                <w:lang w:val="sr-Cyrl-RS"/>
              </w:rPr>
              <w:t xml:space="preserve"> Цена метала добијена као пондерисани просек цена бакра, алуминијума, руде гвожђа, калаја, никла, цинка, олова и уранијума.</w:t>
            </w:r>
          </w:p>
          <w:p w14:paraId="64C016C1" w14:textId="77777777" w:rsidR="009453BD" w:rsidRPr="00EA3D8C" w:rsidRDefault="009453BD" w:rsidP="001E0313">
            <w:pPr>
              <w:rPr>
                <w:rFonts w:cstheme="minorHAnsi"/>
                <w:bCs/>
                <w:sz w:val="16"/>
                <w:szCs w:val="72"/>
                <w:lang w:val="sr-Cyrl-RS"/>
              </w:rPr>
            </w:pPr>
            <w:r w:rsidRPr="00EA3D8C">
              <w:rPr>
                <w:rFonts w:cstheme="minorHAnsi"/>
                <w:bCs/>
                <w:sz w:val="16"/>
                <w:szCs w:val="72"/>
                <w:vertAlign w:val="superscript"/>
                <w:lang w:val="sr-Cyrl-RS"/>
              </w:rPr>
              <w:t>4</w:t>
            </w:r>
            <w:r w:rsidRPr="00EA3D8C">
              <w:rPr>
                <w:rFonts w:cstheme="minorHAnsi"/>
                <w:bCs/>
                <w:sz w:val="16"/>
                <w:szCs w:val="72"/>
                <w:lang w:val="sr-Cyrl-RS"/>
              </w:rPr>
              <w:t xml:space="preserve"> Цена руде гвожђа (садржај гвожђа од 62%) за увоз у Кини, лука Тиан Јан, у доларима по метричкој тони.</w:t>
            </w:r>
          </w:p>
        </w:tc>
      </w:tr>
    </w:tbl>
    <w:p w14:paraId="02775022" w14:textId="433BC995" w:rsidR="009453BD" w:rsidRPr="00EA3D8C" w:rsidRDefault="009453BD" w:rsidP="00C10FA7">
      <w:pPr>
        <w:spacing w:after="60"/>
        <w:rPr>
          <w:rFonts w:cstheme="minorHAnsi"/>
          <w:lang w:val="sr-Cyrl-RS"/>
        </w:rPr>
      </w:pPr>
    </w:p>
    <w:p w14:paraId="67B12A33" w14:textId="77777777" w:rsidR="00C10FA7" w:rsidRPr="00EA3D8C" w:rsidRDefault="00C10FA7" w:rsidP="00C10FA7">
      <w:pPr>
        <w:spacing w:after="60"/>
        <w:rPr>
          <w:rFonts w:cstheme="minorHAnsi"/>
          <w:lang w:val="sr-Cyrl-RS"/>
        </w:rPr>
        <w:sectPr w:rsidR="00C10FA7" w:rsidRPr="00EA3D8C" w:rsidSect="00AE40EB">
          <w:type w:val="continuous"/>
          <w:pgSz w:w="12240" w:h="15840" w:code="1"/>
          <w:pgMar w:top="1440" w:right="1440" w:bottom="1440" w:left="1440" w:header="720" w:footer="720" w:gutter="0"/>
          <w:cols w:space="720"/>
          <w:docGrid w:linePitch="360"/>
        </w:sectPr>
      </w:pPr>
    </w:p>
    <w:p w14:paraId="3649E9B1" w14:textId="76C7A23E" w:rsidR="009453BD" w:rsidRPr="00EA3D8C" w:rsidRDefault="009453BD" w:rsidP="009453BD">
      <w:pPr>
        <w:rPr>
          <w:rFonts w:cstheme="minorHAnsi"/>
          <w:bCs/>
          <w:szCs w:val="72"/>
          <w:lang w:val="sr-Cyrl-RS"/>
        </w:rPr>
      </w:pPr>
      <w:r w:rsidRPr="00EA3D8C">
        <w:rPr>
          <w:rFonts w:cstheme="minorHAnsi"/>
          <w:bCs/>
          <w:szCs w:val="72"/>
          <w:lang w:val="sr-Cyrl-RS"/>
        </w:rPr>
        <w:lastRenderedPageBreak/>
        <w:t xml:space="preserve">Према октобарским проценама </w:t>
      </w:r>
      <w:r w:rsidR="00F26D56">
        <w:rPr>
          <w:rFonts w:cstheme="minorHAnsi"/>
          <w:bCs/>
          <w:szCs w:val="72"/>
          <w:lang w:val="sr-Cyrl-RS"/>
        </w:rPr>
        <w:t>ММФ</w:t>
      </w:r>
      <w:r w:rsidRPr="00EA3D8C">
        <w:rPr>
          <w:rFonts w:cstheme="minorHAnsi"/>
          <w:bCs/>
          <w:szCs w:val="72"/>
          <w:lang w:val="sr-Cyrl-RS"/>
        </w:rPr>
        <w:t xml:space="preserve"> ревизија глобалног економског раста навише за 2020. годину, у односу на јунску пројекцију, одраз је остварених резултата у другом кварталу, као и кретања високофреквентних индикатора из јула и августа, који су бољи него што се раније очекивало. Ово побољшање углавном је резултат боље економске ситуације у развијеним земљама, у којима се пад БДП процењује на 5,8% уместо претходно очекиваних 8,0%. Привреда САД ће у 2020. години забележити контракцију од 4,3%, што је готово дупло мањи пад него што се очекивало у јуну, а изгледи су побољшани и за еврозону упркос оштром паду који се и даље очекује. С друге стране, изгледи за земље у успону су остали готово непромењени. У складу са тим, коригована је и процена глобалног привредног раста у 2020. години на -4,4%, што представља ревизију навише за 0,8 п.п. у односу на јунских -5,2%, али је то и </w:t>
      </w:r>
      <w:r w:rsidRPr="00EA3D8C">
        <w:rPr>
          <w:rFonts w:cstheme="minorHAnsi"/>
          <w:bCs/>
          <w:szCs w:val="72"/>
          <w:lang w:val="sr-Cyrl-RS"/>
        </w:rPr>
        <w:lastRenderedPageBreak/>
        <w:t>даље лошији резултат од оног који је био очекиван у априлу. Побољшање изгледа за 2020. годину неминовно се услед базног ефекта одразило и на ревизију наниже пројекције глобалног економског раста у 2021. години за 0,2 п.п. на 5,2%. У средњем року очекује се успоравање раста, што је у складу и са предвиђеним тенденцијама у већини земаља.</w:t>
      </w:r>
    </w:p>
    <w:p w14:paraId="4C96EDC4" w14:textId="5DC24652" w:rsidR="009453BD" w:rsidRPr="00EA3D8C" w:rsidRDefault="009453BD" w:rsidP="0058502B">
      <w:pPr>
        <w:rPr>
          <w:rFonts w:cstheme="minorHAnsi"/>
          <w:bCs/>
          <w:szCs w:val="72"/>
          <w:lang w:val="sr-Cyrl-RS"/>
        </w:rPr>
      </w:pPr>
      <w:r w:rsidRPr="00EA3D8C">
        <w:rPr>
          <w:rFonts w:cstheme="minorHAnsi"/>
          <w:bCs/>
          <w:szCs w:val="72"/>
          <w:lang w:val="sr-Cyrl-RS"/>
        </w:rPr>
        <w:t>Изгледи за азијске земље у развоју (без Кине) су и даље неизвесни, будући да се велике економије попут Индије и Индонезије и даље боре да обуздају ширење вируса. Позитивне изгледе за Кину потврђују процене да ће кумулативни раст БДП у периоду 2020</w:t>
      </w:r>
      <w:r w:rsidR="006F0487" w:rsidRPr="00EA3D8C">
        <w:rPr>
          <w:rFonts w:cstheme="minorHAnsi"/>
          <w:bCs/>
          <w:szCs w:val="72"/>
          <w:lang w:val="sr-Cyrl-RS"/>
        </w:rPr>
        <w:t>–</w:t>
      </w:r>
      <w:r w:rsidRPr="00EA3D8C">
        <w:rPr>
          <w:rFonts w:cstheme="minorHAnsi"/>
          <w:bCs/>
          <w:szCs w:val="72"/>
          <w:lang w:val="sr-Cyrl-RS"/>
        </w:rPr>
        <w:t>2021</w:t>
      </w:r>
      <w:r w:rsidR="006F0487" w:rsidRPr="00EA3D8C">
        <w:rPr>
          <w:rFonts w:cstheme="minorHAnsi"/>
          <w:bCs/>
          <w:szCs w:val="72"/>
          <w:lang w:val="sr-Cyrl-RS"/>
        </w:rPr>
        <w:t>.</w:t>
      </w:r>
      <w:r w:rsidRPr="00EA3D8C">
        <w:rPr>
          <w:rFonts w:cstheme="minorHAnsi"/>
          <w:bCs/>
          <w:szCs w:val="72"/>
          <w:lang w:val="sr-Cyrl-RS"/>
        </w:rPr>
        <w:t xml:space="preserve"> износити око 10%, будући да се попуштање здравствених мера и нормализација економских токова одвијала брже од очекиване, те је привредни раст забележен већ у другом кварталу. Иако су предвиђања за Русију коригована навише, ова земља се и даље суочава </w:t>
      </w:r>
      <w:r w:rsidRPr="00EA3D8C">
        <w:rPr>
          <w:rFonts w:cstheme="minorHAnsi"/>
          <w:bCs/>
          <w:szCs w:val="72"/>
          <w:lang w:val="sr-Cyrl-RS"/>
        </w:rPr>
        <w:lastRenderedPageBreak/>
        <w:t>са дубоким падом од 4,1% у 2020, а очекивања за наредни средњорочни период су слична као и код других земаља, те се очекује благо слабљење економске активности. Многе земље Латинске Америке тешко су погођене пандемијом и суочавају се са озбиљним смањењем економске активности. Велики пад очекује се и у земљама Блиског Истока и Централне Азије као и земљама извозницама нафте у подсахарској Африци које су додатно погођенe ниским ценама нафте и грађанским сукобима.</w:t>
      </w:r>
    </w:p>
    <w:p w14:paraId="552C471A" w14:textId="77777777" w:rsidR="009453BD" w:rsidRPr="00EA3D8C" w:rsidRDefault="009453BD" w:rsidP="00CA57D4">
      <w:pPr>
        <w:pStyle w:val="Caption"/>
        <w:keepNext/>
        <w:rPr>
          <w:rFonts w:cstheme="minorHAnsi"/>
          <w:b w:val="0"/>
          <w:i/>
          <w:iCs w:val="0"/>
          <w:szCs w:val="22"/>
          <w:lang w:val="sr-Cyrl-RS"/>
        </w:rPr>
      </w:pPr>
      <w:r w:rsidRPr="00EA3D8C">
        <w:rPr>
          <w:rFonts w:cstheme="minorHAnsi"/>
          <w:iCs w:val="0"/>
          <w:szCs w:val="22"/>
          <w:lang w:val="sr-Cyrl-RS"/>
        </w:rPr>
        <w:t>Глобални економски раст, п.п.</w:t>
      </w:r>
    </w:p>
    <w:p w14:paraId="1EB0948D" w14:textId="07024B44" w:rsidR="009453BD" w:rsidRPr="00EA3D8C" w:rsidRDefault="00495319" w:rsidP="00C130D2">
      <w:pPr>
        <w:rPr>
          <w:lang w:val="sr-Cyrl-RS"/>
        </w:rPr>
      </w:pPr>
      <w:r>
        <w:rPr>
          <w:noProof/>
        </w:rPr>
        <w:drawing>
          <wp:inline distT="0" distB="0" distL="0" distR="0" wp14:anchorId="3AD24773" wp14:editId="7E0E1F94">
            <wp:extent cx="2743200" cy="2393950"/>
            <wp:effectExtent l="0" t="0" r="0" b="6350"/>
            <wp:docPr id="81" name="Chart 81">
              <a:extLst xmlns:a="http://schemas.openxmlformats.org/drawingml/2006/main">
                <a:ext uri="{FF2B5EF4-FFF2-40B4-BE49-F238E27FC236}">
                  <a16:creationId xmlns:a16="http://schemas.microsoft.com/office/drawing/2014/main" id="{00000000-0008-0000-06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9453BD" w:rsidRPr="00EA3D8C">
        <w:rPr>
          <w:rFonts w:cstheme="minorHAnsi"/>
          <w:bCs/>
          <w:sz w:val="16"/>
          <w:szCs w:val="72"/>
          <w:lang w:val="sr-Cyrl-RS"/>
        </w:rPr>
        <w:t xml:space="preserve">Извор: ММФ, </w:t>
      </w:r>
      <w:r w:rsidR="009453BD" w:rsidRPr="00EA3D8C">
        <w:rPr>
          <w:rFonts w:cstheme="minorHAnsi"/>
          <w:bCs/>
          <w:i/>
          <w:sz w:val="16"/>
          <w:szCs w:val="72"/>
          <w:lang w:val="sr-Cyrl-RS"/>
        </w:rPr>
        <w:t>World Economic Outlook</w:t>
      </w:r>
      <w:r w:rsidR="009453BD" w:rsidRPr="00EA3D8C">
        <w:rPr>
          <w:rFonts w:cstheme="minorHAnsi"/>
          <w:bCs/>
          <w:sz w:val="16"/>
          <w:szCs w:val="72"/>
          <w:lang w:val="sr-Cyrl-RS"/>
        </w:rPr>
        <w:t>, октобар 2020.</w:t>
      </w:r>
    </w:p>
    <w:p w14:paraId="773FB278" w14:textId="77777777" w:rsidR="009453BD" w:rsidRPr="00495319" w:rsidRDefault="009453BD" w:rsidP="000D6FF5">
      <w:pPr>
        <w:pStyle w:val="Caption"/>
        <w:jc w:val="both"/>
        <w:rPr>
          <w:rFonts w:cstheme="minorHAnsi"/>
          <w:b w:val="0"/>
          <w:bCs/>
          <w:iCs w:val="0"/>
          <w:color w:val="44546A" w:themeColor="text2"/>
          <w:szCs w:val="72"/>
          <w:lang w:val="sr-Latn-RS"/>
        </w:rPr>
      </w:pPr>
      <w:r w:rsidRPr="00EA3D8C">
        <w:rPr>
          <w:rFonts w:cstheme="minorHAnsi"/>
          <w:b w:val="0"/>
          <w:bCs/>
          <w:iCs w:val="0"/>
          <w:color w:val="44546A" w:themeColor="text2"/>
          <w:szCs w:val="72"/>
          <w:lang w:val="sr-Cyrl-RS"/>
        </w:rPr>
        <w:t>Изгледи за инфлацију углавном одражавају наведене изгледе за раст и очекивано кретање цена примарних производа. У развијеним економијама инфлација ће благо расти са 0,8% у 2020. години, на 1,6% у 2021. години, након чега се предвиђа стагнација у средњорочном посматраном периоду. Земље у успону ће, након раста цена од 5% у 2020. години, забележити благо опадање инфлације у наредним годинама. Према октобарским пројекцијама ММФ, очекује се да ће цена нафте у 2020. години износити 41,7 $/барел, то је смањење од 32,1% у односу на 2019. годину, након чега се очекује постепени раст.</w:t>
      </w:r>
    </w:p>
    <w:p w14:paraId="61AEB036" w14:textId="77777777" w:rsidR="009453BD" w:rsidRPr="00EA3D8C" w:rsidRDefault="009453BD" w:rsidP="00C130D2">
      <w:pPr>
        <w:pStyle w:val="Caption"/>
        <w:keepNext/>
        <w:rPr>
          <w:rFonts w:cstheme="minorHAnsi"/>
          <w:b w:val="0"/>
          <w:i/>
          <w:iCs w:val="0"/>
          <w:szCs w:val="22"/>
          <w:lang w:val="sr-Cyrl-RS"/>
        </w:rPr>
      </w:pPr>
      <w:r w:rsidRPr="00EA3D8C">
        <w:rPr>
          <w:rFonts w:cstheme="minorHAnsi"/>
          <w:iCs w:val="0"/>
          <w:szCs w:val="22"/>
          <w:lang w:val="sr-Cyrl-RS"/>
        </w:rPr>
        <w:lastRenderedPageBreak/>
        <w:t>Пројекција кретања цене нафте, УСД по барелу</w:t>
      </w:r>
    </w:p>
    <w:p w14:paraId="05AAE2F5" w14:textId="77777777" w:rsidR="009453BD" w:rsidRPr="00EA3D8C" w:rsidRDefault="009453BD" w:rsidP="00C130D2">
      <w:pPr>
        <w:rPr>
          <w:rFonts w:cstheme="minorHAnsi"/>
          <w:szCs w:val="72"/>
          <w:lang w:val="sr-Cyrl-RS"/>
        </w:rPr>
      </w:pPr>
      <w:r w:rsidRPr="00EA3D8C">
        <w:rPr>
          <w:rFonts w:cstheme="minorHAnsi"/>
          <w:bCs/>
          <w:noProof/>
          <w:sz w:val="16"/>
          <w:szCs w:val="72"/>
        </w:rPr>
        <w:drawing>
          <wp:inline distT="0" distB="0" distL="0" distR="0" wp14:anchorId="4CD86F20" wp14:editId="262C07C0">
            <wp:extent cx="2836800" cy="1699380"/>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36800" cy="1699380"/>
                    </a:xfrm>
                    <a:prstGeom prst="rect">
                      <a:avLst/>
                    </a:prstGeom>
                    <a:noFill/>
                  </pic:spPr>
                </pic:pic>
              </a:graphicData>
            </a:graphic>
          </wp:inline>
        </w:drawing>
      </w:r>
      <w:r w:rsidRPr="00EA3D8C">
        <w:rPr>
          <w:rFonts w:cstheme="minorHAnsi"/>
          <w:bCs/>
          <w:sz w:val="16"/>
          <w:szCs w:val="72"/>
          <w:lang w:val="sr-Cyrl-RS"/>
        </w:rPr>
        <w:t xml:space="preserve">Извор: ММФ, </w:t>
      </w:r>
      <w:r w:rsidRPr="00EA3D8C">
        <w:rPr>
          <w:rFonts w:cstheme="minorHAnsi"/>
          <w:bCs/>
          <w:i/>
          <w:sz w:val="16"/>
          <w:szCs w:val="72"/>
          <w:lang w:val="sr-Cyrl-RS"/>
        </w:rPr>
        <w:t>World Economic Outlook</w:t>
      </w:r>
      <w:r w:rsidRPr="00EA3D8C">
        <w:rPr>
          <w:rFonts w:cstheme="minorHAnsi"/>
          <w:bCs/>
          <w:sz w:val="16"/>
          <w:szCs w:val="72"/>
          <w:lang w:val="sr-Cyrl-RS"/>
        </w:rPr>
        <w:t>, октобар 2020.</w:t>
      </w:r>
    </w:p>
    <w:p w14:paraId="07D19498" w14:textId="77777777" w:rsidR="009453BD" w:rsidRPr="00EA3D8C" w:rsidRDefault="009453BD" w:rsidP="00D670D2">
      <w:pPr>
        <w:rPr>
          <w:rFonts w:cstheme="minorHAnsi"/>
          <w:bCs/>
          <w:szCs w:val="72"/>
          <w:lang w:val="sr-Cyrl-RS"/>
        </w:rPr>
      </w:pPr>
      <w:r w:rsidRPr="00EA3D8C">
        <w:rPr>
          <w:rFonts w:cstheme="minorHAnsi"/>
          <w:bCs/>
          <w:szCs w:val="72"/>
          <w:lang w:val="sr-Cyrl-RS"/>
        </w:rPr>
        <w:t xml:space="preserve">Пројектује се да ће цене основних метала бити веће за 0,8% у 2020. години и њихов раст ће бити настављен и у наредном периоду. Након раста цене гвожђа од око 11% у 2020. години пројектује се њихов пад током наредне године и стагнација у средњем року. За цене житарица у 2020. години очекује се благ раст, који ће се постепено убрзавати у средњорочном периоду. Стопа на тромесечне депозите деноминоване у </w:t>
      </w:r>
      <w:r w:rsidRPr="00EA3D8C">
        <w:rPr>
          <w:rFonts w:cstheme="minorHAnsi"/>
          <w:bCs/>
          <w:spacing w:val="2"/>
          <w:szCs w:val="72"/>
          <w:lang w:val="sr-Cyrl-RS"/>
        </w:rPr>
        <w:t>еврима смањиће се са -0,4% у 2020.</w:t>
      </w:r>
      <w:r w:rsidRPr="00EA3D8C">
        <w:rPr>
          <w:rFonts w:cstheme="minorHAnsi"/>
          <w:bCs/>
          <w:szCs w:val="72"/>
          <w:lang w:val="sr-Cyrl-RS"/>
        </w:rPr>
        <w:t xml:space="preserve"> </w:t>
      </w:r>
      <w:r w:rsidRPr="00EA3D8C">
        <w:rPr>
          <w:rFonts w:cstheme="minorHAnsi"/>
          <w:bCs/>
          <w:spacing w:val="-2"/>
          <w:szCs w:val="72"/>
          <w:lang w:val="sr-Cyrl-RS"/>
        </w:rPr>
        <w:t xml:space="preserve">години на </w:t>
      </w:r>
      <w:r w:rsidRPr="00EA3D8C">
        <w:rPr>
          <w:rFonts w:cstheme="minorHAnsi"/>
          <w:bCs/>
          <w:spacing w:val="-2"/>
          <w:szCs w:val="72"/>
          <w:lang w:val="sr-Cyrl-RS"/>
        </w:rPr>
        <w:br w:type="textWrapping" w:clear="all"/>
        <w:t>-0,5% у 2021. години, док ће стопа на шестомесечне депозите деноминоване у доларима износити 0,7% и 0,4%, респективно.</w:t>
      </w:r>
    </w:p>
    <w:p w14:paraId="0E3E388E" w14:textId="77777777" w:rsidR="009453BD" w:rsidRPr="00EA3D8C" w:rsidRDefault="009453BD" w:rsidP="008E368C">
      <w:pPr>
        <w:pStyle w:val="Caption"/>
        <w:keepNext/>
        <w:rPr>
          <w:rFonts w:cstheme="minorHAnsi"/>
          <w:b w:val="0"/>
          <w:i/>
          <w:iCs w:val="0"/>
          <w:szCs w:val="22"/>
          <w:lang w:val="sr-Cyrl-RS"/>
        </w:rPr>
      </w:pPr>
      <w:r w:rsidRPr="00EA3D8C">
        <w:rPr>
          <w:rFonts w:cstheme="minorHAnsi"/>
          <w:iCs w:val="0"/>
          <w:szCs w:val="22"/>
          <w:lang w:val="sr-Cyrl-RS"/>
        </w:rPr>
        <w:t>Кретање цена, индекси, 2014=100</w:t>
      </w:r>
    </w:p>
    <w:p w14:paraId="040C4EF2" w14:textId="77777777" w:rsidR="009453BD" w:rsidRPr="00EA3D8C" w:rsidRDefault="009453BD" w:rsidP="00C130D2">
      <w:pPr>
        <w:rPr>
          <w:lang w:val="sr-Cyrl-RS"/>
        </w:rPr>
      </w:pPr>
      <w:r w:rsidRPr="00EA3D8C">
        <w:rPr>
          <w:noProof/>
        </w:rPr>
        <w:drawing>
          <wp:inline distT="0" distB="0" distL="0" distR="0" wp14:anchorId="02322486" wp14:editId="58AFDF00">
            <wp:extent cx="2743200" cy="1997710"/>
            <wp:effectExtent l="0" t="0" r="0" b="2540"/>
            <wp:docPr id="2" name="Chart 2">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EA3D8C">
        <w:rPr>
          <w:rFonts w:cstheme="minorHAnsi"/>
          <w:bCs/>
          <w:sz w:val="16"/>
          <w:szCs w:val="72"/>
          <w:lang w:val="sr-Cyrl-RS"/>
        </w:rPr>
        <w:t xml:space="preserve">Извор: ММФ, </w:t>
      </w:r>
      <w:r w:rsidRPr="00EA3D8C">
        <w:rPr>
          <w:rFonts w:cstheme="minorHAnsi"/>
          <w:bCs/>
          <w:i/>
          <w:sz w:val="16"/>
          <w:szCs w:val="72"/>
          <w:lang w:val="sr-Cyrl-RS"/>
        </w:rPr>
        <w:t>World Economic Outlook</w:t>
      </w:r>
      <w:r w:rsidRPr="00EA3D8C">
        <w:rPr>
          <w:rFonts w:cstheme="minorHAnsi"/>
          <w:bCs/>
          <w:sz w:val="16"/>
          <w:szCs w:val="72"/>
          <w:lang w:val="sr-Cyrl-RS"/>
        </w:rPr>
        <w:t>, октобар 2020.</w:t>
      </w:r>
    </w:p>
    <w:p w14:paraId="673D4598" w14:textId="77777777" w:rsidR="009453BD" w:rsidRPr="00EA3D8C" w:rsidRDefault="009453BD" w:rsidP="00C130D2">
      <w:pPr>
        <w:pStyle w:val="Caption"/>
        <w:keepNext/>
        <w:rPr>
          <w:rFonts w:cstheme="minorHAnsi"/>
          <w:b w:val="0"/>
          <w:i/>
          <w:iCs w:val="0"/>
          <w:szCs w:val="22"/>
          <w:lang w:val="sr-Cyrl-RS"/>
        </w:rPr>
      </w:pPr>
      <w:r w:rsidRPr="00EA3D8C">
        <w:rPr>
          <w:rFonts w:cstheme="minorHAnsi"/>
          <w:iCs w:val="0"/>
          <w:szCs w:val="22"/>
          <w:lang w:val="sr-Cyrl-RS"/>
        </w:rPr>
        <w:lastRenderedPageBreak/>
        <w:t>Пројекција кретања цена, индекси, 2019=100</w:t>
      </w:r>
    </w:p>
    <w:p w14:paraId="34A3D473" w14:textId="77777777" w:rsidR="009453BD" w:rsidRPr="00EA3D8C" w:rsidRDefault="009453BD" w:rsidP="00C130D2">
      <w:pPr>
        <w:rPr>
          <w:lang w:val="sr-Cyrl-RS"/>
        </w:rPr>
      </w:pPr>
      <w:r w:rsidRPr="00EA3D8C">
        <w:rPr>
          <w:noProof/>
        </w:rPr>
        <w:drawing>
          <wp:inline distT="0" distB="0" distL="0" distR="0" wp14:anchorId="6E0AF74A" wp14:editId="35BDBF21">
            <wp:extent cx="2743200" cy="1799590"/>
            <wp:effectExtent l="0" t="0" r="0" b="0"/>
            <wp:docPr id="3" name="Chart 3">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C1A1FC4" w14:textId="77777777" w:rsidR="009453BD" w:rsidRPr="00EA3D8C" w:rsidRDefault="009453BD" w:rsidP="00EF4564">
      <w:pPr>
        <w:rPr>
          <w:rFonts w:cstheme="minorHAnsi"/>
          <w:szCs w:val="72"/>
          <w:lang w:val="sr-Cyrl-RS"/>
        </w:rPr>
      </w:pPr>
      <w:r w:rsidRPr="00EA3D8C">
        <w:rPr>
          <w:rFonts w:cstheme="minorHAnsi"/>
          <w:bCs/>
          <w:sz w:val="16"/>
          <w:szCs w:val="72"/>
          <w:lang w:val="sr-Cyrl-RS"/>
        </w:rPr>
        <w:t xml:space="preserve">Извор: ММФ, </w:t>
      </w:r>
      <w:r w:rsidRPr="00EA3D8C">
        <w:rPr>
          <w:rFonts w:cstheme="minorHAnsi"/>
          <w:bCs/>
          <w:i/>
          <w:sz w:val="16"/>
          <w:szCs w:val="72"/>
          <w:lang w:val="sr-Cyrl-RS"/>
        </w:rPr>
        <w:t>World Economic Outlook</w:t>
      </w:r>
      <w:r w:rsidRPr="00EA3D8C">
        <w:rPr>
          <w:rFonts w:cstheme="minorHAnsi"/>
          <w:bCs/>
          <w:sz w:val="16"/>
          <w:szCs w:val="72"/>
          <w:lang w:val="sr-Cyrl-RS"/>
        </w:rPr>
        <w:t>, октобар 2020.</w:t>
      </w:r>
    </w:p>
    <w:p w14:paraId="61414977" w14:textId="6856A917" w:rsidR="009453BD" w:rsidRPr="00EA3D8C" w:rsidRDefault="00F826DA" w:rsidP="00D670D2">
      <w:pPr>
        <w:rPr>
          <w:rFonts w:cstheme="minorHAnsi"/>
          <w:bCs/>
          <w:szCs w:val="72"/>
          <w:lang w:val="sr-Cyrl-RS"/>
        </w:rPr>
      </w:pPr>
      <w:r w:rsidRPr="00F826DA">
        <w:rPr>
          <w:rFonts w:cstheme="minorHAnsi"/>
          <w:bCs/>
          <w:szCs w:val="72"/>
          <w:lang w:val="sr-Cyrl-RS"/>
        </w:rPr>
        <w:t>Систем федералних резерви САД (у даљем тексту:</w:t>
      </w:r>
      <w:r>
        <w:rPr>
          <w:rFonts w:cstheme="minorHAnsi"/>
          <w:bCs/>
          <w:szCs w:val="72"/>
          <w:lang w:val="sr-Cyrl-RS"/>
        </w:rPr>
        <w:t xml:space="preserve"> </w:t>
      </w:r>
      <w:r w:rsidR="009453BD" w:rsidRPr="00F826DA">
        <w:rPr>
          <w:rFonts w:cstheme="minorHAnsi"/>
          <w:bCs/>
          <w:szCs w:val="72"/>
          <w:lang w:val="sr-Cyrl-RS"/>
        </w:rPr>
        <w:t>ФЕД</w:t>
      </w:r>
      <w:r>
        <w:rPr>
          <w:rFonts w:cstheme="minorHAnsi"/>
          <w:bCs/>
          <w:szCs w:val="72"/>
          <w:lang w:val="sr-Cyrl-RS"/>
        </w:rPr>
        <w:t>)</w:t>
      </w:r>
      <w:r w:rsidR="009453BD" w:rsidRPr="00EA3D8C">
        <w:rPr>
          <w:rFonts w:cstheme="minorHAnsi"/>
          <w:bCs/>
          <w:szCs w:val="72"/>
          <w:lang w:val="sr-Cyrl-RS"/>
        </w:rPr>
        <w:t xml:space="preserve"> је у два наврата током марта 2020. године</w:t>
      </w:r>
      <w:r w:rsidR="009453BD" w:rsidRPr="00EA3D8C">
        <w:rPr>
          <w:rFonts w:cstheme="minorHAnsi"/>
          <w:bCs/>
          <w:color w:val="FF0000"/>
          <w:szCs w:val="72"/>
          <w:lang w:val="sr-Cyrl-RS"/>
        </w:rPr>
        <w:t xml:space="preserve"> </w:t>
      </w:r>
      <w:r w:rsidR="009453BD" w:rsidRPr="00EA3D8C">
        <w:rPr>
          <w:rFonts w:cstheme="minorHAnsi"/>
          <w:bCs/>
          <w:szCs w:val="72"/>
          <w:lang w:val="sr-Cyrl-RS"/>
        </w:rPr>
        <w:t>смањивао каматну стопу, која је сад на нивоу од приближно 0% и у складу је са најавом промене стратегије монетарне политике ка циљану просечне инфлације од 2%, што сигнализира да ће</w:t>
      </w:r>
      <w:r w:rsidR="008C6D92">
        <w:rPr>
          <w:rFonts w:cstheme="minorHAnsi"/>
          <w:bCs/>
          <w:szCs w:val="72"/>
          <w:lang w:val="sr-Cyrl-RS"/>
        </w:rPr>
        <w:t xml:space="preserve"> се основна каматна стопа задржа</w:t>
      </w:r>
      <w:r w:rsidR="008C6D92" w:rsidRPr="00EA3D8C">
        <w:rPr>
          <w:rFonts w:cstheme="minorHAnsi"/>
          <w:bCs/>
          <w:szCs w:val="72"/>
          <w:lang w:val="sr-Cyrl-RS"/>
        </w:rPr>
        <w:t>ти</w:t>
      </w:r>
      <w:r w:rsidR="009453BD" w:rsidRPr="00EA3D8C">
        <w:rPr>
          <w:rFonts w:cstheme="minorHAnsi"/>
          <w:bCs/>
          <w:szCs w:val="72"/>
          <w:lang w:val="sr-Cyrl-RS"/>
        </w:rPr>
        <w:t xml:space="preserve"> на ниском нивоу. Фокус остаје на постизању пуне запослености и на подршци економском расту.</w:t>
      </w:r>
    </w:p>
    <w:p w14:paraId="20AC3AF7" w14:textId="77777777" w:rsidR="009453BD" w:rsidRPr="00EA3D8C" w:rsidRDefault="009453BD" w:rsidP="00D670D2">
      <w:pPr>
        <w:pStyle w:val="Caption"/>
        <w:keepNext/>
        <w:rPr>
          <w:rFonts w:cstheme="minorHAnsi"/>
          <w:iCs w:val="0"/>
          <w:szCs w:val="22"/>
          <w:lang w:val="sr-Cyrl-RS"/>
        </w:rPr>
      </w:pPr>
      <w:r w:rsidRPr="00EA3D8C">
        <w:rPr>
          <w:rFonts w:cstheme="minorHAnsi"/>
          <w:iCs w:val="0"/>
          <w:szCs w:val="22"/>
          <w:lang w:val="sr-Cyrl-RS"/>
        </w:rPr>
        <w:t>Очекивана кретања референтне каматне стопе ФЕД, %</w:t>
      </w:r>
    </w:p>
    <w:p w14:paraId="0A5EDC51" w14:textId="77777777" w:rsidR="009453BD" w:rsidRPr="00EA3D8C" w:rsidRDefault="009453BD" w:rsidP="00D670D2">
      <w:pPr>
        <w:rPr>
          <w:lang w:val="sr-Cyrl-RS"/>
        </w:rPr>
      </w:pPr>
      <w:r w:rsidRPr="00EA3D8C">
        <w:rPr>
          <w:noProof/>
        </w:rPr>
        <w:drawing>
          <wp:inline distT="0" distB="0" distL="0" distR="0" wp14:anchorId="4B5A2888" wp14:editId="5CD1D78D">
            <wp:extent cx="2743200" cy="1871980"/>
            <wp:effectExtent l="0" t="0" r="0" b="0"/>
            <wp:docPr id="7" name="Chart 7">
              <a:extLst xmlns:a="http://schemas.openxmlformats.org/drawingml/2006/main">
                <a:ext uri="{FF2B5EF4-FFF2-40B4-BE49-F238E27FC236}">
                  <a16:creationId xmlns:a16="http://schemas.microsoft.com/office/drawing/2014/main" id="{00000000-0008-0000-04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436C6F2" w14:textId="77777777" w:rsidR="009453BD" w:rsidRPr="00EA3D8C" w:rsidRDefault="009453BD" w:rsidP="00EF4564">
      <w:pPr>
        <w:rPr>
          <w:rFonts w:cstheme="minorHAnsi"/>
          <w:szCs w:val="72"/>
          <w:lang w:val="sr-Cyrl-RS"/>
        </w:rPr>
      </w:pPr>
      <w:r w:rsidRPr="00EA3D8C">
        <w:rPr>
          <w:rFonts w:cstheme="minorHAnsi"/>
          <w:bCs/>
          <w:sz w:val="16"/>
          <w:szCs w:val="72"/>
          <w:lang w:val="sr-Cyrl-RS"/>
        </w:rPr>
        <w:t xml:space="preserve">Извор: ММФ, </w:t>
      </w:r>
      <w:r w:rsidRPr="00EA3D8C">
        <w:rPr>
          <w:rFonts w:cstheme="minorHAnsi"/>
          <w:bCs/>
          <w:i/>
          <w:sz w:val="16"/>
          <w:szCs w:val="72"/>
          <w:lang w:val="sr-Cyrl-RS"/>
        </w:rPr>
        <w:t>World Economic Outlook</w:t>
      </w:r>
      <w:r w:rsidRPr="00EA3D8C">
        <w:rPr>
          <w:rFonts w:cstheme="minorHAnsi"/>
          <w:bCs/>
          <w:sz w:val="16"/>
          <w:szCs w:val="72"/>
          <w:lang w:val="sr-Cyrl-RS"/>
        </w:rPr>
        <w:t>, октобар 2020.</w:t>
      </w:r>
    </w:p>
    <w:p w14:paraId="747B229A" w14:textId="20CD1E4F" w:rsidR="009453BD" w:rsidRPr="00EA3D8C" w:rsidRDefault="009453BD" w:rsidP="00D670D2">
      <w:pPr>
        <w:rPr>
          <w:rFonts w:cstheme="minorHAnsi"/>
          <w:bCs/>
          <w:szCs w:val="72"/>
          <w:lang w:val="sr-Cyrl-RS"/>
        </w:rPr>
      </w:pPr>
      <w:r w:rsidRPr="00EA3D8C">
        <w:rPr>
          <w:rFonts w:cstheme="minorHAnsi"/>
          <w:bCs/>
          <w:szCs w:val="72"/>
          <w:lang w:val="sr-Cyrl-RS"/>
        </w:rPr>
        <w:t xml:space="preserve">Будући да је неизвесност око даљег развоја ситуације са пандемијом и даље присутна, прогнозе су неуобичајено несигурне и праћене значајним негативним ризицима. Геополитичке тензије и нестабилно тржиште нафтних деривата, пољуљана глобална трговина, </w:t>
      </w:r>
      <w:r w:rsidR="008C6D92">
        <w:rPr>
          <w:rFonts w:cstheme="minorHAnsi"/>
          <w:bCs/>
          <w:szCs w:val="72"/>
          <w:lang w:val="sr-Cyrl-RS"/>
        </w:rPr>
        <w:t>не</w:t>
      </w:r>
      <w:r w:rsidR="008C6D92" w:rsidRPr="00EA3D8C">
        <w:rPr>
          <w:rFonts w:cstheme="minorHAnsi"/>
          <w:bCs/>
          <w:szCs w:val="72"/>
          <w:lang w:val="sr-Cyrl-RS"/>
        </w:rPr>
        <w:t>постизање</w:t>
      </w:r>
      <w:r w:rsidRPr="00EA3D8C">
        <w:rPr>
          <w:rFonts w:cstheme="minorHAnsi"/>
          <w:bCs/>
          <w:szCs w:val="72"/>
          <w:lang w:val="sr-Cyrl-RS"/>
        </w:rPr>
        <w:t xml:space="preserve"> трговинског договора између </w:t>
      </w:r>
      <w:r w:rsidR="00647469" w:rsidRPr="00647469">
        <w:rPr>
          <w:rFonts w:cstheme="minorHAnsi"/>
          <w:bCs/>
          <w:szCs w:val="72"/>
          <w:lang w:val="sr-Cyrl-RS"/>
        </w:rPr>
        <w:t>Европск</w:t>
      </w:r>
      <w:r w:rsidR="00647469">
        <w:rPr>
          <w:rFonts w:cstheme="minorHAnsi"/>
          <w:bCs/>
          <w:szCs w:val="72"/>
          <w:lang w:val="sr-Cyrl-RS"/>
        </w:rPr>
        <w:t>е</w:t>
      </w:r>
      <w:r w:rsidR="00647469" w:rsidRPr="00647469">
        <w:rPr>
          <w:rFonts w:cstheme="minorHAnsi"/>
          <w:bCs/>
          <w:szCs w:val="72"/>
          <w:lang w:val="sr-Cyrl-RS"/>
        </w:rPr>
        <w:t xml:space="preserve"> униј</w:t>
      </w:r>
      <w:r w:rsidR="00647469">
        <w:rPr>
          <w:rFonts w:cstheme="minorHAnsi"/>
          <w:bCs/>
          <w:szCs w:val="72"/>
          <w:lang w:val="sr-Cyrl-RS"/>
        </w:rPr>
        <w:t>е (</w:t>
      </w:r>
      <w:r w:rsidR="00647469" w:rsidRPr="00647469">
        <w:rPr>
          <w:rFonts w:cstheme="minorHAnsi"/>
          <w:bCs/>
          <w:szCs w:val="72"/>
          <w:lang w:val="sr-Cyrl-RS"/>
        </w:rPr>
        <w:t xml:space="preserve">у </w:t>
      </w:r>
      <w:r w:rsidR="00647469" w:rsidRPr="00647469">
        <w:rPr>
          <w:rFonts w:cstheme="minorHAnsi"/>
          <w:bCs/>
          <w:szCs w:val="72"/>
          <w:lang w:val="sr-Cyrl-RS"/>
        </w:rPr>
        <w:lastRenderedPageBreak/>
        <w:t xml:space="preserve">даљем тексту: </w:t>
      </w:r>
      <w:r w:rsidRPr="00647469">
        <w:rPr>
          <w:rFonts w:cstheme="minorHAnsi"/>
          <w:bCs/>
          <w:szCs w:val="72"/>
          <w:lang w:val="sr-Cyrl-RS"/>
        </w:rPr>
        <w:t>ЕУ</w:t>
      </w:r>
      <w:r w:rsidR="00647469">
        <w:rPr>
          <w:rFonts w:cstheme="minorHAnsi"/>
          <w:bCs/>
          <w:szCs w:val="72"/>
          <w:lang w:val="sr-Cyrl-RS"/>
        </w:rPr>
        <w:t>)</w:t>
      </w:r>
      <w:r w:rsidRPr="00EA3D8C">
        <w:rPr>
          <w:rFonts w:cstheme="minorHAnsi"/>
          <w:bCs/>
          <w:szCs w:val="72"/>
          <w:lang w:val="sr-Cyrl-RS"/>
        </w:rPr>
        <w:t xml:space="preserve"> и </w:t>
      </w:r>
      <w:r w:rsidR="00B10C05" w:rsidRPr="00B10C05">
        <w:rPr>
          <w:rFonts w:cstheme="minorHAnsi"/>
          <w:bCs/>
          <w:szCs w:val="72"/>
          <w:lang w:val="sr-Cyrl-RS"/>
        </w:rPr>
        <w:t>Уједињено</w:t>
      </w:r>
      <w:r w:rsidR="00B10C05">
        <w:rPr>
          <w:rFonts w:cstheme="minorHAnsi"/>
          <w:bCs/>
          <w:szCs w:val="72"/>
          <w:lang w:val="sr-Cyrl-RS"/>
        </w:rPr>
        <w:t>г</w:t>
      </w:r>
      <w:r w:rsidR="00B10C05" w:rsidRPr="00B10C05">
        <w:rPr>
          <w:rFonts w:cstheme="minorHAnsi"/>
          <w:bCs/>
          <w:szCs w:val="72"/>
          <w:lang w:val="sr-Cyrl-RS"/>
        </w:rPr>
        <w:t xml:space="preserve"> Краљевств</w:t>
      </w:r>
      <w:r w:rsidR="00B10C05">
        <w:rPr>
          <w:rFonts w:cstheme="minorHAnsi"/>
          <w:bCs/>
          <w:szCs w:val="72"/>
          <w:lang w:val="sr-Cyrl-RS"/>
        </w:rPr>
        <w:t>а</w:t>
      </w:r>
      <w:r w:rsidRPr="00EA3D8C">
        <w:rPr>
          <w:rFonts w:cstheme="minorHAnsi"/>
          <w:bCs/>
          <w:szCs w:val="72"/>
          <w:lang w:val="sr-Cyrl-RS"/>
        </w:rPr>
        <w:t>, као и учестале временске, климатске и природне непогоде, и даље су присутни као ризици по глобални раст и стабилност. Са друге стране, блажа рецесија од првобитно предвиђене, наставак примене фискалних мера и у 2021. години и бржи раст продуктивности би допринели убрзању глобалног опоравка и нормализацији економске активности. Такође, проналазак безбедне и делотворне вакцине и напредак у третману оболелих, позитивно би утицали на ограничавање пандемије и растерећење здравствених система.</w:t>
      </w:r>
    </w:p>
    <w:p w14:paraId="32EB7558" w14:textId="5EA44B46" w:rsidR="009453BD" w:rsidRPr="00EA3D8C" w:rsidRDefault="009453BD" w:rsidP="00F04347">
      <w:pPr>
        <w:jc w:val="left"/>
        <w:rPr>
          <w:b/>
          <w:color w:val="2F5496" w:themeColor="accent1" w:themeShade="BF"/>
          <w:lang w:val="sr-Cyrl-RS"/>
        </w:rPr>
      </w:pPr>
      <w:r w:rsidRPr="00EA3D8C">
        <w:rPr>
          <w:b/>
          <w:color w:val="2F5496" w:themeColor="accent1" w:themeShade="BF"/>
          <w:lang w:val="sr-Cyrl-RS"/>
        </w:rPr>
        <w:t xml:space="preserve">Преглед предузетих економских мера у </w:t>
      </w:r>
      <w:r w:rsidR="00E336BD" w:rsidRPr="00EA3D8C">
        <w:rPr>
          <w:b/>
          <w:color w:val="2F5496" w:themeColor="accent1" w:themeShade="BF"/>
          <w:lang w:val="sr-Cyrl-RS"/>
        </w:rPr>
        <w:t>издвојеним</w:t>
      </w:r>
      <w:r w:rsidRPr="00EA3D8C">
        <w:rPr>
          <w:b/>
          <w:color w:val="2F5496" w:themeColor="accent1" w:themeShade="BF"/>
          <w:lang w:val="sr-Cyrl-RS"/>
        </w:rPr>
        <w:t xml:space="preserve"> земљама</w:t>
      </w:r>
    </w:p>
    <w:p w14:paraId="7B5A73C9" w14:textId="13820CF3" w:rsidR="0047345F" w:rsidRDefault="009453BD" w:rsidP="009453BD">
      <w:pPr>
        <w:rPr>
          <w:rFonts w:cstheme="minorHAnsi"/>
          <w:bCs/>
          <w:spacing w:val="-2"/>
          <w:szCs w:val="72"/>
          <w:lang w:val="sr-Cyrl-RS"/>
        </w:rPr>
        <w:sectPr w:rsidR="0047345F" w:rsidSect="00AE40EB">
          <w:headerReference w:type="even" r:id="rId29"/>
          <w:headerReference w:type="default" r:id="rId30"/>
          <w:footerReference w:type="even" r:id="rId31"/>
          <w:footerReference w:type="default" r:id="rId32"/>
          <w:type w:val="continuous"/>
          <w:pgSz w:w="12240" w:h="15840" w:code="1"/>
          <w:pgMar w:top="1440" w:right="1440" w:bottom="1440" w:left="1440" w:header="720" w:footer="720" w:gutter="0"/>
          <w:cols w:num="2" w:space="720"/>
          <w:docGrid w:linePitch="360"/>
        </w:sectPr>
      </w:pPr>
      <w:r w:rsidRPr="00EA3D8C">
        <w:rPr>
          <w:rFonts w:cstheme="minorHAnsi"/>
          <w:bCs/>
          <w:spacing w:val="-2"/>
          <w:szCs w:val="72"/>
          <w:lang w:val="sr-Cyrl-RS"/>
        </w:rPr>
        <w:t xml:space="preserve">Преливање здравствене кризе на све сфере друштва покренуло је предузимање различитих мера економске политике за ублажавање кризе. Владе већине земаља су пружиле широк спектар фискалне подршке који се огледа у одлагању пореских обавеза, мерама за очување животног стандарда и запослености, подршци незапосленима, субвенцијама у најугроженијим делатностима или компанијама од националне важности, обимним државним гаранцијским и кредитним подршкама. </w:t>
      </w:r>
      <w:r w:rsidR="00812EE2" w:rsidRPr="00812EE2">
        <w:rPr>
          <w:rFonts w:cstheme="minorHAnsi"/>
          <w:bCs/>
          <w:spacing w:val="-2"/>
          <w:szCs w:val="72"/>
          <w:lang w:val="sr-Cyrl-RS"/>
        </w:rPr>
        <w:t xml:space="preserve">Европска централна банка </w:t>
      </w:r>
      <w:r w:rsidR="00812EE2">
        <w:rPr>
          <w:rFonts w:cstheme="minorHAnsi"/>
          <w:bCs/>
          <w:spacing w:val="-2"/>
          <w:szCs w:val="72"/>
          <w:lang w:val="sr-Cyrl-RS"/>
        </w:rPr>
        <w:t>(</w:t>
      </w:r>
      <w:r w:rsidR="00812EE2" w:rsidRPr="00812EE2">
        <w:rPr>
          <w:rFonts w:cstheme="minorHAnsi"/>
          <w:bCs/>
          <w:spacing w:val="-2"/>
          <w:szCs w:val="72"/>
          <w:lang w:val="sr-Cyrl-RS"/>
        </w:rPr>
        <w:t xml:space="preserve">у даљем тексту: </w:t>
      </w:r>
      <w:r w:rsidRPr="00EA3D8C">
        <w:rPr>
          <w:rFonts w:cstheme="minorHAnsi"/>
          <w:bCs/>
          <w:spacing w:val="-2"/>
          <w:szCs w:val="72"/>
          <w:lang w:val="sr-Cyrl-RS"/>
        </w:rPr>
        <w:t>ЕЦБ</w:t>
      </w:r>
      <w:r w:rsidR="00812EE2">
        <w:rPr>
          <w:rFonts w:cstheme="minorHAnsi"/>
          <w:bCs/>
          <w:spacing w:val="-2"/>
          <w:szCs w:val="72"/>
          <w:lang w:val="sr-Cyrl-RS"/>
        </w:rPr>
        <w:t>)</w:t>
      </w:r>
      <w:r w:rsidRPr="00EA3D8C">
        <w:rPr>
          <w:rFonts w:cstheme="minorHAnsi"/>
          <w:bCs/>
          <w:spacing w:val="-2"/>
          <w:szCs w:val="72"/>
          <w:lang w:val="sr-Cyrl-RS"/>
        </w:rPr>
        <w:t xml:space="preserve">, ФЕД и остале националне централне банке искористиле су расположиве монетарне инструменте: снижавање референтних стопа, увођење мораторијума, откуп државних обвезница. Значајну подршку нарочито мање развијеним земљама пружиле су и међународне организације попут ММФ и Светске банке. Европска комисија представила је нови инструмент за опоравак назван ЕУ Следећа генерација у вредности 750 милијарди евра и предложила „пуну </w:t>
      </w:r>
      <w:r w:rsidR="004E030B" w:rsidRPr="00EA3D8C">
        <w:rPr>
          <w:rFonts w:cstheme="minorHAnsi"/>
          <w:bCs/>
          <w:spacing w:val="-2"/>
          <w:szCs w:val="72"/>
          <w:lang w:val="sr-Cyrl-RS"/>
        </w:rPr>
        <w:t>флексибилност</w:t>
      </w:r>
      <w:r w:rsidR="00812EE2" w:rsidRPr="00812EE2">
        <w:rPr>
          <w:rFonts w:cstheme="minorHAnsi"/>
          <w:bCs/>
          <w:spacing w:val="-2"/>
          <w:szCs w:val="72"/>
          <w:lang w:val="sr-Cyrl-RS"/>
        </w:rPr>
        <w:t>”</w:t>
      </w:r>
      <w:r w:rsidRPr="00EA3D8C">
        <w:rPr>
          <w:rFonts w:cstheme="minorHAnsi"/>
          <w:bCs/>
          <w:spacing w:val="-2"/>
          <w:szCs w:val="72"/>
          <w:lang w:val="sr-Cyrl-RS"/>
        </w:rPr>
        <w:t xml:space="preserve"> у примени фискалних правила, односно суспензију фискалних правила која ограничавају висину дуга и дефицита, први пут од када су уведена. У САД је на снази економски стимулус, без преседана у америчкој историји, вредан око 3.000 милијарди долара директне помоћи. Вредност пакета подршке представљена је у табели 2.</w:t>
      </w:r>
    </w:p>
    <w:p w14:paraId="0E016D24" w14:textId="2379C98C" w:rsidR="009453BD" w:rsidRDefault="009453BD" w:rsidP="009453BD">
      <w:pPr>
        <w:rPr>
          <w:rFonts w:cstheme="minorHAnsi"/>
          <w:bCs/>
          <w:spacing w:val="-2"/>
          <w:szCs w:val="72"/>
          <w:lang w:val="sr-Cyrl-RS"/>
        </w:rPr>
      </w:pPr>
    </w:p>
    <w:p w14:paraId="1235B80F" w14:textId="39BA2720" w:rsidR="0047345F" w:rsidRDefault="0047345F" w:rsidP="009453BD">
      <w:pPr>
        <w:rPr>
          <w:rFonts w:cstheme="minorHAnsi"/>
          <w:bCs/>
          <w:spacing w:val="-2"/>
          <w:szCs w:val="72"/>
          <w:lang w:val="sr-Cyrl-RS"/>
        </w:rPr>
      </w:pPr>
    </w:p>
    <w:tbl>
      <w:tblPr>
        <w:tblStyle w:val="TableGrid"/>
        <w:tblW w:w="4922"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4"/>
        <w:gridCol w:w="1204"/>
        <w:gridCol w:w="1205"/>
      </w:tblGrid>
      <w:tr w:rsidR="009453BD" w:rsidRPr="00EA3D8C" w14:paraId="1702C493" w14:textId="77777777" w:rsidTr="008C7A01">
        <w:trPr>
          <w:trHeight w:val="454"/>
        </w:trPr>
        <w:tc>
          <w:tcPr>
            <w:tcW w:w="5000" w:type="pct"/>
            <w:gridSpan w:val="3"/>
            <w:tcBorders>
              <w:bottom w:val="single" w:sz="4" w:space="0" w:color="002060"/>
            </w:tcBorders>
            <w:vAlign w:val="center"/>
          </w:tcPr>
          <w:p w14:paraId="53379959" w14:textId="77777777" w:rsidR="009453BD" w:rsidRPr="00EA3D8C" w:rsidRDefault="009453BD" w:rsidP="004F4B48">
            <w:pPr>
              <w:jc w:val="center"/>
              <w:rPr>
                <w:color w:val="auto"/>
                <w:lang w:val="sr-Cyrl-RS"/>
              </w:rPr>
            </w:pPr>
            <w:r w:rsidRPr="00EA3D8C">
              <w:rPr>
                <w:rFonts w:cstheme="minorHAnsi"/>
                <w:b/>
                <w:color w:val="002060"/>
                <w:lang w:val="sr-Cyrl-RS"/>
              </w:rPr>
              <w:lastRenderedPageBreak/>
              <w:t>Табела 2. Економске мере у издвојеним земљама</w:t>
            </w:r>
          </w:p>
        </w:tc>
      </w:tr>
      <w:tr w:rsidR="00D06333" w:rsidRPr="00EA3D8C" w14:paraId="0FF10C54" w14:textId="77777777" w:rsidTr="000B43F5">
        <w:trPr>
          <w:trHeight w:val="235"/>
        </w:trPr>
        <w:tc>
          <w:tcPr>
            <w:tcW w:w="2168" w:type="pct"/>
            <w:tcBorders>
              <w:top w:val="single" w:sz="2" w:space="0" w:color="FFFFFF" w:themeColor="background1"/>
            </w:tcBorders>
            <w:shd w:val="clear" w:color="auto" w:fill="auto"/>
          </w:tcPr>
          <w:p w14:paraId="5284E82D" w14:textId="77777777" w:rsidR="00411215" w:rsidRPr="00EA3D8C" w:rsidRDefault="00411215" w:rsidP="00B42AD2">
            <w:pPr>
              <w:jc w:val="left"/>
              <w:rPr>
                <w:rFonts w:eastAsia="Times New Roman" w:cs="Calibri"/>
                <w:color w:val="002060"/>
                <w:sz w:val="18"/>
                <w:szCs w:val="18"/>
                <w:lang w:val="sr-Cyrl-RS"/>
              </w:rPr>
            </w:pPr>
            <w:r w:rsidRPr="00EA3D8C">
              <w:rPr>
                <w:rFonts w:eastAsia="Times New Roman" w:cs="Calibri"/>
                <w:color w:val="002060"/>
                <w:sz w:val="18"/>
                <w:szCs w:val="18"/>
                <w:lang w:val="sr-Cyrl-RS"/>
              </w:rPr>
              <w:t> </w:t>
            </w:r>
          </w:p>
        </w:tc>
        <w:tc>
          <w:tcPr>
            <w:tcW w:w="1415" w:type="pct"/>
            <w:tcBorders>
              <w:bottom w:val="single" w:sz="4" w:space="0" w:color="002060"/>
            </w:tcBorders>
            <w:shd w:val="clear" w:color="auto" w:fill="auto"/>
          </w:tcPr>
          <w:p w14:paraId="1D312EBA" w14:textId="77777777" w:rsidR="00411215" w:rsidRPr="00EA3D8C" w:rsidRDefault="00411215" w:rsidP="001940DA">
            <w:pPr>
              <w:jc w:val="center"/>
              <w:rPr>
                <w:rFonts w:eastAsia="Times New Roman" w:cs="Calibri"/>
                <w:color w:val="002060"/>
                <w:sz w:val="18"/>
                <w:szCs w:val="18"/>
                <w:lang w:val="sr-Cyrl-RS"/>
              </w:rPr>
            </w:pPr>
            <w:r w:rsidRPr="00EA3D8C">
              <w:rPr>
                <w:rFonts w:eastAsia="Times New Roman" w:cs="Calibri"/>
                <w:color w:val="002060"/>
                <w:sz w:val="18"/>
                <w:szCs w:val="18"/>
                <w:lang w:val="sr-Cyrl-RS"/>
              </w:rPr>
              <w:t>млрд евра</w:t>
            </w:r>
          </w:p>
        </w:tc>
        <w:tc>
          <w:tcPr>
            <w:tcW w:w="1417" w:type="pct"/>
            <w:tcBorders>
              <w:bottom w:val="single" w:sz="4" w:space="0" w:color="002060"/>
            </w:tcBorders>
            <w:shd w:val="clear" w:color="auto" w:fill="auto"/>
          </w:tcPr>
          <w:p w14:paraId="02DA68BF" w14:textId="77777777" w:rsidR="00411215" w:rsidRPr="00EA3D8C" w:rsidRDefault="00411215" w:rsidP="001940DA">
            <w:pPr>
              <w:jc w:val="center"/>
              <w:rPr>
                <w:rFonts w:eastAsia="Times New Roman" w:cs="Calibri"/>
                <w:color w:val="002060"/>
                <w:sz w:val="18"/>
                <w:szCs w:val="18"/>
                <w:lang w:val="sr-Cyrl-RS"/>
              </w:rPr>
            </w:pPr>
            <w:r w:rsidRPr="00EA3D8C">
              <w:rPr>
                <w:rFonts w:eastAsia="Times New Roman" w:cs="Calibri"/>
                <w:color w:val="002060"/>
                <w:sz w:val="18"/>
                <w:szCs w:val="18"/>
                <w:lang w:val="sr-Cyrl-RS"/>
              </w:rPr>
              <w:t>% БДП</w:t>
            </w:r>
          </w:p>
        </w:tc>
      </w:tr>
      <w:tr w:rsidR="00411215" w:rsidRPr="00EA3D8C" w14:paraId="5E2BE025" w14:textId="77777777" w:rsidTr="000B43F5">
        <w:trPr>
          <w:trHeight w:val="246"/>
        </w:trPr>
        <w:tc>
          <w:tcPr>
            <w:tcW w:w="2168" w:type="pct"/>
            <w:tcBorders>
              <w:top w:val="single" w:sz="4" w:space="0" w:color="002060"/>
            </w:tcBorders>
            <w:vAlign w:val="bottom"/>
          </w:tcPr>
          <w:p w14:paraId="2D72BB0D" w14:textId="2D41D097"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Албанија</w:t>
            </w:r>
          </w:p>
        </w:tc>
        <w:tc>
          <w:tcPr>
            <w:tcW w:w="1415" w:type="pct"/>
            <w:tcBorders>
              <w:top w:val="single" w:sz="4" w:space="0" w:color="002060"/>
            </w:tcBorders>
            <w:vAlign w:val="bottom"/>
          </w:tcPr>
          <w:p w14:paraId="60A7EEF8" w14:textId="39C5FC1C"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0,36</w:t>
            </w:r>
          </w:p>
        </w:tc>
        <w:tc>
          <w:tcPr>
            <w:tcW w:w="1417" w:type="pct"/>
            <w:tcBorders>
              <w:top w:val="single" w:sz="4" w:space="0" w:color="002060"/>
            </w:tcBorders>
            <w:vAlign w:val="bottom"/>
          </w:tcPr>
          <w:p w14:paraId="25879A01" w14:textId="7B6581D4"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2,8</w:t>
            </w:r>
          </w:p>
        </w:tc>
      </w:tr>
      <w:tr w:rsidR="00411215" w:rsidRPr="00EA3D8C" w14:paraId="7968C9D6" w14:textId="77777777" w:rsidTr="008C7A01">
        <w:trPr>
          <w:trHeight w:val="235"/>
        </w:trPr>
        <w:tc>
          <w:tcPr>
            <w:tcW w:w="2168" w:type="pct"/>
            <w:vAlign w:val="bottom"/>
          </w:tcPr>
          <w:p w14:paraId="5442C5BB" w14:textId="52280D05"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БиХ</w:t>
            </w:r>
          </w:p>
        </w:tc>
        <w:tc>
          <w:tcPr>
            <w:tcW w:w="1415" w:type="pct"/>
            <w:vAlign w:val="bottom"/>
          </w:tcPr>
          <w:p w14:paraId="33BD3739" w14:textId="23B9052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0,6</w:t>
            </w:r>
          </w:p>
        </w:tc>
        <w:tc>
          <w:tcPr>
            <w:tcW w:w="1417" w:type="pct"/>
            <w:vAlign w:val="bottom"/>
          </w:tcPr>
          <w:p w14:paraId="7CFC62D7" w14:textId="0C08A37C"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2,74</w:t>
            </w:r>
          </w:p>
        </w:tc>
      </w:tr>
      <w:tr w:rsidR="00411215" w:rsidRPr="00EA3D8C" w14:paraId="2C3F4DB1" w14:textId="77777777" w:rsidTr="008C7A01">
        <w:trPr>
          <w:trHeight w:val="246"/>
        </w:trPr>
        <w:tc>
          <w:tcPr>
            <w:tcW w:w="2168" w:type="pct"/>
            <w:vAlign w:val="bottom"/>
          </w:tcPr>
          <w:p w14:paraId="44142123" w14:textId="4274837E"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Бугарска</w:t>
            </w:r>
          </w:p>
        </w:tc>
        <w:tc>
          <w:tcPr>
            <w:tcW w:w="1415" w:type="pct"/>
            <w:vAlign w:val="bottom"/>
          </w:tcPr>
          <w:p w14:paraId="4CC5C3CB" w14:textId="6AABAD7E"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7,3</w:t>
            </w:r>
          </w:p>
        </w:tc>
        <w:tc>
          <w:tcPr>
            <w:tcW w:w="1417" w:type="pct"/>
            <w:vAlign w:val="bottom"/>
          </w:tcPr>
          <w:p w14:paraId="59F522A7" w14:textId="63CBEBA7"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13</w:t>
            </w:r>
          </w:p>
        </w:tc>
      </w:tr>
      <w:tr w:rsidR="00411215" w:rsidRPr="00EA3D8C" w14:paraId="6FD3867B" w14:textId="77777777" w:rsidTr="008C7A01">
        <w:trPr>
          <w:trHeight w:val="235"/>
        </w:trPr>
        <w:tc>
          <w:tcPr>
            <w:tcW w:w="2168" w:type="pct"/>
            <w:vAlign w:val="bottom"/>
          </w:tcPr>
          <w:p w14:paraId="13943DCB" w14:textId="74FF4046"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Чешка</w:t>
            </w:r>
          </w:p>
        </w:tc>
        <w:tc>
          <w:tcPr>
            <w:tcW w:w="1415" w:type="pct"/>
            <w:vAlign w:val="bottom"/>
          </w:tcPr>
          <w:p w14:paraId="1294BF4C" w14:textId="0BDB99AC"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29,4</w:t>
            </w:r>
          </w:p>
        </w:tc>
        <w:tc>
          <w:tcPr>
            <w:tcW w:w="1417" w:type="pct"/>
            <w:vAlign w:val="bottom"/>
          </w:tcPr>
          <w:p w14:paraId="6F7B7F67" w14:textId="12D99286"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13,7</w:t>
            </w:r>
          </w:p>
        </w:tc>
      </w:tr>
      <w:tr w:rsidR="00411215" w:rsidRPr="00EA3D8C" w14:paraId="4B20EAE6" w14:textId="77777777" w:rsidTr="008C7A01">
        <w:trPr>
          <w:trHeight w:val="246"/>
        </w:trPr>
        <w:tc>
          <w:tcPr>
            <w:tcW w:w="2168" w:type="pct"/>
            <w:vAlign w:val="bottom"/>
          </w:tcPr>
          <w:p w14:paraId="20DB0476" w14:textId="3FD6EC28"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Црна Гора</w:t>
            </w:r>
          </w:p>
        </w:tc>
        <w:tc>
          <w:tcPr>
            <w:tcW w:w="1415" w:type="pct"/>
            <w:vAlign w:val="bottom"/>
          </w:tcPr>
          <w:p w14:paraId="57376BD2" w14:textId="3D3AFFE8"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1,54</w:t>
            </w:r>
          </w:p>
        </w:tc>
        <w:tc>
          <w:tcPr>
            <w:tcW w:w="1417" w:type="pct"/>
            <w:vAlign w:val="bottom"/>
          </w:tcPr>
          <w:p w14:paraId="04304703" w14:textId="08F5AFE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0,03</w:t>
            </w:r>
          </w:p>
        </w:tc>
      </w:tr>
      <w:tr w:rsidR="00411215" w:rsidRPr="00EA3D8C" w14:paraId="086EA1BD" w14:textId="77777777" w:rsidTr="008C7A01">
        <w:trPr>
          <w:trHeight w:val="235"/>
        </w:trPr>
        <w:tc>
          <w:tcPr>
            <w:tcW w:w="2168" w:type="pct"/>
            <w:shd w:val="clear" w:color="auto" w:fill="auto"/>
            <w:vAlign w:val="bottom"/>
          </w:tcPr>
          <w:p w14:paraId="48E044DB" w14:textId="275BB59B"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Грчка</w:t>
            </w:r>
          </w:p>
        </w:tc>
        <w:tc>
          <w:tcPr>
            <w:tcW w:w="1415" w:type="pct"/>
            <w:shd w:val="clear" w:color="auto" w:fill="auto"/>
            <w:vAlign w:val="bottom"/>
          </w:tcPr>
          <w:p w14:paraId="7C1FFD3C" w14:textId="55A29C35"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24</w:t>
            </w:r>
          </w:p>
        </w:tc>
        <w:tc>
          <w:tcPr>
            <w:tcW w:w="1417" w:type="pct"/>
            <w:shd w:val="clear" w:color="auto" w:fill="auto"/>
            <w:vAlign w:val="bottom"/>
          </w:tcPr>
          <w:p w14:paraId="7242D191" w14:textId="5A4F92F7"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14</w:t>
            </w:r>
          </w:p>
        </w:tc>
      </w:tr>
      <w:tr w:rsidR="00411215" w:rsidRPr="00EA3D8C" w14:paraId="34F45D80" w14:textId="77777777" w:rsidTr="008C7A01">
        <w:trPr>
          <w:trHeight w:val="235"/>
        </w:trPr>
        <w:tc>
          <w:tcPr>
            <w:tcW w:w="2168" w:type="pct"/>
            <w:shd w:val="clear" w:color="auto" w:fill="auto"/>
            <w:vAlign w:val="bottom"/>
          </w:tcPr>
          <w:p w14:paraId="173F7F18" w14:textId="39C5F548"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Хрватска</w:t>
            </w:r>
          </w:p>
        </w:tc>
        <w:tc>
          <w:tcPr>
            <w:tcW w:w="1415" w:type="pct"/>
            <w:shd w:val="clear" w:color="auto" w:fill="auto"/>
            <w:vAlign w:val="bottom"/>
          </w:tcPr>
          <w:p w14:paraId="709E3868" w14:textId="15647C44"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4</w:t>
            </w:r>
          </w:p>
        </w:tc>
        <w:tc>
          <w:tcPr>
            <w:tcW w:w="1417" w:type="pct"/>
            <w:shd w:val="clear" w:color="auto" w:fill="auto"/>
            <w:vAlign w:val="bottom"/>
          </w:tcPr>
          <w:p w14:paraId="00E6E539" w14:textId="15DF19B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7</w:t>
            </w:r>
          </w:p>
        </w:tc>
      </w:tr>
      <w:tr w:rsidR="00411215" w:rsidRPr="00EA3D8C" w14:paraId="2BC31287" w14:textId="77777777" w:rsidTr="008C7A01">
        <w:trPr>
          <w:trHeight w:val="246"/>
        </w:trPr>
        <w:tc>
          <w:tcPr>
            <w:tcW w:w="2168" w:type="pct"/>
            <w:shd w:val="clear" w:color="auto" w:fill="auto"/>
            <w:vAlign w:val="bottom"/>
          </w:tcPr>
          <w:p w14:paraId="1DB3CE45" w14:textId="6686AF7A"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Мађарска</w:t>
            </w:r>
          </w:p>
        </w:tc>
        <w:tc>
          <w:tcPr>
            <w:tcW w:w="1415" w:type="pct"/>
            <w:shd w:val="clear" w:color="auto" w:fill="auto"/>
            <w:vAlign w:val="bottom"/>
          </w:tcPr>
          <w:p w14:paraId="1CF0F035" w14:textId="38452C34"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30</w:t>
            </w:r>
          </w:p>
        </w:tc>
        <w:tc>
          <w:tcPr>
            <w:tcW w:w="1417" w:type="pct"/>
            <w:shd w:val="clear" w:color="auto" w:fill="auto"/>
            <w:vAlign w:val="bottom"/>
          </w:tcPr>
          <w:p w14:paraId="623BD0B8" w14:textId="5B5F690D"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18-22</w:t>
            </w:r>
          </w:p>
        </w:tc>
      </w:tr>
      <w:tr w:rsidR="00411215" w:rsidRPr="00EA3D8C" w14:paraId="67B72417" w14:textId="77777777" w:rsidTr="008C7A01">
        <w:trPr>
          <w:trHeight w:val="235"/>
        </w:trPr>
        <w:tc>
          <w:tcPr>
            <w:tcW w:w="2168" w:type="pct"/>
            <w:shd w:val="clear" w:color="auto" w:fill="auto"/>
            <w:vAlign w:val="bottom"/>
          </w:tcPr>
          <w:p w14:paraId="75AA8195" w14:textId="764DF6F4"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Румунија</w:t>
            </w:r>
          </w:p>
        </w:tc>
        <w:tc>
          <w:tcPr>
            <w:tcW w:w="1415" w:type="pct"/>
            <w:shd w:val="clear" w:color="auto" w:fill="auto"/>
            <w:vAlign w:val="bottom"/>
          </w:tcPr>
          <w:p w14:paraId="715D469A" w14:textId="3E8516D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7,5</w:t>
            </w:r>
          </w:p>
        </w:tc>
        <w:tc>
          <w:tcPr>
            <w:tcW w:w="1417" w:type="pct"/>
            <w:shd w:val="clear" w:color="auto" w:fill="auto"/>
            <w:vAlign w:val="bottom"/>
          </w:tcPr>
          <w:p w14:paraId="226A6BD2" w14:textId="45F0DB9C"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3,7</w:t>
            </w:r>
          </w:p>
        </w:tc>
      </w:tr>
      <w:tr w:rsidR="00411215" w:rsidRPr="00EA3D8C" w14:paraId="51F859CB" w14:textId="77777777" w:rsidTr="008C7A01">
        <w:trPr>
          <w:trHeight w:val="246"/>
        </w:trPr>
        <w:tc>
          <w:tcPr>
            <w:tcW w:w="2168" w:type="pct"/>
            <w:shd w:val="clear" w:color="auto" w:fill="auto"/>
            <w:vAlign w:val="bottom"/>
          </w:tcPr>
          <w:p w14:paraId="77F06729" w14:textId="4A03C3DE"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С</w:t>
            </w:r>
            <w:r w:rsidR="00D06333" w:rsidRPr="00EA3D8C">
              <w:rPr>
                <w:rFonts w:cstheme="minorHAnsi"/>
                <w:color w:val="002060"/>
                <w:sz w:val="18"/>
                <w:lang w:val="sr-Cyrl-RS"/>
              </w:rPr>
              <w:t>.</w:t>
            </w:r>
            <w:r w:rsidRPr="00EA3D8C">
              <w:rPr>
                <w:rFonts w:cstheme="minorHAnsi"/>
                <w:color w:val="002060"/>
                <w:sz w:val="18"/>
                <w:lang w:val="sr-Cyrl-RS"/>
              </w:rPr>
              <w:t xml:space="preserve"> Македонија</w:t>
            </w:r>
          </w:p>
        </w:tc>
        <w:tc>
          <w:tcPr>
            <w:tcW w:w="1415" w:type="pct"/>
            <w:shd w:val="clear" w:color="auto" w:fill="auto"/>
            <w:vAlign w:val="bottom"/>
          </w:tcPr>
          <w:p w14:paraId="4CF82F4E" w14:textId="1BAFBAB1"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0,55</w:t>
            </w:r>
          </w:p>
        </w:tc>
        <w:tc>
          <w:tcPr>
            <w:tcW w:w="1417" w:type="pct"/>
            <w:shd w:val="clear" w:color="auto" w:fill="auto"/>
            <w:vAlign w:val="bottom"/>
          </w:tcPr>
          <w:p w14:paraId="683B9CB9" w14:textId="2E81683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5,5</w:t>
            </w:r>
          </w:p>
        </w:tc>
      </w:tr>
      <w:tr w:rsidR="00411215" w:rsidRPr="00EA3D8C" w14:paraId="5576F30F" w14:textId="77777777" w:rsidTr="000B43F5">
        <w:trPr>
          <w:trHeight w:val="235"/>
        </w:trPr>
        <w:tc>
          <w:tcPr>
            <w:tcW w:w="2168" w:type="pct"/>
            <w:shd w:val="clear" w:color="auto" w:fill="auto"/>
            <w:vAlign w:val="bottom"/>
          </w:tcPr>
          <w:p w14:paraId="3F99B2DD" w14:textId="3589064A"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Словенија</w:t>
            </w:r>
          </w:p>
        </w:tc>
        <w:tc>
          <w:tcPr>
            <w:tcW w:w="1415" w:type="pct"/>
            <w:shd w:val="clear" w:color="auto" w:fill="auto"/>
            <w:vAlign w:val="bottom"/>
          </w:tcPr>
          <w:p w14:paraId="3329F23A" w14:textId="7C4DE792"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7,3</w:t>
            </w:r>
          </w:p>
        </w:tc>
        <w:tc>
          <w:tcPr>
            <w:tcW w:w="1417" w:type="pct"/>
            <w:shd w:val="clear" w:color="auto" w:fill="auto"/>
            <w:vAlign w:val="bottom"/>
          </w:tcPr>
          <w:p w14:paraId="6B3E70B6" w14:textId="73DFF5BF"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16,4</w:t>
            </w:r>
          </w:p>
        </w:tc>
      </w:tr>
      <w:tr w:rsidR="00411215" w:rsidRPr="00EA3D8C" w14:paraId="375A30FD" w14:textId="77777777" w:rsidTr="008C7A01">
        <w:trPr>
          <w:trHeight w:val="246"/>
        </w:trPr>
        <w:tc>
          <w:tcPr>
            <w:tcW w:w="2168" w:type="pct"/>
            <w:tcBorders>
              <w:bottom w:val="single" w:sz="4" w:space="0" w:color="002060"/>
            </w:tcBorders>
            <w:shd w:val="clear" w:color="auto" w:fill="auto"/>
            <w:vAlign w:val="bottom"/>
          </w:tcPr>
          <w:p w14:paraId="4F576F20" w14:textId="191F80CF" w:rsidR="00411215" w:rsidRPr="00EA3D8C" w:rsidRDefault="00411215" w:rsidP="002C675F">
            <w:pPr>
              <w:jc w:val="left"/>
              <w:rPr>
                <w:rFonts w:cstheme="minorHAnsi"/>
                <w:color w:val="002060"/>
                <w:sz w:val="18"/>
                <w:lang w:val="sr-Cyrl-RS"/>
              </w:rPr>
            </w:pPr>
            <w:r w:rsidRPr="00EA3D8C">
              <w:rPr>
                <w:rFonts w:cstheme="minorHAnsi"/>
                <w:color w:val="002060"/>
                <w:sz w:val="18"/>
                <w:lang w:val="sr-Cyrl-RS"/>
              </w:rPr>
              <w:t>Словачка</w:t>
            </w:r>
          </w:p>
        </w:tc>
        <w:tc>
          <w:tcPr>
            <w:tcW w:w="1415" w:type="pct"/>
            <w:tcBorders>
              <w:bottom w:val="single" w:sz="4" w:space="0" w:color="002060"/>
            </w:tcBorders>
            <w:shd w:val="clear" w:color="auto" w:fill="auto"/>
            <w:vAlign w:val="bottom"/>
          </w:tcPr>
          <w:p w14:paraId="081FF532" w14:textId="00C5C92B"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6,64</w:t>
            </w:r>
          </w:p>
        </w:tc>
        <w:tc>
          <w:tcPr>
            <w:tcW w:w="1417" w:type="pct"/>
            <w:tcBorders>
              <w:bottom w:val="single" w:sz="4" w:space="0" w:color="002060"/>
            </w:tcBorders>
            <w:shd w:val="clear" w:color="auto" w:fill="auto"/>
            <w:vAlign w:val="bottom"/>
          </w:tcPr>
          <w:p w14:paraId="4D0E442C" w14:textId="3EC32A19" w:rsidR="00411215" w:rsidRPr="00EA3D8C" w:rsidRDefault="00411215" w:rsidP="00745F06">
            <w:pPr>
              <w:jc w:val="center"/>
              <w:rPr>
                <w:rFonts w:cstheme="minorHAnsi"/>
                <w:color w:val="002060"/>
                <w:sz w:val="18"/>
                <w:lang w:val="sr-Cyrl-RS"/>
              </w:rPr>
            </w:pPr>
            <w:r w:rsidRPr="00EA3D8C">
              <w:rPr>
                <w:rFonts w:cstheme="minorHAnsi"/>
                <w:color w:val="002060"/>
                <w:sz w:val="18"/>
                <w:lang w:val="sr-Cyrl-RS"/>
              </w:rPr>
              <w:t>7,1</w:t>
            </w:r>
          </w:p>
        </w:tc>
      </w:tr>
    </w:tbl>
    <w:p w14:paraId="1416CCA1" w14:textId="54A9C4EE" w:rsidR="009453BD" w:rsidRPr="00EA3D8C" w:rsidRDefault="00876E75" w:rsidP="008C7A01">
      <w:pPr>
        <w:spacing w:before="40"/>
        <w:rPr>
          <w:rFonts w:cstheme="minorHAnsi"/>
          <w:i/>
          <w:sz w:val="16"/>
          <w:szCs w:val="16"/>
          <w:lang w:val="sr-Cyrl-RS"/>
        </w:rPr>
      </w:pPr>
      <w:r w:rsidRPr="00EA3D8C">
        <w:rPr>
          <w:rFonts w:cstheme="minorHAnsi"/>
          <w:sz w:val="16"/>
          <w:szCs w:val="16"/>
          <w:lang w:val="sr-Cyrl-RS"/>
        </w:rPr>
        <w:t xml:space="preserve">Извор: ММФ, </w:t>
      </w:r>
      <w:r w:rsidRPr="00EA3D8C">
        <w:rPr>
          <w:rFonts w:cstheme="minorHAnsi"/>
          <w:i/>
          <w:sz w:val="16"/>
          <w:szCs w:val="16"/>
          <w:lang w:val="sr-Cyrl-RS"/>
        </w:rPr>
        <w:t>Policy Tracker</w:t>
      </w:r>
      <w:r w:rsidRPr="00EA3D8C">
        <w:rPr>
          <w:rFonts w:cstheme="minorHAnsi"/>
          <w:sz w:val="16"/>
          <w:szCs w:val="16"/>
          <w:lang w:val="sr-Cyrl-RS"/>
        </w:rPr>
        <w:t xml:space="preserve"> и ЕБРД, </w:t>
      </w:r>
      <w:r w:rsidRPr="00EA3D8C">
        <w:rPr>
          <w:rFonts w:cstheme="minorHAnsi"/>
          <w:i/>
          <w:sz w:val="16"/>
          <w:szCs w:val="16"/>
          <w:lang w:val="sr-Cyrl-RS"/>
        </w:rPr>
        <w:t>Coronavirus policy response</w:t>
      </w:r>
    </w:p>
    <w:p w14:paraId="3DEA9AD5" w14:textId="533A6879" w:rsidR="009453BD" w:rsidRPr="00EA3D8C" w:rsidRDefault="009453BD" w:rsidP="009453BD">
      <w:pPr>
        <w:rPr>
          <w:b/>
          <w:color w:val="2F5496" w:themeColor="accent1" w:themeShade="BF"/>
          <w:lang w:val="sr-Cyrl-RS"/>
        </w:rPr>
      </w:pPr>
      <w:r w:rsidRPr="00EA3D8C">
        <w:rPr>
          <w:b/>
          <w:color w:val="2F5496" w:themeColor="accent1" w:themeShade="BF"/>
          <w:lang w:val="sr-Cyrl-RS"/>
        </w:rPr>
        <w:t xml:space="preserve">Макроекономске процене </w:t>
      </w:r>
      <w:r w:rsidR="00812EE2">
        <w:rPr>
          <w:b/>
          <w:color w:val="2F5496" w:themeColor="accent1" w:themeShade="BF"/>
          <w:lang w:val="sr-Cyrl-RS"/>
        </w:rPr>
        <w:t>ЕЦБ</w:t>
      </w:r>
      <w:r w:rsidRPr="00EA3D8C">
        <w:rPr>
          <w:b/>
          <w:color w:val="2F5496" w:themeColor="accent1" w:themeShade="BF"/>
          <w:lang w:val="sr-Cyrl-RS"/>
        </w:rPr>
        <w:t xml:space="preserve"> за подручје еврозоне</w:t>
      </w:r>
    </w:p>
    <w:p w14:paraId="6C42C59A" w14:textId="5149E91A" w:rsidR="009453BD" w:rsidRPr="00EA3D8C" w:rsidRDefault="009453BD" w:rsidP="009453BD">
      <w:pPr>
        <w:tabs>
          <w:tab w:val="left" w:pos="720"/>
        </w:tabs>
        <w:spacing w:before="120" w:after="120"/>
        <w:rPr>
          <w:rFonts w:cs="Times New Roman"/>
          <w:lang w:val="sr-Cyrl-RS"/>
        </w:rPr>
      </w:pPr>
      <w:r w:rsidRPr="00EA3D8C">
        <w:rPr>
          <w:rFonts w:cstheme="minorHAnsi"/>
          <w:bCs/>
          <w:szCs w:val="72"/>
          <w:lang w:val="sr-Cyrl-RS"/>
        </w:rPr>
        <w:t>Према проценам</w:t>
      </w:r>
      <w:r w:rsidR="00812EE2">
        <w:rPr>
          <w:rFonts w:cstheme="minorHAnsi"/>
          <w:bCs/>
          <w:szCs w:val="72"/>
          <w:lang w:val="sr-Cyrl-RS"/>
        </w:rPr>
        <w:t>а ЕЦБ</w:t>
      </w:r>
      <w:r w:rsidRPr="00EA3D8C">
        <w:rPr>
          <w:rFonts w:cstheme="minorHAnsi"/>
          <w:bCs/>
          <w:szCs w:val="72"/>
          <w:lang w:val="sr-Cyrl-RS"/>
        </w:rPr>
        <w:t xml:space="preserve"> из септембра, економска активност у еврозони ће забележити пад у 2020. години, уз опоравак 2021. године, а затим и наставак раста по нешто нижој стопи. </w:t>
      </w:r>
      <w:r w:rsidRPr="00EA3D8C">
        <w:rPr>
          <w:rFonts w:cs="Times New Roman"/>
          <w:lang w:val="sr-Cyrl-RS"/>
        </w:rPr>
        <w:t xml:space="preserve">Колапс економске активности настао је услед строгих мера за обуздавање ширења вируса, а негативни ефекти су полако почели да попуштају релаксацијом уведених мера, па су и поједини високофреквентни индикатори током трећег квартала почели да показују знаке опоравка. Постепени економски опоравак зоне евра потпомогнут је повољним финансијским условима и експанзивном фискалном политиком, као и обнављањем производне активности у Европи и свету, чија брзина ипак остаје под знаком питања </w:t>
      </w:r>
      <w:r w:rsidRPr="00EA3D8C">
        <w:rPr>
          <w:rFonts w:cs="Times New Roman"/>
          <w:lang w:val="sr-Cyrl-RS"/>
        </w:rPr>
        <w:lastRenderedPageBreak/>
        <w:t>у условима поновног глобалног ширења вируса. Према пројекцијама ЕЦБ, које се заснивају на претпоставци о постепеном укидању рестриктивних мера, опоравку тражње и паду глобалне неизвесности, привреда еврозоне ће након очекиваних -8,0% у 2020. години забележити раст од 5,0% у 2021. години. Сличан тренд кретања у еврозони бележиће и приватна потрошња (пад од 8,0% у 2020. години, а затим раст од 5,9% у 2021. години), као и инвестиције (смањење од 12,3% у 2020. и опоравак од 6,3% у 2021. години).</w:t>
      </w:r>
      <w:r w:rsidRPr="00EA3D8C">
        <w:rPr>
          <w:rFonts w:cstheme="minorHAnsi"/>
          <w:bCs/>
          <w:szCs w:val="72"/>
          <w:lang w:val="sr-Cyrl-RS"/>
        </w:rPr>
        <w:t xml:space="preserve"> </w:t>
      </w:r>
      <w:r w:rsidRPr="00EA3D8C">
        <w:rPr>
          <w:rFonts w:cs="Times New Roman"/>
          <w:bCs/>
          <w:lang w:val="sr-Cyrl-RS"/>
        </w:rPr>
        <w:t xml:space="preserve">Извозна активност еврозоне је снажно погођена пандемијом, због глобалног колапса у секторима у којима је евро зона посебно изложена. </w:t>
      </w:r>
      <w:r w:rsidRPr="00EA3D8C">
        <w:rPr>
          <w:rFonts w:cs="Times New Roman"/>
          <w:lang w:val="sr-Cyrl-RS"/>
        </w:rPr>
        <w:t>Предвиђа се да ће и извоз и увоз забележити опоравак у 2021. години након пада у 2020. години, док ће једино државне инвестиције остварити благи раст од 1,7% у обе године.</w:t>
      </w:r>
    </w:p>
    <w:p w14:paraId="58A3982F" w14:textId="7307A03F" w:rsidR="009453BD" w:rsidRPr="00EA3D8C" w:rsidRDefault="009453BD" w:rsidP="008C7A01">
      <w:pPr>
        <w:spacing w:after="520"/>
        <w:rPr>
          <w:rFonts w:cstheme="minorHAnsi"/>
          <w:bCs/>
          <w:szCs w:val="72"/>
          <w:lang w:val="sr-Cyrl-RS"/>
        </w:rPr>
      </w:pPr>
      <w:r w:rsidRPr="00EA3D8C">
        <w:rPr>
          <w:rFonts w:cstheme="minorHAnsi"/>
          <w:bCs/>
          <w:szCs w:val="72"/>
          <w:lang w:val="sr-Cyrl-RS"/>
        </w:rPr>
        <w:t xml:space="preserve">Еврозона је забележила снажан пад приватне потрошње у првој половини 2020. године, а највише су погођени сектори аутомобилске индустрије и туризма. Иако су губици реалног расположивог дохотка у великој мери ублажени фискалним подстицајима и већим јавним трансферима, на пад потрошње утицала је и принудна штедња и раст штедње из предострожности. Очекује се да ће се приватна потрошња снажно опоравити у другој половини године, будући да ће значајни фискални трансфери очувати </w:t>
      </w:r>
      <w:r w:rsidR="004E030B" w:rsidRPr="00EA3D8C">
        <w:rPr>
          <w:rFonts w:cstheme="minorHAnsi"/>
          <w:bCs/>
          <w:szCs w:val="72"/>
          <w:lang w:val="sr-Cyrl-RS"/>
        </w:rPr>
        <w:t>расположиви</w:t>
      </w:r>
      <w:r w:rsidRPr="00EA3D8C">
        <w:rPr>
          <w:rFonts w:cstheme="minorHAnsi"/>
          <w:bCs/>
          <w:szCs w:val="72"/>
          <w:lang w:val="sr-Cyrl-RS"/>
        </w:rPr>
        <w:t xml:space="preserve"> доходак и радна места.</w:t>
      </w:r>
    </w:p>
    <w:p w14:paraId="17122B01" w14:textId="77777777" w:rsidR="009453BD" w:rsidRPr="00EA3D8C" w:rsidRDefault="009453BD" w:rsidP="009453BD">
      <w:pPr>
        <w:rPr>
          <w:rFonts w:cstheme="minorHAnsi"/>
          <w:bCs/>
          <w:szCs w:val="72"/>
          <w:lang w:val="sr-Cyrl-RS"/>
        </w:rPr>
        <w:sectPr w:rsidR="009453BD" w:rsidRPr="00EA3D8C" w:rsidSect="00AE40EB">
          <w:type w:val="continuous"/>
          <w:pgSz w:w="12240" w:h="15840" w:code="1"/>
          <w:pgMar w:top="1440" w:right="1440" w:bottom="1440" w:left="1440" w:header="720" w:footer="720" w:gutter="0"/>
          <w:cols w:num="2" w:space="720"/>
          <w:docGrid w:linePitch="360"/>
        </w:sectPr>
      </w:pPr>
    </w:p>
    <w:tbl>
      <w:tblPr>
        <w:tblW w:w="5000" w:type="pct"/>
        <w:tblLook w:val="04A0" w:firstRow="1" w:lastRow="0" w:firstColumn="1" w:lastColumn="0" w:noHBand="0" w:noVBand="1"/>
      </w:tblPr>
      <w:tblGrid>
        <w:gridCol w:w="4519"/>
        <w:gridCol w:w="1210"/>
        <w:gridCol w:w="1211"/>
        <w:gridCol w:w="1211"/>
        <w:gridCol w:w="1209"/>
      </w:tblGrid>
      <w:tr w:rsidR="009453BD" w:rsidRPr="00EA3D8C" w14:paraId="72B1C60B" w14:textId="77777777" w:rsidTr="000B43F5">
        <w:trPr>
          <w:trHeight w:val="300"/>
        </w:trPr>
        <w:tc>
          <w:tcPr>
            <w:tcW w:w="5000" w:type="pct"/>
            <w:gridSpan w:val="5"/>
            <w:tcBorders>
              <w:bottom w:val="single" w:sz="4" w:space="0" w:color="002060"/>
            </w:tcBorders>
            <w:shd w:val="clear" w:color="auto" w:fill="auto"/>
            <w:noWrap/>
            <w:vAlign w:val="bottom"/>
            <w:hideMark/>
          </w:tcPr>
          <w:p w14:paraId="2F08765E" w14:textId="73CA5A03" w:rsidR="009453BD" w:rsidRPr="00EA3D8C" w:rsidRDefault="009453BD" w:rsidP="009453BD">
            <w:pPr>
              <w:spacing w:after="0" w:line="240" w:lineRule="auto"/>
              <w:ind w:left="255"/>
              <w:jc w:val="center"/>
              <w:rPr>
                <w:rFonts w:cstheme="minorHAnsi"/>
                <w:color w:val="002060"/>
                <w:sz w:val="18"/>
                <w:lang w:val="sr-Cyrl-RS"/>
              </w:rPr>
            </w:pPr>
            <w:r w:rsidRPr="00EA3D8C">
              <w:rPr>
                <w:b/>
                <w:color w:val="002060"/>
                <w:lang w:val="sr-Cyrl-RS"/>
              </w:rPr>
              <w:lastRenderedPageBreak/>
              <w:t>Табела 3. Макроекономске пројекције за подручје еврозоне, промена према истом периоду претходне године, %</w:t>
            </w:r>
          </w:p>
        </w:tc>
      </w:tr>
      <w:tr w:rsidR="009453BD" w:rsidRPr="00EA3D8C" w14:paraId="00672596" w14:textId="77777777" w:rsidTr="000B43F5">
        <w:trPr>
          <w:trHeight w:val="227"/>
        </w:trPr>
        <w:tc>
          <w:tcPr>
            <w:tcW w:w="2434" w:type="pct"/>
            <w:tcBorders>
              <w:top w:val="single" w:sz="4" w:space="0" w:color="002060"/>
            </w:tcBorders>
            <w:shd w:val="clear" w:color="auto" w:fill="auto"/>
            <w:noWrap/>
            <w:vAlign w:val="center"/>
          </w:tcPr>
          <w:p w14:paraId="2907824B" w14:textId="77777777" w:rsidR="009453BD" w:rsidRPr="00EA3D8C" w:rsidRDefault="009453BD" w:rsidP="009453BD">
            <w:pPr>
              <w:spacing w:after="0" w:line="240" w:lineRule="auto"/>
              <w:jc w:val="center"/>
              <w:rPr>
                <w:rFonts w:eastAsia="Times New Roman" w:cs="Times New Roman"/>
                <w:color w:val="002060"/>
                <w:sz w:val="18"/>
                <w:szCs w:val="18"/>
                <w:lang w:val="sr-Cyrl-RS"/>
              </w:rPr>
            </w:pPr>
          </w:p>
        </w:tc>
        <w:tc>
          <w:tcPr>
            <w:tcW w:w="641" w:type="pct"/>
            <w:tcBorders>
              <w:top w:val="single" w:sz="4" w:space="0" w:color="002060"/>
              <w:bottom w:val="single" w:sz="4" w:space="0" w:color="002060"/>
            </w:tcBorders>
            <w:shd w:val="clear" w:color="auto" w:fill="auto"/>
            <w:noWrap/>
            <w:vAlign w:val="center"/>
          </w:tcPr>
          <w:p w14:paraId="201E391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2019</w:t>
            </w:r>
          </w:p>
        </w:tc>
        <w:tc>
          <w:tcPr>
            <w:tcW w:w="642" w:type="pct"/>
            <w:tcBorders>
              <w:top w:val="single" w:sz="4" w:space="0" w:color="002060"/>
              <w:bottom w:val="single" w:sz="4" w:space="0" w:color="002060"/>
            </w:tcBorders>
            <w:shd w:val="clear" w:color="auto" w:fill="auto"/>
            <w:noWrap/>
            <w:vAlign w:val="center"/>
          </w:tcPr>
          <w:p w14:paraId="4281B40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2020</w:t>
            </w:r>
          </w:p>
        </w:tc>
        <w:tc>
          <w:tcPr>
            <w:tcW w:w="642" w:type="pct"/>
            <w:tcBorders>
              <w:top w:val="single" w:sz="4" w:space="0" w:color="002060"/>
              <w:bottom w:val="single" w:sz="4" w:space="0" w:color="002060"/>
            </w:tcBorders>
            <w:shd w:val="clear" w:color="auto" w:fill="auto"/>
            <w:noWrap/>
            <w:vAlign w:val="center"/>
          </w:tcPr>
          <w:p w14:paraId="04E51824"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2021</w:t>
            </w:r>
          </w:p>
        </w:tc>
        <w:tc>
          <w:tcPr>
            <w:tcW w:w="642" w:type="pct"/>
            <w:tcBorders>
              <w:top w:val="single" w:sz="4" w:space="0" w:color="002060"/>
              <w:bottom w:val="single" w:sz="4" w:space="0" w:color="002060"/>
            </w:tcBorders>
            <w:shd w:val="clear" w:color="auto" w:fill="auto"/>
            <w:noWrap/>
            <w:vAlign w:val="center"/>
          </w:tcPr>
          <w:p w14:paraId="63DBC025"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2022</w:t>
            </w:r>
          </w:p>
        </w:tc>
      </w:tr>
      <w:tr w:rsidR="009453BD" w:rsidRPr="00EA3D8C" w14:paraId="22E5DA40" w14:textId="77777777" w:rsidTr="000B43F5">
        <w:trPr>
          <w:trHeight w:val="227"/>
        </w:trPr>
        <w:tc>
          <w:tcPr>
            <w:tcW w:w="2434" w:type="pct"/>
            <w:shd w:val="clear" w:color="auto" w:fill="auto"/>
            <w:noWrap/>
            <w:vAlign w:val="bottom"/>
            <w:hideMark/>
          </w:tcPr>
          <w:p w14:paraId="10198C50"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БДП</w:t>
            </w:r>
          </w:p>
        </w:tc>
        <w:tc>
          <w:tcPr>
            <w:tcW w:w="641" w:type="pct"/>
            <w:tcBorders>
              <w:top w:val="single" w:sz="4" w:space="0" w:color="002060"/>
            </w:tcBorders>
            <w:shd w:val="clear" w:color="auto" w:fill="auto"/>
            <w:noWrap/>
            <w:vAlign w:val="center"/>
            <w:hideMark/>
          </w:tcPr>
          <w:p w14:paraId="3F28A1F8"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1,3</w:t>
            </w:r>
          </w:p>
        </w:tc>
        <w:tc>
          <w:tcPr>
            <w:tcW w:w="642" w:type="pct"/>
            <w:tcBorders>
              <w:top w:val="single" w:sz="4" w:space="0" w:color="002060"/>
            </w:tcBorders>
            <w:shd w:val="clear" w:color="auto" w:fill="FFFFFF" w:themeFill="background1"/>
            <w:noWrap/>
            <w:vAlign w:val="center"/>
            <w:hideMark/>
          </w:tcPr>
          <w:p w14:paraId="14DA8530"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-8,0</w:t>
            </w:r>
          </w:p>
        </w:tc>
        <w:tc>
          <w:tcPr>
            <w:tcW w:w="642" w:type="pct"/>
            <w:tcBorders>
              <w:top w:val="single" w:sz="4" w:space="0" w:color="002060"/>
            </w:tcBorders>
            <w:shd w:val="clear" w:color="auto" w:fill="auto"/>
            <w:noWrap/>
            <w:vAlign w:val="center"/>
            <w:hideMark/>
          </w:tcPr>
          <w:p w14:paraId="1E34432E"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5,0</w:t>
            </w:r>
          </w:p>
        </w:tc>
        <w:tc>
          <w:tcPr>
            <w:tcW w:w="642" w:type="pct"/>
            <w:tcBorders>
              <w:top w:val="single" w:sz="4" w:space="0" w:color="002060"/>
            </w:tcBorders>
            <w:shd w:val="clear" w:color="auto" w:fill="auto"/>
            <w:noWrap/>
            <w:vAlign w:val="center"/>
            <w:hideMark/>
          </w:tcPr>
          <w:p w14:paraId="5601ECC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3,2</w:t>
            </w:r>
          </w:p>
        </w:tc>
      </w:tr>
      <w:tr w:rsidR="009453BD" w:rsidRPr="00EA3D8C" w14:paraId="6A657719" w14:textId="77777777" w:rsidTr="000B43F5">
        <w:trPr>
          <w:trHeight w:val="227"/>
        </w:trPr>
        <w:tc>
          <w:tcPr>
            <w:tcW w:w="2434" w:type="pct"/>
            <w:shd w:val="clear" w:color="auto" w:fill="auto"/>
            <w:noWrap/>
            <w:vAlign w:val="bottom"/>
            <w:hideMark/>
          </w:tcPr>
          <w:p w14:paraId="66F28D0F" w14:textId="77777777" w:rsidR="009453BD" w:rsidRPr="00EA3D8C" w:rsidRDefault="009453BD" w:rsidP="009453BD">
            <w:pPr>
              <w:spacing w:after="0" w:line="240" w:lineRule="auto"/>
              <w:ind w:left="360" w:hanging="360"/>
              <w:rPr>
                <w:rFonts w:cstheme="minorHAnsi"/>
                <w:color w:val="002060"/>
                <w:sz w:val="18"/>
                <w:lang w:val="sr-Cyrl-RS"/>
              </w:rPr>
            </w:pPr>
            <w:r w:rsidRPr="00EA3D8C">
              <w:rPr>
                <w:rFonts w:cstheme="minorHAnsi"/>
                <w:color w:val="002060"/>
                <w:sz w:val="18"/>
                <w:lang w:val="sr-Cyrl-RS"/>
              </w:rPr>
              <w:t>Лична потрошња</w:t>
            </w:r>
          </w:p>
        </w:tc>
        <w:tc>
          <w:tcPr>
            <w:tcW w:w="641" w:type="pct"/>
            <w:shd w:val="clear" w:color="auto" w:fill="auto"/>
            <w:noWrap/>
            <w:vAlign w:val="center"/>
            <w:hideMark/>
          </w:tcPr>
          <w:p w14:paraId="021A610E"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1,3</w:t>
            </w:r>
          </w:p>
        </w:tc>
        <w:tc>
          <w:tcPr>
            <w:tcW w:w="642" w:type="pct"/>
            <w:shd w:val="clear" w:color="auto" w:fill="auto"/>
            <w:noWrap/>
            <w:vAlign w:val="center"/>
            <w:hideMark/>
          </w:tcPr>
          <w:p w14:paraId="4909F914"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-8,0</w:t>
            </w:r>
          </w:p>
        </w:tc>
        <w:tc>
          <w:tcPr>
            <w:tcW w:w="642" w:type="pct"/>
            <w:shd w:val="clear" w:color="auto" w:fill="auto"/>
            <w:noWrap/>
            <w:vAlign w:val="center"/>
            <w:hideMark/>
          </w:tcPr>
          <w:p w14:paraId="1EA54771"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5,9</w:t>
            </w:r>
          </w:p>
        </w:tc>
        <w:tc>
          <w:tcPr>
            <w:tcW w:w="642" w:type="pct"/>
            <w:shd w:val="clear" w:color="auto" w:fill="auto"/>
            <w:noWrap/>
            <w:vAlign w:val="center"/>
            <w:hideMark/>
          </w:tcPr>
          <w:p w14:paraId="45B275FE"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3,4</w:t>
            </w:r>
          </w:p>
        </w:tc>
      </w:tr>
      <w:tr w:rsidR="009453BD" w:rsidRPr="00EA3D8C" w14:paraId="25CB26CB" w14:textId="77777777" w:rsidTr="000B43F5">
        <w:trPr>
          <w:trHeight w:val="227"/>
        </w:trPr>
        <w:tc>
          <w:tcPr>
            <w:tcW w:w="2434" w:type="pct"/>
            <w:shd w:val="clear" w:color="auto" w:fill="auto"/>
            <w:noWrap/>
            <w:vAlign w:val="bottom"/>
            <w:hideMark/>
          </w:tcPr>
          <w:p w14:paraId="5196F484" w14:textId="77777777" w:rsidR="009453BD" w:rsidRPr="00EA3D8C" w:rsidRDefault="009453BD" w:rsidP="009453BD">
            <w:pPr>
              <w:spacing w:after="0" w:line="240" w:lineRule="auto"/>
              <w:ind w:left="360" w:hanging="360"/>
              <w:rPr>
                <w:rFonts w:cstheme="minorHAnsi"/>
                <w:color w:val="002060"/>
                <w:sz w:val="18"/>
                <w:lang w:val="sr-Cyrl-RS"/>
              </w:rPr>
            </w:pPr>
            <w:r w:rsidRPr="00EA3D8C">
              <w:rPr>
                <w:rFonts w:cstheme="minorHAnsi"/>
                <w:color w:val="002060"/>
                <w:sz w:val="18"/>
                <w:lang w:val="sr-Cyrl-RS"/>
              </w:rPr>
              <w:t>Државна потрошња</w:t>
            </w:r>
          </w:p>
        </w:tc>
        <w:tc>
          <w:tcPr>
            <w:tcW w:w="641" w:type="pct"/>
            <w:shd w:val="clear" w:color="auto" w:fill="auto"/>
            <w:noWrap/>
            <w:vAlign w:val="center"/>
            <w:hideMark/>
          </w:tcPr>
          <w:p w14:paraId="272F3E27"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1,8</w:t>
            </w:r>
          </w:p>
        </w:tc>
        <w:tc>
          <w:tcPr>
            <w:tcW w:w="642" w:type="pct"/>
            <w:shd w:val="clear" w:color="auto" w:fill="auto"/>
            <w:noWrap/>
            <w:vAlign w:val="center"/>
            <w:hideMark/>
          </w:tcPr>
          <w:p w14:paraId="5A701B9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1,7</w:t>
            </w:r>
          </w:p>
        </w:tc>
        <w:tc>
          <w:tcPr>
            <w:tcW w:w="642" w:type="pct"/>
            <w:shd w:val="clear" w:color="auto" w:fill="auto"/>
            <w:noWrap/>
            <w:vAlign w:val="center"/>
            <w:hideMark/>
          </w:tcPr>
          <w:p w14:paraId="19E0076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1,7</w:t>
            </w:r>
          </w:p>
        </w:tc>
        <w:tc>
          <w:tcPr>
            <w:tcW w:w="642" w:type="pct"/>
            <w:shd w:val="clear" w:color="auto" w:fill="auto"/>
            <w:noWrap/>
            <w:vAlign w:val="center"/>
            <w:hideMark/>
          </w:tcPr>
          <w:p w14:paraId="42893BE2"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1,0</w:t>
            </w:r>
          </w:p>
        </w:tc>
      </w:tr>
      <w:tr w:rsidR="009453BD" w:rsidRPr="00EA3D8C" w14:paraId="40A575AD" w14:textId="77777777" w:rsidTr="000B43F5">
        <w:trPr>
          <w:trHeight w:val="227"/>
        </w:trPr>
        <w:tc>
          <w:tcPr>
            <w:tcW w:w="2434" w:type="pct"/>
            <w:shd w:val="clear" w:color="auto" w:fill="auto"/>
            <w:noWrap/>
            <w:vAlign w:val="bottom"/>
            <w:hideMark/>
          </w:tcPr>
          <w:p w14:paraId="7D9BFD7A" w14:textId="77777777" w:rsidR="009453BD" w:rsidRPr="00EA3D8C" w:rsidRDefault="009453BD" w:rsidP="009453BD">
            <w:pPr>
              <w:spacing w:after="0" w:line="240" w:lineRule="auto"/>
              <w:ind w:left="360" w:hanging="360"/>
              <w:rPr>
                <w:rFonts w:cstheme="minorHAnsi"/>
                <w:color w:val="002060"/>
                <w:sz w:val="18"/>
                <w:lang w:val="sr-Cyrl-RS"/>
              </w:rPr>
            </w:pPr>
            <w:r w:rsidRPr="00EA3D8C">
              <w:rPr>
                <w:rFonts w:cstheme="minorHAnsi"/>
                <w:color w:val="002060"/>
                <w:sz w:val="18"/>
                <w:lang w:val="sr-Cyrl-RS"/>
              </w:rPr>
              <w:t>Бруто инвестиције у основне фондове</w:t>
            </w:r>
          </w:p>
        </w:tc>
        <w:tc>
          <w:tcPr>
            <w:tcW w:w="641" w:type="pct"/>
            <w:shd w:val="clear" w:color="auto" w:fill="auto"/>
            <w:noWrap/>
            <w:vAlign w:val="center"/>
            <w:hideMark/>
          </w:tcPr>
          <w:p w14:paraId="64583950"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5,0</w:t>
            </w:r>
          </w:p>
        </w:tc>
        <w:tc>
          <w:tcPr>
            <w:tcW w:w="642" w:type="pct"/>
            <w:shd w:val="clear" w:color="auto" w:fill="auto"/>
            <w:noWrap/>
            <w:vAlign w:val="center"/>
            <w:hideMark/>
          </w:tcPr>
          <w:p w14:paraId="279BA5F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-12,3</w:t>
            </w:r>
          </w:p>
        </w:tc>
        <w:tc>
          <w:tcPr>
            <w:tcW w:w="642" w:type="pct"/>
            <w:shd w:val="clear" w:color="auto" w:fill="auto"/>
            <w:noWrap/>
            <w:vAlign w:val="center"/>
            <w:hideMark/>
          </w:tcPr>
          <w:p w14:paraId="193B4196"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6,3</w:t>
            </w:r>
          </w:p>
        </w:tc>
        <w:tc>
          <w:tcPr>
            <w:tcW w:w="642" w:type="pct"/>
            <w:shd w:val="clear" w:color="auto" w:fill="auto"/>
            <w:noWrap/>
            <w:vAlign w:val="center"/>
            <w:hideMark/>
          </w:tcPr>
          <w:p w14:paraId="114FE233"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6,1</w:t>
            </w:r>
          </w:p>
        </w:tc>
      </w:tr>
      <w:tr w:rsidR="009453BD" w:rsidRPr="00EA3D8C" w14:paraId="6C630BAC" w14:textId="77777777" w:rsidTr="000B43F5">
        <w:trPr>
          <w:trHeight w:val="227"/>
        </w:trPr>
        <w:tc>
          <w:tcPr>
            <w:tcW w:w="2434" w:type="pct"/>
            <w:shd w:val="clear" w:color="auto" w:fill="auto"/>
            <w:noWrap/>
            <w:vAlign w:val="bottom"/>
            <w:hideMark/>
          </w:tcPr>
          <w:p w14:paraId="26A03BB3" w14:textId="77777777" w:rsidR="009453BD" w:rsidRPr="00EA3D8C" w:rsidRDefault="009453BD" w:rsidP="009453BD">
            <w:pPr>
              <w:spacing w:after="0" w:line="240" w:lineRule="auto"/>
              <w:ind w:left="360" w:hanging="360"/>
              <w:rPr>
                <w:rFonts w:cstheme="minorHAnsi"/>
                <w:color w:val="002060"/>
                <w:sz w:val="18"/>
                <w:lang w:val="sr-Cyrl-RS"/>
              </w:rPr>
            </w:pPr>
            <w:r w:rsidRPr="00EA3D8C">
              <w:rPr>
                <w:rFonts w:cstheme="minorHAnsi"/>
                <w:color w:val="002060"/>
                <w:sz w:val="18"/>
                <w:lang w:val="sr-Cyrl-RS"/>
              </w:rPr>
              <w:t>Извоз</w:t>
            </w:r>
          </w:p>
        </w:tc>
        <w:tc>
          <w:tcPr>
            <w:tcW w:w="641" w:type="pct"/>
            <w:shd w:val="clear" w:color="auto" w:fill="auto"/>
            <w:noWrap/>
            <w:vAlign w:val="center"/>
            <w:hideMark/>
          </w:tcPr>
          <w:p w14:paraId="6C1F114D"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2,5</w:t>
            </w:r>
          </w:p>
        </w:tc>
        <w:tc>
          <w:tcPr>
            <w:tcW w:w="642" w:type="pct"/>
            <w:shd w:val="clear" w:color="auto" w:fill="auto"/>
            <w:noWrap/>
            <w:vAlign w:val="center"/>
            <w:hideMark/>
          </w:tcPr>
          <w:p w14:paraId="7EE7978D"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-13,7</w:t>
            </w:r>
          </w:p>
        </w:tc>
        <w:tc>
          <w:tcPr>
            <w:tcW w:w="642" w:type="pct"/>
            <w:shd w:val="clear" w:color="auto" w:fill="auto"/>
            <w:noWrap/>
            <w:vAlign w:val="center"/>
            <w:hideMark/>
          </w:tcPr>
          <w:p w14:paraId="15AE01A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7,4</w:t>
            </w:r>
          </w:p>
        </w:tc>
        <w:tc>
          <w:tcPr>
            <w:tcW w:w="642" w:type="pct"/>
            <w:shd w:val="clear" w:color="auto" w:fill="auto"/>
            <w:noWrap/>
            <w:vAlign w:val="center"/>
            <w:hideMark/>
          </w:tcPr>
          <w:p w14:paraId="4F82EA4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4,5</w:t>
            </w:r>
          </w:p>
        </w:tc>
      </w:tr>
      <w:tr w:rsidR="009453BD" w:rsidRPr="00EA3D8C" w14:paraId="4D6ED71D" w14:textId="77777777" w:rsidTr="000B43F5">
        <w:trPr>
          <w:trHeight w:val="227"/>
        </w:trPr>
        <w:tc>
          <w:tcPr>
            <w:tcW w:w="2434" w:type="pct"/>
            <w:shd w:val="clear" w:color="auto" w:fill="auto"/>
            <w:noWrap/>
            <w:vAlign w:val="bottom"/>
            <w:hideMark/>
          </w:tcPr>
          <w:p w14:paraId="2EC3A9D1" w14:textId="77777777" w:rsidR="009453BD" w:rsidRPr="00EA3D8C" w:rsidRDefault="009453BD" w:rsidP="009453BD">
            <w:pPr>
              <w:spacing w:after="0" w:line="240" w:lineRule="auto"/>
              <w:ind w:left="360" w:hanging="360"/>
              <w:rPr>
                <w:rFonts w:cstheme="minorHAnsi"/>
                <w:color w:val="002060"/>
                <w:sz w:val="18"/>
                <w:lang w:val="sr-Cyrl-RS"/>
              </w:rPr>
            </w:pPr>
            <w:r w:rsidRPr="00EA3D8C">
              <w:rPr>
                <w:rFonts w:cstheme="minorHAnsi"/>
                <w:color w:val="002060"/>
                <w:sz w:val="18"/>
                <w:lang w:val="sr-Cyrl-RS"/>
              </w:rPr>
              <w:t>Увоз</w:t>
            </w:r>
          </w:p>
        </w:tc>
        <w:tc>
          <w:tcPr>
            <w:tcW w:w="641" w:type="pct"/>
            <w:shd w:val="clear" w:color="auto" w:fill="auto"/>
            <w:noWrap/>
            <w:vAlign w:val="center"/>
            <w:hideMark/>
          </w:tcPr>
          <w:p w14:paraId="235672C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3,9</w:t>
            </w:r>
          </w:p>
        </w:tc>
        <w:tc>
          <w:tcPr>
            <w:tcW w:w="642" w:type="pct"/>
            <w:shd w:val="clear" w:color="auto" w:fill="auto"/>
            <w:noWrap/>
            <w:vAlign w:val="center"/>
            <w:hideMark/>
          </w:tcPr>
          <w:p w14:paraId="467EB49B"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-11,7</w:t>
            </w:r>
          </w:p>
        </w:tc>
        <w:tc>
          <w:tcPr>
            <w:tcW w:w="642" w:type="pct"/>
            <w:shd w:val="clear" w:color="auto" w:fill="auto"/>
            <w:noWrap/>
            <w:vAlign w:val="center"/>
            <w:hideMark/>
          </w:tcPr>
          <w:p w14:paraId="05E37681"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7,0</w:t>
            </w:r>
          </w:p>
        </w:tc>
        <w:tc>
          <w:tcPr>
            <w:tcW w:w="642" w:type="pct"/>
            <w:shd w:val="clear" w:color="auto" w:fill="auto"/>
            <w:noWrap/>
            <w:vAlign w:val="center"/>
            <w:hideMark/>
          </w:tcPr>
          <w:p w14:paraId="0245DE53"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5,0</w:t>
            </w:r>
          </w:p>
        </w:tc>
      </w:tr>
      <w:tr w:rsidR="009453BD" w:rsidRPr="00EA3D8C" w14:paraId="499BAADE" w14:textId="77777777" w:rsidTr="000B43F5">
        <w:trPr>
          <w:trHeight w:val="227"/>
        </w:trPr>
        <w:tc>
          <w:tcPr>
            <w:tcW w:w="2434" w:type="pct"/>
            <w:shd w:val="clear" w:color="auto" w:fill="auto"/>
            <w:noWrap/>
            <w:vAlign w:val="bottom"/>
            <w:hideMark/>
          </w:tcPr>
          <w:p w14:paraId="303F5FE3"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Запосленост</w:t>
            </w:r>
          </w:p>
        </w:tc>
        <w:tc>
          <w:tcPr>
            <w:tcW w:w="641" w:type="pct"/>
            <w:shd w:val="clear" w:color="auto" w:fill="auto"/>
            <w:noWrap/>
            <w:vAlign w:val="center"/>
            <w:hideMark/>
          </w:tcPr>
          <w:p w14:paraId="0A4E449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1,2</w:t>
            </w:r>
          </w:p>
        </w:tc>
        <w:tc>
          <w:tcPr>
            <w:tcW w:w="642" w:type="pct"/>
            <w:shd w:val="clear" w:color="auto" w:fill="auto"/>
            <w:noWrap/>
            <w:vAlign w:val="center"/>
            <w:hideMark/>
          </w:tcPr>
          <w:p w14:paraId="77AAD089"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-2,3</w:t>
            </w:r>
          </w:p>
        </w:tc>
        <w:tc>
          <w:tcPr>
            <w:tcW w:w="642" w:type="pct"/>
            <w:shd w:val="clear" w:color="auto" w:fill="auto"/>
            <w:noWrap/>
            <w:vAlign w:val="center"/>
            <w:hideMark/>
          </w:tcPr>
          <w:p w14:paraId="6F0F1CFD"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0,1</w:t>
            </w:r>
          </w:p>
        </w:tc>
        <w:tc>
          <w:tcPr>
            <w:tcW w:w="642" w:type="pct"/>
            <w:shd w:val="clear" w:color="auto" w:fill="auto"/>
            <w:noWrap/>
            <w:vAlign w:val="center"/>
            <w:hideMark/>
          </w:tcPr>
          <w:p w14:paraId="31D8149D"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1,3</w:t>
            </w:r>
          </w:p>
        </w:tc>
      </w:tr>
      <w:tr w:rsidR="009453BD" w:rsidRPr="00EA3D8C" w14:paraId="74247EC1" w14:textId="77777777" w:rsidTr="000B43F5">
        <w:trPr>
          <w:trHeight w:val="227"/>
        </w:trPr>
        <w:tc>
          <w:tcPr>
            <w:tcW w:w="2434" w:type="pct"/>
            <w:shd w:val="clear" w:color="auto" w:fill="auto"/>
            <w:noWrap/>
            <w:vAlign w:val="bottom"/>
            <w:hideMark/>
          </w:tcPr>
          <w:p w14:paraId="73F6ECB3"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Стопа незапослености</w:t>
            </w:r>
          </w:p>
        </w:tc>
        <w:tc>
          <w:tcPr>
            <w:tcW w:w="641" w:type="pct"/>
            <w:shd w:val="clear" w:color="auto" w:fill="auto"/>
            <w:noWrap/>
            <w:vAlign w:val="center"/>
            <w:hideMark/>
          </w:tcPr>
          <w:p w14:paraId="62E37800"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7,6</w:t>
            </w:r>
          </w:p>
        </w:tc>
        <w:tc>
          <w:tcPr>
            <w:tcW w:w="642" w:type="pct"/>
            <w:shd w:val="clear" w:color="auto" w:fill="auto"/>
            <w:noWrap/>
            <w:vAlign w:val="center"/>
            <w:hideMark/>
          </w:tcPr>
          <w:p w14:paraId="4B7F8445"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8,5</w:t>
            </w:r>
          </w:p>
        </w:tc>
        <w:tc>
          <w:tcPr>
            <w:tcW w:w="642" w:type="pct"/>
            <w:shd w:val="clear" w:color="auto" w:fill="auto"/>
            <w:noWrap/>
            <w:vAlign w:val="center"/>
            <w:hideMark/>
          </w:tcPr>
          <w:p w14:paraId="760236F6"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9,5</w:t>
            </w:r>
          </w:p>
        </w:tc>
        <w:tc>
          <w:tcPr>
            <w:tcW w:w="642" w:type="pct"/>
            <w:shd w:val="clear" w:color="auto" w:fill="auto"/>
            <w:noWrap/>
            <w:vAlign w:val="center"/>
            <w:hideMark/>
          </w:tcPr>
          <w:p w14:paraId="4E036AC9"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8,8</w:t>
            </w:r>
          </w:p>
        </w:tc>
      </w:tr>
      <w:tr w:rsidR="009453BD" w:rsidRPr="00EA3D8C" w14:paraId="58FA7E80" w14:textId="77777777" w:rsidTr="000B43F5">
        <w:trPr>
          <w:trHeight w:val="227"/>
        </w:trPr>
        <w:tc>
          <w:tcPr>
            <w:tcW w:w="2434" w:type="pct"/>
            <w:shd w:val="clear" w:color="auto" w:fill="auto"/>
            <w:noWrap/>
            <w:vAlign w:val="bottom"/>
            <w:hideMark/>
          </w:tcPr>
          <w:p w14:paraId="371F94DF"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Инфлација</w:t>
            </w:r>
          </w:p>
        </w:tc>
        <w:tc>
          <w:tcPr>
            <w:tcW w:w="641" w:type="pct"/>
            <w:shd w:val="clear" w:color="auto" w:fill="auto"/>
            <w:noWrap/>
            <w:vAlign w:val="center"/>
            <w:hideMark/>
          </w:tcPr>
          <w:p w14:paraId="519EF212"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1,2</w:t>
            </w:r>
          </w:p>
        </w:tc>
        <w:tc>
          <w:tcPr>
            <w:tcW w:w="642" w:type="pct"/>
            <w:shd w:val="clear" w:color="auto" w:fill="auto"/>
            <w:noWrap/>
            <w:vAlign w:val="center"/>
            <w:hideMark/>
          </w:tcPr>
          <w:p w14:paraId="59B98C2E"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0,3</w:t>
            </w:r>
          </w:p>
        </w:tc>
        <w:tc>
          <w:tcPr>
            <w:tcW w:w="642" w:type="pct"/>
            <w:shd w:val="clear" w:color="auto" w:fill="auto"/>
            <w:noWrap/>
            <w:vAlign w:val="center"/>
            <w:hideMark/>
          </w:tcPr>
          <w:p w14:paraId="3E43B347"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1,0</w:t>
            </w:r>
          </w:p>
        </w:tc>
        <w:tc>
          <w:tcPr>
            <w:tcW w:w="642" w:type="pct"/>
            <w:shd w:val="clear" w:color="auto" w:fill="auto"/>
            <w:noWrap/>
            <w:vAlign w:val="center"/>
            <w:hideMark/>
          </w:tcPr>
          <w:p w14:paraId="46417A38"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1,3</w:t>
            </w:r>
          </w:p>
        </w:tc>
      </w:tr>
      <w:tr w:rsidR="009453BD" w:rsidRPr="00EA3D8C" w14:paraId="56BB2888" w14:textId="77777777" w:rsidTr="000B43F5">
        <w:trPr>
          <w:trHeight w:val="227"/>
        </w:trPr>
        <w:tc>
          <w:tcPr>
            <w:tcW w:w="2434" w:type="pct"/>
            <w:shd w:val="clear" w:color="auto" w:fill="auto"/>
            <w:noWrap/>
            <w:vAlign w:val="bottom"/>
            <w:hideMark/>
          </w:tcPr>
          <w:p w14:paraId="1CD3CB45"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Јединични трошкови рада</w:t>
            </w:r>
          </w:p>
        </w:tc>
        <w:tc>
          <w:tcPr>
            <w:tcW w:w="641" w:type="pct"/>
            <w:shd w:val="clear" w:color="auto" w:fill="auto"/>
            <w:noWrap/>
            <w:vAlign w:val="center"/>
            <w:hideMark/>
          </w:tcPr>
          <w:p w14:paraId="0429D695"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1,9</w:t>
            </w:r>
          </w:p>
        </w:tc>
        <w:tc>
          <w:tcPr>
            <w:tcW w:w="642" w:type="pct"/>
            <w:shd w:val="clear" w:color="auto" w:fill="auto"/>
            <w:noWrap/>
            <w:vAlign w:val="center"/>
            <w:hideMark/>
          </w:tcPr>
          <w:p w14:paraId="5419D4A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4,3</w:t>
            </w:r>
          </w:p>
        </w:tc>
        <w:tc>
          <w:tcPr>
            <w:tcW w:w="642" w:type="pct"/>
            <w:shd w:val="clear" w:color="auto" w:fill="auto"/>
            <w:noWrap/>
            <w:vAlign w:val="center"/>
            <w:hideMark/>
          </w:tcPr>
          <w:p w14:paraId="7E0062F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-1,7</w:t>
            </w:r>
          </w:p>
        </w:tc>
        <w:tc>
          <w:tcPr>
            <w:tcW w:w="642" w:type="pct"/>
            <w:shd w:val="clear" w:color="auto" w:fill="auto"/>
            <w:noWrap/>
            <w:vAlign w:val="center"/>
            <w:hideMark/>
          </w:tcPr>
          <w:p w14:paraId="6FE24698"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0,1</w:t>
            </w:r>
          </w:p>
        </w:tc>
      </w:tr>
      <w:tr w:rsidR="009453BD" w:rsidRPr="00EA3D8C" w14:paraId="27142822" w14:textId="77777777" w:rsidTr="000B43F5">
        <w:trPr>
          <w:trHeight w:val="227"/>
        </w:trPr>
        <w:tc>
          <w:tcPr>
            <w:tcW w:w="2434" w:type="pct"/>
            <w:shd w:val="clear" w:color="auto" w:fill="auto"/>
            <w:noWrap/>
            <w:vAlign w:val="bottom"/>
            <w:hideMark/>
          </w:tcPr>
          <w:p w14:paraId="650ED839"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Фискални резултат опште државе, % БДП</w:t>
            </w:r>
          </w:p>
        </w:tc>
        <w:tc>
          <w:tcPr>
            <w:tcW w:w="641" w:type="pct"/>
            <w:shd w:val="clear" w:color="auto" w:fill="auto"/>
            <w:noWrap/>
            <w:vAlign w:val="center"/>
            <w:hideMark/>
          </w:tcPr>
          <w:p w14:paraId="0589F55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-0,6</w:t>
            </w:r>
          </w:p>
        </w:tc>
        <w:tc>
          <w:tcPr>
            <w:tcW w:w="642" w:type="pct"/>
            <w:shd w:val="clear" w:color="auto" w:fill="auto"/>
            <w:noWrap/>
            <w:vAlign w:val="center"/>
            <w:hideMark/>
          </w:tcPr>
          <w:p w14:paraId="18962DBA"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-8,8</w:t>
            </w:r>
          </w:p>
        </w:tc>
        <w:tc>
          <w:tcPr>
            <w:tcW w:w="642" w:type="pct"/>
            <w:shd w:val="clear" w:color="auto" w:fill="auto"/>
            <w:noWrap/>
            <w:vAlign w:val="center"/>
            <w:hideMark/>
          </w:tcPr>
          <w:p w14:paraId="5464FC9B"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-4,9</w:t>
            </w:r>
          </w:p>
        </w:tc>
        <w:tc>
          <w:tcPr>
            <w:tcW w:w="642" w:type="pct"/>
            <w:shd w:val="clear" w:color="auto" w:fill="auto"/>
            <w:noWrap/>
            <w:vAlign w:val="center"/>
            <w:hideMark/>
          </w:tcPr>
          <w:p w14:paraId="413B9D73"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-3,6</w:t>
            </w:r>
          </w:p>
        </w:tc>
      </w:tr>
      <w:tr w:rsidR="009453BD" w:rsidRPr="00EA3D8C" w14:paraId="387E3197" w14:textId="77777777" w:rsidTr="000B43F5">
        <w:trPr>
          <w:trHeight w:val="227"/>
        </w:trPr>
        <w:tc>
          <w:tcPr>
            <w:tcW w:w="2434" w:type="pct"/>
            <w:shd w:val="clear" w:color="auto" w:fill="auto"/>
            <w:noWrap/>
            <w:vAlign w:val="bottom"/>
            <w:hideMark/>
          </w:tcPr>
          <w:p w14:paraId="4B5474A5"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Бруто дуг опште државе, % БДП</w:t>
            </w:r>
          </w:p>
        </w:tc>
        <w:tc>
          <w:tcPr>
            <w:tcW w:w="641" w:type="pct"/>
            <w:shd w:val="clear" w:color="auto" w:fill="auto"/>
            <w:noWrap/>
            <w:vAlign w:val="center"/>
            <w:hideMark/>
          </w:tcPr>
          <w:p w14:paraId="020BC50C"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84,0</w:t>
            </w:r>
          </w:p>
        </w:tc>
        <w:tc>
          <w:tcPr>
            <w:tcW w:w="642" w:type="pct"/>
            <w:shd w:val="clear" w:color="auto" w:fill="auto"/>
            <w:noWrap/>
            <w:vAlign w:val="center"/>
            <w:hideMark/>
          </w:tcPr>
          <w:p w14:paraId="18930E71"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100,7</w:t>
            </w:r>
          </w:p>
        </w:tc>
        <w:tc>
          <w:tcPr>
            <w:tcW w:w="642" w:type="pct"/>
            <w:shd w:val="clear" w:color="auto" w:fill="auto"/>
            <w:noWrap/>
            <w:vAlign w:val="center"/>
            <w:hideMark/>
          </w:tcPr>
          <w:p w14:paraId="5C9DB78E"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100,0</w:t>
            </w:r>
          </w:p>
        </w:tc>
        <w:tc>
          <w:tcPr>
            <w:tcW w:w="642" w:type="pct"/>
            <w:shd w:val="clear" w:color="auto" w:fill="auto"/>
            <w:noWrap/>
            <w:vAlign w:val="center"/>
            <w:hideMark/>
          </w:tcPr>
          <w:p w14:paraId="29979D67"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98,9</w:t>
            </w:r>
          </w:p>
        </w:tc>
      </w:tr>
      <w:tr w:rsidR="009453BD" w:rsidRPr="00EA3D8C" w14:paraId="07F16D5A" w14:textId="77777777" w:rsidTr="000B43F5">
        <w:trPr>
          <w:trHeight w:val="227"/>
        </w:trPr>
        <w:tc>
          <w:tcPr>
            <w:tcW w:w="2434" w:type="pct"/>
            <w:tcBorders>
              <w:bottom w:val="single" w:sz="4" w:space="0" w:color="002060"/>
            </w:tcBorders>
            <w:shd w:val="clear" w:color="auto" w:fill="auto"/>
            <w:noWrap/>
            <w:vAlign w:val="bottom"/>
            <w:hideMark/>
          </w:tcPr>
          <w:p w14:paraId="5C413808" w14:textId="77777777" w:rsidR="009453BD" w:rsidRPr="00EA3D8C" w:rsidRDefault="009453BD" w:rsidP="009453BD">
            <w:pPr>
              <w:spacing w:after="0" w:line="240" w:lineRule="auto"/>
              <w:ind w:left="255" w:hanging="360"/>
              <w:rPr>
                <w:rFonts w:cstheme="minorHAnsi"/>
                <w:color w:val="002060"/>
                <w:sz w:val="18"/>
                <w:lang w:val="sr-Cyrl-RS"/>
              </w:rPr>
            </w:pPr>
            <w:r w:rsidRPr="00EA3D8C">
              <w:rPr>
                <w:rFonts w:cstheme="minorHAnsi"/>
                <w:color w:val="002060"/>
                <w:sz w:val="18"/>
                <w:lang w:val="sr-Cyrl-RS"/>
              </w:rPr>
              <w:t>Салдо текућег рачуна, %БДП</w:t>
            </w:r>
          </w:p>
        </w:tc>
        <w:tc>
          <w:tcPr>
            <w:tcW w:w="641" w:type="pct"/>
            <w:tcBorders>
              <w:bottom w:val="single" w:sz="4" w:space="0" w:color="002060"/>
            </w:tcBorders>
            <w:shd w:val="clear" w:color="auto" w:fill="auto"/>
            <w:noWrap/>
            <w:vAlign w:val="center"/>
            <w:hideMark/>
          </w:tcPr>
          <w:p w14:paraId="4D0F845D"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2,7</w:t>
            </w:r>
          </w:p>
        </w:tc>
        <w:tc>
          <w:tcPr>
            <w:tcW w:w="642" w:type="pct"/>
            <w:tcBorders>
              <w:bottom w:val="single" w:sz="4" w:space="0" w:color="002060"/>
            </w:tcBorders>
            <w:shd w:val="clear" w:color="auto" w:fill="auto"/>
            <w:noWrap/>
            <w:vAlign w:val="center"/>
            <w:hideMark/>
          </w:tcPr>
          <w:p w14:paraId="6755CE7B"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2,0</w:t>
            </w:r>
          </w:p>
        </w:tc>
        <w:tc>
          <w:tcPr>
            <w:tcW w:w="642" w:type="pct"/>
            <w:tcBorders>
              <w:bottom w:val="single" w:sz="4" w:space="0" w:color="002060"/>
            </w:tcBorders>
            <w:shd w:val="clear" w:color="auto" w:fill="auto"/>
            <w:noWrap/>
            <w:vAlign w:val="center"/>
            <w:hideMark/>
          </w:tcPr>
          <w:p w14:paraId="61DF37B2"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2,6</w:t>
            </w:r>
          </w:p>
        </w:tc>
        <w:tc>
          <w:tcPr>
            <w:tcW w:w="642" w:type="pct"/>
            <w:tcBorders>
              <w:bottom w:val="single" w:sz="4" w:space="0" w:color="002060"/>
            </w:tcBorders>
            <w:shd w:val="clear" w:color="auto" w:fill="auto"/>
            <w:noWrap/>
            <w:vAlign w:val="center"/>
            <w:hideMark/>
          </w:tcPr>
          <w:p w14:paraId="4B68A0E6" w14:textId="77777777" w:rsidR="009453BD" w:rsidRPr="00EA3D8C" w:rsidRDefault="009453BD" w:rsidP="000B43F5">
            <w:pPr>
              <w:spacing w:after="0" w:line="240" w:lineRule="auto"/>
              <w:jc w:val="center"/>
              <w:rPr>
                <w:rFonts w:cstheme="minorHAnsi"/>
                <w:color w:val="002060"/>
                <w:sz w:val="18"/>
                <w:lang w:val="sr-Cyrl-RS"/>
              </w:rPr>
            </w:pPr>
            <w:r w:rsidRPr="00EA3D8C">
              <w:rPr>
                <w:rFonts w:cstheme="minorHAnsi"/>
                <w:color w:val="002060"/>
                <w:sz w:val="18"/>
                <w:lang w:val="sr-Cyrl-RS"/>
              </w:rPr>
              <w:t>2,6</w:t>
            </w:r>
          </w:p>
        </w:tc>
      </w:tr>
    </w:tbl>
    <w:p w14:paraId="53FCC859" w14:textId="77777777" w:rsidR="009453BD" w:rsidRPr="00EA3D8C" w:rsidRDefault="009453BD" w:rsidP="000A357F">
      <w:pPr>
        <w:spacing w:before="40"/>
        <w:jc w:val="left"/>
        <w:rPr>
          <w:rFonts w:cstheme="minorHAnsi"/>
          <w:bCs/>
          <w:szCs w:val="72"/>
          <w:lang w:val="sr-Cyrl-RS"/>
        </w:rPr>
        <w:sectPr w:rsidR="009453BD" w:rsidRPr="00EA3D8C" w:rsidSect="00AE40EB">
          <w:type w:val="continuous"/>
          <w:pgSz w:w="12240" w:h="15840" w:code="1"/>
          <w:pgMar w:top="1440" w:right="1440" w:bottom="1440" w:left="1440" w:header="720" w:footer="720" w:gutter="0"/>
          <w:cols w:space="720"/>
          <w:docGrid w:linePitch="360"/>
        </w:sectPr>
      </w:pPr>
      <w:r w:rsidRPr="00EA3D8C">
        <w:rPr>
          <w:rFonts w:cstheme="minorHAnsi"/>
          <w:bCs/>
          <w:sz w:val="16"/>
          <w:szCs w:val="72"/>
          <w:lang w:val="sr-Cyrl-RS"/>
        </w:rPr>
        <w:t>Извор: Макроекономске пројекције стручњака ЕЦБ за подручје еврозоне, септембар 2020.</w:t>
      </w:r>
    </w:p>
    <w:p w14:paraId="239ED015" w14:textId="77777777" w:rsidR="009453BD" w:rsidRPr="00EA3D8C" w:rsidRDefault="009453BD" w:rsidP="009453BD">
      <w:pPr>
        <w:spacing w:after="120" w:line="276" w:lineRule="auto"/>
        <w:rPr>
          <w:rFonts w:cstheme="minorHAnsi"/>
          <w:bCs/>
          <w:spacing w:val="-2"/>
          <w:szCs w:val="72"/>
          <w:lang w:val="sr-Cyrl-RS"/>
        </w:rPr>
      </w:pPr>
      <w:r w:rsidRPr="00EA3D8C">
        <w:rPr>
          <w:rFonts w:cstheme="minorHAnsi"/>
          <w:bCs/>
          <w:spacing w:val="-2"/>
          <w:szCs w:val="72"/>
          <w:lang w:val="sr-Cyrl-RS"/>
        </w:rPr>
        <w:lastRenderedPageBreak/>
        <w:t>Иако се незапосленост последњих месеци повећала мање него што се предвиђало јунским пројекцијама, очекује се да ће се ситуација на тржишту рада знатно погоршати. Предвиђа се да ће се стопа незапослености повећати са 7,3% у првом кварталу 2020. године на 9,5% у 2021. години, а затим ће уследити смањење на 8,8% у 2022. години, како се економска активност буде постепено враћала у нормалу. Иако је пад запослености у смислу броја запослених ублажен опсежним прибегавањем скраћења радног времена у многим земљама, очекује се да ће се укупан број сати рада знатно смањити, одражавајући чињеницу да је много људи било запослено али је ефективно радило далеко мање сати. Ово ће се одразити и на продуктивност рада, чији се пад прогнозира у 2020. години, док се од средине 2021. године очекује враћање продуктивности на раније нивое. У истом периоду, слична кретање ће бити забележена и код зарада запослених.</w:t>
      </w:r>
    </w:p>
    <w:p w14:paraId="1EA16FA0" w14:textId="60BF09CC" w:rsidR="009453BD" w:rsidRPr="00EA3D8C" w:rsidRDefault="009453BD" w:rsidP="009453BD">
      <w:pPr>
        <w:spacing w:after="120" w:line="276" w:lineRule="auto"/>
        <w:rPr>
          <w:rFonts w:cstheme="minorHAnsi"/>
          <w:bCs/>
          <w:szCs w:val="72"/>
          <w:lang w:val="sr-Cyrl-RS"/>
        </w:rPr>
      </w:pPr>
      <w:r w:rsidRPr="00EA3D8C">
        <w:rPr>
          <w:rFonts w:cstheme="minorHAnsi"/>
          <w:bCs/>
          <w:szCs w:val="72"/>
          <w:lang w:val="sr-Cyrl-RS"/>
        </w:rPr>
        <w:t xml:space="preserve">Краткорочна очекивања за инфлацију су блиска нули, услед пада цена нафте, апрецијације евра и привременог смањења стопе </w:t>
      </w:r>
      <w:r w:rsidR="00496856">
        <w:rPr>
          <w:rFonts w:cstheme="minorHAnsi"/>
          <w:bCs/>
          <w:szCs w:val="72"/>
          <w:lang w:val="sr-Cyrl-RS"/>
        </w:rPr>
        <w:t>пореза на додат</w:t>
      </w:r>
      <w:r w:rsidR="00D43E25">
        <w:rPr>
          <w:rFonts w:cstheme="minorHAnsi"/>
          <w:bCs/>
          <w:szCs w:val="72"/>
          <w:lang w:val="sr-Cyrl-RS"/>
        </w:rPr>
        <w:t>у</w:t>
      </w:r>
      <w:r w:rsidR="00496856">
        <w:rPr>
          <w:rFonts w:cstheme="minorHAnsi"/>
          <w:bCs/>
          <w:szCs w:val="72"/>
          <w:lang w:val="sr-Cyrl-RS"/>
        </w:rPr>
        <w:t xml:space="preserve"> вредност (у даљем тексту: </w:t>
      </w:r>
      <w:r w:rsidRPr="00EA3D8C">
        <w:rPr>
          <w:rFonts w:cstheme="minorHAnsi"/>
          <w:bCs/>
          <w:szCs w:val="72"/>
          <w:lang w:val="sr-Cyrl-RS"/>
        </w:rPr>
        <w:t>ПДВ</w:t>
      </w:r>
      <w:r w:rsidR="00496856">
        <w:rPr>
          <w:rFonts w:cstheme="minorHAnsi"/>
          <w:bCs/>
          <w:szCs w:val="72"/>
          <w:lang w:val="sr-Cyrl-RS"/>
        </w:rPr>
        <w:t>)</w:t>
      </w:r>
      <w:r w:rsidRPr="00EA3D8C">
        <w:rPr>
          <w:rFonts w:cstheme="minorHAnsi"/>
          <w:bCs/>
          <w:szCs w:val="72"/>
          <w:lang w:val="sr-Cyrl-RS"/>
        </w:rPr>
        <w:t xml:space="preserve"> у Немачкој. Међутим, у 2021. години може доћи до раста инфлације услед укидања одлуке о смањењу ПДВ, као и очекиваног раста цена нафте и опоравка тражње. Очекује се раст инфлације са 0,3% у 2020. </w:t>
      </w:r>
      <w:r w:rsidRPr="00EA3D8C">
        <w:rPr>
          <w:rFonts w:cstheme="minorHAnsi"/>
          <w:bCs/>
          <w:szCs w:val="72"/>
          <w:lang w:val="sr-Cyrl-RS"/>
        </w:rPr>
        <w:lastRenderedPageBreak/>
        <w:t>години на 1,0% у 2021. години, док ће базна инфлациј</w:t>
      </w:r>
      <w:r w:rsidR="00EC6D62">
        <w:rPr>
          <w:rFonts w:cstheme="minorHAnsi"/>
          <w:bCs/>
          <w:szCs w:val="72"/>
          <w:lang w:val="sr-Cyrl-RS"/>
        </w:rPr>
        <w:t>а остати ниска и стабилна, и за</w:t>
      </w:r>
      <w:r w:rsidRPr="00EA3D8C">
        <w:rPr>
          <w:rFonts w:cstheme="minorHAnsi"/>
          <w:bCs/>
          <w:szCs w:val="72"/>
          <w:lang w:val="sr-Cyrl-RS"/>
        </w:rPr>
        <w:t>бележиће благи раст са 0,8% на 0,9% у истом периоду.</w:t>
      </w:r>
    </w:p>
    <w:p w14:paraId="3244173B" w14:textId="228334CB" w:rsidR="009453BD" w:rsidRPr="00EA3D8C" w:rsidRDefault="009453BD" w:rsidP="009453BD">
      <w:pPr>
        <w:spacing w:after="120"/>
        <w:rPr>
          <w:rFonts w:cstheme="minorHAnsi"/>
          <w:bCs/>
          <w:spacing w:val="-2"/>
          <w:szCs w:val="72"/>
          <w:lang w:val="sr-Cyrl-RS"/>
        </w:rPr>
      </w:pPr>
      <w:r w:rsidRPr="00EA3D8C">
        <w:rPr>
          <w:rFonts w:cstheme="minorHAnsi"/>
          <w:bCs/>
          <w:spacing w:val="-2"/>
          <w:szCs w:val="72"/>
          <w:lang w:val="sr-Cyrl-RS"/>
        </w:rPr>
        <w:t xml:space="preserve">Фискална политика током 2020. године је оцењена као изразито експанзивна, будући да су биле неопходне ванредне фискалне мере ради ублажавања негативних ефеката пандемије. За већину мера је предвиђено да важе до краја 2020. године, па се предвиђа да ће фискална политика у 2021. години бити рестриктивнија. </w:t>
      </w:r>
      <w:r w:rsidR="00C2087D">
        <w:rPr>
          <w:rFonts w:cstheme="minorHAnsi"/>
          <w:bCs/>
          <w:spacing w:val="-2"/>
          <w:szCs w:val="72"/>
          <w:lang w:val="sr-Cyrl-RS"/>
        </w:rPr>
        <w:t>Као последица ван</w:t>
      </w:r>
      <w:r w:rsidRPr="00EA3D8C">
        <w:rPr>
          <w:rFonts w:cstheme="minorHAnsi"/>
          <w:bCs/>
          <w:spacing w:val="-2"/>
          <w:szCs w:val="72"/>
          <w:lang w:val="sr-Cyrl-RS"/>
        </w:rPr>
        <w:t>редних фискалних мера и негативног економског циклуса у евро зони, 2020. година ће бити завршена са драматичним растом буџетског дефицита и удела дуга у БДП. Фискална позиција ће бити побољшана у 2021. и 2022. години како због истека предвиђених једнокр</w:t>
      </w:r>
      <w:r w:rsidR="00C2087D">
        <w:rPr>
          <w:rFonts w:cstheme="minorHAnsi"/>
          <w:bCs/>
          <w:spacing w:val="-2"/>
          <w:szCs w:val="72"/>
        </w:rPr>
        <w:t>a</w:t>
      </w:r>
      <w:r w:rsidRPr="00EA3D8C">
        <w:rPr>
          <w:rFonts w:cstheme="minorHAnsi"/>
          <w:bCs/>
          <w:spacing w:val="-2"/>
          <w:szCs w:val="72"/>
          <w:lang w:val="sr-Cyrl-RS"/>
        </w:rPr>
        <w:t>тних мера помоћи привреди и становништву, тако и због нормализације економске ак</w:t>
      </w:r>
      <w:r w:rsidR="00640C2E">
        <w:rPr>
          <w:rFonts w:cstheme="minorHAnsi"/>
          <w:bCs/>
          <w:spacing w:val="-2"/>
          <w:szCs w:val="72"/>
          <w:lang w:val="sr-Cyrl-RS"/>
        </w:rPr>
        <w:t>тивности и њеног враћања на прет</w:t>
      </w:r>
      <w:r w:rsidRPr="00EA3D8C">
        <w:rPr>
          <w:rFonts w:cstheme="minorHAnsi"/>
          <w:bCs/>
          <w:spacing w:val="-2"/>
          <w:szCs w:val="72"/>
          <w:lang w:val="sr-Cyrl-RS"/>
        </w:rPr>
        <w:t>кризни ниво.</w:t>
      </w:r>
    </w:p>
    <w:p w14:paraId="793BFE8F" w14:textId="77777777" w:rsidR="009453BD" w:rsidRPr="00EA3D8C" w:rsidRDefault="009453BD" w:rsidP="009453BD">
      <w:pPr>
        <w:spacing w:after="120"/>
        <w:rPr>
          <w:rFonts w:cstheme="minorHAnsi"/>
          <w:bCs/>
          <w:szCs w:val="72"/>
          <w:lang w:val="sr-Cyrl-RS"/>
        </w:rPr>
      </w:pPr>
      <w:r w:rsidRPr="00EA3D8C">
        <w:rPr>
          <w:rFonts w:cstheme="minorHAnsi"/>
          <w:bCs/>
          <w:szCs w:val="72"/>
          <w:lang w:val="sr-Cyrl-RS"/>
        </w:rPr>
        <w:t>ЕЦБ је на састанку у октобру 2020. године одлучила да референтна каматна стопа остане на рекордно ниском нивоу од 0,00%, док је каматну стопу на кредитне и депозитне олакшице задржала на 0,25% и -0,50%, респективно. Савет гувернера ЕЦБ очекује да ће референтне каматне стопе остати на тренутном или нижем нивоу све док пројекција не укаже да ће се инфлација приближити или достићи 2,0%.</w:t>
      </w:r>
    </w:p>
    <w:p w14:paraId="0DA1A2C6" w14:textId="77777777" w:rsidR="009453BD" w:rsidRPr="00EA3D8C" w:rsidRDefault="009453BD" w:rsidP="009453BD">
      <w:pPr>
        <w:spacing w:after="120"/>
        <w:rPr>
          <w:rFonts w:cstheme="minorHAnsi"/>
          <w:bCs/>
          <w:szCs w:val="72"/>
          <w:lang w:val="sr-Cyrl-RS"/>
        </w:rPr>
        <w:sectPr w:rsidR="009453BD" w:rsidRPr="00EA3D8C" w:rsidSect="00AE40EB">
          <w:type w:val="continuous"/>
          <w:pgSz w:w="12240" w:h="15840" w:code="1"/>
          <w:pgMar w:top="1440" w:right="1440" w:bottom="1440" w:left="1440" w:header="720" w:footer="720" w:gutter="0"/>
          <w:cols w:num="2" w:space="720"/>
          <w:docGrid w:linePitch="360"/>
        </w:sectPr>
      </w:pPr>
    </w:p>
    <w:p w14:paraId="3D61785A" w14:textId="77777777" w:rsidR="008C7A01" w:rsidRPr="00EA3D8C" w:rsidRDefault="008C7A01">
      <w:pPr>
        <w:jc w:val="left"/>
        <w:rPr>
          <w:rFonts w:eastAsiaTheme="majorEastAsia" w:cstheme="minorHAnsi"/>
          <w:b/>
          <w:color w:val="2F5496" w:themeColor="accent1" w:themeShade="BF"/>
          <w:sz w:val="24"/>
          <w:szCs w:val="26"/>
          <w:lang w:val="sr-Cyrl-RS"/>
        </w:rPr>
      </w:pPr>
      <w:bookmarkStart w:id="5" w:name="_Toc530041994"/>
      <w:bookmarkStart w:id="6" w:name="_Toc23342462"/>
      <w:r w:rsidRPr="00EA3D8C">
        <w:rPr>
          <w:rFonts w:cstheme="minorHAnsi"/>
          <w:b/>
          <w:sz w:val="24"/>
          <w:lang w:val="sr-Cyrl-RS"/>
        </w:rPr>
        <w:lastRenderedPageBreak/>
        <w:br w:type="page"/>
      </w:r>
    </w:p>
    <w:p w14:paraId="4B8CD081" w14:textId="7B170681" w:rsidR="0022630A" w:rsidRPr="00EA3D8C" w:rsidRDefault="0022630A" w:rsidP="0022630A">
      <w:pPr>
        <w:pStyle w:val="Heading2"/>
        <w:spacing w:after="160"/>
        <w:jc w:val="center"/>
        <w:rPr>
          <w:rFonts w:asciiTheme="minorHAnsi" w:hAnsiTheme="minorHAnsi" w:cstheme="minorHAnsi"/>
          <w:b/>
          <w:sz w:val="24"/>
          <w:lang w:val="sr-Cyrl-RS"/>
        </w:rPr>
        <w:sectPr w:rsidR="0022630A" w:rsidRPr="00EA3D8C" w:rsidSect="00AE40EB">
          <w:headerReference w:type="even" r:id="rId33"/>
          <w:headerReference w:type="default" r:id="rId34"/>
          <w:footerReference w:type="even" r:id="rId35"/>
          <w:footerReference w:type="default" r:id="rId36"/>
          <w:type w:val="continuous"/>
          <w:pgSz w:w="12240" w:h="15840" w:code="1"/>
          <w:pgMar w:top="1440" w:right="1440" w:bottom="1440" w:left="1440" w:header="720" w:footer="720" w:gutter="0"/>
          <w:cols w:space="720"/>
          <w:docGrid w:linePitch="360"/>
        </w:sectPr>
      </w:pPr>
      <w:bookmarkStart w:id="7" w:name="_Toc56667072"/>
      <w:r w:rsidRPr="00EA3D8C">
        <w:rPr>
          <w:rFonts w:asciiTheme="minorHAnsi" w:hAnsiTheme="minorHAnsi" w:cstheme="minorHAnsi"/>
          <w:b/>
          <w:sz w:val="24"/>
          <w:lang w:val="sr-Cyrl-RS"/>
        </w:rPr>
        <w:lastRenderedPageBreak/>
        <w:t>3. Текућа макроекономска кретања у Републици Србији и изгледи</w:t>
      </w:r>
      <w:r w:rsidRPr="00EA3D8C">
        <w:rPr>
          <w:rFonts w:asciiTheme="minorHAnsi" w:hAnsiTheme="minorHAnsi" w:cstheme="minorHAnsi"/>
          <w:b/>
          <w:sz w:val="24"/>
          <w:lang w:val="sr-Cyrl-RS"/>
        </w:rPr>
        <w:br w:type="textWrapping" w:clear="all"/>
        <w:t>за период 2021–2023. године</w:t>
      </w:r>
      <w:bookmarkEnd w:id="5"/>
      <w:bookmarkEnd w:id="6"/>
      <w:bookmarkEnd w:id="7"/>
    </w:p>
    <w:p w14:paraId="139BA89B" w14:textId="4E70040D" w:rsidR="0022630A" w:rsidRPr="00EA3D8C" w:rsidRDefault="0022630A" w:rsidP="00031215">
      <w:pPr>
        <w:rPr>
          <w:rFonts w:cstheme="minorHAnsi"/>
          <w:color w:val="0070C0"/>
          <w:lang w:val="sr-Cyrl-RS"/>
        </w:rPr>
      </w:pPr>
      <w:r w:rsidRPr="00EA3D8C">
        <w:rPr>
          <w:rFonts w:cstheme="minorHAnsi"/>
          <w:noProof/>
        </w:rPr>
        <w:lastRenderedPageBreak/>
        <mc:AlternateContent>
          <mc:Choice Requires="wps">
            <w:drawing>
              <wp:anchor distT="0" distB="0" distL="114300" distR="114300" simplePos="0" relativeHeight="251662848" behindDoc="1" locked="0" layoutInCell="1" allowOverlap="1" wp14:anchorId="7D379BF4" wp14:editId="6440CE65">
                <wp:simplePos x="0" y="0"/>
                <wp:positionH relativeFrom="margin">
                  <wp:posOffset>-38100</wp:posOffset>
                </wp:positionH>
                <wp:positionV relativeFrom="paragraph">
                  <wp:posOffset>11430</wp:posOffset>
                </wp:positionV>
                <wp:extent cx="6028055" cy="6905625"/>
                <wp:effectExtent l="0" t="0" r="0" b="9525"/>
                <wp:wrapNone/>
                <wp:docPr id="65" name="Rectangle 65"/>
                <wp:cNvGraphicFramePr/>
                <a:graphic xmlns:a="http://schemas.openxmlformats.org/drawingml/2006/main">
                  <a:graphicData uri="http://schemas.microsoft.com/office/word/2010/wordprocessingShape">
                    <wps:wsp>
                      <wps:cNvSpPr/>
                      <wps:spPr>
                        <a:xfrm>
                          <a:off x="0" y="0"/>
                          <a:ext cx="6028055" cy="690562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7D285610" id="Rectangle 65" o:spid="_x0000_s1026" style="position:absolute;margin-left:-3pt;margin-top:.9pt;width:474.65pt;height:543.75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" fillcolor="#d8d8d8 [2732]" stroked="f" strokeweight="1pt">
                <v:fill r:id="rId19" o:title="" color2="white [3212]" type="pattern"/>
                <w10:wrap anchorx="margin"/>
              </v:rect>
            </w:pict>
          </mc:Fallback>
        </mc:AlternateContent>
      </w:r>
      <w:r w:rsidRPr="00EA3D8C">
        <w:rPr>
          <w:rFonts w:cstheme="minorHAnsi"/>
          <w:color w:val="0070C0"/>
          <w:lang w:val="sr-Cyrl-RS"/>
        </w:rPr>
        <w:t>Србија као мала и отворена економија дели судбину других земаља у погледу борбе са економским последицама пандемије. Шок који је погодио глобалну економију према првим проценама највећи је од Другог светског рата.</w:t>
      </w:r>
      <w:r w:rsidRPr="00EA3D8C">
        <w:rPr>
          <w:rFonts w:cstheme="minorHAnsi"/>
          <w:bCs/>
          <w:szCs w:val="72"/>
          <w:lang w:val="sr-Cyrl-RS"/>
        </w:rPr>
        <w:t xml:space="preserve"> </w:t>
      </w:r>
      <w:r w:rsidR="00647469">
        <w:rPr>
          <w:rFonts w:cstheme="minorHAnsi"/>
          <w:color w:val="0070C0"/>
          <w:lang w:val="sr-Cyrl-RS"/>
        </w:rPr>
        <w:t>ЕУ</w:t>
      </w:r>
      <w:r w:rsidRPr="00EA3D8C">
        <w:rPr>
          <w:rFonts w:cstheme="minorHAnsi"/>
          <w:color w:val="0070C0"/>
          <w:lang w:val="sr-Cyrl-RS"/>
        </w:rPr>
        <w:t xml:space="preserve"> која је наш најважнији спољнотрговински партнер, али и групација земаља из које долази највише </w:t>
      </w:r>
      <w:r w:rsidRPr="007E6A5F">
        <w:rPr>
          <w:rFonts w:cstheme="minorHAnsi"/>
          <w:color w:val="0070C0"/>
          <w:lang w:val="sr-Cyrl-RS"/>
        </w:rPr>
        <w:t>страних директних инвестиција</w:t>
      </w:r>
      <w:r w:rsidRPr="00EA3D8C">
        <w:rPr>
          <w:rFonts w:cstheme="minorHAnsi"/>
          <w:color w:val="0070C0"/>
          <w:lang w:val="sr-Cyrl-RS"/>
        </w:rPr>
        <w:t xml:space="preserve"> </w:t>
      </w:r>
      <w:r w:rsidR="007E6A5F" w:rsidRPr="007E6A5F">
        <w:rPr>
          <w:rFonts w:cstheme="minorHAnsi"/>
          <w:color w:val="0070C0"/>
          <w:lang w:val="sr-Cyrl-RS"/>
        </w:rPr>
        <w:t>(у даљем тексту:</w:t>
      </w:r>
      <w:r w:rsidR="007E6A5F">
        <w:rPr>
          <w:rFonts w:cstheme="minorHAnsi"/>
          <w:color w:val="0070C0"/>
          <w:lang w:val="sr-Cyrl-RS"/>
        </w:rPr>
        <w:t xml:space="preserve"> СДИ) </w:t>
      </w:r>
      <w:r w:rsidRPr="00EA3D8C">
        <w:rPr>
          <w:rFonts w:cstheme="minorHAnsi"/>
          <w:color w:val="0070C0"/>
          <w:lang w:val="sr-Cyrl-RS"/>
        </w:rPr>
        <w:t>ће у 2020. години забележити најгоре економске резултате од оснивања, док се за 2021. годину предвиђа тек умерен опоравак.</w:t>
      </w:r>
    </w:p>
    <w:p w14:paraId="559FF46F" w14:textId="09AC982B" w:rsidR="0022630A" w:rsidRPr="00EA3D8C" w:rsidRDefault="0022630A" w:rsidP="00031215">
      <w:pPr>
        <w:rPr>
          <w:rFonts w:cstheme="minorHAnsi"/>
          <w:color w:val="0070C0"/>
          <w:lang w:val="sr-Cyrl-RS"/>
        </w:rPr>
      </w:pPr>
      <w:r w:rsidRPr="00EA3D8C">
        <w:rPr>
          <w:rFonts w:cstheme="minorHAnsi"/>
          <w:color w:val="0070C0"/>
          <w:lang w:val="sr-Cyrl-RS"/>
        </w:rPr>
        <w:t xml:space="preserve">Смањена спољна тражња и увођење ванредног стања 15. марта 2020. године неминовно су се одразиле и на домаћу привреду. Иако под утицајем ових фактора иницијално пројектовани привредни раст у 2020. години неће бити остварен, пад економије од само 1,0% представљаће један од најбољих резултата у Европи. </w:t>
      </w:r>
      <w:r w:rsidRPr="001C31E8">
        <w:rPr>
          <w:rFonts w:cstheme="minorHAnsi"/>
          <w:color w:val="0070C0"/>
          <w:lang w:val="sr-Cyrl-RS"/>
        </w:rPr>
        <w:t>Томе је у највећој мери допринела достигнута фискална равнотежа</w:t>
      </w:r>
      <w:r w:rsidR="00053791" w:rsidRPr="001C31E8">
        <w:rPr>
          <w:rFonts w:cstheme="minorHAnsi"/>
          <w:color w:val="0070C0"/>
          <w:lang w:val="sr-Cyrl-RS"/>
        </w:rPr>
        <w:t>, ценовна</w:t>
      </w:r>
      <w:r w:rsidRPr="001C31E8">
        <w:rPr>
          <w:rFonts w:cstheme="minorHAnsi"/>
          <w:color w:val="0070C0"/>
          <w:lang w:val="sr-Cyrl-RS"/>
        </w:rPr>
        <w:t xml:space="preserve"> и финансијска стабилност у претходном периоду,</w:t>
      </w:r>
      <w:r w:rsidRPr="00EA3D8C">
        <w:rPr>
          <w:rFonts w:cstheme="minorHAnsi"/>
          <w:color w:val="0070C0"/>
          <w:lang w:val="sr-Cyrl-RS"/>
        </w:rPr>
        <w:t xml:space="preserve"> које су омогућиле креирање свеобухватног економског пакета подршке привреди и становништву, чиме је очувана макроекономска стабилност. Вредност програма подршке износила је око 12,5% БДП и без његове реализације пад економске активности би износио око 5% и био би праћен значајним губитком производних и радних ресурса. Такође, са изостанком наведених мера опоравак привреде би у наредној години био спорији.</w:t>
      </w:r>
    </w:p>
    <w:p w14:paraId="74713404" w14:textId="179DDC7C" w:rsidR="0022630A" w:rsidRPr="00EA3D8C" w:rsidRDefault="0022630A" w:rsidP="00031215">
      <w:pPr>
        <w:rPr>
          <w:rFonts w:cstheme="minorHAnsi"/>
          <w:color w:val="0070C0"/>
          <w:lang w:val="sr-Cyrl-RS"/>
        </w:rPr>
      </w:pPr>
      <w:r w:rsidRPr="00EA3D8C">
        <w:rPr>
          <w:rFonts w:cstheme="minorHAnsi"/>
          <w:color w:val="0070C0"/>
          <w:lang w:val="sr-Cyrl-RS"/>
        </w:rPr>
        <w:t xml:space="preserve">Опоравак економске активности потпомогнут је донетим мерама Владе и </w:t>
      </w:r>
      <w:r w:rsidRPr="00FB42E1">
        <w:rPr>
          <w:rFonts w:cstheme="minorHAnsi"/>
          <w:color w:val="0070C0"/>
          <w:lang w:val="sr-Cyrl-RS"/>
        </w:rPr>
        <w:t>Народне банке Србије</w:t>
      </w:r>
      <w:r w:rsidR="00FB42E1" w:rsidRPr="00FB42E1">
        <w:rPr>
          <w:rFonts w:cstheme="minorHAnsi"/>
          <w:color w:val="0070C0"/>
          <w:lang w:val="sr-Cyrl-RS"/>
        </w:rPr>
        <w:t xml:space="preserve"> (у даљем тексту: НБС)</w:t>
      </w:r>
      <w:r w:rsidRPr="00FB42E1">
        <w:rPr>
          <w:rFonts w:cstheme="minorHAnsi"/>
          <w:color w:val="0070C0"/>
          <w:lang w:val="sr-Cyrl-RS"/>
        </w:rPr>
        <w:t>,</w:t>
      </w:r>
      <w:r w:rsidRPr="00EA3D8C">
        <w:rPr>
          <w:rFonts w:cstheme="minorHAnsi"/>
          <w:color w:val="0070C0"/>
          <w:lang w:val="sr-Cyrl-RS"/>
        </w:rPr>
        <w:t xml:space="preserve"> постепеним опоравком спољне тражње услед отварања економија и ублажавањем здравствених мера. Правовремено спровођење пакета економске помоћи привреди и становништву утицало је на фискалну позицију земље, што је уз смањене приходе буџета услед успоравања економске активности изазване </w:t>
      </w:r>
      <w:r w:rsidRPr="00EA3D8C">
        <w:rPr>
          <w:rFonts w:cstheme="minorHAnsi"/>
          <w:color w:val="0070C0"/>
          <w:lang w:val="sr-Cyrl-RS"/>
        </w:rPr>
        <w:lastRenderedPageBreak/>
        <w:t>пандемијом, имало за последицу повећање фискалног дефицита на 8,9% БДП и привремено повећање јавног дуга на око 59% БДП. Повећана експанзивност фискалне политике није нарушила одрживост јавних финансија. Истовремено, адекватна и правовремена реакција монетарне политике је обезбедила довољну ликвидност становништву и привреди, уз стабилно и предвидиво кретање инфлације и релативну стабилност девизног курса.</w:t>
      </w:r>
    </w:p>
    <w:p w14:paraId="35E57AA9" w14:textId="01870CE3" w:rsidR="0022630A" w:rsidRPr="00EA3D8C" w:rsidRDefault="0022630A" w:rsidP="00031215">
      <w:pPr>
        <w:rPr>
          <w:rFonts w:cstheme="minorHAnsi"/>
          <w:color w:val="0070C0"/>
          <w:lang w:val="sr-Cyrl-RS"/>
        </w:rPr>
      </w:pPr>
      <w:r w:rsidRPr="00EA3D8C">
        <w:rPr>
          <w:rFonts w:cstheme="minorHAnsi"/>
          <w:color w:val="0070C0"/>
          <w:lang w:val="sr-Cyrl-RS"/>
        </w:rPr>
        <w:t>Успех економског пакета верификован је изостанком негативних ефекта пандемије на тржиште рада, очувана су радна места и зараде, како у приватном тако и у јавном сектору. Истовремено, планирано повећање пензија и зарада у јавном сектору у 2021. години неће угрозити успостављену макроекономску равнотежу и допринеће бржем опоравку домаће тражње. Поред тога, активним учешћем у социо-економском диј</w:t>
      </w:r>
      <w:r w:rsidR="00967BDF" w:rsidRPr="00EA3D8C">
        <w:rPr>
          <w:rFonts w:cstheme="minorHAnsi"/>
          <w:color w:val="0070C0"/>
          <w:lang w:val="sr-Cyrl-RS"/>
        </w:rPr>
        <w:t>алогу повећана је минимална цена</w:t>
      </w:r>
      <w:r w:rsidRPr="00EA3D8C">
        <w:rPr>
          <w:rFonts w:cstheme="minorHAnsi"/>
          <w:color w:val="0070C0"/>
          <w:lang w:val="sr-Cyrl-RS"/>
        </w:rPr>
        <w:t xml:space="preserve"> рада на начин који неће додатно оптеретити привреду нити негативно утицати на њену конкурентност, а са интенцијом да се обе</w:t>
      </w:r>
      <w:r w:rsidR="00967BDF" w:rsidRPr="00EA3D8C">
        <w:rPr>
          <w:rFonts w:cstheme="minorHAnsi"/>
          <w:color w:val="0070C0"/>
          <w:lang w:val="sr-Cyrl-RS"/>
        </w:rPr>
        <w:t>збеди инклузивни привредни раст</w:t>
      </w:r>
      <w:r w:rsidRPr="00EA3D8C">
        <w:rPr>
          <w:rFonts w:cstheme="minorHAnsi"/>
          <w:color w:val="0070C0"/>
          <w:lang w:val="sr-Cyrl-RS"/>
        </w:rPr>
        <w:t xml:space="preserve"> и креира амбијент социјалне кохезије.</w:t>
      </w:r>
    </w:p>
    <w:p w14:paraId="7B22D6EE" w14:textId="0A0F27C1" w:rsidR="00C10FA7" w:rsidRPr="00EA3D8C" w:rsidRDefault="0022630A" w:rsidP="00031215">
      <w:pPr>
        <w:rPr>
          <w:rFonts w:cstheme="minorHAnsi"/>
          <w:color w:val="0070C0"/>
          <w:lang w:val="sr-Cyrl-RS"/>
        </w:rPr>
      </w:pPr>
      <w:r w:rsidRPr="00EA3D8C">
        <w:rPr>
          <w:rFonts w:cstheme="minorHAnsi"/>
          <w:color w:val="0070C0"/>
          <w:lang w:val="sr-Cyrl-RS"/>
        </w:rPr>
        <w:t xml:space="preserve">Мере које у свом фокусу имају ублажавање последица </w:t>
      </w:r>
      <w:r w:rsidR="008E4992" w:rsidRPr="008E4992">
        <w:rPr>
          <w:rFonts w:cstheme="minorHAnsi"/>
          <w:color w:val="0070C0"/>
          <w:lang w:val="sr-Cyrl-RS"/>
        </w:rPr>
        <w:t>пан</w:t>
      </w:r>
      <w:r w:rsidRPr="00EA3D8C">
        <w:rPr>
          <w:rFonts w:cstheme="minorHAnsi"/>
          <w:color w:val="0070C0"/>
          <w:lang w:val="sr-Cyrl-RS"/>
        </w:rPr>
        <w:t>демије остају приоритет креатора економске политике и у наредном периоду. Поред тога, напори су усмерени на интензивирање реформских процеса, како би се обезбедио континуитет побољшања привредног окружења, напретка на међународним листама конкурентности и даљег подизања кредитног рејтинга земље. Препозната је неопходност проналажења нових извора раста, па су иновације, истраживање и развој, обновљиви извори енергије, креативне индустрије и еко инвестиције у сталном фокусу приликом дефинисања будућих активности.</w:t>
      </w:r>
    </w:p>
    <w:p w14:paraId="10D5F8AB" w14:textId="77777777" w:rsidR="00C10FA7" w:rsidRPr="00EA3D8C" w:rsidRDefault="00C10FA7" w:rsidP="00031215">
      <w:pPr>
        <w:rPr>
          <w:rFonts w:cstheme="minorHAnsi"/>
          <w:color w:val="0070C0"/>
          <w:lang w:val="sr-Cyrl-RS"/>
        </w:rPr>
        <w:sectPr w:rsidR="00C10FA7" w:rsidRPr="00EA3D8C" w:rsidSect="00AE40EB">
          <w:type w:val="continuous"/>
          <w:pgSz w:w="12240" w:h="15840" w:code="1"/>
          <w:pgMar w:top="1440" w:right="1440" w:bottom="1440" w:left="1440" w:header="720" w:footer="720" w:gutter="0"/>
          <w:cols w:num="2" w:space="720"/>
          <w:docGrid w:linePitch="360"/>
        </w:sectPr>
      </w:pPr>
    </w:p>
    <w:p w14:paraId="328258A2" w14:textId="77777777" w:rsidR="00C10FA7" w:rsidRPr="00EA3D8C" w:rsidRDefault="00C10FA7" w:rsidP="00031215">
      <w:pPr>
        <w:rPr>
          <w:rFonts w:cstheme="minorHAnsi"/>
          <w:color w:val="0070C0"/>
          <w:lang w:val="sr-Cyrl-RS"/>
        </w:rPr>
      </w:pPr>
    </w:p>
    <w:p w14:paraId="668ACC1A" w14:textId="77777777" w:rsidR="00C10FA7" w:rsidRPr="00EA3D8C" w:rsidRDefault="00C10FA7">
      <w:pPr>
        <w:jc w:val="left"/>
        <w:rPr>
          <w:rFonts w:cstheme="minorHAnsi"/>
          <w:b/>
          <w:color w:val="002060"/>
          <w:spacing w:val="-6"/>
          <w:lang w:val="sr-Cyrl-RS"/>
        </w:rPr>
      </w:pPr>
      <w:r w:rsidRPr="00EA3D8C">
        <w:rPr>
          <w:rFonts w:cstheme="minorHAnsi"/>
          <w:color w:val="002060"/>
          <w:spacing w:val="-6"/>
          <w:lang w:val="sr-Cyrl-RS"/>
        </w:rPr>
        <w:br w:type="page"/>
      </w:r>
    </w:p>
    <w:p w14:paraId="11EF0CA6" w14:textId="54CD6439" w:rsidR="0022630A" w:rsidRPr="00EA3D8C" w:rsidRDefault="0022630A" w:rsidP="00B435B3">
      <w:pPr>
        <w:pStyle w:val="NoSpacing"/>
        <w:jc w:val="center"/>
        <w:rPr>
          <w:rFonts w:cstheme="minorHAnsi"/>
          <w:color w:val="002060"/>
          <w:spacing w:val="-6"/>
          <w:lang w:val="sr-Cyrl-RS"/>
        </w:rPr>
      </w:pPr>
      <w:r w:rsidRPr="00EA3D8C">
        <w:rPr>
          <w:rFonts w:cstheme="minorHAnsi"/>
          <w:color w:val="002060"/>
          <w:spacing w:val="-6"/>
          <w:lang w:val="sr-Cyrl-RS"/>
        </w:rPr>
        <w:lastRenderedPageBreak/>
        <w:t>Ревизија кретања основних макроекономских агрегата у односу на претходну Фискалну стратегију</w:t>
      </w:r>
    </w:p>
    <w:p w14:paraId="1AC50A62" w14:textId="77777777" w:rsidR="0022630A" w:rsidRPr="00EA3D8C" w:rsidRDefault="0022630A" w:rsidP="00B435B3">
      <w:pPr>
        <w:spacing w:after="0"/>
        <w:rPr>
          <w:color w:val="002060"/>
          <w:sz w:val="10"/>
          <w:lang w:val="sr-Cyrl-RS"/>
        </w:rPr>
      </w:pPr>
    </w:p>
    <w:p w14:paraId="142C0F6C" w14:textId="77777777" w:rsidR="0022630A" w:rsidRPr="00EA3D8C" w:rsidRDefault="0022630A" w:rsidP="00B435B3">
      <w:pPr>
        <w:jc w:val="center"/>
        <w:rPr>
          <w:b/>
          <w:color w:val="002060"/>
          <w:szCs w:val="21"/>
          <w:lang w:val="sr-Cyrl-RS"/>
        </w:rPr>
      </w:pPr>
      <w:r w:rsidRPr="00EA3D8C">
        <w:rPr>
          <w:b/>
          <w:color w:val="002060"/>
          <w:szCs w:val="21"/>
          <w:lang w:val="sr-Cyrl-RS"/>
        </w:rPr>
        <w:t>Реални раст БДП, %</w:t>
      </w:r>
    </w:p>
    <w:p w14:paraId="79585016" w14:textId="77777777" w:rsidR="0022630A" w:rsidRPr="00EA3D8C" w:rsidRDefault="0022630A" w:rsidP="00B435B3">
      <w:pPr>
        <w:spacing w:after="0"/>
        <w:rPr>
          <w:lang w:val="sr-Cyrl-RS"/>
        </w:rPr>
      </w:pPr>
      <w:r w:rsidRPr="00EA3D8C">
        <w:rPr>
          <w:noProof/>
        </w:rPr>
        <w:drawing>
          <wp:inline distT="0" distB="0" distL="0" distR="0" wp14:anchorId="7351BFD5" wp14:editId="22394AC3">
            <wp:extent cx="1332000" cy="1224000"/>
            <wp:effectExtent l="0" t="0" r="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Pr="00EA3D8C">
        <w:rPr>
          <w:lang w:val="sr-Cyrl-RS"/>
        </w:rPr>
        <w:t xml:space="preserve">  </w:t>
      </w:r>
      <w:r w:rsidRPr="00EA3D8C">
        <w:rPr>
          <w:noProof/>
        </w:rPr>
        <w:drawing>
          <wp:inline distT="0" distB="0" distL="0" distR="0" wp14:anchorId="0AF5E266" wp14:editId="15FB2871">
            <wp:extent cx="1332000" cy="12240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C05627D" w14:textId="77777777" w:rsidR="0022630A" w:rsidRPr="00EA3D8C" w:rsidRDefault="0022630A" w:rsidP="00B435B3">
      <w:pPr>
        <w:spacing w:after="0"/>
        <w:rPr>
          <w:lang w:val="sr-Cyrl-RS"/>
        </w:rPr>
      </w:pPr>
    </w:p>
    <w:p w14:paraId="05A0310D" w14:textId="77777777" w:rsidR="0022630A" w:rsidRPr="00EA3D8C" w:rsidRDefault="0022630A" w:rsidP="00161001">
      <w:pPr>
        <w:jc w:val="center"/>
        <w:rPr>
          <w:b/>
          <w:color w:val="002060"/>
          <w:szCs w:val="21"/>
          <w:lang w:val="sr-Cyrl-RS"/>
        </w:rPr>
      </w:pPr>
      <w:r w:rsidRPr="00EA3D8C">
        <w:rPr>
          <w:b/>
          <w:color w:val="002060"/>
          <w:szCs w:val="21"/>
          <w:lang w:val="sr-Cyrl-RS"/>
        </w:rPr>
        <w:t>Салдо текућег рачуна, % БДП</w:t>
      </w:r>
    </w:p>
    <w:p w14:paraId="6D8678D1" w14:textId="77777777" w:rsidR="0022630A" w:rsidRPr="00EA3D8C" w:rsidRDefault="0022630A" w:rsidP="00B435B3">
      <w:pPr>
        <w:spacing w:after="0"/>
        <w:jc w:val="left"/>
        <w:rPr>
          <w:lang w:val="sr-Cyrl-RS"/>
        </w:rPr>
      </w:pPr>
      <w:r w:rsidRPr="00EA3D8C">
        <w:rPr>
          <w:noProof/>
        </w:rPr>
        <w:drawing>
          <wp:inline distT="0" distB="0" distL="0" distR="0" wp14:anchorId="5F4B322B" wp14:editId="62D08186">
            <wp:extent cx="1332000" cy="1224000"/>
            <wp:effectExtent l="0" t="0" r="1905"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EA3D8C">
        <w:rPr>
          <w:lang w:val="sr-Cyrl-RS"/>
        </w:rPr>
        <w:t xml:space="preserve">  </w:t>
      </w:r>
      <w:r w:rsidRPr="00EA3D8C">
        <w:rPr>
          <w:noProof/>
        </w:rPr>
        <w:drawing>
          <wp:inline distT="0" distB="0" distL="0" distR="0" wp14:anchorId="7405CCB7" wp14:editId="1D8B7CEC">
            <wp:extent cx="1332000" cy="1224000"/>
            <wp:effectExtent l="0" t="0" r="1905"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AD5D380" w14:textId="77777777" w:rsidR="0022630A" w:rsidRPr="00EA3D8C" w:rsidRDefault="0022630A" w:rsidP="00B435B3">
      <w:pPr>
        <w:spacing w:after="0"/>
        <w:rPr>
          <w:lang w:val="sr-Cyrl-RS"/>
        </w:rPr>
      </w:pPr>
    </w:p>
    <w:p w14:paraId="581FACCA" w14:textId="77777777" w:rsidR="0022630A" w:rsidRPr="00EA3D8C" w:rsidRDefault="0022630A" w:rsidP="00B435B3">
      <w:pPr>
        <w:spacing w:after="0"/>
        <w:jc w:val="center"/>
        <w:rPr>
          <w:b/>
          <w:color w:val="002060"/>
          <w:szCs w:val="21"/>
          <w:lang w:val="sr-Cyrl-RS"/>
        </w:rPr>
      </w:pPr>
      <w:r w:rsidRPr="00EA3D8C">
        <w:rPr>
          <w:b/>
          <w:color w:val="002060"/>
          <w:szCs w:val="21"/>
          <w:lang w:val="sr-Cyrl-RS"/>
        </w:rPr>
        <w:t>Инфлација, просек периода, %</w:t>
      </w:r>
    </w:p>
    <w:p w14:paraId="5234B2AC" w14:textId="77777777" w:rsidR="0022630A" w:rsidRPr="00EA3D8C" w:rsidRDefault="0022630A" w:rsidP="00B435B3">
      <w:pPr>
        <w:spacing w:after="0"/>
        <w:rPr>
          <w:lang w:val="sr-Cyrl-RS"/>
        </w:rPr>
      </w:pPr>
      <w:r w:rsidRPr="00EA3D8C">
        <w:rPr>
          <w:noProof/>
        </w:rPr>
        <w:drawing>
          <wp:inline distT="0" distB="0" distL="0" distR="0" wp14:anchorId="0B4427B4" wp14:editId="50B3E02F">
            <wp:extent cx="1332000" cy="100800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EA3D8C">
        <w:rPr>
          <w:lang w:val="sr-Cyrl-RS"/>
        </w:rPr>
        <w:t xml:space="preserve">  </w:t>
      </w:r>
      <w:r w:rsidRPr="00EA3D8C">
        <w:rPr>
          <w:noProof/>
        </w:rPr>
        <w:drawing>
          <wp:inline distT="0" distB="0" distL="0" distR="0" wp14:anchorId="1FAC42F8" wp14:editId="2E91DA0B">
            <wp:extent cx="1332000" cy="1008000"/>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4AB762E6" w14:textId="77777777" w:rsidR="0022630A" w:rsidRPr="00EA3D8C" w:rsidRDefault="0022630A" w:rsidP="00B435B3">
      <w:pPr>
        <w:spacing w:after="0"/>
        <w:rPr>
          <w:rFonts w:cstheme="minorHAnsi"/>
          <w:szCs w:val="72"/>
          <w:lang w:val="sr-Cyrl-RS"/>
        </w:rPr>
      </w:pPr>
    </w:p>
    <w:p w14:paraId="7859F967" w14:textId="77777777" w:rsidR="0022630A" w:rsidRPr="00EA3D8C" w:rsidRDefault="0022630A" w:rsidP="00161001">
      <w:pPr>
        <w:spacing w:after="0"/>
        <w:jc w:val="center"/>
        <w:rPr>
          <w:b/>
          <w:color w:val="002060"/>
          <w:szCs w:val="21"/>
          <w:lang w:val="sr-Cyrl-RS"/>
        </w:rPr>
      </w:pPr>
      <w:r w:rsidRPr="00EA3D8C">
        <w:rPr>
          <w:b/>
          <w:color w:val="002060"/>
          <w:szCs w:val="21"/>
          <w:lang w:val="sr-Cyrl-RS"/>
        </w:rPr>
        <w:t>Фискални резултат, % БДП</w:t>
      </w:r>
    </w:p>
    <w:p w14:paraId="2EC1DB2E" w14:textId="77777777" w:rsidR="0022630A" w:rsidRPr="00EA3D8C" w:rsidRDefault="0022630A" w:rsidP="00B435B3">
      <w:pPr>
        <w:spacing w:after="0"/>
        <w:rPr>
          <w:lang w:val="sr-Cyrl-RS"/>
        </w:rPr>
      </w:pPr>
      <w:r w:rsidRPr="00EA3D8C">
        <w:rPr>
          <w:noProof/>
        </w:rPr>
        <w:drawing>
          <wp:inline distT="0" distB="0" distL="0" distR="0" wp14:anchorId="2C66A972" wp14:editId="797F3EE5">
            <wp:extent cx="1332000" cy="1224000"/>
            <wp:effectExtent l="0" t="0" r="1905"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EA3D8C">
        <w:rPr>
          <w:lang w:val="sr-Cyrl-RS" w:eastAsia="en-GB"/>
        </w:rPr>
        <w:t xml:space="preserve">  </w:t>
      </w:r>
      <w:r w:rsidRPr="00EA3D8C">
        <w:rPr>
          <w:noProof/>
        </w:rPr>
        <w:drawing>
          <wp:inline distT="0" distB="0" distL="0" distR="0" wp14:anchorId="219CD825" wp14:editId="191CCE26">
            <wp:extent cx="1332000" cy="1224000"/>
            <wp:effectExtent l="0" t="0" r="1905"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E0249CD" w14:textId="77777777" w:rsidR="0022630A" w:rsidRPr="00EA3D8C" w:rsidRDefault="0022630A" w:rsidP="00B435B3">
      <w:pPr>
        <w:spacing w:after="0"/>
        <w:rPr>
          <w:lang w:val="sr-Cyrl-RS"/>
        </w:rPr>
      </w:pPr>
    </w:p>
    <w:p w14:paraId="18D6325D" w14:textId="77777777" w:rsidR="0022630A" w:rsidRPr="00EA3D8C" w:rsidRDefault="0022630A" w:rsidP="00161001">
      <w:pPr>
        <w:spacing w:after="0"/>
        <w:jc w:val="center"/>
        <w:rPr>
          <w:b/>
          <w:color w:val="002060"/>
          <w:szCs w:val="21"/>
          <w:lang w:val="sr-Cyrl-RS"/>
        </w:rPr>
      </w:pPr>
      <w:r w:rsidRPr="00EA3D8C">
        <w:rPr>
          <w:b/>
          <w:color w:val="002060"/>
          <w:szCs w:val="21"/>
          <w:lang w:val="sr-Cyrl-RS"/>
        </w:rPr>
        <w:t>Јавни дуг опште државе, % БДП</w:t>
      </w:r>
    </w:p>
    <w:p w14:paraId="6C56DB0C" w14:textId="77777777" w:rsidR="0022630A" w:rsidRPr="00EA3D8C" w:rsidRDefault="0022630A" w:rsidP="00161001">
      <w:pPr>
        <w:spacing w:after="0"/>
        <w:jc w:val="center"/>
        <w:rPr>
          <w:lang w:val="sr-Cyrl-RS"/>
        </w:rPr>
      </w:pPr>
      <w:r w:rsidRPr="00EA3D8C">
        <w:rPr>
          <w:noProof/>
        </w:rPr>
        <w:drawing>
          <wp:inline distT="0" distB="0" distL="0" distR="0" wp14:anchorId="011D3EF5" wp14:editId="5A04E47D">
            <wp:extent cx="1332000" cy="1224000"/>
            <wp:effectExtent l="0" t="0" r="0"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sidRPr="00EA3D8C">
        <w:rPr>
          <w:lang w:val="sr-Cyrl-RS"/>
        </w:rPr>
        <w:t>..</w:t>
      </w:r>
      <w:r w:rsidRPr="00EA3D8C">
        <w:rPr>
          <w:noProof/>
        </w:rPr>
        <w:drawing>
          <wp:inline distT="0" distB="0" distL="0" distR="0" wp14:anchorId="08BE850D" wp14:editId="10030969">
            <wp:extent cx="1332000" cy="1224000"/>
            <wp:effectExtent l="0" t="0" r="0" b="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5B1E3D37" w14:textId="77777777" w:rsidR="0022630A" w:rsidRPr="00EA3D8C" w:rsidRDefault="0022630A" w:rsidP="00161001">
      <w:pPr>
        <w:spacing w:before="240"/>
        <w:jc w:val="left"/>
        <w:rPr>
          <w:rFonts w:cstheme="minorHAnsi"/>
          <w:b/>
          <w:color w:val="2F5496" w:themeColor="accent1" w:themeShade="BF"/>
          <w:sz w:val="22"/>
          <w:lang w:val="sr-Cyrl-RS"/>
        </w:rPr>
      </w:pPr>
      <w:r w:rsidRPr="00EA3D8C">
        <w:rPr>
          <w:rFonts w:cstheme="minorHAnsi"/>
          <w:noProof/>
        </w:rPr>
        <w:lastRenderedPageBreak/>
        <mc:AlternateContent>
          <mc:Choice Requires="wps">
            <w:drawing>
              <wp:anchor distT="0" distB="0" distL="114300" distR="114300" simplePos="0" relativeHeight="251661824" behindDoc="1" locked="0" layoutInCell="1" allowOverlap="1" wp14:anchorId="5F8CB1C5" wp14:editId="338CCE59">
                <wp:simplePos x="0" y="0"/>
                <wp:positionH relativeFrom="margin">
                  <wp:posOffset>-85725</wp:posOffset>
                </wp:positionH>
                <wp:positionV relativeFrom="paragraph">
                  <wp:posOffset>-57150</wp:posOffset>
                </wp:positionV>
                <wp:extent cx="2886075" cy="8162925"/>
                <wp:effectExtent l="0" t="0" r="9525" b="9525"/>
                <wp:wrapNone/>
                <wp:docPr id="30" name="Rectangle 30"/>
                <wp:cNvGraphicFramePr/>
                <a:graphic xmlns:a="http://schemas.openxmlformats.org/drawingml/2006/main">
                  <a:graphicData uri="http://schemas.microsoft.com/office/word/2010/wordprocessingShape">
                    <wps:wsp>
                      <wps:cNvSpPr/>
                      <wps:spPr>
                        <a:xfrm>
                          <a:off x="0" y="0"/>
                          <a:ext cx="2886075" cy="816292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D7909A5" id="Rectangle 30" o:spid="_x0000_s1026" style="position:absolute;margin-left:-6.75pt;margin-top:-4.5pt;width:227.25pt;height:642.75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" fillcolor="#d8d8d8 [2732]" stroked="f" strokeweight="1pt">
                <v:fill r:id="rId53" o:title="" color2="white [3212]" type="pattern"/>
                <w10:wrap anchorx="margin"/>
              </v:rect>
            </w:pict>
          </mc:Fallback>
        </mc:AlternateContent>
      </w:r>
      <w:r w:rsidRPr="00EA3D8C">
        <w:rPr>
          <w:rFonts w:cstheme="minorHAnsi"/>
          <w:b/>
          <w:color w:val="2F5496" w:themeColor="accent1" w:themeShade="BF"/>
          <w:sz w:val="22"/>
          <w:lang w:val="sr-Cyrl-RS"/>
        </w:rPr>
        <w:t>Текућа кретања реалног сектора у 2020. години</w:t>
      </w:r>
    </w:p>
    <w:p w14:paraId="321F4983" w14:textId="0E14E797" w:rsidR="0022630A" w:rsidRPr="00EA3D8C" w:rsidRDefault="0022630A" w:rsidP="00161001">
      <w:pPr>
        <w:rPr>
          <w:rFonts w:cstheme="minorHAnsi"/>
          <w:bCs/>
          <w:szCs w:val="72"/>
          <w:lang w:val="sr-Cyrl-RS"/>
        </w:rPr>
      </w:pPr>
      <w:r w:rsidRPr="00EA3D8C">
        <w:rPr>
          <w:rFonts w:cstheme="minorHAnsi"/>
          <w:bCs/>
          <w:szCs w:val="72"/>
          <w:lang w:val="sr-Cyrl-RS"/>
        </w:rPr>
        <w:t xml:space="preserve">Раст економске активности од 4,2% у 2019. години био је већи од иницијалне пројекције за 0,7 п.п. чиме се Србија нашла у малој групи европских земаља чија је динамика привредне активности била боља од очекиване. Већа стопа од пројектоване резултат је материјализације позитивних ризика који су се односили на динамику пољопривредне производње и грађевинарство. Економски раст удружен са повољним инвестиционим амбијентом утицао је позитивно на тржиште радне снаге уз остварену рекордно ниску стопу незапослености од 10,4% и реални раст просечне зараде од 8,5% у 2019. години. Инфлација током целе 2019. године била ниска и стабилна и углавном се кретала близу доње границе дозвољеног одступања од циља. Истовремено, остварен је изузетно висок нето прилив </w:t>
      </w:r>
      <w:r w:rsidR="007E6A5F">
        <w:rPr>
          <w:rFonts w:cstheme="minorHAnsi"/>
          <w:bCs/>
          <w:szCs w:val="72"/>
          <w:lang w:val="sr-Cyrl-RS"/>
        </w:rPr>
        <w:t>СДИ</w:t>
      </w:r>
      <w:r w:rsidRPr="00EA3D8C">
        <w:rPr>
          <w:rFonts w:cstheme="minorHAnsi"/>
          <w:bCs/>
          <w:szCs w:val="72"/>
          <w:lang w:val="sr-Cyrl-RS"/>
        </w:rPr>
        <w:t xml:space="preserve"> од 3,6 млрд евра, који је био више него довољан за пуну покривеност дефицита текућег рачуна платног биланса.</w:t>
      </w:r>
    </w:p>
    <w:p w14:paraId="7553FAF5" w14:textId="13075FBE" w:rsidR="0022630A" w:rsidRPr="00EA3D8C" w:rsidRDefault="0022630A" w:rsidP="00161001">
      <w:pPr>
        <w:rPr>
          <w:rFonts w:cstheme="minorHAnsi"/>
          <w:bCs/>
          <w:szCs w:val="72"/>
          <w:lang w:val="sr-Cyrl-RS"/>
        </w:rPr>
      </w:pPr>
      <w:r w:rsidRPr="00EA3D8C">
        <w:rPr>
          <w:rFonts w:cstheme="minorHAnsi"/>
          <w:bCs/>
          <w:szCs w:val="72"/>
          <w:lang w:val="sr-Cyrl-RS"/>
        </w:rPr>
        <w:t xml:space="preserve">Макроекономска кретања почетком 2020. године била су у потпуности у складу са пројекцијама из Фискалне стратегије и Закона о буџету за 2020. усвојених крајем прошле године. Према подацима </w:t>
      </w:r>
      <w:r w:rsidR="003A3457">
        <w:rPr>
          <w:rFonts w:cstheme="minorHAnsi"/>
          <w:bCs/>
          <w:szCs w:val="72"/>
          <w:lang w:val="sr-Cyrl-RS"/>
        </w:rPr>
        <w:t xml:space="preserve">Републичког завода за статистику </w:t>
      </w:r>
      <w:r w:rsidR="003A3457" w:rsidRPr="003A3457">
        <w:rPr>
          <w:rFonts w:cstheme="minorHAnsi"/>
          <w:bCs/>
          <w:szCs w:val="72"/>
          <w:lang w:val="sr-Cyrl-RS"/>
        </w:rPr>
        <w:t>(у даљем тексту:</w:t>
      </w:r>
      <w:r w:rsidR="003A3457">
        <w:rPr>
          <w:rFonts w:cstheme="minorHAnsi"/>
          <w:bCs/>
          <w:szCs w:val="72"/>
          <w:lang w:val="sr-Cyrl-RS"/>
        </w:rPr>
        <w:t xml:space="preserve"> </w:t>
      </w:r>
      <w:r w:rsidRPr="003A3457">
        <w:rPr>
          <w:rFonts w:cstheme="minorHAnsi"/>
          <w:bCs/>
          <w:szCs w:val="72"/>
          <w:lang w:val="sr-Cyrl-RS"/>
        </w:rPr>
        <w:t>РЗС</w:t>
      </w:r>
      <w:r w:rsidR="003A3457">
        <w:rPr>
          <w:rFonts w:cstheme="minorHAnsi"/>
          <w:bCs/>
          <w:szCs w:val="72"/>
          <w:lang w:val="sr-Cyrl-RS"/>
        </w:rPr>
        <w:t>)</w:t>
      </w:r>
      <w:r w:rsidRPr="00EA3D8C">
        <w:rPr>
          <w:rFonts w:cstheme="minorHAnsi"/>
          <w:bCs/>
          <w:szCs w:val="72"/>
          <w:lang w:val="sr-Cyrl-RS"/>
        </w:rPr>
        <w:t>, раст БДП у првом кварталу износио је 5,1% мг. и био је праћен позитивним кретањима у свим привредним секторима. Раст је био вођен услужним делатностима које су збирно посматрано дале допринос БДП од 2,6 п.п. пре свега као резултат раста у сектору информационо-комуникационих технологиј</w:t>
      </w:r>
      <w:r w:rsidR="002E4662">
        <w:rPr>
          <w:rFonts w:cstheme="minorHAnsi"/>
          <w:bCs/>
          <w:szCs w:val="72"/>
          <w:lang w:val="sr-Cyrl-RS"/>
        </w:rPr>
        <w:t>а</w:t>
      </w:r>
      <w:r w:rsidRPr="00EA3D8C">
        <w:rPr>
          <w:rFonts w:cstheme="minorHAnsi"/>
          <w:bCs/>
          <w:szCs w:val="72"/>
          <w:lang w:val="sr-Cyrl-RS"/>
        </w:rPr>
        <w:t>, али и трговине, саобраћаја и туризма. Индустријска производња је током првог квартала бележила позитивна кретања започета у другој половини претходне године обезбеђујући допринос БДП од 0,9 п.п. Солидна динамика грађевинске активности током првог квартала резултат је наставка радова на реал</w:t>
      </w:r>
      <w:r w:rsidR="002E4662">
        <w:rPr>
          <w:rFonts w:cstheme="minorHAnsi"/>
          <w:bCs/>
          <w:szCs w:val="72"/>
          <w:lang w:val="sr-Cyrl-RS"/>
        </w:rPr>
        <w:t>изацији инфраструктурних пројек</w:t>
      </w:r>
      <w:r w:rsidRPr="00EA3D8C">
        <w:rPr>
          <w:rFonts w:cstheme="minorHAnsi"/>
          <w:bCs/>
          <w:szCs w:val="72"/>
          <w:lang w:val="sr-Cyrl-RS"/>
        </w:rPr>
        <w:t xml:space="preserve">ата, али и активности приватне грађевинске оперативе. Посматрано са расходне стране, економски раст је вођен домаћом тражњом. Најзначајнији допринос расту БДП дала је приватна потрошња (2,2 п.п.), што је пре свега резултат побољшања на тржишту рада. Економска активност је била подржана и </w:t>
      </w:r>
      <w:r w:rsidRPr="00EA3D8C">
        <w:rPr>
          <w:rFonts w:cstheme="minorHAnsi"/>
          <w:bCs/>
          <w:szCs w:val="72"/>
          <w:lang w:val="sr-Cyrl-RS"/>
        </w:rPr>
        <w:lastRenderedPageBreak/>
        <w:t>повећањем инвестиција и државне потрошње са подједнаким доприносом укупном расту од по 2,0 п.п. Негативан допринос нето извоза који је износио 3,3 п.п. опредељен је повећаним увозом средстава за рад и репроматеријала за потребе привреде, али и нешто споријом динамиком извоза у марту</w:t>
      </w:r>
      <w:r w:rsidR="00285491">
        <w:rPr>
          <w:rFonts w:cstheme="minorHAnsi"/>
          <w:bCs/>
          <w:szCs w:val="72"/>
          <w:lang w:val="sr-Cyrl-RS"/>
        </w:rPr>
        <w:t xml:space="preserve"> услед ефеката </w:t>
      </w:r>
      <w:r w:rsidR="008E4992" w:rsidRPr="008E4992">
        <w:rPr>
          <w:rFonts w:cstheme="minorHAnsi"/>
          <w:bCs/>
          <w:szCs w:val="72"/>
          <w:lang w:val="sr-Cyrl-RS"/>
        </w:rPr>
        <w:t>пан</w:t>
      </w:r>
      <w:r w:rsidR="00285491">
        <w:rPr>
          <w:rFonts w:cstheme="minorHAnsi"/>
          <w:bCs/>
          <w:szCs w:val="72"/>
          <w:lang w:val="sr-Cyrl-RS"/>
        </w:rPr>
        <w:t>демије корона</w:t>
      </w:r>
      <w:r w:rsidRPr="00EA3D8C">
        <w:rPr>
          <w:rFonts w:cstheme="minorHAnsi"/>
          <w:bCs/>
          <w:szCs w:val="72"/>
          <w:lang w:val="sr-Cyrl-RS"/>
        </w:rPr>
        <w:t>вируса на економије наших најважнијих спољно-трговинских партнера.</w:t>
      </w:r>
    </w:p>
    <w:p w14:paraId="31CF7713" w14:textId="6DD6F384" w:rsidR="0022630A" w:rsidRPr="00EA3D8C" w:rsidRDefault="0022630A" w:rsidP="00161001">
      <w:pPr>
        <w:rPr>
          <w:rFonts w:cstheme="minorHAnsi"/>
          <w:bCs/>
          <w:szCs w:val="72"/>
          <w:lang w:val="sr-Cyrl-RS"/>
        </w:rPr>
      </w:pPr>
      <w:r w:rsidRPr="00EA3D8C">
        <w:rPr>
          <w:rFonts w:cstheme="minorHAnsi"/>
          <w:bCs/>
          <w:szCs w:val="72"/>
          <w:lang w:val="sr-Cyrl-RS"/>
        </w:rPr>
        <w:t>Иако је раст економске активности био солидан током првог квартала, почетак благог успоравања привредне активности примећен је током марта као последица драматичних промена у међународном окруж</w:t>
      </w:r>
      <w:r w:rsidR="00285491">
        <w:rPr>
          <w:rFonts w:cstheme="minorHAnsi"/>
          <w:bCs/>
          <w:szCs w:val="72"/>
          <w:lang w:val="sr-Cyrl-RS"/>
        </w:rPr>
        <w:t>ењу изазваних пандемијом корона</w:t>
      </w:r>
      <w:r w:rsidRPr="00EA3D8C">
        <w:rPr>
          <w:rFonts w:cstheme="minorHAnsi"/>
          <w:bCs/>
          <w:szCs w:val="72"/>
          <w:lang w:val="sr-Cyrl-RS"/>
        </w:rPr>
        <w:t>вируса. На то су указали и подаци Индикатора привредне активности (ИПАС)</w:t>
      </w:r>
      <w:r w:rsidRPr="00EA3D8C">
        <w:rPr>
          <w:rStyle w:val="FootnoteReference"/>
          <w:rFonts w:cstheme="minorHAnsi"/>
          <w:bCs/>
          <w:szCs w:val="72"/>
          <w:lang w:val="sr-Cyrl-RS"/>
        </w:rPr>
        <w:footnoteReference w:id="1"/>
      </w:r>
      <w:r w:rsidRPr="00EA3D8C">
        <w:rPr>
          <w:rFonts w:cstheme="minorHAnsi"/>
          <w:bCs/>
          <w:szCs w:val="72"/>
          <w:lang w:val="sr-Cyrl-RS"/>
        </w:rPr>
        <w:t xml:space="preserve"> који Министарство финансија израђује за потребе сагледавања економске активности у месечној динамици. Након раста привреде у јануару и фебруару од 7,7% мг. и 4,9% мг. респективно, у марту је према овом индикатору привредна динамика остварила знатно мањи раст, од свега 2,8%.</w:t>
      </w:r>
    </w:p>
    <w:p w14:paraId="7F17E74B" w14:textId="77777777" w:rsidR="0022630A" w:rsidRPr="00EA3D8C" w:rsidRDefault="0022630A" w:rsidP="00161001">
      <w:pPr>
        <w:rPr>
          <w:rFonts w:cstheme="minorHAnsi"/>
          <w:bCs/>
          <w:szCs w:val="72"/>
          <w:lang w:val="sr-Cyrl-RS"/>
        </w:rPr>
      </w:pPr>
      <w:r w:rsidRPr="00EA3D8C">
        <w:rPr>
          <w:rFonts w:cstheme="minorHAnsi"/>
          <w:bCs/>
          <w:szCs w:val="72"/>
          <w:lang w:val="sr-Cyrl-RS"/>
        </w:rPr>
        <w:t xml:space="preserve">Економска активност наших најзначајнијих спољнотрговинских партнера врло брзо је попримила рецесиони карактер и почела се преливати на српску привреду. Поред драматичних промена у међународном окружењу, примена здравствених мера у домаћим оквирима, као и увођење ванредног стања 15. марта 2020. године, додатно су утицали на привреду Србије, тако да је у априлу забележен снажан пад привредне активности од 13,4% мг. Први на удару били су сектори туризма, саобраћаја, рекреације и забаве будући да су предузете мере здравствене заштите директно утицале на њих, али и предузећа из сектора прерађивачке индустрије. Посебно су биле погођене извозно оријентисане делатности попут аутомобилске и металске индустрије, производње електричне опреме, гуме и пластике, а значајни негативни ефекти испољили су се и код сектора микро и малих предузећа и предузетника. Са великим проблемима суочиле су се и компаније у делатностима са значајном увозном компонентом с обзиром на поремећене ланце снабдевања. </w:t>
      </w:r>
      <w:r w:rsidRPr="00EA3D8C">
        <w:rPr>
          <w:rFonts w:cstheme="minorHAnsi"/>
          <w:bCs/>
          <w:szCs w:val="72"/>
          <w:lang w:val="sr-Cyrl-RS"/>
        </w:rPr>
        <w:lastRenderedPageBreak/>
        <w:t>Бројна предузећа су током овог периода, ако не у потпуности обуставила производњу, онда макар значајно смањила активност. Поједине делатности прерађивачке индустрије на који је утицај спољних фактора нешто мањи, попут прехрамбене индустрије, су биле у нешто повољнијем положају, док су фармацеутска и делови хемијске индустрије услед повећане тражње значајно повећали производњу.</w:t>
      </w:r>
    </w:p>
    <w:p w14:paraId="53112ED1" w14:textId="77777777" w:rsidR="0022630A" w:rsidRPr="00EA3D8C" w:rsidRDefault="0022630A" w:rsidP="00161001">
      <w:pPr>
        <w:rPr>
          <w:rFonts w:cstheme="minorHAnsi"/>
          <w:bCs/>
          <w:spacing w:val="-2"/>
          <w:szCs w:val="72"/>
          <w:lang w:val="sr-Cyrl-RS"/>
        </w:rPr>
      </w:pPr>
      <w:r w:rsidRPr="00EA3D8C">
        <w:rPr>
          <w:rFonts w:cstheme="minorHAnsi"/>
          <w:bCs/>
          <w:spacing w:val="-2"/>
          <w:szCs w:val="72"/>
          <w:lang w:val="sr-Cyrl-RS"/>
        </w:rPr>
        <w:t xml:space="preserve">Захваљујући постепеном „откључавањуˮ економије и поправљању епидемиолошке ситуације пад привреде у мају је међугодишње посматрано више него преполовљен, док се у јуну економска активност у потпуности стабилизовала. Постепеном опоравку економске активности допринела је у значајној мери и реализација правовременог и свеобухватног програма подршке привреди и становништву које су заједнички донеле Влада и </w:t>
      </w:r>
      <w:r w:rsidRPr="00FB42E1">
        <w:rPr>
          <w:rFonts w:cstheme="minorHAnsi"/>
          <w:bCs/>
          <w:spacing w:val="-2"/>
          <w:szCs w:val="72"/>
          <w:lang w:val="sr-Cyrl-RS"/>
        </w:rPr>
        <w:t>НБС</w:t>
      </w:r>
      <w:r w:rsidRPr="00EA3D8C">
        <w:rPr>
          <w:rFonts w:cstheme="minorHAnsi"/>
          <w:bCs/>
          <w:spacing w:val="-2"/>
          <w:szCs w:val="72"/>
          <w:lang w:val="sr-Cyrl-RS"/>
        </w:rPr>
        <w:t>.</w:t>
      </w:r>
    </w:p>
    <w:p w14:paraId="553DEA75" w14:textId="77777777" w:rsidR="0022630A" w:rsidRPr="00EA3D8C" w:rsidRDefault="0022630A" w:rsidP="00161001">
      <w:pPr>
        <w:jc w:val="center"/>
        <w:rPr>
          <w:rFonts w:cstheme="minorHAnsi"/>
          <w:b/>
          <w:bCs/>
          <w:color w:val="002060"/>
          <w:szCs w:val="72"/>
          <w:lang w:val="sr-Cyrl-RS"/>
        </w:rPr>
      </w:pPr>
      <w:r w:rsidRPr="00EA3D8C">
        <w:rPr>
          <w:rFonts w:cstheme="minorHAnsi"/>
          <w:b/>
          <w:bCs/>
          <w:color w:val="002060"/>
          <w:szCs w:val="72"/>
          <w:lang w:val="sr-Cyrl-RS"/>
        </w:rPr>
        <w:t>Индикатор привредне активности Србије (ИПАС) по секторима (доприноси расту, п.п.)</w:t>
      </w:r>
    </w:p>
    <w:p w14:paraId="43585EE0" w14:textId="77777777" w:rsidR="0022630A" w:rsidRPr="00EA3D8C" w:rsidRDefault="0022630A" w:rsidP="00161001">
      <w:pPr>
        <w:rPr>
          <w:rFonts w:cstheme="minorHAnsi"/>
          <w:bCs/>
          <w:szCs w:val="72"/>
          <w:lang w:val="sr-Cyrl-RS"/>
        </w:rPr>
      </w:pPr>
      <w:r w:rsidRPr="00EA3D8C">
        <w:rPr>
          <w:noProof/>
        </w:rPr>
        <w:drawing>
          <wp:inline distT="0" distB="0" distL="0" distR="0" wp14:anchorId="3BD508DE" wp14:editId="72CF4EA2">
            <wp:extent cx="2743200" cy="2232000"/>
            <wp:effectExtent l="0" t="0" r="0" b="0"/>
            <wp:docPr id="32" name="Chart 32">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03C7F15" w14:textId="4470C9D3" w:rsidR="0022630A" w:rsidRPr="00EA3D8C" w:rsidRDefault="0022630A" w:rsidP="00161001">
      <w:pPr>
        <w:rPr>
          <w:rFonts w:cstheme="minorHAnsi"/>
          <w:bCs/>
          <w:szCs w:val="72"/>
          <w:lang w:val="sr-Cyrl-RS"/>
        </w:rPr>
      </w:pPr>
      <w:r w:rsidRPr="00EA3D8C">
        <w:rPr>
          <w:rFonts w:cstheme="minorHAnsi"/>
          <w:bCs/>
          <w:szCs w:val="72"/>
          <w:lang w:val="sr-Cyrl-RS"/>
        </w:rPr>
        <w:t>Према подацима РЗС, пад БДП у другом кварталу износио је 6,4% мг. Контракција привреде у другом кварталу у потпуности је последица ефектуирања примене здравстве</w:t>
      </w:r>
      <w:r w:rsidR="00285491">
        <w:rPr>
          <w:rFonts w:cstheme="minorHAnsi"/>
          <w:bCs/>
          <w:szCs w:val="72"/>
          <w:lang w:val="sr-Cyrl-RS"/>
        </w:rPr>
        <w:t xml:space="preserve">них мера услед </w:t>
      </w:r>
      <w:r w:rsidR="008E4992" w:rsidRPr="008E4992">
        <w:rPr>
          <w:rFonts w:cstheme="minorHAnsi"/>
          <w:bCs/>
          <w:szCs w:val="72"/>
          <w:lang w:val="sr-Cyrl-RS"/>
        </w:rPr>
        <w:t>пан</w:t>
      </w:r>
      <w:r w:rsidR="00285491">
        <w:rPr>
          <w:rFonts w:cstheme="minorHAnsi"/>
          <w:bCs/>
          <w:szCs w:val="72"/>
          <w:lang w:val="sr-Cyrl-RS"/>
        </w:rPr>
        <w:t>демије корона</w:t>
      </w:r>
      <w:r w:rsidRPr="00EA3D8C">
        <w:rPr>
          <w:rFonts w:cstheme="minorHAnsi"/>
          <w:bCs/>
          <w:szCs w:val="72"/>
          <w:lang w:val="sr-Cyrl-RS"/>
        </w:rPr>
        <w:t>вируса. Економски пакет подршке привреди и становништву значајно је допринео ублажавању овог шока и резултирао је мањим падом привреде, посебно у поређењу са другим европским економијама, а избегнуте су и турбуленције на тржишту радне снаге.</w:t>
      </w:r>
    </w:p>
    <w:p w14:paraId="1BE41BF4" w14:textId="77777777" w:rsidR="0022630A" w:rsidRPr="00EA3D8C" w:rsidRDefault="0022630A" w:rsidP="00161001">
      <w:pPr>
        <w:rPr>
          <w:rFonts w:cstheme="minorHAnsi"/>
          <w:bCs/>
          <w:szCs w:val="72"/>
          <w:lang w:val="sr-Cyrl-RS"/>
        </w:rPr>
      </w:pPr>
      <w:r w:rsidRPr="00EA3D8C">
        <w:rPr>
          <w:rFonts w:cstheme="minorHAnsi"/>
          <w:bCs/>
          <w:szCs w:val="72"/>
          <w:lang w:val="sr-Cyrl-RS"/>
        </w:rPr>
        <w:lastRenderedPageBreak/>
        <w:t>Посматрано са производне стране, доминантан негативан допринос стопи раста БДП у другом кварталу 2020. године дошао је од услужног сектора (-3,8 п.п.), услед пада у секторима трговине, саобраћаја и туризма, као и стручних и техничких услуга и делатности везане за уметност, забаву и рекреацију. Истовремено индустријска производња са падом од 7,7% мг. негативно је допринела економском расту са -1,5 п.п, док је допринос грађевине био неутралан. Повољни агрометеоролошки услови резултирали су растом пољопривредне производње, али је њен допринос био благо позитиван услед поређења са високом базом из истог периода претходне године.</w:t>
      </w:r>
    </w:p>
    <w:p w14:paraId="19111285" w14:textId="11601D03" w:rsidR="0022630A" w:rsidRPr="00EA3D8C" w:rsidRDefault="0022630A" w:rsidP="00161001">
      <w:pPr>
        <w:rPr>
          <w:rFonts w:cstheme="minorHAnsi"/>
          <w:bCs/>
          <w:szCs w:val="72"/>
          <w:lang w:val="sr-Cyrl-RS"/>
        </w:rPr>
      </w:pPr>
      <w:r w:rsidRPr="00EA3D8C">
        <w:rPr>
          <w:rFonts w:cstheme="minorHAnsi"/>
          <w:bCs/>
          <w:szCs w:val="72"/>
          <w:lang w:val="sr-Cyrl-RS"/>
        </w:rPr>
        <w:t xml:space="preserve">Посматрано по агрегатима употребе БДП, у другом кварталу 2020. године ефекти </w:t>
      </w:r>
      <w:r w:rsidR="008E4992" w:rsidRPr="008E4992">
        <w:rPr>
          <w:rFonts w:cstheme="minorHAnsi"/>
          <w:bCs/>
          <w:szCs w:val="72"/>
          <w:lang w:val="sr-Cyrl-RS"/>
        </w:rPr>
        <w:t>пан</w:t>
      </w:r>
      <w:r w:rsidRPr="00EA3D8C">
        <w:rPr>
          <w:rFonts w:cstheme="minorHAnsi"/>
          <w:bCs/>
          <w:szCs w:val="72"/>
          <w:lang w:val="sr-Cyrl-RS"/>
        </w:rPr>
        <w:t>демије највише су се одразили на приватну потрошњу која је негативно допринела стопи раста БДП са 5,6 п.п. Иако су сачувани реални дохоци становништва пад личне потрошње домаћинстава последица је привременог одустајања потрошача од куповине трајних потрошних добара као и мањег коришћења туристичких, угоститељских и саобраћајних услуга. Инв</w:t>
      </w:r>
      <w:r w:rsidR="00967BDF" w:rsidRPr="00EA3D8C">
        <w:rPr>
          <w:rFonts w:cstheme="minorHAnsi"/>
          <w:bCs/>
          <w:szCs w:val="72"/>
          <w:lang w:val="sr-Cyrl-RS"/>
        </w:rPr>
        <w:t>естиције као компонента БДП које су</w:t>
      </w:r>
      <w:r w:rsidRPr="00EA3D8C">
        <w:rPr>
          <w:rFonts w:cstheme="minorHAnsi"/>
          <w:bCs/>
          <w:szCs w:val="72"/>
          <w:lang w:val="sr-Cyrl-RS"/>
        </w:rPr>
        <w:t xml:space="preserve"> највише осетљиве на глобалну неизвесност оствариле су смањење од 11,9% мг. и утицале на пад БДП за 2,5 п.п. На ублажавање оштрог пада БДП током другог квартала утицали су повећани издаци за здравствену заштиту исказани кроз раст државне потрошње за ове потребе. Шок у спољнотрговинској размени имао је за последицу значајан пад извозно-увозне активности, али је допринос нето извоза ипак био благо позитиван и износио је 0,9 п.п.</w:t>
      </w:r>
    </w:p>
    <w:p w14:paraId="3F00389B" w14:textId="26918B08" w:rsidR="0022630A" w:rsidRPr="00EA3D8C" w:rsidRDefault="0022630A" w:rsidP="00352961">
      <w:pPr>
        <w:rPr>
          <w:rFonts w:cstheme="minorHAnsi"/>
          <w:bCs/>
          <w:szCs w:val="72"/>
          <w:lang w:val="sr-Cyrl-RS"/>
        </w:rPr>
      </w:pPr>
      <w:r w:rsidRPr="00EA3D8C">
        <w:rPr>
          <w:rFonts w:cstheme="minorHAnsi"/>
          <w:bCs/>
          <w:szCs w:val="72"/>
          <w:lang w:val="sr-Cyrl-RS"/>
        </w:rPr>
        <w:t>Постепен опоравак привредне активности потврђен је и флеш проценом РЗС, према којој је у трећем кварталу остварен реални пад од 1,3% мг. Ово представља добар резултат посебно ако се има у виду изузетно висока база из истог периода 2019. године. Према процени Министарства финансија индустријска производња се током трећег квартала у потпуности опо</w:t>
      </w:r>
      <w:r w:rsidR="00C2087D">
        <w:rPr>
          <w:rFonts w:cstheme="minorHAnsi"/>
          <w:bCs/>
          <w:szCs w:val="72"/>
          <w:lang w:val="sr-Cyrl-RS"/>
        </w:rPr>
        <w:t xml:space="preserve">равила од шока изазваног </w:t>
      </w:r>
      <w:r w:rsidR="008E4992" w:rsidRPr="008E4992">
        <w:rPr>
          <w:rFonts w:cstheme="minorHAnsi"/>
          <w:bCs/>
          <w:szCs w:val="72"/>
          <w:lang w:val="sr-Cyrl-RS"/>
        </w:rPr>
        <w:t>пан</w:t>
      </w:r>
      <w:r w:rsidR="00C2087D">
        <w:rPr>
          <w:rFonts w:cstheme="minorHAnsi"/>
          <w:bCs/>
          <w:szCs w:val="72"/>
          <w:lang w:val="sr-Cyrl-RS"/>
        </w:rPr>
        <w:t>демијо</w:t>
      </w:r>
      <w:r w:rsidRPr="00EA3D8C">
        <w:rPr>
          <w:rFonts w:cstheme="minorHAnsi"/>
          <w:bCs/>
          <w:szCs w:val="72"/>
          <w:lang w:val="sr-Cyrl-RS"/>
        </w:rPr>
        <w:t xml:space="preserve">м </w:t>
      </w:r>
      <w:r w:rsidR="00285491">
        <w:rPr>
          <w:rFonts w:cstheme="minorHAnsi"/>
          <w:bCs/>
          <w:szCs w:val="72"/>
          <w:lang w:val="sr-Cyrl-RS"/>
        </w:rPr>
        <w:t>корона</w:t>
      </w:r>
      <w:r w:rsidR="00C2087D" w:rsidRPr="00EA3D8C">
        <w:rPr>
          <w:rFonts w:cstheme="minorHAnsi"/>
          <w:bCs/>
          <w:szCs w:val="72"/>
          <w:lang w:val="sr-Cyrl-RS"/>
        </w:rPr>
        <w:t>вируса</w:t>
      </w:r>
      <w:r w:rsidRPr="00EA3D8C">
        <w:rPr>
          <w:rFonts w:cstheme="minorHAnsi"/>
          <w:bCs/>
          <w:szCs w:val="72"/>
          <w:lang w:val="sr-Cyrl-RS"/>
        </w:rPr>
        <w:t xml:space="preserve"> и остварила је раст </w:t>
      </w:r>
      <w:r w:rsidR="00FF6648">
        <w:rPr>
          <w:rFonts w:cstheme="minorHAnsi"/>
          <w:bCs/>
          <w:szCs w:val="72"/>
          <w:lang w:val="sr-Cyrl-RS"/>
        </w:rPr>
        <w:t xml:space="preserve">бруто додате вредности (у даљем тексту: </w:t>
      </w:r>
      <w:r w:rsidRPr="00EA3D8C">
        <w:rPr>
          <w:rFonts w:cstheme="minorHAnsi"/>
          <w:bCs/>
          <w:szCs w:val="72"/>
          <w:lang w:val="sr-Cyrl-RS"/>
        </w:rPr>
        <w:t>БДВ</w:t>
      </w:r>
      <w:r w:rsidR="00FF6648">
        <w:rPr>
          <w:rFonts w:cstheme="minorHAnsi"/>
          <w:bCs/>
          <w:szCs w:val="72"/>
          <w:lang w:val="sr-Cyrl-RS"/>
        </w:rPr>
        <w:t>)</w:t>
      </w:r>
      <w:r w:rsidRPr="00EA3D8C">
        <w:rPr>
          <w:rFonts w:cstheme="minorHAnsi"/>
          <w:bCs/>
          <w:szCs w:val="72"/>
          <w:lang w:val="sr-Cyrl-RS"/>
        </w:rPr>
        <w:t xml:space="preserve"> од 3,1%. Позитиван допринос дала је и </w:t>
      </w:r>
      <w:r w:rsidRPr="00EA3D8C">
        <w:rPr>
          <w:rFonts w:cstheme="minorHAnsi"/>
          <w:bCs/>
          <w:szCs w:val="72"/>
          <w:lang w:val="sr-Cyrl-RS"/>
        </w:rPr>
        <w:lastRenderedPageBreak/>
        <w:t>пољопривредна производња која је забележила повећање од око 5% уз рекордне приносе појединих биљних култура. Међутим, позитивна кретања у ова два сектора нису успела у потпуности да компензују негативан допринос који је дошао од грађевинарства и услуга. Изузетно висок прошлогодишњи раст у сектору грађевинарства деловао је због базног ефекта на међугодишњи пад у трећем кварталу 2020. године од око 17%. Умерен опоравак економске активности у сектору услуга није био довољан да се избегне благи пад од 1,5% мг.</w:t>
      </w:r>
    </w:p>
    <w:p w14:paraId="0688664F" w14:textId="071E1E2A" w:rsidR="0022630A" w:rsidRPr="00EA3D8C" w:rsidRDefault="0022630A" w:rsidP="00352961">
      <w:pPr>
        <w:rPr>
          <w:rFonts w:cstheme="minorHAnsi"/>
          <w:bCs/>
          <w:szCs w:val="72"/>
          <w:lang w:val="sr-Cyrl-RS"/>
        </w:rPr>
      </w:pPr>
      <w:r w:rsidRPr="00EA3D8C">
        <w:rPr>
          <w:rFonts w:cstheme="minorHAnsi"/>
          <w:bCs/>
          <w:szCs w:val="72"/>
          <w:lang w:val="sr-Cyrl-RS"/>
        </w:rPr>
        <w:t>Високофреквентни индикатори економске активности такође указују на солидан опоравак привреде. Физички обим укупне индустријске производње је у септембру, по отклањању сезонског и календарског ефекта, б</w:t>
      </w:r>
      <w:r w:rsidR="00640C2E">
        <w:rPr>
          <w:rFonts w:cstheme="minorHAnsi"/>
          <w:bCs/>
          <w:szCs w:val="72"/>
          <w:lang w:val="sr-Cyrl-RS"/>
        </w:rPr>
        <w:t>ио за 2,7% већи у односу на прет</w:t>
      </w:r>
      <w:r w:rsidRPr="00EA3D8C">
        <w:rPr>
          <w:rFonts w:cstheme="minorHAnsi"/>
          <w:bCs/>
          <w:szCs w:val="72"/>
          <w:lang w:val="sr-Cyrl-RS"/>
        </w:rPr>
        <w:t xml:space="preserve">кризни ниво из фебруара 2020. године, иако се по делатностима бележе дивергентна кретања. Одређене области индустрије, пре свега оне које су доминантно извозно оријентисане биле су у већој мери погођене кризом. То се пре свега односи на аутомобилску индустрију, производњу основних метала, индустрију гуме и пластике, као и производњу нафте. У априлу 2020. године ниво производње у овим областима је био преполовљен у односу на претходни месец док је код аутомобилске индустрије пад износио преко 80%. Међутим, треба напоменути да се производња у овим областима постепено повећавала са оправком спољне тражње, док је код неких, попут аутомобилске и гумарске индустрије, опоравку допринело и активирање нових производних погона као резултат </w:t>
      </w:r>
      <w:r w:rsidR="007E6A5F">
        <w:rPr>
          <w:rFonts w:cstheme="minorHAnsi"/>
          <w:bCs/>
          <w:szCs w:val="72"/>
          <w:lang w:val="sr-Cyrl-RS"/>
        </w:rPr>
        <w:t>СДИ</w:t>
      </w:r>
      <w:r w:rsidRPr="00EA3D8C">
        <w:rPr>
          <w:rFonts w:cstheme="minorHAnsi"/>
          <w:bCs/>
          <w:szCs w:val="72"/>
          <w:lang w:val="sr-Cyrl-RS"/>
        </w:rPr>
        <w:t xml:space="preserve"> из претходног периода. За разлику од ових делатности, код области код којих је домаћа тражња значајнија и структура производње таква да се производе добра неопходна за задовољење основних животних потреба, попут прехрамбене индустрије, избегнута су рецесиона кретања, или је пак утицај кризе био далеко мањи. С друге стране, фармацеутска и хемијска индустрија услед повећаних потреба за средствима за здравствену заштиту услед </w:t>
      </w:r>
      <w:r w:rsidR="008E4992" w:rsidRPr="008E4992">
        <w:rPr>
          <w:rFonts w:cstheme="minorHAnsi"/>
          <w:bCs/>
          <w:szCs w:val="72"/>
          <w:lang w:val="sr-Cyrl-RS"/>
        </w:rPr>
        <w:t>пан</w:t>
      </w:r>
      <w:r w:rsidRPr="00EA3D8C">
        <w:rPr>
          <w:rFonts w:cstheme="minorHAnsi"/>
          <w:bCs/>
          <w:szCs w:val="72"/>
          <w:lang w:val="sr-Cyrl-RS"/>
        </w:rPr>
        <w:t>демије бележе значајно повећање производње која у првих девет месеци износи 11,6% и 7,6%, респективно.</w:t>
      </w:r>
    </w:p>
    <w:p w14:paraId="29441870" w14:textId="77777777" w:rsidR="00642143" w:rsidRPr="00EA3D8C" w:rsidRDefault="00642143" w:rsidP="00352961">
      <w:pPr>
        <w:rPr>
          <w:rFonts w:cstheme="minorHAnsi"/>
          <w:bCs/>
          <w:szCs w:val="72"/>
          <w:lang w:val="sr-Cyrl-RS"/>
        </w:rPr>
        <w:sectPr w:rsidR="00642143" w:rsidRPr="00EA3D8C" w:rsidSect="002E6EF0">
          <w:type w:val="continuous"/>
          <w:pgSz w:w="12240" w:h="15840" w:code="1"/>
          <w:pgMar w:top="1440" w:right="1440" w:bottom="1440" w:left="1440" w:header="720" w:footer="720" w:gutter="0"/>
          <w:cols w:num="2" w:space="720"/>
          <w:docGrid w:linePitch="360"/>
          <w15:footnoteColumns w:val="1"/>
        </w:sectPr>
      </w:pPr>
    </w:p>
    <w:p w14:paraId="39C98991" w14:textId="77777777" w:rsidR="0022630A" w:rsidRPr="00EA3D8C" w:rsidRDefault="0022630A" w:rsidP="00161001">
      <w:pPr>
        <w:spacing w:after="120" w:line="240" w:lineRule="auto"/>
        <w:jc w:val="center"/>
        <w:rPr>
          <w:rFonts w:cstheme="minorHAnsi"/>
          <w:b/>
          <w:color w:val="002060"/>
          <w:lang w:val="sr-Cyrl-RS"/>
        </w:rPr>
      </w:pPr>
      <w:r w:rsidRPr="00EA3D8C">
        <w:rPr>
          <w:rFonts w:cstheme="minorHAnsi"/>
          <w:b/>
          <w:lang w:val="sr-Cyrl-RS"/>
        </w:rPr>
        <w:lastRenderedPageBreak/>
        <w:br w:type="page"/>
      </w:r>
      <w:r w:rsidRPr="00EA3D8C">
        <w:rPr>
          <w:rFonts w:cstheme="minorHAnsi"/>
          <w:b/>
          <w:color w:val="002060"/>
          <w:lang w:val="sr-Cyrl-RS"/>
        </w:rPr>
        <w:lastRenderedPageBreak/>
        <w:t>Индекси физичког обима водећих делатности индустријске производње, 2019=100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0"/>
        <w:gridCol w:w="4680"/>
      </w:tblGrid>
      <w:tr w:rsidR="0022630A" w:rsidRPr="00EA3D8C" w14:paraId="1E72CBDB" w14:textId="77777777" w:rsidTr="003B33D2">
        <w:tc>
          <w:tcPr>
            <w:tcW w:w="4680" w:type="dxa"/>
            <w:tcMar>
              <w:bottom w:w="11" w:type="dxa"/>
            </w:tcMar>
          </w:tcPr>
          <w:p w14:paraId="03AF413E" w14:textId="77777777" w:rsidR="0022630A" w:rsidRPr="00EA3D8C" w:rsidRDefault="0022630A" w:rsidP="00161001">
            <w:pPr>
              <w:spacing w:before="60" w:after="60"/>
              <w:jc w:val="center"/>
              <w:rPr>
                <w:lang w:val="sr-Cyrl-RS"/>
              </w:rPr>
            </w:pPr>
            <w:r w:rsidRPr="00EA3D8C">
              <w:rPr>
                <w:lang w:val="sr-Cyrl-RS"/>
              </w:rPr>
              <w:t>Прерађивачка индустрија</w:t>
            </w:r>
          </w:p>
          <w:p w14:paraId="75669886" w14:textId="77777777" w:rsidR="0022630A" w:rsidRPr="00EA3D8C" w:rsidRDefault="0022630A" w:rsidP="00161001">
            <w:pPr>
              <w:rPr>
                <w:lang w:val="sr-Cyrl-RS"/>
              </w:rPr>
            </w:pPr>
            <w:r w:rsidRPr="00EA3D8C">
              <w:rPr>
                <w:noProof/>
              </w:rPr>
              <w:drawing>
                <wp:inline distT="0" distB="0" distL="0" distR="0" wp14:anchorId="0E5FC57D" wp14:editId="0B2801D6">
                  <wp:extent cx="2880000" cy="1332000"/>
                  <wp:effectExtent l="0" t="0" r="0" b="1905"/>
                  <wp:docPr id="33" name="Chart 33">
                    <a:extLst xmlns:a="http://schemas.openxmlformats.org/drawingml/2006/main">
                      <a:ext uri="{FF2B5EF4-FFF2-40B4-BE49-F238E27FC236}">
                        <a16:creationId xmlns:a16="http://schemas.microsoft.com/office/drawing/2014/main" id="{00000000-0008-0000-16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4680" w:type="dxa"/>
            <w:tcMar>
              <w:bottom w:w="11" w:type="dxa"/>
            </w:tcMar>
          </w:tcPr>
          <w:p w14:paraId="7BF644F0" w14:textId="77777777" w:rsidR="0022630A" w:rsidRPr="00EA3D8C" w:rsidRDefault="0022630A" w:rsidP="00161001">
            <w:pPr>
              <w:spacing w:before="60"/>
              <w:jc w:val="center"/>
              <w:rPr>
                <w:lang w:val="sr-Cyrl-RS"/>
              </w:rPr>
            </w:pPr>
            <w:r w:rsidRPr="00EA3D8C">
              <w:rPr>
                <w:lang w:val="sr-Cyrl-RS"/>
              </w:rPr>
              <w:t>Производња прехрамбених производа</w:t>
            </w:r>
          </w:p>
          <w:p w14:paraId="31BF998F" w14:textId="77777777" w:rsidR="0022630A" w:rsidRPr="00EA3D8C" w:rsidRDefault="0022630A" w:rsidP="00161001">
            <w:pPr>
              <w:spacing w:before="60"/>
              <w:jc w:val="center"/>
              <w:rPr>
                <w:lang w:val="sr-Cyrl-RS"/>
              </w:rPr>
            </w:pPr>
            <w:r w:rsidRPr="00EA3D8C">
              <w:rPr>
                <w:noProof/>
              </w:rPr>
              <w:drawing>
                <wp:inline distT="0" distB="0" distL="0" distR="0" wp14:anchorId="18DB35C7" wp14:editId="2CAACE43">
                  <wp:extent cx="2880000" cy="1332000"/>
                  <wp:effectExtent l="0" t="0" r="0" b="1905"/>
                  <wp:docPr id="35" name="Chart 35">
                    <a:extLst xmlns:a="http://schemas.openxmlformats.org/drawingml/2006/main">
                      <a:ext uri="{FF2B5EF4-FFF2-40B4-BE49-F238E27FC236}">
                        <a16:creationId xmlns:a16="http://schemas.microsoft.com/office/drawing/2014/main" id="{00000000-0008-0000-16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22630A" w:rsidRPr="00EA3D8C" w14:paraId="58DBA328" w14:textId="77777777" w:rsidTr="003B33D2">
        <w:trPr>
          <w:trHeight w:val="2427"/>
        </w:trPr>
        <w:tc>
          <w:tcPr>
            <w:tcW w:w="4680" w:type="dxa"/>
            <w:tcMar>
              <w:bottom w:w="11" w:type="dxa"/>
            </w:tcMar>
          </w:tcPr>
          <w:p w14:paraId="35036049" w14:textId="77777777" w:rsidR="0022630A" w:rsidRPr="00EA3D8C" w:rsidRDefault="0022630A" w:rsidP="00161001">
            <w:pPr>
              <w:spacing w:before="60"/>
              <w:jc w:val="center"/>
              <w:rPr>
                <w:lang w:val="sr-Cyrl-RS"/>
              </w:rPr>
            </w:pPr>
            <w:r w:rsidRPr="00EA3D8C">
              <w:rPr>
                <w:lang w:val="sr-Cyrl-RS"/>
              </w:rPr>
              <w:t>Производња кокса и деривата нафте</w:t>
            </w:r>
          </w:p>
          <w:p w14:paraId="5D918E2F" w14:textId="77777777" w:rsidR="0022630A" w:rsidRPr="00EA3D8C" w:rsidRDefault="0022630A" w:rsidP="00161001">
            <w:pPr>
              <w:spacing w:before="60"/>
              <w:jc w:val="center"/>
              <w:rPr>
                <w:lang w:val="sr-Cyrl-RS"/>
              </w:rPr>
            </w:pPr>
            <w:r w:rsidRPr="00EA3D8C">
              <w:rPr>
                <w:noProof/>
              </w:rPr>
              <w:drawing>
                <wp:inline distT="0" distB="0" distL="0" distR="0" wp14:anchorId="2FB7B84F" wp14:editId="36266B9E">
                  <wp:extent cx="2880000" cy="1332000"/>
                  <wp:effectExtent l="0" t="0" r="0" b="1905"/>
                  <wp:docPr id="12" name="Chart 12">
                    <a:extLst xmlns:a="http://schemas.openxmlformats.org/drawingml/2006/main">
                      <a:ext uri="{FF2B5EF4-FFF2-40B4-BE49-F238E27FC236}">
                        <a16:creationId xmlns:a16="http://schemas.microsoft.com/office/drawing/2014/main" id="{00000000-0008-0000-18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680" w:type="dxa"/>
            <w:tcMar>
              <w:bottom w:w="11" w:type="dxa"/>
            </w:tcMar>
          </w:tcPr>
          <w:p w14:paraId="34088DB9" w14:textId="77777777" w:rsidR="0022630A" w:rsidRPr="00EA3D8C" w:rsidRDefault="0022630A" w:rsidP="00161001">
            <w:pPr>
              <w:spacing w:before="60" w:after="40"/>
              <w:jc w:val="center"/>
              <w:rPr>
                <w:lang w:val="sr-Cyrl-RS"/>
              </w:rPr>
            </w:pPr>
            <w:r w:rsidRPr="00EA3D8C">
              <w:rPr>
                <w:lang w:val="sr-Cyrl-RS"/>
              </w:rPr>
              <w:t>Производња хемикалија и хемијских производа</w:t>
            </w:r>
          </w:p>
          <w:p w14:paraId="4731B438" w14:textId="77777777" w:rsidR="0022630A" w:rsidRPr="00EA3D8C" w:rsidRDefault="0022630A" w:rsidP="00161001">
            <w:pPr>
              <w:rPr>
                <w:lang w:val="sr-Cyrl-RS"/>
              </w:rPr>
            </w:pPr>
            <w:r w:rsidRPr="00EA3D8C">
              <w:rPr>
                <w:noProof/>
              </w:rPr>
              <w:drawing>
                <wp:inline distT="0" distB="0" distL="0" distR="0" wp14:anchorId="7AFB59B9" wp14:editId="17ADF96F">
                  <wp:extent cx="2880000" cy="1332000"/>
                  <wp:effectExtent l="0" t="0" r="0" b="1905"/>
                  <wp:docPr id="9" name="Chart 9">
                    <a:extLst xmlns:a="http://schemas.openxmlformats.org/drawingml/2006/main">
                      <a:ext uri="{FF2B5EF4-FFF2-40B4-BE49-F238E27FC236}">
                        <a16:creationId xmlns:a16="http://schemas.microsoft.com/office/drawing/2014/main" id="{00000000-0008-0000-16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22630A" w:rsidRPr="00EA3D8C" w14:paraId="4A1D7140" w14:textId="77777777" w:rsidTr="003B33D2">
        <w:tc>
          <w:tcPr>
            <w:tcW w:w="4680" w:type="dxa"/>
            <w:tcMar>
              <w:bottom w:w="11" w:type="dxa"/>
            </w:tcMar>
          </w:tcPr>
          <w:p w14:paraId="7D0F1510" w14:textId="77777777" w:rsidR="0022630A" w:rsidRPr="00EA3D8C" w:rsidRDefault="0022630A" w:rsidP="00161001">
            <w:pPr>
              <w:jc w:val="center"/>
              <w:rPr>
                <w:lang w:val="sr-Cyrl-RS"/>
              </w:rPr>
            </w:pPr>
            <w:r w:rsidRPr="00EA3D8C">
              <w:rPr>
                <w:lang w:val="sr-Cyrl-RS"/>
              </w:rPr>
              <w:t>Производња основних фармацеутских производа и препарата</w:t>
            </w:r>
          </w:p>
          <w:p w14:paraId="46A7F75B" w14:textId="77777777" w:rsidR="0022630A" w:rsidRPr="00EA3D8C" w:rsidRDefault="0022630A" w:rsidP="00161001">
            <w:pPr>
              <w:jc w:val="center"/>
              <w:rPr>
                <w:lang w:val="sr-Cyrl-RS"/>
              </w:rPr>
            </w:pPr>
            <w:r w:rsidRPr="00EA3D8C">
              <w:rPr>
                <w:noProof/>
              </w:rPr>
              <w:drawing>
                <wp:inline distT="0" distB="0" distL="0" distR="0" wp14:anchorId="0846C81B" wp14:editId="1E7770CD">
                  <wp:extent cx="2880000" cy="1332000"/>
                  <wp:effectExtent l="0" t="0" r="0" b="1905"/>
                  <wp:docPr id="14" name="Chart 14">
                    <a:extLst xmlns:a="http://schemas.openxmlformats.org/drawingml/2006/main">
                      <a:ext uri="{FF2B5EF4-FFF2-40B4-BE49-F238E27FC236}">
                        <a16:creationId xmlns:a16="http://schemas.microsoft.com/office/drawing/2014/main" id="{00000000-0008-0000-16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680" w:type="dxa"/>
            <w:tcMar>
              <w:bottom w:w="11" w:type="dxa"/>
            </w:tcMar>
          </w:tcPr>
          <w:p w14:paraId="34C9314E" w14:textId="77777777" w:rsidR="0022630A" w:rsidRPr="00EA3D8C" w:rsidRDefault="0022630A" w:rsidP="00161001">
            <w:pPr>
              <w:jc w:val="center"/>
              <w:rPr>
                <w:lang w:val="sr-Cyrl-RS"/>
              </w:rPr>
            </w:pPr>
            <w:r w:rsidRPr="00EA3D8C">
              <w:rPr>
                <w:lang w:val="sr-Cyrl-RS"/>
              </w:rPr>
              <w:t>Производња производа од гуме и пластике</w:t>
            </w:r>
          </w:p>
          <w:p w14:paraId="25754F9C" w14:textId="77777777" w:rsidR="0022630A" w:rsidRPr="00EA3D8C" w:rsidRDefault="0022630A" w:rsidP="00161001">
            <w:pPr>
              <w:jc w:val="center"/>
              <w:rPr>
                <w:sz w:val="14"/>
                <w:lang w:val="sr-Cyrl-RS"/>
              </w:rPr>
            </w:pPr>
          </w:p>
          <w:p w14:paraId="207BD815" w14:textId="77777777" w:rsidR="0022630A" w:rsidRPr="00EA3D8C" w:rsidRDefault="0022630A" w:rsidP="00161001">
            <w:pPr>
              <w:spacing w:before="60"/>
              <w:jc w:val="center"/>
              <w:rPr>
                <w:lang w:val="sr-Cyrl-RS"/>
              </w:rPr>
            </w:pPr>
            <w:r w:rsidRPr="00EA3D8C">
              <w:rPr>
                <w:noProof/>
              </w:rPr>
              <w:drawing>
                <wp:inline distT="0" distB="0" distL="0" distR="0" wp14:anchorId="672F3CC4" wp14:editId="1A3B124F">
                  <wp:extent cx="2880000" cy="1332000"/>
                  <wp:effectExtent l="0" t="0" r="0" b="1905"/>
                  <wp:docPr id="36" name="Chart 36">
                    <a:extLst xmlns:a="http://schemas.openxmlformats.org/drawingml/2006/main">
                      <a:ext uri="{FF2B5EF4-FFF2-40B4-BE49-F238E27FC236}">
                        <a16:creationId xmlns:a16="http://schemas.microsoft.com/office/drawing/2014/main" id="{00000000-0008-0000-18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22630A" w:rsidRPr="00EA3D8C" w14:paraId="50C814DE" w14:textId="77777777" w:rsidTr="003B33D2">
        <w:tc>
          <w:tcPr>
            <w:tcW w:w="4680" w:type="dxa"/>
            <w:tcMar>
              <w:bottom w:w="11" w:type="dxa"/>
            </w:tcMar>
          </w:tcPr>
          <w:p w14:paraId="668E72FF" w14:textId="77777777" w:rsidR="0022630A" w:rsidRPr="00EA3D8C" w:rsidRDefault="0022630A" w:rsidP="00161001">
            <w:pPr>
              <w:jc w:val="center"/>
              <w:rPr>
                <w:lang w:val="sr-Cyrl-RS"/>
              </w:rPr>
            </w:pPr>
            <w:r w:rsidRPr="00EA3D8C">
              <w:rPr>
                <w:lang w:val="sr-Cyrl-RS"/>
              </w:rPr>
              <w:t>Производња основних метала</w:t>
            </w:r>
          </w:p>
          <w:p w14:paraId="01DE9D2C" w14:textId="77777777" w:rsidR="0022630A" w:rsidRPr="00EA3D8C" w:rsidRDefault="0022630A" w:rsidP="00161001">
            <w:pPr>
              <w:rPr>
                <w:lang w:val="sr-Cyrl-RS"/>
              </w:rPr>
            </w:pPr>
            <w:r w:rsidRPr="00EA3D8C">
              <w:rPr>
                <w:noProof/>
              </w:rPr>
              <w:drawing>
                <wp:inline distT="0" distB="0" distL="0" distR="0" wp14:anchorId="673A11C6" wp14:editId="39C8D829">
                  <wp:extent cx="2880000" cy="1332000"/>
                  <wp:effectExtent l="0" t="0" r="0" b="1905"/>
                  <wp:docPr id="10" name="Chart 10">
                    <a:extLst xmlns:a="http://schemas.openxmlformats.org/drawingml/2006/main">
                      <a:ext uri="{FF2B5EF4-FFF2-40B4-BE49-F238E27FC236}">
                        <a16:creationId xmlns:a16="http://schemas.microsoft.com/office/drawing/2014/main" id="{00000000-0008-0000-16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680" w:type="dxa"/>
            <w:tcMar>
              <w:bottom w:w="11" w:type="dxa"/>
            </w:tcMar>
          </w:tcPr>
          <w:p w14:paraId="5440501D" w14:textId="77777777" w:rsidR="0022630A" w:rsidRPr="00EA3D8C" w:rsidRDefault="0022630A" w:rsidP="00161001">
            <w:pPr>
              <w:jc w:val="center"/>
              <w:rPr>
                <w:lang w:val="sr-Cyrl-RS"/>
              </w:rPr>
            </w:pPr>
            <w:r w:rsidRPr="00EA3D8C">
              <w:rPr>
                <w:lang w:val="sr-Cyrl-RS"/>
              </w:rPr>
              <w:t>Производња моторних возила и приколица</w:t>
            </w:r>
          </w:p>
          <w:p w14:paraId="424E4C0B" w14:textId="77777777" w:rsidR="0022630A" w:rsidRPr="00EA3D8C" w:rsidRDefault="0022630A" w:rsidP="00161001">
            <w:pPr>
              <w:rPr>
                <w:lang w:val="sr-Cyrl-RS"/>
              </w:rPr>
            </w:pPr>
            <w:r w:rsidRPr="00EA3D8C">
              <w:rPr>
                <w:noProof/>
              </w:rPr>
              <w:drawing>
                <wp:inline distT="0" distB="0" distL="0" distR="0" wp14:anchorId="691960B4" wp14:editId="0D9FC1FE">
                  <wp:extent cx="2880000" cy="1332000"/>
                  <wp:effectExtent l="0" t="0" r="0" b="1905"/>
                  <wp:docPr id="11" name="Chart 11">
                    <a:extLst xmlns:a="http://schemas.openxmlformats.org/drawingml/2006/main">
                      <a:ext uri="{FF2B5EF4-FFF2-40B4-BE49-F238E27FC236}">
                        <a16:creationId xmlns:a16="http://schemas.microsoft.com/office/drawing/2014/main" id="{00000000-0008-0000-16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26D55E71" w14:textId="77777777" w:rsidR="0022630A" w:rsidRPr="00EA3D8C" w:rsidRDefault="0022630A" w:rsidP="00161001">
      <w:pPr>
        <w:spacing w:before="40" w:after="0"/>
        <w:jc w:val="center"/>
        <w:rPr>
          <w:rFonts w:cstheme="minorHAnsi"/>
          <w:b/>
          <w:bCs/>
          <w:szCs w:val="72"/>
          <w:lang w:val="sr-Cyrl-RS"/>
        </w:rPr>
      </w:pPr>
      <w:r w:rsidRPr="00EA3D8C">
        <w:rPr>
          <w:noProof/>
        </w:rPr>
        <w:drawing>
          <wp:inline distT="0" distB="0" distL="0" distR="0" wp14:anchorId="44E1F6A1" wp14:editId="2BBF51A9">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3"/>
                    <a:stretch>
                      <a:fillRect/>
                    </a:stretch>
                  </pic:blipFill>
                  <pic:spPr>
                    <a:xfrm>
                      <a:off x="0" y="0"/>
                      <a:ext cx="4371429" cy="219048"/>
                    </a:xfrm>
                    <a:prstGeom prst="rect">
                      <a:avLst/>
                    </a:prstGeom>
                  </pic:spPr>
                </pic:pic>
              </a:graphicData>
            </a:graphic>
          </wp:inline>
        </w:drawing>
      </w:r>
    </w:p>
    <w:p w14:paraId="6294EE10" w14:textId="77777777" w:rsidR="0022630A" w:rsidRPr="00EA3D8C" w:rsidRDefault="0022630A" w:rsidP="00161001">
      <w:pPr>
        <w:spacing w:after="0"/>
        <w:jc w:val="left"/>
        <w:rPr>
          <w:rFonts w:cstheme="minorHAnsi"/>
          <w:b/>
          <w:bCs/>
          <w:szCs w:val="72"/>
          <w:lang w:val="sr-Cyrl-RS"/>
        </w:rPr>
      </w:pPr>
      <w:r w:rsidRPr="00EA3D8C">
        <w:rPr>
          <w:rFonts w:cstheme="minorHAnsi"/>
          <w:bCs/>
          <w:sz w:val="16"/>
          <w:szCs w:val="72"/>
          <w:lang w:val="sr-Cyrl-RS"/>
        </w:rPr>
        <w:t>Извор: Министарство финансија</w:t>
      </w:r>
    </w:p>
    <w:p w14:paraId="067DD3ED" w14:textId="77777777" w:rsidR="0022630A" w:rsidRPr="00EA3D8C" w:rsidRDefault="0022630A" w:rsidP="00161001">
      <w:pPr>
        <w:spacing w:after="0"/>
        <w:rPr>
          <w:rFonts w:cstheme="minorHAnsi"/>
          <w:b/>
          <w:bCs/>
          <w:szCs w:val="72"/>
          <w:lang w:val="sr-Cyrl-RS"/>
        </w:rPr>
      </w:pPr>
    </w:p>
    <w:p w14:paraId="2437E518" w14:textId="77777777" w:rsidR="0022630A" w:rsidRPr="00EA3D8C" w:rsidRDefault="0022630A">
      <w:pPr>
        <w:jc w:val="left"/>
        <w:rPr>
          <w:rFonts w:cstheme="minorHAnsi"/>
          <w:b/>
          <w:lang w:val="sr-Cyrl-RS"/>
        </w:rPr>
      </w:pPr>
    </w:p>
    <w:p w14:paraId="0F5C93D3" w14:textId="77777777" w:rsidR="0022630A" w:rsidRPr="00EA3D8C" w:rsidRDefault="0022630A" w:rsidP="00B435B3">
      <w:pPr>
        <w:spacing w:after="0"/>
        <w:rPr>
          <w:rFonts w:cstheme="minorHAnsi"/>
          <w:b/>
          <w:bCs/>
          <w:szCs w:val="72"/>
          <w:lang w:val="sr-Cyrl-RS"/>
        </w:rPr>
        <w:sectPr w:rsidR="0022630A" w:rsidRPr="00EA3D8C" w:rsidSect="00AE40EB">
          <w:type w:val="continuous"/>
          <w:pgSz w:w="12240" w:h="15840" w:code="1"/>
          <w:pgMar w:top="1440" w:right="1440" w:bottom="1440" w:left="1440" w:header="720" w:footer="720" w:gutter="0"/>
          <w:cols w:space="720"/>
          <w:docGrid w:linePitch="360"/>
        </w:sectPr>
      </w:pPr>
    </w:p>
    <w:p w14:paraId="6D9FD1C7" w14:textId="77777777" w:rsidR="0022630A" w:rsidRPr="00EA3D8C" w:rsidRDefault="0022630A" w:rsidP="00B435B3">
      <w:pPr>
        <w:rPr>
          <w:rFonts w:cstheme="minorHAnsi"/>
          <w:bCs/>
          <w:szCs w:val="72"/>
          <w:lang w:val="sr-Cyrl-RS"/>
        </w:rPr>
      </w:pPr>
    </w:p>
    <w:p w14:paraId="273FAE1D" w14:textId="77777777" w:rsidR="0022630A" w:rsidRPr="00EA3D8C" w:rsidRDefault="0022630A" w:rsidP="00B435B3">
      <w:pPr>
        <w:rPr>
          <w:rFonts w:cstheme="minorHAnsi"/>
          <w:bCs/>
          <w:szCs w:val="72"/>
          <w:lang w:val="sr-Cyrl-RS"/>
        </w:rPr>
      </w:pPr>
    </w:p>
    <w:p w14:paraId="51075AE3" w14:textId="77777777" w:rsidR="0022630A" w:rsidRPr="00EA3D8C" w:rsidRDefault="0022630A" w:rsidP="00B435B3">
      <w:pPr>
        <w:rPr>
          <w:rFonts w:cstheme="minorHAnsi"/>
          <w:bCs/>
          <w:szCs w:val="72"/>
          <w:lang w:val="sr-Cyrl-RS"/>
        </w:rPr>
      </w:pPr>
    </w:p>
    <w:p w14:paraId="223693D4" w14:textId="77777777" w:rsidR="0022630A" w:rsidRPr="00EA3D8C" w:rsidRDefault="0022630A" w:rsidP="00B435B3">
      <w:pPr>
        <w:rPr>
          <w:rFonts w:cstheme="minorHAnsi"/>
          <w:bCs/>
          <w:szCs w:val="72"/>
          <w:lang w:val="sr-Cyrl-RS"/>
        </w:rPr>
      </w:pPr>
    </w:p>
    <w:p w14:paraId="22D1EBEE" w14:textId="77777777" w:rsidR="0022630A" w:rsidRPr="00EA3D8C" w:rsidRDefault="0022630A" w:rsidP="00B435B3">
      <w:pPr>
        <w:rPr>
          <w:rFonts w:cstheme="minorHAnsi"/>
          <w:bCs/>
          <w:szCs w:val="72"/>
          <w:lang w:val="sr-Cyrl-RS"/>
        </w:rPr>
      </w:pPr>
    </w:p>
    <w:p w14:paraId="6A54E0FA" w14:textId="77777777" w:rsidR="0022630A" w:rsidRPr="00EA3D8C" w:rsidRDefault="0022630A" w:rsidP="00B435B3">
      <w:pPr>
        <w:rPr>
          <w:rFonts w:cstheme="minorHAnsi"/>
          <w:bCs/>
          <w:szCs w:val="72"/>
          <w:lang w:val="sr-Cyrl-RS"/>
        </w:rPr>
      </w:pPr>
    </w:p>
    <w:p w14:paraId="5547B6A7" w14:textId="4C759202" w:rsidR="0022630A" w:rsidRPr="00EA3D8C" w:rsidRDefault="0022630A" w:rsidP="00B435B3">
      <w:pPr>
        <w:rPr>
          <w:rFonts w:cstheme="minorHAnsi"/>
          <w:bCs/>
          <w:szCs w:val="72"/>
          <w:lang w:val="sr-Cyrl-RS"/>
        </w:rPr>
      </w:pPr>
      <w:r w:rsidRPr="00EA3D8C">
        <w:rPr>
          <w:rFonts w:cstheme="minorHAnsi"/>
          <w:bCs/>
          <w:szCs w:val="72"/>
          <w:lang w:val="sr-Cyrl-RS"/>
        </w:rPr>
        <w:lastRenderedPageBreak/>
        <w:t xml:space="preserve">Услужни сектор је део привреде који је због своје структуре највише погођен </w:t>
      </w:r>
      <w:r w:rsidR="008E4992" w:rsidRPr="008E4992">
        <w:rPr>
          <w:rFonts w:cstheme="minorHAnsi"/>
          <w:bCs/>
          <w:szCs w:val="72"/>
          <w:lang w:val="sr-Cyrl-RS"/>
        </w:rPr>
        <w:t>пан</w:t>
      </w:r>
      <w:r w:rsidRPr="00EA3D8C">
        <w:rPr>
          <w:rFonts w:cstheme="minorHAnsi"/>
          <w:bCs/>
          <w:szCs w:val="72"/>
          <w:lang w:val="sr-Cyrl-RS"/>
        </w:rPr>
        <w:t xml:space="preserve">демијом коронавируса. Иако су неке услужне делатности попут трговине и финансијског сектора наставили са позитивним кретањима, поједине делатности попут туризма, угоститељства, саобраћаја, уметности, забаве и рекреације забележиле су драматичан пад. Промет у трговини на мало, након пада од 18,6% мг. у априлу, се већ у наредном месецу потпуно опоравио и наставио са позитивним кретањима, тако да је у периоду </w:t>
      </w:r>
      <w:r w:rsidRPr="00EA3D8C">
        <w:rPr>
          <w:rFonts w:cstheme="minorHAnsi"/>
          <w:bCs/>
          <w:szCs w:val="72"/>
          <w:lang w:val="sr-Cyrl-RS"/>
        </w:rPr>
        <w:lastRenderedPageBreak/>
        <w:t xml:space="preserve">јануар–септембар 2020. године остварен реални раст од 4,9%. С друге стране, сектор туризма и угоститељства је претрпео огромне последице. Број ноћења </w:t>
      </w:r>
      <w:r w:rsidR="00D41142">
        <w:rPr>
          <w:rFonts w:cstheme="minorHAnsi"/>
          <w:bCs/>
          <w:szCs w:val="72"/>
          <w:lang w:val="sr-Cyrl-RS"/>
        </w:rPr>
        <w:t xml:space="preserve">страних </w:t>
      </w:r>
      <w:r w:rsidRPr="00EA3D8C">
        <w:rPr>
          <w:rFonts w:cstheme="minorHAnsi"/>
          <w:bCs/>
          <w:szCs w:val="72"/>
          <w:lang w:val="sr-Cyrl-RS"/>
        </w:rPr>
        <w:t xml:space="preserve">туриста је у првих девет месеци остварио пад од </w:t>
      </w:r>
      <w:r w:rsidR="00D41142">
        <w:rPr>
          <w:rFonts w:cstheme="minorHAnsi"/>
          <w:bCs/>
          <w:szCs w:val="72"/>
          <w:lang w:val="sr-Cyrl-RS"/>
        </w:rPr>
        <w:t>68</w:t>
      </w:r>
      <w:r w:rsidRPr="00EA3D8C">
        <w:rPr>
          <w:rFonts w:cstheme="minorHAnsi"/>
          <w:bCs/>
          <w:szCs w:val="72"/>
          <w:lang w:val="sr-Cyrl-RS"/>
        </w:rPr>
        <w:t xml:space="preserve">%, док је девизни прилив од туризма у периоду јануар–август мањи за 27,3% уз пад промета у угоститељству од </w:t>
      </w:r>
      <w:r w:rsidR="00611243" w:rsidRPr="00EA3D8C">
        <w:rPr>
          <w:rFonts w:cstheme="minorHAnsi"/>
          <w:bCs/>
          <w:szCs w:val="72"/>
          <w:lang w:val="sr-Cyrl-RS"/>
        </w:rPr>
        <w:t>22,7</w:t>
      </w:r>
      <w:r w:rsidRPr="00EA3D8C">
        <w:rPr>
          <w:rFonts w:cstheme="minorHAnsi"/>
          <w:bCs/>
          <w:szCs w:val="72"/>
          <w:lang w:val="sr-Cyrl-RS"/>
        </w:rPr>
        <w:t>%. Смањена спољна тражња услед мање привредне активности одразила се и на успоравање извоза ИКТ услуга.</w:t>
      </w:r>
    </w:p>
    <w:p w14:paraId="3B370AB9" w14:textId="77777777" w:rsidR="0022630A" w:rsidRPr="00EA3D8C" w:rsidRDefault="0022630A" w:rsidP="00B435B3">
      <w:pPr>
        <w:rPr>
          <w:rFonts w:cstheme="minorHAnsi"/>
          <w:b/>
          <w:bCs/>
          <w:szCs w:val="72"/>
          <w:lang w:val="sr-Cyrl-RS"/>
        </w:rPr>
        <w:sectPr w:rsidR="0022630A" w:rsidRPr="00EA3D8C" w:rsidSect="00AE40EB">
          <w:type w:val="continuous"/>
          <w:pgSz w:w="12240" w:h="15840" w:code="1"/>
          <w:pgMar w:top="1440" w:right="1440" w:bottom="1440" w:left="1440" w:header="720" w:footer="720" w:gutter="0"/>
          <w:cols w:num="2" w:space="720"/>
          <w:docGrid w:linePitch="360"/>
        </w:sectPr>
      </w:pPr>
    </w:p>
    <w:p w14:paraId="49A31DD1" w14:textId="77777777" w:rsidR="0022630A" w:rsidRPr="00EA3D8C" w:rsidRDefault="0022630A" w:rsidP="00161001">
      <w:pPr>
        <w:spacing w:before="240"/>
        <w:jc w:val="center"/>
        <w:rPr>
          <w:rFonts w:cstheme="minorHAnsi"/>
          <w:b/>
          <w:color w:val="002060"/>
          <w:lang w:val="sr-Cyrl-RS"/>
        </w:rPr>
      </w:pPr>
      <w:r w:rsidRPr="00EA3D8C">
        <w:rPr>
          <w:rFonts w:cstheme="minorHAnsi"/>
          <w:b/>
          <w:color w:val="002060"/>
          <w:lang w:val="sr-Cyrl-RS"/>
        </w:rPr>
        <w:lastRenderedPageBreak/>
        <w:t>Високофреквентни индикатори најзначајнијих услужних делатности, 2019=100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22630A" w:rsidRPr="00EA3D8C" w14:paraId="52C19BDC" w14:textId="77777777" w:rsidTr="003B33D2">
        <w:tc>
          <w:tcPr>
            <w:tcW w:w="4681" w:type="dxa"/>
            <w:tcMar>
              <w:bottom w:w="11" w:type="dxa"/>
            </w:tcMar>
          </w:tcPr>
          <w:p w14:paraId="11BBC720" w14:textId="77777777" w:rsidR="0022630A" w:rsidRPr="00EA3D8C" w:rsidRDefault="0022630A" w:rsidP="00161001">
            <w:pPr>
              <w:jc w:val="center"/>
              <w:rPr>
                <w:lang w:val="sr-Cyrl-RS"/>
              </w:rPr>
            </w:pPr>
            <w:r w:rsidRPr="00EA3D8C">
              <w:rPr>
                <w:lang w:val="sr-Cyrl-RS"/>
              </w:rPr>
              <w:t>Промет у трговини на мало у сталним ценама</w:t>
            </w:r>
          </w:p>
          <w:p w14:paraId="6BD2D530" w14:textId="77777777" w:rsidR="0022630A" w:rsidRPr="00EA3D8C" w:rsidRDefault="0022630A" w:rsidP="00161001">
            <w:pPr>
              <w:jc w:val="center"/>
              <w:rPr>
                <w:lang w:val="sr-Cyrl-RS"/>
              </w:rPr>
            </w:pPr>
            <w:r w:rsidRPr="00EA3D8C">
              <w:rPr>
                <w:noProof/>
              </w:rPr>
              <w:drawing>
                <wp:inline distT="0" distB="0" distL="0" distR="0" wp14:anchorId="65AC8BB2" wp14:editId="27781A8F">
                  <wp:extent cx="2881504" cy="1332000"/>
                  <wp:effectExtent l="0" t="0" r="0" b="1905"/>
                  <wp:docPr id="5" name="Chart 5">
                    <a:extLst xmlns:a="http://schemas.openxmlformats.org/drawingml/2006/main">
                      <a:ext uri="{FF2B5EF4-FFF2-40B4-BE49-F238E27FC236}">
                        <a16:creationId xmlns:a16="http://schemas.microsoft.com/office/drawing/2014/main" id="{00000000-0008-0000-17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4679" w:type="dxa"/>
            <w:tcMar>
              <w:bottom w:w="11" w:type="dxa"/>
            </w:tcMar>
          </w:tcPr>
          <w:p w14:paraId="124985FB" w14:textId="77777777" w:rsidR="0022630A" w:rsidRPr="00EA3D8C" w:rsidRDefault="0022630A" w:rsidP="00161001">
            <w:pPr>
              <w:jc w:val="center"/>
              <w:rPr>
                <w:lang w:val="sr-Cyrl-RS"/>
              </w:rPr>
            </w:pPr>
            <w:r w:rsidRPr="00EA3D8C">
              <w:rPr>
                <w:lang w:val="sr-Cyrl-RS"/>
              </w:rPr>
              <w:t>Промет у угоститељству у сталним ценама</w:t>
            </w:r>
          </w:p>
          <w:p w14:paraId="29A5A542" w14:textId="373FCDE3" w:rsidR="0022630A" w:rsidRPr="00EA3D8C" w:rsidRDefault="00A06FA2" w:rsidP="00161001">
            <w:pPr>
              <w:jc w:val="center"/>
              <w:rPr>
                <w:lang w:val="sr-Cyrl-RS"/>
              </w:rPr>
            </w:pPr>
            <w:r w:rsidRPr="00EA3D8C">
              <w:rPr>
                <w:noProof/>
              </w:rPr>
              <w:drawing>
                <wp:inline distT="0" distB="0" distL="0" distR="0" wp14:anchorId="25CA50C9" wp14:editId="5D8A0842">
                  <wp:extent cx="2880000" cy="1332000"/>
                  <wp:effectExtent l="0" t="0" r="0" b="1905"/>
                  <wp:docPr id="16" name="Chart 16">
                    <a:extLst xmlns:a="http://schemas.openxmlformats.org/drawingml/2006/main">
                      <a:ext uri="{FF2B5EF4-FFF2-40B4-BE49-F238E27FC236}">
                        <a16:creationId xmlns:a16="http://schemas.microsoft.com/office/drawing/2014/main" id="{00000000-0008-0000-19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22630A" w:rsidRPr="00EA3D8C" w14:paraId="59DA03A7" w14:textId="77777777" w:rsidTr="003B33D2">
        <w:tc>
          <w:tcPr>
            <w:tcW w:w="4681" w:type="dxa"/>
            <w:tcMar>
              <w:bottom w:w="11" w:type="dxa"/>
            </w:tcMar>
          </w:tcPr>
          <w:p w14:paraId="68851A51" w14:textId="77777777" w:rsidR="0022630A" w:rsidRPr="00EA3D8C" w:rsidRDefault="0022630A" w:rsidP="00161001">
            <w:pPr>
              <w:spacing w:before="60"/>
              <w:jc w:val="center"/>
              <w:rPr>
                <w:lang w:val="sr-Cyrl-RS"/>
              </w:rPr>
            </w:pPr>
            <w:r w:rsidRPr="00EA3D8C">
              <w:rPr>
                <w:lang w:val="sr-Cyrl-RS"/>
              </w:rPr>
              <w:t>Ноћења туриста</w:t>
            </w:r>
          </w:p>
          <w:p w14:paraId="554F75A2" w14:textId="77777777" w:rsidR="0022630A" w:rsidRPr="00EA3D8C" w:rsidRDefault="0022630A" w:rsidP="00161001">
            <w:pPr>
              <w:spacing w:before="60"/>
              <w:jc w:val="center"/>
              <w:rPr>
                <w:lang w:val="sr-Cyrl-RS"/>
              </w:rPr>
            </w:pPr>
          </w:p>
          <w:p w14:paraId="6460AA61" w14:textId="77777777" w:rsidR="0022630A" w:rsidRPr="00EA3D8C" w:rsidRDefault="0022630A" w:rsidP="00161001">
            <w:pPr>
              <w:spacing w:before="60"/>
              <w:jc w:val="center"/>
              <w:rPr>
                <w:lang w:val="sr-Cyrl-RS"/>
              </w:rPr>
            </w:pPr>
            <w:r w:rsidRPr="00EA3D8C">
              <w:rPr>
                <w:noProof/>
              </w:rPr>
              <w:drawing>
                <wp:inline distT="0" distB="0" distL="0" distR="0" wp14:anchorId="13E9281A" wp14:editId="72B41AB3">
                  <wp:extent cx="2880000" cy="1332000"/>
                  <wp:effectExtent l="0" t="0" r="0" b="1905"/>
                  <wp:docPr id="18" name="Chart 18">
                    <a:extLst xmlns:a="http://schemas.openxmlformats.org/drawingml/2006/main">
                      <a:ext uri="{FF2B5EF4-FFF2-40B4-BE49-F238E27FC236}">
                        <a16:creationId xmlns:a16="http://schemas.microsoft.com/office/drawing/2014/main" id="{00000000-0008-0000-19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c>
          <w:tcPr>
            <w:tcW w:w="4679" w:type="dxa"/>
            <w:tcMar>
              <w:bottom w:w="11" w:type="dxa"/>
            </w:tcMar>
          </w:tcPr>
          <w:p w14:paraId="6B7545F8" w14:textId="77777777" w:rsidR="0022630A" w:rsidRPr="00EA3D8C" w:rsidRDefault="0022630A" w:rsidP="00161001">
            <w:pPr>
              <w:spacing w:before="60"/>
              <w:jc w:val="center"/>
              <w:rPr>
                <w:lang w:val="sr-Cyrl-RS"/>
              </w:rPr>
            </w:pPr>
            <w:r w:rsidRPr="00EA3D8C">
              <w:rPr>
                <w:lang w:val="sr-Cyrl-RS"/>
              </w:rPr>
              <w:t>Извоз транспортних услуга</w:t>
            </w:r>
          </w:p>
          <w:p w14:paraId="0D0A292B" w14:textId="77777777" w:rsidR="0022630A" w:rsidRPr="00EA3D8C" w:rsidRDefault="0022630A" w:rsidP="00161001">
            <w:pPr>
              <w:jc w:val="center"/>
              <w:rPr>
                <w:lang w:val="sr-Cyrl-RS"/>
              </w:rPr>
            </w:pPr>
            <w:r w:rsidRPr="00EA3D8C">
              <w:rPr>
                <w:noProof/>
              </w:rPr>
              <w:drawing>
                <wp:inline distT="0" distB="0" distL="0" distR="0" wp14:anchorId="02713A25" wp14:editId="4CD04D52">
                  <wp:extent cx="2880000" cy="1332000"/>
                  <wp:effectExtent l="0" t="0" r="0" b="1905"/>
                  <wp:docPr id="15" name="Chart 15">
                    <a:extLst xmlns:a="http://schemas.openxmlformats.org/drawingml/2006/main">
                      <a:ext uri="{FF2B5EF4-FFF2-40B4-BE49-F238E27FC236}">
                        <a16:creationId xmlns:a16="http://schemas.microsoft.com/office/drawing/2014/main" id="{00000000-0008-0000-18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22630A" w:rsidRPr="00EA3D8C" w14:paraId="6C56C767" w14:textId="77777777" w:rsidTr="003B33D2">
        <w:tc>
          <w:tcPr>
            <w:tcW w:w="4681" w:type="dxa"/>
            <w:tcMar>
              <w:bottom w:w="11" w:type="dxa"/>
            </w:tcMar>
          </w:tcPr>
          <w:p w14:paraId="1BCAFDE1" w14:textId="77777777" w:rsidR="0022630A" w:rsidRPr="00EA3D8C" w:rsidRDefault="0022630A" w:rsidP="00161001">
            <w:pPr>
              <w:spacing w:before="60"/>
              <w:jc w:val="center"/>
              <w:rPr>
                <w:lang w:val="sr-Cyrl-RS"/>
              </w:rPr>
            </w:pPr>
            <w:r w:rsidRPr="00EA3D8C">
              <w:rPr>
                <w:lang w:val="sr-Cyrl-RS"/>
              </w:rPr>
              <w:t>Извоз туристичких услуга</w:t>
            </w:r>
          </w:p>
          <w:p w14:paraId="557A5CE8" w14:textId="77777777" w:rsidR="0022630A" w:rsidRPr="00EA3D8C" w:rsidRDefault="0022630A" w:rsidP="00161001">
            <w:pPr>
              <w:jc w:val="center"/>
              <w:rPr>
                <w:lang w:val="sr-Cyrl-RS"/>
              </w:rPr>
            </w:pPr>
          </w:p>
          <w:p w14:paraId="524B04A6" w14:textId="77777777" w:rsidR="0022630A" w:rsidRPr="00EA3D8C" w:rsidRDefault="0022630A" w:rsidP="00161001">
            <w:pPr>
              <w:jc w:val="center"/>
              <w:rPr>
                <w:lang w:val="sr-Cyrl-RS"/>
              </w:rPr>
            </w:pPr>
            <w:r w:rsidRPr="00EA3D8C">
              <w:rPr>
                <w:noProof/>
              </w:rPr>
              <w:drawing>
                <wp:inline distT="0" distB="0" distL="0" distR="0" wp14:anchorId="6E331F40" wp14:editId="3A42D0A3">
                  <wp:extent cx="2880000" cy="1332000"/>
                  <wp:effectExtent l="0" t="0" r="0" b="1905"/>
                  <wp:docPr id="17" name="Chart 17">
                    <a:extLst xmlns:a="http://schemas.openxmlformats.org/drawingml/2006/main">
                      <a:ext uri="{FF2B5EF4-FFF2-40B4-BE49-F238E27FC236}">
                        <a16:creationId xmlns:a16="http://schemas.microsoft.com/office/drawing/2014/main" id="{00000000-0008-0000-18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679" w:type="dxa"/>
            <w:tcMar>
              <w:bottom w:w="11" w:type="dxa"/>
            </w:tcMar>
          </w:tcPr>
          <w:p w14:paraId="22FE4260" w14:textId="77777777" w:rsidR="0022630A" w:rsidRPr="00EA3D8C" w:rsidRDefault="0022630A" w:rsidP="00161001">
            <w:pPr>
              <w:spacing w:before="60"/>
              <w:jc w:val="center"/>
              <w:rPr>
                <w:lang w:val="sr-Cyrl-RS" w:eastAsia="en-GB"/>
              </w:rPr>
            </w:pPr>
            <w:r w:rsidRPr="00EA3D8C">
              <w:rPr>
                <w:lang w:val="sr-Cyrl-RS"/>
              </w:rPr>
              <w:t>Извоз услуга телекомуникација, компјутерских и информацијских услуга</w:t>
            </w:r>
          </w:p>
          <w:p w14:paraId="0F453033" w14:textId="77777777" w:rsidR="0022630A" w:rsidRPr="00EA3D8C" w:rsidRDefault="0022630A" w:rsidP="00161001">
            <w:pPr>
              <w:spacing w:before="60"/>
              <w:jc w:val="center"/>
              <w:rPr>
                <w:lang w:val="sr-Cyrl-RS"/>
              </w:rPr>
            </w:pPr>
            <w:r w:rsidRPr="00EA3D8C">
              <w:rPr>
                <w:noProof/>
              </w:rPr>
              <w:drawing>
                <wp:inline distT="0" distB="0" distL="0" distR="0" wp14:anchorId="304AD6C1" wp14:editId="421D8646">
                  <wp:extent cx="2880000" cy="1332000"/>
                  <wp:effectExtent l="0" t="0" r="0" b="1905"/>
                  <wp:docPr id="20" name="Chart 20">
                    <a:extLst xmlns:a="http://schemas.openxmlformats.org/drawingml/2006/main">
                      <a:ext uri="{FF2B5EF4-FFF2-40B4-BE49-F238E27FC236}">
                        <a16:creationId xmlns:a16="http://schemas.microsoft.com/office/drawing/2014/main" id="{00000000-0008-0000-18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14:paraId="582CA112" w14:textId="77777777" w:rsidR="0022630A" w:rsidRPr="00EA3D8C" w:rsidRDefault="0022630A" w:rsidP="00161001">
      <w:pPr>
        <w:spacing w:before="120" w:after="0"/>
        <w:jc w:val="center"/>
        <w:rPr>
          <w:rFonts w:cstheme="minorHAnsi"/>
          <w:b/>
          <w:lang w:val="sr-Cyrl-RS"/>
        </w:rPr>
      </w:pPr>
      <w:r w:rsidRPr="00EA3D8C">
        <w:rPr>
          <w:noProof/>
        </w:rPr>
        <w:drawing>
          <wp:inline distT="0" distB="0" distL="0" distR="0" wp14:anchorId="01B5154F" wp14:editId="1AFF1E11">
            <wp:extent cx="4371429" cy="219048"/>
            <wp:effectExtent l="0" t="0" r="0"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3"/>
                    <a:stretch>
                      <a:fillRect/>
                    </a:stretch>
                  </pic:blipFill>
                  <pic:spPr>
                    <a:xfrm>
                      <a:off x="0" y="0"/>
                      <a:ext cx="4371429" cy="219048"/>
                    </a:xfrm>
                    <a:prstGeom prst="rect">
                      <a:avLst/>
                    </a:prstGeom>
                  </pic:spPr>
                </pic:pic>
              </a:graphicData>
            </a:graphic>
          </wp:inline>
        </w:drawing>
      </w:r>
    </w:p>
    <w:p w14:paraId="432C03AF" w14:textId="77777777" w:rsidR="0022630A" w:rsidRPr="00EA3D8C" w:rsidRDefault="0022630A" w:rsidP="00161001">
      <w:pPr>
        <w:jc w:val="left"/>
        <w:rPr>
          <w:rFonts w:cstheme="minorHAnsi"/>
          <w:b/>
          <w:lang w:val="sr-Cyrl-RS"/>
        </w:rPr>
      </w:pPr>
      <w:r w:rsidRPr="00EA3D8C">
        <w:rPr>
          <w:rFonts w:cstheme="minorHAnsi"/>
          <w:bCs/>
          <w:sz w:val="16"/>
          <w:szCs w:val="72"/>
          <w:lang w:val="sr-Cyrl-RS"/>
        </w:rPr>
        <w:t>Извор: Министарство финансија</w:t>
      </w:r>
    </w:p>
    <w:p w14:paraId="0A9629BE" w14:textId="77777777" w:rsidR="0022630A" w:rsidRPr="00EA3D8C" w:rsidRDefault="0022630A">
      <w:pPr>
        <w:jc w:val="left"/>
        <w:rPr>
          <w:rFonts w:cstheme="minorHAnsi"/>
          <w:b/>
          <w:lang w:val="sr-Cyrl-RS"/>
        </w:rPr>
      </w:pPr>
      <w:r w:rsidRPr="00EA3D8C">
        <w:rPr>
          <w:rFonts w:cstheme="minorHAnsi"/>
          <w:b/>
          <w:lang w:val="sr-Cyrl-RS"/>
        </w:rPr>
        <w:br w:type="page"/>
      </w:r>
    </w:p>
    <w:p w14:paraId="3DCC1758" w14:textId="77777777" w:rsidR="0022630A" w:rsidRPr="00EA3D8C" w:rsidRDefault="0022630A" w:rsidP="00B435B3">
      <w:pPr>
        <w:jc w:val="center"/>
        <w:rPr>
          <w:rFonts w:cstheme="minorHAnsi"/>
          <w:b/>
          <w:lang w:val="sr-Cyrl-RS"/>
        </w:rPr>
        <w:sectPr w:rsidR="0022630A" w:rsidRPr="00EA3D8C" w:rsidSect="00AE40EB">
          <w:type w:val="continuous"/>
          <w:pgSz w:w="12240" w:h="15840" w:code="1"/>
          <w:pgMar w:top="1440" w:right="1440" w:bottom="1440" w:left="1440" w:header="720" w:footer="720" w:gutter="0"/>
          <w:cols w:space="720"/>
          <w:docGrid w:linePitch="360"/>
        </w:sectPr>
      </w:pPr>
    </w:p>
    <w:p w14:paraId="59A86315" w14:textId="77777777" w:rsidR="0022630A" w:rsidRPr="00EA3D8C" w:rsidRDefault="0022630A" w:rsidP="001F4750">
      <w:pPr>
        <w:tabs>
          <w:tab w:val="left" w:pos="720"/>
          <w:tab w:val="left" w:pos="1440"/>
        </w:tabs>
        <w:spacing w:before="120" w:after="120"/>
        <w:rPr>
          <w:rFonts w:cstheme="minorHAnsi"/>
          <w:bCs/>
          <w:szCs w:val="72"/>
          <w:lang w:val="sr-Cyrl-RS"/>
        </w:rPr>
      </w:pPr>
      <w:r w:rsidRPr="00EA3D8C">
        <w:rPr>
          <w:rFonts w:cstheme="minorHAnsi"/>
          <w:bCs/>
          <w:szCs w:val="72"/>
          <w:lang w:val="sr-Cyrl-RS"/>
        </w:rPr>
        <w:lastRenderedPageBreak/>
        <w:t>На бази расположивих показатеља, уочених трендова и карактера кризе, Министарство финансија је већ током марта ревидирало наниже пројекцију раста БДП за 2020. годину за 5,8 п.п. и то са 4% на -1,8%. Међутим, бржи опоравак од очекиваног након укидања ванредног стања, уз рекордно добру пољопривредну сезону, условили су да се током октобра пројекција</w:t>
      </w:r>
      <w:r w:rsidRPr="00EA3D8C">
        <w:rPr>
          <w:rFonts w:cstheme="minorHAnsi"/>
          <w:bCs/>
          <w:color w:val="auto"/>
          <w:szCs w:val="72"/>
          <w:lang w:val="sr-Cyrl-RS"/>
        </w:rPr>
        <w:t xml:space="preserve"> </w:t>
      </w:r>
      <w:r w:rsidRPr="00EA3D8C">
        <w:rPr>
          <w:rFonts w:cstheme="minorHAnsi"/>
          <w:bCs/>
          <w:szCs w:val="72"/>
          <w:lang w:val="sr-Cyrl-RS"/>
        </w:rPr>
        <w:t>раста БДП за 2020. годину ревидира благо навише на -1,0%, што ће представљати један од најбољих резултат у Европи.</w:t>
      </w:r>
    </w:p>
    <w:p w14:paraId="2BEE0DD9" w14:textId="6142F08C" w:rsidR="0022630A" w:rsidRPr="00EA3D8C" w:rsidRDefault="0022630A" w:rsidP="001F4750">
      <w:pPr>
        <w:tabs>
          <w:tab w:val="left" w:pos="720"/>
          <w:tab w:val="left" w:pos="1440"/>
        </w:tabs>
        <w:spacing w:before="120" w:after="120"/>
        <w:rPr>
          <w:rFonts w:cstheme="minorHAnsi"/>
          <w:bCs/>
          <w:szCs w:val="72"/>
          <w:lang w:val="sr-Cyrl-RS"/>
        </w:rPr>
      </w:pPr>
      <w:r w:rsidRPr="00EA3D8C">
        <w:rPr>
          <w:rFonts w:cstheme="minorHAnsi"/>
          <w:bCs/>
          <w:szCs w:val="72"/>
          <w:lang w:val="sr-Cyrl-RS"/>
        </w:rPr>
        <w:t xml:space="preserve">У поређењу са мартовском пројекцијом, очекује се нешто већи негативан допринос приватне потрошње услед одустајање потрошача од куповине трајних потрошних добара, као и смањења издатака за неке услужне потребе услед продуженог трајања </w:t>
      </w:r>
      <w:r w:rsidR="008E4992" w:rsidRPr="008E4992">
        <w:rPr>
          <w:rFonts w:cstheme="minorHAnsi"/>
          <w:bCs/>
          <w:szCs w:val="72"/>
          <w:lang w:val="sr-Cyrl-RS"/>
        </w:rPr>
        <w:t>пан</w:t>
      </w:r>
      <w:r w:rsidRPr="00EA3D8C">
        <w:rPr>
          <w:rFonts w:cstheme="minorHAnsi"/>
          <w:bCs/>
          <w:szCs w:val="72"/>
          <w:lang w:val="sr-Cyrl-RS"/>
        </w:rPr>
        <w:t>демије. Ипак, предузете мере од стране креатора економске политике и даље обезбеђују да се ови негативни ефекти ублаже будући да су у великој мери усмерени на очување запослености и дохотка становништва за време трајања пандемије</w:t>
      </w:r>
      <w:r w:rsidRPr="00EA3D8C">
        <w:rPr>
          <w:rFonts w:cstheme="minorHAnsi"/>
          <w:bCs/>
          <w:color w:val="auto"/>
          <w:szCs w:val="72"/>
          <w:lang w:val="sr-Cyrl-RS"/>
        </w:rPr>
        <w:t xml:space="preserve">. </w:t>
      </w:r>
      <w:r w:rsidRPr="00EA3D8C">
        <w:rPr>
          <w:rFonts w:cstheme="minorHAnsi"/>
          <w:bCs/>
          <w:szCs w:val="72"/>
          <w:lang w:val="sr-Cyrl-RS"/>
        </w:rPr>
        <w:t>Под утицајем ових фактора, у октобарској процени</w:t>
      </w:r>
      <w:r w:rsidRPr="00EA3D8C">
        <w:rPr>
          <w:rFonts w:cstheme="minorHAnsi"/>
          <w:bCs/>
          <w:color w:val="auto"/>
          <w:szCs w:val="72"/>
          <w:lang w:val="sr-Cyrl-RS"/>
        </w:rPr>
        <w:t xml:space="preserve"> </w:t>
      </w:r>
      <w:r w:rsidRPr="00EA3D8C">
        <w:rPr>
          <w:rFonts w:cstheme="minorHAnsi"/>
          <w:bCs/>
          <w:szCs w:val="72"/>
          <w:lang w:val="sr-Cyrl-RS"/>
        </w:rPr>
        <w:t xml:space="preserve">очекивани пад приватне потрошње је ревидиран наниже за 1,0 п.п. у односу мартовску пројекцију и износи -1,9%. Имајући у виду значајне издатке државе за набавку роба и услуга неопходних </w:t>
      </w:r>
      <w:r w:rsidR="00285491">
        <w:rPr>
          <w:rFonts w:cstheme="minorHAnsi"/>
          <w:bCs/>
          <w:szCs w:val="72"/>
          <w:lang w:val="sr-Cyrl-RS"/>
        </w:rPr>
        <w:t xml:space="preserve">у борби против </w:t>
      </w:r>
      <w:r w:rsidR="008E4992" w:rsidRPr="008E4992">
        <w:rPr>
          <w:rFonts w:cstheme="minorHAnsi"/>
          <w:bCs/>
          <w:szCs w:val="72"/>
          <w:lang w:val="sr-Cyrl-RS"/>
        </w:rPr>
        <w:t>пан</w:t>
      </w:r>
      <w:r w:rsidR="00285491">
        <w:rPr>
          <w:rFonts w:cstheme="minorHAnsi"/>
          <w:bCs/>
          <w:szCs w:val="72"/>
          <w:lang w:val="sr-Cyrl-RS"/>
        </w:rPr>
        <w:t>демије корона</w:t>
      </w:r>
      <w:r w:rsidRPr="00EA3D8C">
        <w:rPr>
          <w:rFonts w:cstheme="minorHAnsi"/>
          <w:bCs/>
          <w:szCs w:val="72"/>
          <w:lang w:val="sr-Cyrl-RS"/>
        </w:rPr>
        <w:t>вируса раст државне потрошње је ревидиран навише са 2,1% на 5,8%.</w:t>
      </w:r>
    </w:p>
    <w:p w14:paraId="669602EA" w14:textId="77777777" w:rsidR="0022630A" w:rsidRPr="00EA3D8C" w:rsidRDefault="0022630A" w:rsidP="001F4750">
      <w:pPr>
        <w:tabs>
          <w:tab w:val="left" w:pos="720"/>
          <w:tab w:val="left" w:pos="1440"/>
        </w:tabs>
        <w:spacing w:before="120" w:after="120"/>
        <w:rPr>
          <w:rFonts w:cstheme="minorHAnsi"/>
          <w:bCs/>
          <w:szCs w:val="72"/>
          <w:lang w:val="sr-Cyrl-RS"/>
        </w:rPr>
      </w:pPr>
      <w:r w:rsidRPr="00EA3D8C">
        <w:rPr>
          <w:rFonts w:cstheme="minorHAnsi"/>
          <w:bCs/>
          <w:szCs w:val="72"/>
          <w:lang w:val="sr-Cyrl-RS"/>
        </w:rPr>
        <w:t>Када је реч о инвестиционој активности према новој процени пад у 2020. години ће износити око 5%, што је бољи резултат од мартовске пројекције, пре свега услед опоравка реализације инфраструктурних пројеката, значајног увоза опреме за потребе здравства, али и нешто динамичнијег опоравка приватних инвестиција. Мањем паду инвестиција у значајној мери допринео је и програм подршке привреди и становништву реализован од стране Владе и НБС током трајања пандемије који је очувао макроекономску стабилност и умногоме ублажио повећану аверзију инвеститора према ризику.</w:t>
      </w:r>
    </w:p>
    <w:p w14:paraId="23FAB6FB" w14:textId="6B862838" w:rsidR="0022630A" w:rsidRPr="00EA3D8C" w:rsidRDefault="0022630A" w:rsidP="001F4750">
      <w:pPr>
        <w:tabs>
          <w:tab w:val="left" w:pos="720"/>
          <w:tab w:val="left" w:pos="1440"/>
        </w:tabs>
        <w:spacing w:before="120" w:after="120"/>
        <w:rPr>
          <w:rFonts w:cstheme="minorHAnsi"/>
          <w:bCs/>
          <w:szCs w:val="72"/>
          <w:lang w:val="sr-Cyrl-RS"/>
        </w:rPr>
      </w:pPr>
      <w:r w:rsidRPr="00EA3D8C">
        <w:rPr>
          <w:rFonts w:cstheme="minorHAnsi"/>
          <w:bCs/>
          <w:szCs w:val="72"/>
          <w:lang w:val="sr-Cyrl-RS"/>
        </w:rPr>
        <w:lastRenderedPageBreak/>
        <w:t xml:space="preserve">Контракција светске трговине, значајно мања спољна тражња, али и ограничења на страни понуде и даље се негативно одражавају на спољно-трговинска кретања. Међутим, тај шок је са постепеним откључавањем економија мањи него што се првобитно очекивало, што је </w:t>
      </w:r>
      <w:r w:rsidRPr="00EA3D8C">
        <w:rPr>
          <w:rFonts w:cstheme="minorHAnsi"/>
          <w:bCs/>
          <w:spacing w:val="-2"/>
          <w:szCs w:val="72"/>
          <w:lang w:val="sr-Cyrl-RS"/>
        </w:rPr>
        <w:t>резултирало ревизијом извозно-увозне активности</w:t>
      </w:r>
      <w:r w:rsidRPr="00EA3D8C">
        <w:rPr>
          <w:rFonts w:cstheme="minorHAnsi"/>
          <w:bCs/>
          <w:szCs w:val="72"/>
          <w:lang w:val="sr-Cyrl-RS"/>
        </w:rPr>
        <w:t xml:space="preserve"> за коју се сада очекују нешто мањи пад, уз задржавање позитивног доприноса нето извоза расту БДП. Оваква спољно-трговинска кретања уз позитивне односе размене допринеће смањењу платнобилансног дефицита у поређењу са 2019. годином, упркос мањем очекиваном приливу по основу дознака.</w:t>
      </w:r>
    </w:p>
    <w:p w14:paraId="46D99DAE" w14:textId="71A62929" w:rsidR="00706309" w:rsidRPr="00EA3D8C" w:rsidRDefault="0022630A" w:rsidP="00642143">
      <w:pPr>
        <w:tabs>
          <w:tab w:val="left" w:pos="720"/>
          <w:tab w:val="left" w:pos="1440"/>
        </w:tabs>
        <w:spacing w:before="120" w:after="120"/>
        <w:rPr>
          <w:rFonts w:cstheme="minorHAnsi"/>
          <w:bCs/>
          <w:szCs w:val="72"/>
          <w:lang w:val="sr-Cyrl-RS"/>
        </w:rPr>
      </w:pPr>
      <w:r w:rsidRPr="00EA3D8C">
        <w:rPr>
          <w:rFonts w:cstheme="minorHAnsi"/>
          <w:bCs/>
          <w:szCs w:val="72"/>
          <w:lang w:val="sr-Cyrl-RS"/>
        </w:rPr>
        <w:t>Посматрано са производне стране и даље се у 2020. години очекује пад економске активности у секторима услуга и грађевине, док ће пољопривреда забележити позитивна кретања. Динамичан опоравак индустрије након „откључавања економијеˮ резултираће да овај сектор уместо очекиваног смањења ипак оствари стагнативна кретања. Посматрано са аспекта доприноса БДП најзначајнији негативан утицај и даље ће имати услужни сектор који ће забележити пад од око 1,5% услед наставка нега</w:t>
      </w:r>
      <w:r w:rsidR="00285491">
        <w:rPr>
          <w:rFonts w:cstheme="minorHAnsi"/>
          <w:bCs/>
          <w:szCs w:val="72"/>
          <w:lang w:val="sr-Cyrl-RS"/>
        </w:rPr>
        <w:t xml:space="preserve">тивних ефеката </w:t>
      </w:r>
      <w:r w:rsidR="008E4992" w:rsidRPr="008E4992">
        <w:rPr>
          <w:rFonts w:cstheme="minorHAnsi"/>
          <w:bCs/>
          <w:szCs w:val="72"/>
          <w:lang w:val="sr-Cyrl-RS"/>
        </w:rPr>
        <w:t>пан</w:t>
      </w:r>
      <w:r w:rsidR="00285491">
        <w:rPr>
          <w:rFonts w:cstheme="minorHAnsi"/>
          <w:bCs/>
          <w:szCs w:val="72"/>
          <w:lang w:val="sr-Cyrl-RS"/>
        </w:rPr>
        <w:t>демије корона</w:t>
      </w:r>
      <w:r w:rsidRPr="00EA3D8C">
        <w:rPr>
          <w:rFonts w:cstheme="minorHAnsi"/>
          <w:bCs/>
          <w:szCs w:val="72"/>
          <w:lang w:val="sr-Cyrl-RS"/>
        </w:rPr>
        <w:t>вируса на туризам и саобраћај, али и на забавне и услуге рекреације, као и на поједине стручне и техничке услуге. Од грађевинске активности се очекује благи пад пре свега услед базног ефекта, односно изузетно високе вредности изведених радова током, а нарочито у другој половини, 2019. године, а негативан допринос очекује се и од нето пореза услед мање потрошње становништва. Добри агрометеоролошки услови погодовали су пољопривредној производњи која ће остварити раст од око 5%, уз рекордне приносе појединих биљних култура. Неутралан утицај на БДП имаће индустријска производња услед бржег опоравка појединих делатности након укидања ванредног стања, како оних извозно оријентисаних, тако и оних претежно усмерених на домаће тржиште, али и као резултат значајног раста производње електро-енергетског сектора започетог у јулу.</w:t>
      </w:r>
    </w:p>
    <w:p w14:paraId="003BF5B0" w14:textId="77777777" w:rsidR="0022630A" w:rsidRPr="00EA3D8C" w:rsidRDefault="0022630A" w:rsidP="00161001">
      <w:pPr>
        <w:rPr>
          <w:rFonts w:cstheme="minorHAnsi"/>
          <w:bCs/>
          <w:szCs w:val="72"/>
          <w:lang w:val="sr-Cyrl-RS"/>
        </w:rPr>
        <w:sectPr w:rsidR="0022630A" w:rsidRPr="00EA3D8C" w:rsidSect="00AE40EB">
          <w:type w:val="continuous"/>
          <w:pgSz w:w="12240" w:h="15840" w:code="1"/>
          <w:pgMar w:top="1440" w:right="1440" w:bottom="1440" w:left="1440" w:header="720" w:footer="720" w:gutter="0"/>
          <w:cols w:num="2" w:space="720"/>
          <w:docGrid w:linePitch="360"/>
        </w:sectPr>
      </w:pPr>
    </w:p>
    <w:p w14:paraId="2BAF6BF3" w14:textId="77777777" w:rsidR="00642143" w:rsidRPr="00EA3D8C" w:rsidRDefault="00642143">
      <w:pPr>
        <w:jc w:val="left"/>
        <w:rPr>
          <w:rFonts w:ascii="Calibri" w:eastAsia="Calibri" w:hAnsi="Calibri" w:cs="Calibri"/>
          <w:b/>
          <w:color w:val="002060"/>
          <w:lang w:val="sr-Cyrl-RS"/>
        </w:rPr>
      </w:pPr>
      <w:r w:rsidRPr="00EA3D8C">
        <w:rPr>
          <w:rFonts w:ascii="Calibri" w:eastAsia="Calibri" w:hAnsi="Calibri" w:cs="Calibri"/>
          <w:b/>
          <w:color w:val="002060"/>
          <w:lang w:val="sr-Cyrl-RS"/>
        </w:rPr>
        <w:lastRenderedPageBreak/>
        <w:br w:type="page"/>
      </w:r>
    </w:p>
    <w:p w14:paraId="174D0654" w14:textId="54646851" w:rsidR="0022630A" w:rsidRPr="00EA3D8C" w:rsidRDefault="00EC4017" w:rsidP="00161001">
      <w:pPr>
        <w:jc w:val="center"/>
        <w:rPr>
          <w:rFonts w:ascii="Calibri" w:eastAsia="Calibri" w:hAnsi="Calibri" w:cs="Times New Roman"/>
          <w:color w:val="002060"/>
          <w:lang w:val="sr-Cyrl-RS"/>
        </w:rPr>
      </w:pPr>
      <w:r w:rsidRPr="00EA3D8C">
        <w:rPr>
          <w:rFonts w:ascii="Calibri" w:eastAsia="Calibri" w:hAnsi="Calibri" w:cs="Calibri"/>
          <w:b/>
          <w:color w:val="002060"/>
          <w:lang w:val="sr-Cyrl-RS"/>
        </w:rPr>
        <w:lastRenderedPageBreak/>
        <w:t>Табела 4</w:t>
      </w:r>
      <w:r w:rsidR="0022630A" w:rsidRPr="00EA3D8C">
        <w:rPr>
          <w:rFonts w:ascii="Calibri" w:eastAsia="Calibri" w:hAnsi="Calibri" w:cs="Calibri"/>
          <w:b/>
          <w:color w:val="002060"/>
          <w:lang w:val="sr-Cyrl-RS"/>
        </w:rPr>
        <w:t xml:space="preserve">. </w:t>
      </w:r>
      <w:r w:rsidR="00896B97">
        <w:rPr>
          <w:rFonts w:ascii="Calibri" w:eastAsia="Calibri" w:hAnsi="Calibri" w:cs="Calibri"/>
          <w:b/>
          <w:color w:val="002060"/>
          <w:lang w:val="sr-Cyrl-RS"/>
        </w:rPr>
        <w:t>БДП</w:t>
      </w:r>
      <w:r w:rsidR="0022630A" w:rsidRPr="00EA3D8C">
        <w:rPr>
          <w:rFonts w:ascii="Calibri" w:eastAsia="Calibri" w:hAnsi="Calibri" w:cs="Calibri"/>
          <w:b/>
          <w:color w:val="002060"/>
          <w:lang w:val="sr-Cyrl-RS"/>
        </w:rPr>
        <w:t>, стопе реалног раста,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7"/>
        <w:gridCol w:w="919"/>
        <w:gridCol w:w="919"/>
        <w:gridCol w:w="919"/>
        <w:gridCol w:w="1174"/>
        <w:gridCol w:w="1173"/>
        <w:gridCol w:w="1173"/>
      </w:tblGrid>
      <w:tr w:rsidR="0022630A" w:rsidRPr="00EA3D8C" w14:paraId="37BC4658" w14:textId="77777777" w:rsidTr="002C675F">
        <w:trPr>
          <w:jc w:val="center"/>
        </w:trPr>
        <w:tc>
          <w:tcPr>
            <w:tcW w:w="1645" w:type="pct"/>
            <w:tcBorders>
              <w:top w:val="single" w:sz="4" w:space="0" w:color="002060"/>
              <w:left w:val="single" w:sz="2" w:space="0" w:color="FFFFFF"/>
              <w:bottom w:val="single" w:sz="2" w:space="0" w:color="FFFFFF"/>
              <w:right w:val="single" w:sz="2" w:space="0" w:color="FFFFFF"/>
            </w:tcBorders>
          </w:tcPr>
          <w:p w14:paraId="00F89080" w14:textId="77777777" w:rsidR="0022630A" w:rsidRPr="00EA3D8C" w:rsidRDefault="0022630A" w:rsidP="00161001">
            <w:pPr>
              <w:rPr>
                <w:rFonts w:ascii="Calibri" w:eastAsia="Calibri" w:hAnsi="Calibri" w:cs="Calibri"/>
                <w:color w:val="002060"/>
                <w:sz w:val="18"/>
                <w:lang w:val="sr-Cyrl-RS"/>
              </w:rPr>
            </w:pPr>
          </w:p>
        </w:tc>
        <w:tc>
          <w:tcPr>
            <w:tcW w:w="491" w:type="pct"/>
            <w:tcBorders>
              <w:top w:val="single" w:sz="4" w:space="0" w:color="002060"/>
              <w:left w:val="single" w:sz="2" w:space="0" w:color="FFFFFF"/>
              <w:bottom w:val="single" w:sz="4" w:space="0" w:color="002060"/>
              <w:right w:val="single" w:sz="2" w:space="0" w:color="FFFFFF"/>
            </w:tcBorders>
          </w:tcPr>
          <w:p w14:paraId="5ACC2106"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2019</w:t>
            </w:r>
          </w:p>
        </w:tc>
        <w:tc>
          <w:tcPr>
            <w:tcW w:w="491" w:type="pct"/>
            <w:tcBorders>
              <w:top w:val="single" w:sz="4" w:space="0" w:color="002060"/>
              <w:left w:val="single" w:sz="2" w:space="0" w:color="FFFFFF"/>
              <w:bottom w:val="single" w:sz="4" w:space="0" w:color="002060"/>
              <w:right w:val="single" w:sz="2" w:space="0" w:color="FFFFFF"/>
            </w:tcBorders>
          </w:tcPr>
          <w:p w14:paraId="641BBAC0"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Q1 2020</w:t>
            </w:r>
          </w:p>
        </w:tc>
        <w:tc>
          <w:tcPr>
            <w:tcW w:w="491" w:type="pct"/>
            <w:tcBorders>
              <w:top w:val="single" w:sz="4" w:space="0" w:color="002060"/>
              <w:left w:val="single" w:sz="2" w:space="0" w:color="FFFFFF"/>
              <w:bottom w:val="single" w:sz="4" w:space="0" w:color="002060"/>
              <w:right w:val="single" w:sz="2" w:space="0" w:color="FFFFFF"/>
            </w:tcBorders>
          </w:tcPr>
          <w:p w14:paraId="16D851E3"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Q2 2020</w:t>
            </w:r>
          </w:p>
        </w:tc>
        <w:tc>
          <w:tcPr>
            <w:tcW w:w="627" w:type="pct"/>
            <w:tcBorders>
              <w:top w:val="single" w:sz="4" w:space="0" w:color="002060"/>
              <w:left w:val="single" w:sz="2" w:space="0" w:color="FFFFFF"/>
              <w:bottom w:val="single" w:sz="4" w:space="0" w:color="002060"/>
              <w:right w:val="single" w:sz="2" w:space="0" w:color="FFFFFF"/>
            </w:tcBorders>
          </w:tcPr>
          <w:p w14:paraId="03CA27CB"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2020* (оригинална пројекција)</w:t>
            </w:r>
          </w:p>
        </w:tc>
        <w:tc>
          <w:tcPr>
            <w:tcW w:w="627" w:type="pct"/>
            <w:tcBorders>
              <w:top w:val="single" w:sz="4" w:space="0" w:color="002060"/>
              <w:left w:val="single" w:sz="2" w:space="0" w:color="FFFFFF"/>
              <w:bottom w:val="single" w:sz="4" w:space="0" w:color="002060"/>
              <w:right w:val="single" w:sz="2" w:space="0" w:color="FFFFFF"/>
            </w:tcBorders>
          </w:tcPr>
          <w:p w14:paraId="7D653E4E"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2020*</w:t>
            </w:r>
          </w:p>
          <w:p w14:paraId="301432F1"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(мартовска ревизија)</w:t>
            </w:r>
          </w:p>
        </w:tc>
        <w:tc>
          <w:tcPr>
            <w:tcW w:w="627" w:type="pct"/>
            <w:tcBorders>
              <w:top w:val="single" w:sz="4" w:space="0" w:color="002060"/>
              <w:left w:val="single" w:sz="2" w:space="0" w:color="FFFFFF"/>
              <w:bottom w:val="single" w:sz="4" w:space="0" w:color="002060"/>
              <w:right w:val="single" w:sz="2" w:space="0" w:color="FFFFFF"/>
            </w:tcBorders>
          </w:tcPr>
          <w:p w14:paraId="11F32417" w14:textId="77777777" w:rsidR="0022630A" w:rsidRPr="00EA3D8C" w:rsidRDefault="0022630A" w:rsidP="00161001">
            <w:pPr>
              <w:jc w:val="center"/>
              <w:rPr>
                <w:rFonts w:ascii="Calibri" w:eastAsia="Calibri" w:hAnsi="Calibri" w:cs="Calibri"/>
                <w:color w:val="002060"/>
                <w:sz w:val="18"/>
                <w:lang w:val="sr-Cyrl-RS"/>
              </w:rPr>
            </w:pPr>
            <w:r w:rsidRPr="00EA3D8C">
              <w:rPr>
                <w:rFonts w:ascii="Calibri" w:eastAsia="Calibri" w:hAnsi="Calibri" w:cs="Calibri"/>
                <w:color w:val="002060"/>
                <w:sz w:val="18"/>
                <w:lang w:val="sr-Cyrl-RS"/>
              </w:rPr>
              <w:t>2020* (октобарска ревизија)</w:t>
            </w:r>
          </w:p>
        </w:tc>
      </w:tr>
      <w:tr w:rsidR="0022630A" w:rsidRPr="00EA3D8C" w14:paraId="16DDC39F" w14:textId="77777777" w:rsidTr="002C675F">
        <w:trPr>
          <w:jc w:val="center"/>
        </w:trPr>
        <w:tc>
          <w:tcPr>
            <w:tcW w:w="1645" w:type="pct"/>
            <w:tcBorders>
              <w:top w:val="single" w:sz="2" w:space="0" w:color="FFFFFF"/>
            </w:tcBorders>
          </w:tcPr>
          <w:p w14:paraId="4CE37C74" w14:textId="10CAA69A" w:rsidR="0022630A" w:rsidRPr="00EA3D8C" w:rsidRDefault="00896B97" w:rsidP="00161001">
            <w:pPr>
              <w:ind w:left="-15"/>
              <w:rPr>
                <w:rFonts w:ascii="Calibri" w:eastAsia="Calibri" w:hAnsi="Calibri" w:cs="Calibri"/>
                <w:color w:val="002060"/>
                <w:sz w:val="18"/>
                <w:lang w:val="sr-Cyrl-RS"/>
              </w:rPr>
            </w:pPr>
            <w:r>
              <w:rPr>
                <w:rFonts w:ascii="Calibri" w:eastAsia="Calibri" w:hAnsi="Calibri" w:cs="Calibri"/>
                <w:color w:val="002060"/>
                <w:sz w:val="18"/>
                <w:lang w:val="sr-Cyrl-RS"/>
              </w:rPr>
              <w:t>БДП</w:t>
            </w:r>
          </w:p>
        </w:tc>
        <w:tc>
          <w:tcPr>
            <w:tcW w:w="491" w:type="pct"/>
            <w:tcBorders>
              <w:top w:val="single" w:sz="4" w:space="0" w:color="002060"/>
            </w:tcBorders>
          </w:tcPr>
          <w:p w14:paraId="4E2A49DA"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4,2</w:t>
            </w:r>
          </w:p>
        </w:tc>
        <w:tc>
          <w:tcPr>
            <w:tcW w:w="491" w:type="pct"/>
            <w:tcBorders>
              <w:top w:val="single" w:sz="4" w:space="0" w:color="002060"/>
            </w:tcBorders>
          </w:tcPr>
          <w:p w14:paraId="4760169F"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5,1</w:t>
            </w:r>
          </w:p>
        </w:tc>
        <w:tc>
          <w:tcPr>
            <w:tcW w:w="491" w:type="pct"/>
            <w:tcBorders>
              <w:top w:val="single" w:sz="4" w:space="0" w:color="002060"/>
            </w:tcBorders>
          </w:tcPr>
          <w:p w14:paraId="4C50B737"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-6,4</w:t>
            </w:r>
          </w:p>
        </w:tc>
        <w:tc>
          <w:tcPr>
            <w:tcW w:w="627" w:type="pct"/>
            <w:tcBorders>
              <w:top w:val="single" w:sz="4" w:space="0" w:color="002060"/>
            </w:tcBorders>
          </w:tcPr>
          <w:p w14:paraId="4F919092"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4,0</w:t>
            </w:r>
          </w:p>
        </w:tc>
        <w:tc>
          <w:tcPr>
            <w:tcW w:w="627" w:type="pct"/>
            <w:tcBorders>
              <w:top w:val="single" w:sz="4" w:space="0" w:color="002060"/>
            </w:tcBorders>
          </w:tcPr>
          <w:p w14:paraId="1E6417D8"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-1,8</w:t>
            </w:r>
          </w:p>
        </w:tc>
        <w:tc>
          <w:tcPr>
            <w:tcW w:w="627" w:type="pct"/>
            <w:tcBorders>
              <w:top w:val="single" w:sz="4" w:space="0" w:color="002060"/>
            </w:tcBorders>
          </w:tcPr>
          <w:p w14:paraId="00F3750A"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-1,0</w:t>
            </w:r>
          </w:p>
        </w:tc>
      </w:tr>
      <w:tr w:rsidR="0022630A" w:rsidRPr="00EA3D8C" w14:paraId="4054E0A5" w14:textId="77777777" w:rsidTr="002C675F">
        <w:trPr>
          <w:jc w:val="center"/>
        </w:trPr>
        <w:tc>
          <w:tcPr>
            <w:tcW w:w="1645" w:type="pct"/>
            <w:tcBorders>
              <w:top w:val="single" w:sz="2" w:space="0" w:color="FFFFFF"/>
            </w:tcBorders>
            <w:shd w:val="clear" w:color="auto" w:fill="E7E6E6"/>
          </w:tcPr>
          <w:p w14:paraId="54A66D13" w14:textId="77777777" w:rsidR="0022630A" w:rsidRPr="00EA3D8C" w:rsidRDefault="0022630A" w:rsidP="00161001">
            <w:pPr>
              <w:jc w:val="right"/>
              <w:rPr>
                <w:rFonts w:ascii="Calibri" w:eastAsia="Calibri" w:hAnsi="Calibri" w:cs="Calibri"/>
                <w:color w:val="002060"/>
                <w:sz w:val="18"/>
                <w:lang w:val="sr-Cyrl-RS"/>
              </w:rPr>
            </w:pPr>
          </w:p>
        </w:tc>
        <w:tc>
          <w:tcPr>
            <w:tcW w:w="491" w:type="pct"/>
            <w:tcBorders>
              <w:top w:val="single" w:sz="2" w:space="0" w:color="FFFFFF"/>
            </w:tcBorders>
            <w:shd w:val="clear" w:color="auto" w:fill="E7E6E6"/>
          </w:tcPr>
          <w:p w14:paraId="0FB34DBB" w14:textId="77777777" w:rsidR="0022630A" w:rsidRPr="00EA3D8C" w:rsidRDefault="0022630A" w:rsidP="00184007">
            <w:pPr>
              <w:ind w:right="227"/>
              <w:jc w:val="right"/>
              <w:rPr>
                <w:rFonts w:ascii="Calibri" w:eastAsia="Calibri" w:hAnsi="Calibri" w:cs="Calibri"/>
                <w:color w:val="002060"/>
                <w:sz w:val="18"/>
                <w:lang w:val="sr-Cyrl-RS"/>
              </w:rPr>
            </w:pPr>
          </w:p>
        </w:tc>
        <w:tc>
          <w:tcPr>
            <w:tcW w:w="491" w:type="pct"/>
            <w:tcBorders>
              <w:top w:val="single" w:sz="2" w:space="0" w:color="FFFFFF"/>
            </w:tcBorders>
            <w:shd w:val="clear" w:color="auto" w:fill="E7E6E6"/>
          </w:tcPr>
          <w:p w14:paraId="6CB9B63A" w14:textId="77777777" w:rsidR="0022630A" w:rsidRPr="00EA3D8C" w:rsidRDefault="0022630A" w:rsidP="00184007">
            <w:pPr>
              <w:ind w:right="227"/>
              <w:jc w:val="right"/>
              <w:rPr>
                <w:rFonts w:ascii="Calibri" w:eastAsia="Calibri" w:hAnsi="Calibri" w:cs="Calibri"/>
                <w:color w:val="002060"/>
                <w:sz w:val="18"/>
                <w:lang w:val="sr-Cyrl-RS"/>
              </w:rPr>
            </w:pPr>
          </w:p>
        </w:tc>
        <w:tc>
          <w:tcPr>
            <w:tcW w:w="491" w:type="pct"/>
            <w:tcBorders>
              <w:top w:val="single" w:sz="2" w:space="0" w:color="FFFFFF"/>
            </w:tcBorders>
            <w:shd w:val="clear" w:color="auto" w:fill="E7E6E6"/>
          </w:tcPr>
          <w:p w14:paraId="2B90D139" w14:textId="77777777" w:rsidR="0022630A" w:rsidRPr="00EA3D8C" w:rsidRDefault="0022630A" w:rsidP="00184007">
            <w:pPr>
              <w:ind w:right="227"/>
              <w:jc w:val="right"/>
              <w:rPr>
                <w:rFonts w:ascii="Calibri" w:eastAsia="Calibri" w:hAnsi="Calibri" w:cs="Calibri"/>
                <w:color w:val="002060"/>
                <w:sz w:val="18"/>
                <w:lang w:val="sr-Cyrl-RS"/>
              </w:rPr>
            </w:pPr>
          </w:p>
        </w:tc>
        <w:tc>
          <w:tcPr>
            <w:tcW w:w="627" w:type="pct"/>
            <w:tcBorders>
              <w:top w:val="single" w:sz="2" w:space="0" w:color="FFFFFF"/>
            </w:tcBorders>
            <w:shd w:val="clear" w:color="auto" w:fill="E7E6E6"/>
          </w:tcPr>
          <w:p w14:paraId="6DB73ED0" w14:textId="77777777" w:rsidR="0022630A" w:rsidRPr="00EA3D8C" w:rsidRDefault="0022630A" w:rsidP="00184007">
            <w:pPr>
              <w:ind w:right="340"/>
              <w:jc w:val="right"/>
              <w:rPr>
                <w:rFonts w:ascii="Calibri" w:eastAsia="Calibri" w:hAnsi="Calibri" w:cs="Calibri"/>
                <w:color w:val="002060"/>
                <w:sz w:val="18"/>
                <w:lang w:val="sr-Cyrl-RS"/>
              </w:rPr>
            </w:pPr>
          </w:p>
        </w:tc>
        <w:tc>
          <w:tcPr>
            <w:tcW w:w="627" w:type="pct"/>
            <w:tcBorders>
              <w:top w:val="single" w:sz="2" w:space="0" w:color="FFFFFF"/>
            </w:tcBorders>
            <w:shd w:val="clear" w:color="auto" w:fill="E7E6E6"/>
          </w:tcPr>
          <w:p w14:paraId="29F199DD" w14:textId="77777777" w:rsidR="0022630A" w:rsidRPr="00EA3D8C" w:rsidRDefault="0022630A" w:rsidP="00184007">
            <w:pPr>
              <w:ind w:right="340"/>
              <w:jc w:val="right"/>
              <w:rPr>
                <w:rFonts w:ascii="Calibri" w:eastAsia="Calibri" w:hAnsi="Calibri" w:cs="Calibri"/>
                <w:color w:val="002060"/>
                <w:sz w:val="18"/>
                <w:lang w:val="sr-Cyrl-RS"/>
              </w:rPr>
            </w:pPr>
          </w:p>
        </w:tc>
        <w:tc>
          <w:tcPr>
            <w:tcW w:w="627" w:type="pct"/>
            <w:tcBorders>
              <w:top w:val="single" w:sz="2" w:space="0" w:color="FFFFFF"/>
            </w:tcBorders>
            <w:shd w:val="clear" w:color="auto" w:fill="E7E6E6"/>
          </w:tcPr>
          <w:p w14:paraId="34A88722" w14:textId="77777777" w:rsidR="0022630A" w:rsidRPr="00EA3D8C" w:rsidRDefault="0022630A" w:rsidP="00184007">
            <w:pPr>
              <w:ind w:right="340"/>
              <w:jc w:val="right"/>
              <w:rPr>
                <w:rFonts w:ascii="Calibri" w:eastAsia="Calibri" w:hAnsi="Calibri" w:cs="Calibri"/>
                <w:color w:val="002060"/>
                <w:sz w:val="18"/>
                <w:lang w:val="sr-Cyrl-RS"/>
              </w:rPr>
            </w:pPr>
          </w:p>
        </w:tc>
      </w:tr>
      <w:tr w:rsidR="0022630A" w:rsidRPr="00EA3D8C" w14:paraId="4BE65744" w14:textId="77777777" w:rsidTr="002C675F">
        <w:trPr>
          <w:jc w:val="center"/>
        </w:trPr>
        <w:tc>
          <w:tcPr>
            <w:tcW w:w="1645" w:type="pct"/>
          </w:tcPr>
          <w:p w14:paraId="133AE3C0"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Приватна потрошња</w:t>
            </w:r>
          </w:p>
        </w:tc>
        <w:tc>
          <w:tcPr>
            <w:tcW w:w="491" w:type="pct"/>
          </w:tcPr>
          <w:p w14:paraId="553FED01" w14:textId="04BF18C8"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3,</w:t>
            </w:r>
            <w:r w:rsidR="002B0A81">
              <w:rPr>
                <w:rFonts w:ascii="Calibri" w:eastAsia="Calibri" w:hAnsi="Calibri" w:cs="Calibri"/>
                <w:color w:val="002060"/>
                <w:sz w:val="18"/>
                <w:lang w:val="sr-Cyrl-RS"/>
              </w:rPr>
              <w:t>6</w:t>
            </w:r>
          </w:p>
        </w:tc>
        <w:tc>
          <w:tcPr>
            <w:tcW w:w="491" w:type="pct"/>
          </w:tcPr>
          <w:p w14:paraId="1074184E"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3,2</w:t>
            </w:r>
          </w:p>
        </w:tc>
        <w:tc>
          <w:tcPr>
            <w:tcW w:w="491" w:type="pct"/>
          </w:tcPr>
          <w:p w14:paraId="50D5331D"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-7,9</w:t>
            </w:r>
          </w:p>
        </w:tc>
        <w:tc>
          <w:tcPr>
            <w:tcW w:w="627" w:type="pct"/>
          </w:tcPr>
          <w:p w14:paraId="1E16C404"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3,9</w:t>
            </w:r>
          </w:p>
        </w:tc>
        <w:tc>
          <w:tcPr>
            <w:tcW w:w="627" w:type="pct"/>
          </w:tcPr>
          <w:p w14:paraId="6A6A972E"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-0,9</w:t>
            </w:r>
          </w:p>
        </w:tc>
        <w:tc>
          <w:tcPr>
            <w:tcW w:w="627" w:type="pct"/>
          </w:tcPr>
          <w:p w14:paraId="1636B5BA"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-1,9</w:t>
            </w:r>
          </w:p>
        </w:tc>
      </w:tr>
      <w:tr w:rsidR="0022630A" w:rsidRPr="00EA3D8C" w14:paraId="4B3730A5" w14:textId="77777777" w:rsidTr="002C675F">
        <w:trPr>
          <w:jc w:val="center"/>
        </w:trPr>
        <w:tc>
          <w:tcPr>
            <w:tcW w:w="1645" w:type="pct"/>
          </w:tcPr>
          <w:p w14:paraId="5EAEBC78"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Државна потрошња</w:t>
            </w:r>
          </w:p>
        </w:tc>
        <w:tc>
          <w:tcPr>
            <w:tcW w:w="491" w:type="pct"/>
          </w:tcPr>
          <w:p w14:paraId="70812F97" w14:textId="644D6CCE"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w:t>
            </w:r>
            <w:r w:rsidR="002B0A81">
              <w:rPr>
                <w:rFonts w:ascii="Calibri" w:eastAsia="Calibri" w:hAnsi="Calibri" w:cs="Calibri"/>
                <w:color w:val="002060"/>
                <w:sz w:val="18"/>
                <w:lang w:val="sr-Cyrl-RS"/>
              </w:rPr>
              <w:t>0</w:t>
            </w:r>
          </w:p>
        </w:tc>
        <w:tc>
          <w:tcPr>
            <w:tcW w:w="491" w:type="pct"/>
          </w:tcPr>
          <w:p w14:paraId="270BB88E"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11,8</w:t>
            </w:r>
          </w:p>
        </w:tc>
        <w:tc>
          <w:tcPr>
            <w:tcW w:w="491" w:type="pct"/>
          </w:tcPr>
          <w:p w14:paraId="07B3ED71"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8,9</w:t>
            </w:r>
          </w:p>
        </w:tc>
        <w:tc>
          <w:tcPr>
            <w:tcW w:w="627" w:type="pct"/>
          </w:tcPr>
          <w:p w14:paraId="1CA8B0F7"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1,5</w:t>
            </w:r>
          </w:p>
        </w:tc>
        <w:tc>
          <w:tcPr>
            <w:tcW w:w="627" w:type="pct"/>
          </w:tcPr>
          <w:p w14:paraId="0E99ADF4"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2,1</w:t>
            </w:r>
          </w:p>
        </w:tc>
        <w:tc>
          <w:tcPr>
            <w:tcW w:w="627" w:type="pct"/>
          </w:tcPr>
          <w:p w14:paraId="38B3224A"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5,8</w:t>
            </w:r>
          </w:p>
        </w:tc>
      </w:tr>
      <w:tr w:rsidR="0022630A" w:rsidRPr="00EA3D8C" w14:paraId="25E85900" w14:textId="77777777" w:rsidTr="002C675F">
        <w:trPr>
          <w:jc w:val="center"/>
        </w:trPr>
        <w:tc>
          <w:tcPr>
            <w:tcW w:w="1645" w:type="pct"/>
          </w:tcPr>
          <w:p w14:paraId="1F5219E3"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Инвестиције у основне фондове</w:t>
            </w:r>
          </w:p>
        </w:tc>
        <w:tc>
          <w:tcPr>
            <w:tcW w:w="491" w:type="pct"/>
          </w:tcPr>
          <w:p w14:paraId="2BB7DB2E" w14:textId="2240602C"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w:t>
            </w:r>
            <w:r w:rsidR="002B0A81">
              <w:rPr>
                <w:rFonts w:ascii="Calibri" w:eastAsia="Calibri" w:hAnsi="Calibri" w:cs="Calibri"/>
                <w:color w:val="002060"/>
                <w:sz w:val="18"/>
                <w:lang w:val="sr-Cyrl-RS"/>
              </w:rPr>
              <w:t>7,2</w:t>
            </w:r>
          </w:p>
        </w:tc>
        <w:tc>
          <w:tcPr>
            <w:tcW w:w="491" w:type="pct"/>
          </w:tcPr>
          <w:p w14:paraId="476032A7"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10,8</w:t>
            </w:r>
          </w:p>
        </w:tc>
        <w:tc>
          <w:tcPr>
            <w:tcW w:w="491" w:type="pct"/>
          </w:tcPr>
          <w:p w14:paraId="5083FA52"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-11,9</w:t>
            </w:r>
          </w:p>
        </w:tc>
        <w:tc>
          <w:tcPr>
            <w:tcW w:w="627" w:type="pct"/>
          </w:tcPr>
          <w:p w14:paraId="72270AD4"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6,4</w:t>
            </w:r>
          </w:p>
        </w:tc>
        <w:tc>
          <w:tcPr>
            <w:tcW w:w="627" w:type="pct"/>
          </w:tcPr>
          <w:p w14:paraId="5ED76E8F"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-13,2</w:t>
            </w:r>
          </w:p>
        </w:tc>
        <w:tc>
          <w:tcPr>
            <w:tcW w:w="627" w:type="pct"/>
          </w:tcPr>
          <w:p w14:paraId="09B9546C"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-4,8</w:t>
            </w:r>
          </w:p>
        </w:tc>
      </w:tr>
      <w:tr w:rsidR="0022630A" w:rsidRPr="00EA3D8C" w14:paraId="30BAA7E2" w14:textId="77777777" w:rsidTr="002C675F">
        <w:trPr>
          <w:jc w:val="center"/>
        </w:trPr>
        <w:tc>
          <w:tcPr>
            <w:tcW w:w="1645" w:type="pct"/>
          </w:tcPr>
          <w:p w14:paraId="5DAB1D74"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Извоз робе и услуга</w:t>
            </w:r>
          </w:p>
        </w:tc>
        <w:tc>
          <w:tcPr>
            <w:tcW w:w="491" w:type="pct"/>
          </w:tcPr>
          <w:p w14:paraId="0895DDC9" w14:textId="2BD8A34B" w:rsidR="0022630A" w:rsidRPr="00EA3D8C" w:rsidRDefault="002B0A81" w:rsidP="00184007">
            <w:pPr>
              <w:ind w:right="227"/>
              <w:jc w:val="right"/>
              <w:rPr>
                <w:rFonts w:ascii="Calibri" w:eastAsia="Calibri" w:hAnsi="Calibri" w:cs="Calibri"/>
                <w:color w:val="002060"/>
                <w:sz w:val="18"/>
                <w:lang w:val="sr-Cyrl-RS"/>
              </w:rPr>
            </w:pPr>
            <w:r>
              <w:rPr>
                <w:rFonts w:ascii="Calibri" w:eastAsia="Calibri" w:hAnsi="Calibri" w:cs="Calibri"/>
                <w:color w:val="002060"/>
                <w:sz w:val="18"/>
                <w:lang w:val="sr-Cyrl-RS"/>
              </w:rPr>
              <w:t>7,7</w:t>
            </w:r>
          </w:p>
        </w:tc>
        <w:tc>
          <w:tcPr>
            <w:tcW w:w="491" w:type="pct"/>
          </w:tcPr>
          <w:p w14:paraId="786A180C"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3,0</w:t>
            </w:r>
          </w:p>
        </w:tc>
        <w:tc>
          <w:tcPr>
            <w:tcW w:w="491" w:type="pct"/>
          </w:tcPr>
          <w:p w14:paraId="19296EC3"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-20,7</w:t>
            </w:r>
          </w:p>
        </w:tc>
        <w:tc>
          <w:tcPr>
            <w:tcW w:w="627" w:type="pct"/>
          </w:tcPr>
          <w:p w14:paraId="658ADF9E"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8,1</w:t>
            </w:r>
          </w:p>
        </w:tc>
        <w:tc>
          <w:tcPr>
            <w:tcW w:w="627" w:type="pct"/>
          </w:tcPr>
          <w:p w14:paraId="1BB193C2"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-9,1</w:t>
            </w:r>
          </w:p>
        </w:tc>
        <w:tc>
          <w:tcPr>
            <w:tcW w:w="627" w:type="pct"/>
          </w:tcPr>
          <w:p w14:paraId="067E2769"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-6,9</w:t>
            </w:r>
          </w:p>
        </w:tc>
      </w:tr>
      <w:tr w:rsidR="0022630A" w:rsidRPr="00EA3D8C" w14:paraId="605E0CA2" w14:textId="77777777" w:rsidTr="002C675F">
        <w:trPr>
          <w:jc w:val="center"/>
        </w:trPr>
        <w:tc>
          <w:tcPr>
            <w:tcW w:w="1645" w:type="pct"/>
          </w:tcPr>
          <w:p w14:paraId="03C7608C"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Увоз робе и услуга</w:t>
            </w:r>
          </w:p>
        </w:tc>
        <w:tc>
          <w:tcPr>
            <w:tcW w:w="491" w:type="pct"/>
          </w:tcPr>
          <w:p w14:paraId="12CF8D5D" w14:textId="0C474D97" w:rsidR="0022630A" w:rsidRPr="00EA3D8C" w:rsidRDefault="002B0A81" w:rsidP="00184007">
            <w:pPr>
              <w:ind w:right="227"/>
              <w:jc w:val="right"/>
              <w:rPr>
                <w:rFonts w:ascii="Calibri" w:eastAsia="Calibri" w:hAnsi="Calibri" w:cs="Calibri"/>
                <w:color w:val="002060"/>
                <w:sz w:val="18"/>
                <w:lang w:val="sr-Cyrl-RS"/>
              </w:rPr>
            </w:pPr>
            <w:r>
              <w:rPr>
                <w:rFonts w:ascii="Calibri" w:eastAsia="Calibri" w:hAnsi="Calibri" w:cs="Calibri"/>
                <w:color w:val="002060"/>
                <w:sz w:val="18"/>
                <w:lang w:val="sr-Cyrl-RS"/>
              </w:rPr>
              <w:t>10,7</w:t>
            </w:r>
          </w:p>
        </w:tc>
        <w:tc>
          <w:tcPr>
            <w:tcW w:w="491" w:type="pct"/>
          </w:tcPr>
          <w:p w14:paraId="3F6EEC98"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8,1</w:t>
            </w:r>
          </w:p>
        </w:tc>
        <w:tc>
          <w:tcPr>
            <w:tcW w:w="491" w:type="pct"/>
          </w:tcPr>
          <w:p w14:paraId="1D776BD2"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-19,3</w:t>
            </w:r>
          </w:p>
        </w:tc>
        <w:tc>
          <w:tcPr>
            <w:tcW w:w="627" w:type="pct"/>
          </w:tcPr>
          <w:p w14:paraId="097020A6"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7,4</w:t>
            </w:r>
          </w:p>
        </w:tc>
        <w:tc>
          <w:tcPr>
            <w:tcW w:w="627" w:type="pct"/>
          </w:tcPr>
          <w:p w14:paraId="2DA12D1D"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-10,3</w:t>
            </w:r>
          </w:p>
        </w:tc>
        <w:tc>
          <w:tcPr>
            <w:tcW w:w="627" w:type="pct"/>
          </w:tcPr>
          <w:p w14:paraId="1B4C7CD7"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-6,5</w:t>
            </w:r>
          </w:p>
        </w:tc>
      </w:tr>
      <w:tr w:rsidR="0022630A" w:rsidRPr="00EA3D8C" w14:paraId="2DCE6E53" w14:textId="77777777" w:rsidTr="002C675F">
        <w:trPr>
          <w:jc w:val="center"/>
        </w:trPr>
        <w:tc>
          <w:tcPr>
            <w:tcW w:w="1645" w:type="pct"/>
            <w:shd w:val="clear" w:color="auto" w:fill="E7E6E6"/>
          </w:tcPr>
          <w:p w14:paraId="13179C77" w14:textId="77777777" w:rsidR="0022630A" w:rsidRPr="00EA3D8C" w:rsidRDefault="0022630A" w:rsidP="00161001">
            <w:pPr>
              <w:ind w:left="-15"/>
              <w:jc w:val="right"/>
              <w:rPr>
                <w:rFonts w:ascii="Calibri" w:eastAsia="Calibri" w:hAnsi="Calibri" w:cs="Calibri"/>
                <w:color w:val="002060"/>
                <w:sz w:val="18"/>
                <w:lang w:val="sr-Cyrl-RS"/>
              </w:rPr>
            </w:pPr>
          </w:p>
        </w:tc>
        <w:tc>
          <w:tcPr>
            <w:tcW w:w="491" w:type="pct"/>
            <w:shd w:val="clear" w:color="auto" w:fill="E7E6E6"/>
          </w:tcPr>
          <w:p w14:paraId="0BDA2D24" w14:textId="77777777" w:rsidR="0022630A" w:rsidRPr="00EA3D8C" w:rsidRDefault="0022630A" w:rsidP="00184007">
            <w:pPr>
              <w:ind w:left="-15" w:right="227"/>
              <w:jc w:val="right"/>
              <w:rPr>
                <w:rFonts w:ascii="Calibri" w:eastAsia="Calibri" w:hAnsi="Calibri" w:cs="Calibri"/>
                <w:color w:val="002060"/>
                <w:sz w:val="18"/>
                <w:lang w:val="sr-Cyrl-RS"/>
              </w:rPr>
            </w:pPr>
          </w:p>
        </w:tc>
        <w:tc>
          <w:tcPr>
            <w:tcW w:w="491" w:type="pct"/>
            <w:shd w:val="clear" w:color="auto" w:fill="E7E6E6"/>
          </w:tcPr>
          <w:p w14:paraId="4C02827D" w14:textId="77777777" w:rsidR="0022630A" w:rsidRPr="00EA3D8C" w:rsidRDefault="0022630A" w:rsidP="00184007">
            <w:pPr>
              <w:ind w:left="-15" w:right="227"/>
              <w:jc w:val="right"/>
              <w:rPr>
                <w:rFonts w:ascii="Calibri" w:eastAsia="Calibri" w:hAnsi="Calibri" w:cs="Calibri"/>
                <w:color w:val="002060"/>
                <w:sz w:val="18"/>
                <w:lang w:val="sr-Cyrl-RS"/>
              </w:rPr>
            </w:pPr>
          </w:p>
        </w:tc>
        <w:tc>
          <w:tcPr>
            <w:tcW w:w="491" w:type="pct"/>
            <w:shd w:val="clear" w:color="auto" w:fill="E7E6E6"/>
          </w:tcPr>
          <w:p w14:paraId="1754C908" w14:textId="77777777" w:rsidR="0022630A" w:rsidRPr="00EA3D8C" w:rsidRDefault="0022630A" w:rsidP="00184007">
            <w:pPr>
              <w:ind w:left="-15" w:right="227"/>
              <w:jc w:val="right"/>
              <w:rPr>
                <w:rFonts w:ascii="Calibri" w:eastAsia="Calibri" w:hAnsi="Calibri" w:cs="Calibri"/>
                <w:color w:val="002060"/>
                <w:sz w:val="18"/>
                <w:lang w:val="sr-Cyrl-RS"/>
              </w:rPr>
            </w:pPr>
          </w:p>
        </w:tc>
        <w:tc>
          <w:tcPr>
            <w:tcW w:w="627" w:type="pct"/>
            <w:shd w:val="clear" w:color="auto" w:fill="E7E6E6"/>
          </w:tcPr>
          <w:p w14:paraId="2AB106A8" w14:textId="77777777" w:rsidR="0022630A" w:rsidRPr="00EA3D8C" w:rsidRDefault="0022630A" w:rsidP="00184007">
            <w:pPr>
              <w:ind w:left="-15" w:right="340"/>
              <w:jc w:val="right"/>
              <w:rPr>
                <w:rFonts w:ascii="Calibri" w:eastAsia="Calibri" w:hAnsi="Calibri" w:cs="Calibri"/>
                <w:color w:val="002060"/>
                <w:sz w:val="18"/>
                <w:lang w:val="sr-Cyrl-RS"/>
              </w:rPr>
            </w:pPr>
          </w:p>
        </w:tc>
        <w:tc>
          <w:tcPr>
            <w:tcW w:w="627" w:type="pct"/>
            <w:shd w:val="clear" w:color="auto" w:fill="E7E6E6"/>
          </w:tcPr>
          <w:p w14:paraId="64593132" w14:textId="77777777" w:rsidR="0022630A" w:rsidRPr="00EA3D8C" w:rsidRDefault="0022630A" w:rsidP="00184007">
            <w:pPr>
              <w:ind w:left="-15" w:right="340"/>
              <w:jc w:val="right"/>
              <w:rPr>
                <w:rFonts w:ascii="Calibri" w:eastAsia="Calibri" w:hAnsi="Calibri" w:cs="Calibri"/>
                <w:color w:val="002060"/>
                <w:sz w:val="18"/>
                <w:lang w:val="sr-Cyrl-RS"/>
              </w:rPr>
            </w:pPr>
          </w:p>
        </w:tc>
        <w:tc>
          <w:tcPr>
            <w:tcW w:w="627" w:type="pct"/>
            <w:shd w:val="clear" w:color="auto" w:fill="E7E6E6"/>
          </w:tcPr>
          <w:p w14:paraId="4CC14705" w14:textId="77777777" w:rsidR="0022630A" w:rsidRPr="00EA3D8C" w:rsidRDefault="0022630A" w:rsidP="00184007">
            <w:pPr>
              <w:ind w:left="-15" w:right="340"/>
              <w:jc w:val="right"/>
              <w:rPr>
                <w:rFonts w:ascii="Calibri" w:eastAsia="Calibri" w:hAnsi="Calibri" w:cs="Calibri"/>
                <w:color w:val="002060"/>
                <w:sz w:val="18"/>
                <w:lang w:val="sr-Cyrl-RS"/>
              </w:rPr>
            </w:pPr>
          </w:p>
        </w:tc>
      </w:tr>
      <w:tr w:rsidR="0022630A" w:rsidRPr="00EA3D8C" w14:paraId="7EFD9DFF" w14:textId="77777777" w:rsidTr="002C675F">
        <w:trPr>
          <w:jc w:val="center"/>
        </w:trPr>
        <w:tc>
          <w:tcPr>
            <w:tcW w:w="1645" w:type="pct"/>
          </w:tcPr>
          <w:p w14:paraId="636B2205"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Пољопривреда</w:t>
            </w:r>
          </w:p>
        </w:tc>
        <w:tc>
          <w:tcPr>
            <w:tcW w:w="491" w:type="pct"/>
          </w:tcPr>
          <w:p w14:paraId="2004F8AE"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-1,6</w:t>
            </w:r>
          </w:p>
        </w:tc>
        <w:tc>
          <w:tcPr>
            <w:tcW w:w="491" w:type="pct"/>
          </w:tcPr>
          <w:p w14:paraId="79C4DD09"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1,7</w:t>
            </w:r>
          </w:p>
        </w:tc>
        <w:tc>
          <w:tcPr>
            <w:tcW w:w="491" w:type="pct"/>
          </w:tcPr>
          <w:p w14:paraId="10609A75"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2,2</w:t>
            </w:r>
          </w:p>
        </w:tc>
        <w:tc>
          <w:tcPr>
            <w:tcW w:w="627" w:type="pct"/>
          </w:tcPr>
          <w:p w14:paraId="65123B77"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-2,8</w:t>
            </w:r>
          </w:p>
        </w:tc>
        <w:tc>
          <w:tcPr>
            <w:tcW w:w="627" w:type="pct"/>
          </w:tcPr>
          <w:p w14:paraId="07803095"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-2,3</w:t>
            </w:r>
          </w:p>
        </w:tc>
        <w:tc>
          <w:tcPr>
            <w:tcW w:w="627" w:type="pct"/>
          </w:tcPr>
          <w:p w14:paraId="5BD46A44"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4,9</w:t>
            </w:r>
          </w:p>
        </w:tc>
      </w:tr>
      <w:tr w:rsidR="0022630A" w:rsidRPr="00EA3D8C" w14:paraId="130A56E5" w14:textId="77777777" w:rsidTr="002C675F">
        <w:trPr>
          <w:jc w:val="center"/>
        </w:trPr>
        <w:tc>
          <w:tcPr>
            <w:tcW w:w="1645" w:type="pct"/>
          </w:tcPr>
          <w:p w14:paraId="62A34409"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Индустрија</w:t>
            </w:r>
          </w:p>
        </w:tc>
        <w:tc>
          <w:tcPr>
            <w:tcW w:w="491" w:type="pct"/>
          </w:tcPr>
          <w:p w14:paraId="2C75E59D"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0,4</w:t>
            </w:r>
          </w:p>
        </w:tc>
        <w:tc>
          <w:tcPr>
            <w:tcW w:w="491" w:type="pct"/>
          </w:tcPr>
          <w:p w14:paraId="41F6716E"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4,3</w:t>
            </w:r>
          </w:p>
        </w:tc>
        <w:tc>
          <w:tcPr>
            <w:tcW w:w="491" w:type="pct"/>
          </w:tcPr>
          <w:p w14:paraId="266A680C"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-7,7</w:t>
            </w:r>
          </w:p>
        </w:tc>
        <w:tc>
          <w:tcPr>
            <w:tcW w:w="627" w:type="pct"/>
          </w:tcPr>
          <w:p w14:paraId="5B265B17"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4,3</w:t>
            </w:r>
          </w:p>
        </w:tc>
        <w:tc>
          <w:tcPr>
            <w:tcW w:w="627" w:type="pct"/>
          </w:tcPr>
          <w:p w14:paraId="69816D2D"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-5,5</w:t>
            </w:r>
          </w:p>
        </w:tc>
        <w:tc>
          <w:tcPr>
            <w:tcW w:w="627" w:type="pct"/>
          </w:tcPr>
          <w:p w14:paraId="25463FCD"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0,0</w:t>
            </w:r>
          </w:p>
        </w:tc>
      </w:tr>
      <w:tr w:rsidR="0022630A" w:rsidRPr="00EA3D8C" w14:paraId="101599D2" w14:textId="77777777" w:rsidTr="002C675F">
        <w:trPr>
          <w:jc w:val="center"/>
        </w:trPr>
        <w:tc>
          <w:tcPr>
            <w:tcW w:w="1645" w:type="pct"/>
          </w:tcPr>
          <w:p w14:paraId="0EB4443E"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Грађевинарство</w:t>
            </w:r>
          </w:p>
        </w:tc>
        <w:tc>
          <w:tcPr>
            <w:tcW w:w="491" w:type="pct"/>
          </w:tcPr>
          <w:p w14:paraId="34AAC914"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33,7</w:t>
            </w:r>
          </w:p>
        </w:tc>
        <w:tc>
          <w:tcPr>
            <w:tcW w:w="491" w:type="pct"/>
          </w:tcPr>
          <w:p w14:paraId="16F0D3D8"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20,4</w:t>
            </w:r>
          </w:p>
        </w:tc>
        <w:tc>
          <w:tcPr>
            <w:tcW w:w="491" w:type="pct"/>
          </w:tcPr>
          <w:p w14:paraId="2FFBB533"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0,1</w:t>
            </w:r>
          </w:p>
        </w:tc>
        <w:tc>
          <w:tcPr>
            <w:tcW w:w="627" w:type="pct"/>
          </w:tcPr>
          <w:p w14:paraId="6663340D"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9,1</w:t>
            </w:r>
          </w:p>
        </w:tc>
        <w:tc>
          <w:tcPr>
            <w:tcW w:w="627" w:type="pct"/>
          </w:tcPr>
          <w:p w14:paraId="06D0BE5A"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-1,2</w:t>
            </w:r>
          </w:p>
        </w:tc>
        <w:tc>
          <w:tcPr>
            <w:tcW w:w="627" w:type="pct"/>
          </w:tcPr>
          <w:p w14:paraId="11233E31"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-6,0</w:t>
            </w:r>
          </w:p>
        </w:tc>
      </w:tr>
      <w:tr w:rsidR="0022630A" w:rsidRPr="00EA3D8C" w14:paraId="323C5F08" w14:textId="77777777" w:rsidTr="002C675F">
        <w:trPr>
          <w:trHeight w:val="163"/>
          <w:jc w:val="center"/>
        </w:trPr>
        <w:tc>
          <w:tcPr>
            <w:tcW w:w="1645" w:type="pct"/>
            <w:tcBorders>
              <w:bottom w:val="single" w:sz="4" w:space="0" w:color="002060"/>
            </w:tcBorders>
          </w:tcPr>
          <w:p w14:paraId="27BAD3B9" w14:textId="77777777" w:rsidR="0022630A" w:rsidRPr="00EA3D8C" w:rsidRDefault="0022630A" w:rsidP="00161001">
            <w:pPr>
              <w:ind w:left="-15"/>
              <w:rPr>
                <w:rFonts w:ascii="Calibri" w:eastAsia="Calibri" w:hAnsi="Calibri" w:cs="Calibri"/>
                <w:color w:val="002060"/>
                <w:sz w:val="18"/>
                <w:lang w:val="sr-Cyrl-RS"/>
              </w:rPr>
            </w:pPr>
            <w:r w:rsidRPr="00EA3D8C">
              <w:rPr>
                <w:rFonts w:ascii="Calibri" w:eastAsia="Calibri" w:hAnsi="Calibri" w:cs="Calibri"/>
                <w:color w:val="002060"/>
                <w:sz w:val="18"/>
                <w:lang w:val="sr-Cyrl-RS"/>
              </w:rPr>
              <w:t>Услуге</w:t>
            </w:r>
          </w:p>
        </w:tc>
        <w:tc>
          <w:tcPr>
            <w:tcW w:w="491" w:type="pct"/>
            <w:tcBorders>
              <w:bottom w:val="single" w:sz="4" w:space="0" w:color="002060"/>
            </w:tcBorders>
          </w:tcPr>
          <w:p w14:paraId="45593028" w14:textId="77777777" w:rsidR="0022630A" w:rsidRPr="00EA3D8C" w:rsidRDefault="0022630A" w:rsidP="00184007">
            <w:pPr>
              <w:tabs>
                <w:tab w:val="left" w:pos="420"/>
                <w:tab w:val="center" w:pos="586"/>
              </w:tabs>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4,2</w:t>
            </w:r>
          </w:p>
        </w:tc>
        <w:tc>
          <w:tcPr>
            <w:tcW w:w="491" w:type="pct"/>
            <w:tcBorders>
              <w:bottom w:val="single" w:sz="4" w:space="0" w:color="002060"/>
            </w:tcBorders>
          </w:tcPr>
          <w:p w14:paraId="0999411B"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5,0</w:t>
            </w:r>
          </w:p>
        </w:tc>
        <w:tc>
          <w:tcPr>
            <w:tcW w:w="491" w:type="pct"/>
            <w:tcBorders>
              <w:bottom w:val="single" w:sz="4" w:space="0" w:color="002060"/>
            </w:tcBorders>
          </w:tcPr>
          <w:p w14:paraId="576362BA" w14:textId="77777777" w:rsidR="0022630A" w:rsidRPr="00EA3D8C" w:rsidRDefault="0022630A" w:rsidP="00184007">
            <w:pPr>
              <w:ind w:right="227"/>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-6,6</w:t>
            </w:r>
          </w:p>
        </w:tc>
        <w:tc>
          <w:tcPr>
            <w:tcW w:w="627" w:type="pct"/>
            <w:tcBorders>
              <w:bottom w:val="single" w:sz="4" w:space="0" w:color="002060"/>
            </w:tcBorders>
          </w:tcPr>
          <w:p w14:paraId="1ACF6312"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4,3</w:t>
            </w:r>
          </w:p>
        </w:tc>
        <w:tc>
          <w:tcPr>
            <w:tcW w:w="627" w:type="pct"/>
            <w:tcBorders>
              <w:bottom w:val="single" w:sz="4" w:space="0" w:color="002060"/>
            </w:tcBorders>
          </w:tcPr>
          <w:p w14:paraId="211879CA"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-1,3</w:t>
            </w:r>
          </w:p>
        </w:tc>
        <w:tc>
          <w:tcPr>
            <w:tcW w:w="627" w:type="pct"/>
            <w:tcBorders>
              <w:bottom w:val="single" w:sz="4" w:space="0" w:color="002060"/>
            </w:tcBorders>
          </w:tcPr>
          <w:p w14:paraId="43050277" w14:textId="77777777" w:rsidR="0022630A" w:rsidRPr="00EA3D8C" w:rsidRDefault="0022630A" w:rsidP="00184007">
            <w:pPr>
              <w:ind w:right="340"/>
              <w:jc w:val="right"/>
              <w:rPr>
                <w:rFonts w:ascii="Calibri" w:eastAsia="Calibri" w:hAnsi="Calibri" w:cs="Calibri"/>
                <w:color w:val="002060"/>
                <w:sz w:val="18"/>
                <w:lang w:val="sr-Cyrl-RS"/>
              </w:rPr>
            </w:pPr>
            <w:r w:rsidRPr="00EA3D8C">
              <w:rPr>
                <w:rFonts w:ascii="Calibri" w:eastAsia="Calibri" w:hAnsi="Calibri" w:cs="Calibri"/>
                <w:color w:val="002060"/>
                <w:sz w:val="18"/>
                <w:lang w:val="sr-Cyrl-RS"/>
              </w:rPr>
              <w:t>-1,5</w:t>
            </w:r>
          </w:p>
        </w:tc>
      </w:tr>
    </w:tbl>
    <w:p w14:paraId="51167A8A" w14:textId="77777777" w:rsidR="0022630A" w:rsidRPr="00EA3D8C" w:rsidRDefault="0022630A" w:rsidP="00706309">
      <w:pPr>
        <w:spacing w:before="40" w:after="20"/>
        <w:rPr>
          <w:rFonts w:ascii="Calibri" w:eastAsia="Calibri" w:hAnsi="Calibri" w:cs="Calibri"/>
          <w:bCs/>
          <w:sz w:val="16"/>
          <w:szCs w:val="72"/>
          <w:lang w:val="sr-Cyrl-RS"/>
        </w:rPr>
      </w:pPr>
      <w:r w:rsidRPr="00EA3D8C">
        <w:rPr>
          <w:rFonts w:ascii="Calibri" w:eastAsia="Calibri" w:hAnsi="Calibri" w:cs="Calibri"/>
          <w:bCs/>
          <w:sz w:val="16"/>
          <w:szCs w:val="72"/>
          <w:lang w:val="sr-Cyrl-RS"/>
        </w:rPr>
        <w:t>Извор: РЗС</w:t>
      </w:r>
    </w:p>
    <w:p w14:paraId="6667E8A8" w14:textId="77777777" w:rsidR="0022630A" w:rsidRPr="00EA3D8C" w:rsidRDefault="0022630A" w:rsidP="00706309">
      <w:pPr>
        <w:spacing w:before="40" w:after="120"/>
        <w:rPr>
          <w:rFonts w:ascii="Calibri" w:eastAsia="Calibri" w:hAnsi="Calibri" w:cs="Calibri"/>
          <w:bCs/>
          <w:sz w:val="16"/>
          <w:szCs w:val="72"/>
          <w:lang w:val="sr-Cyrl-RS"/>
        </w:rPr>
      </w:pPr>
      <w:r w:rsidRPr="00EA3D8C">
        <w:rPr>
          <w:rFonts w:ascii="Calibri" w:eastAsia="Calibri" w:hAnsi="Calibri" w:cs="Calibri"/>
          <w:bCs/>
          <w:sz w:val="16"/>
          <w:szCs w:val="72"/>
          <w:lang w:val="sr-Cyrl-RS"/>
        </w:rPr>
        <w:t>* Министарство финансија</w:t>
      </w:r>
    </w:p>
    <w:p w14:paraId="3B555DC8" w14:textId="77777777" w:rsidR="0022630A" w:rsidRPr="00EA3D8C" w:rsidRDefault="0022630A" w:rsidP="00706309">
      <w:pPr>
        <w:tabs>
          <w:tab w:val="left" w:pos="527"/>
        </w:tabs>
        <w:spacing w:after="120" w:line="240" w:lineRule="auto"/>
        <w:rPr>
          <w:rFonts w:cstheme="minorHAnsi"/>
          <w:szCs w:val="72"/>
          <w:lang w:val="sr-Cyrl-RS"/>
        </w:rPr>
        <w:sectPr w:rsidR="0022630A" w:rsidRPr="00EA3D8C" w:rsidSect="00AE40EB">
          <w:type w:val="continuous"/>
          <w:pgSz w:w="12240" w:h="15840" w:code="1"/>
          <w:pgMar w:top="1440" w:right="1440" w:bottom="1440" w:left="1440" w:header="720" w:footer="720" w:gutter="0"/>
          <w:cols w:space="720"/>
          <w:docGrid w:linePitch="360"/>
        </w:sectPr>
      </w:pPr>
    </w:p>
    <w:p w14:paraId="650F4CCD" w14:textId="170252E1" w:rsidR="00E52AF2" w:rsidRPr="00EA3D8C" w:rsidRDefault="00C82CD2" w:rsidP="00F03C70">
      <w:pPr>
        <w:jc w:val="left"/>
        <w:rPr>
          <w:rFonts w:cstheme="minorHAnsi"/>
          <w:bCs/>
          <w:szCs w:val="72"/>
          <w:lang w:val="sr-Cyrl-RS"/>
        </w:rPr>
      </w:pPr>
      <w:r w:rsidRPr="00EA3D8C">
        <w:rPr>
          <w:rFonts w:cstheme="minorHAnsi"/>
          <w:b/>
          <w:color w:val="2F5496" w:themeColor="accent1" w:themeShade="BF"/>
          <w:sz w:val="22"/>
          <w:lang w:val="sr-Cyrl-RS"/>
        </w:rPr>
        <w:lastRenderedPageBreak/>
        <w:t>Пројекције кретања реалног сектора у периоду 2021–2023. година</w:t>
      </w:r>
    </w:p>
    <w:p w14:paraId="0A6E09F8" w14:textId="6ABB4D02" w:rsidR="00C82CD2" w:rsidRPr="00EA3D8C" w:rsidRDefault="00E52AF2" w:rsidP="00706309">
      <w:pPr>
        <w:spacing w:after="240"/>
        <w:rPr>
          <w:color w:val="2F5496" w:themeColor="accent1" w:themeShade="BF"/>
          <w:lang w:val="sr-Cyrl-RS"/>
        </w:rPr>
      </w:pPr>
      <w:r w:rsidRPr="00EA3D8C">
        <w:rPr>
          <w:rFonts w:cstheme="minorHAnsi"/>
          <w:bCs/>
          <w:szCs w:val="72"/>
          <w:lang w:val="sr-Cyrl-RS"/>
        </w:rPr>
        <w:t xml:space="preserve">Средњорочна пројекција кретања реалног сектора заснована је на реалистичном приступу, како би фискална политика била адекватно постављена и како не би угрозила досадашња постигнућа. Кретања основних макроекономских агрегата и индикатора за Републику Србију у периоду 2021–2023. година пројектована су на основу актуелних економских трендова и изгледа за Републику Србију и међународно окружење, као и на основу процене ефеката планираних мера економске политике. Очувана стабилност јавних финансија обезбедила је фискални простор за спровођење свеобухватног програма подршке привреди и становништву током трајања </w:t>
      </w:r>
      <w:r w:rsidR="008E4992" w:rsidRPr="008E4992">
        <w:rPr>
          <w:rFonts w:cstheme="minorHAnsi"/>
          <w:bCs/>
          <w:szCs w:val="72"/>
          <w:lang w:val="sr-Cyrl-RS"/>
        </w:rPr>
        <w:t>пан</w:t>
      </w:r>
      <w:r w:rsidRPr="00EA3D8C">
        <w:rPr>
          <w:rFonts w:cstheme="minorHAnsi"/>
          <w:bCs/>
          <w:szCs w:val="72"/>
          <w:lang w:val="sr-Cyrl-RS"/>
        </w:rPr>
        <w:t xml:space="preserve">демије, али и за повећање капиталних улагања. Влада ће и у овом </w:t>
      </w:r>
      <w:r w:rsidRPr="00EA3D8C">
        <w:rPr>
          <w:rFonts w:cstheme="minorHAnsi"/>
          <w:bCs/>
          <w:szCs w:val="72"/>
          <w:lang w:val="sr-Cyrl-RS"/>
        </w:rPr>
        <w:lastRenderedPageBreak/>
        <w:t xml:space="preserve">периоду водити одговорну и предвидиву фискалну политику, синхронизовану са монетарним властима и фокусирану на санирање свих последица </w:t>
      </w:r>
      <w:r w:rsidR="008E4992" w:rsidRPr="008E4992">
        <w:rPr>
          <w:rFonts w:cstheme="minorHAnsi"/>
          <w:bCs/>
          <w:szCs w:val="72"/>
          <w:lang w:val="sr-Cyrl-RS"/>
        </w:rPr>
        <w:t>пан</w:t>
      </w:r>
      <w:r w:rsidRPr="00EA3D8C">
        <w:rPr>
          <w:rFonts w:cstheme="minorHAnsi"/>
          <w:bCs/>
          <w:szCs w:val="72"/>
          <w:lang w:val="sr-Cyrl-RS"/>
        </w:rPr>
        <w:t xml:space="preserve">демије коронавируса, али и на лоцирању нових извора раста. Наставак прилива </w:t>
      </w:r>
      <w:r w:rsidRPr="000E4558">
        <w:rPr>
          <w:rFonts w:cstheme="minorHAnsi"/>
          <w:bCs/>
          <w:szCs w:val="72"/>
          <w:lang w:val="sr-Cyrl-RS"/>
        </w:rPr>
        <w:t>СДИ</w:t>
      </w:r>
      <w:r w:rsidRPr="00EA3D8C">
        <w:rPr>
          <w:rFonts w:cstheme="minorHAnsi"/>
          <w:bCs/>
          <w:szCs w:val="72"/>
          <w:lang w:val="sr-Cyrl-RS"/>
        </w:rPr>
        <w:t xml:space="preserve"> обезбедиће трансфер знања и технологије, подићи конкурентност и обезбедити нове продајне канале домаћим произвођачима. Механизам подстицаја има за циљ њихову секторску и регионалну дисперзију како би биле обезбеђене претпоставке равномерног развоја и пуне искоришћености конкурентских предности. Остваривање ове пројекције, у условима високе неизвесности, подложно је ризицима, који су пре свега егзогеног порекла. Матрица ризика пројекције постоји и детаљно је описана је у овом документу.</w:t>
      </w:r>
    </w:p>
    <w:p w14:paraId="5A91ECE9" w14:textId="77777777" w:rsidR="00E52AF2" w:rsidRPr="00EA3D8C" w:rsidRDefault="00E52AF2" w:rsidP="001527EE">
      <w:pPr>
        <w:jc w:val="center"/>
        <w:rPr>
          <w:rFonts w:cstheme="minorHAnsi"/>
          <w:b/>
          <w:color w:val="002060"/>
          <w:lang w:val="sr-Cyrl-RS"/>
        </w:rPr>
        <w:sectPr w:rsidR="00E52AF2" w:rsidRPr="00EA3D8C" w:rsidSect="00AE40EB">
          <w:headerReference w:type="even" r:id="rId70"/>
          <w:headerReference w:type="default" r:id="rId71"/>
          <w:footerReference w:type="even" r:id="rId72"/>
          <w:footerReference w:type="default" r:id="rId73"/>
          <w:headerReference w:type="first" r:id="rId74"/>
          <w:type w:val="continuous"/>
          <w:pgSz w:w="12240" w:h="15840" w:code="1"/>
          <w:pgMar w:top="1440" w:right="1440" w:bottom="1440" w:left="1440" w:header="720" w:footer="720" w:gutter="0"/>
          <w:cols w:num="2" w:space="720"/>
          <w:docGrid w:linePitch="360"/>
        </w:sectPr>
      </w:pPr>
    </w:p>
    <w:tbl>
      <w:tblPr>
        <w:tblStyle w:val="TableGrid"/>
        <w:tblW w:w="4952"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4"/>
        <w:gridCol w:w="925"/>
        <w:gridCol w:w="925"/>
        <w:gridCol w:w="971"/>
        <w:gridCol w:w="931"/>
        <w:gridCol w:w="914"/>
      </w:tblGrid>
      <w:tr w:rsidR="00C82CD2" w:rsidRPr="00EA3D8C" w14:paraId="20A9A232" w14:textId="77777777" w:rsidTr="00706309">
        <w:trPr>
          <w:trHeight w:val="357"/>
        </w:trPr>
        <w:tc>
          <w:tcPr>
            <w:tcW w:w="5000" w:type="pct"/>
            <w:gridSpan w:val="6"/>
            <w:tcBorders>
              <w:bottom w:val="single" w:sz="4" w:space="0" w:color="002060"/>
            </w:tcBorders>
            <w:vAlign w:val="center"/>
          </w:tcPr>
          <w:p w14:paraId="7455F51F" w14:textId="6FF5A02F" w:rsidR="00C82CD2" w:rsidRPr="00EA3D8C" w:rsidRDefault="00EC4017" w:rsidP="00706309">
            <w:pPr>
              <w:jc w:val="center"/>
              <w:rPr>
                <w:rFonts w:cstheme="minorHAnsi"/>
                <w:b/>
                <w:color w:val="002060"/>
                <w:sz w:val="16"/>
                <w:lang w:val="sr-Cyrl-RS"/>
              </w:rPr>
            </w:pPr>
            <w:r w:rsidRPr="00EA3D8C">
              <w:rPr>
                <w:rFonts w:cstheme="minorHAnsi"/>
                <w:b/>
                <w:color w:val="002060"/>
                <w:lang w:val="sr-Cyrl-RS"/>
              </w:rPr>
              <w:lastRenderedPageBreak/>
              <w:t>Табела 5</w:t>
            </w:r>
            <w:r w:rsidR="00C82CD2" w:rsidRPr="00EA3D8C">
              <w:rPr>
                <w:rFonts w:cstheme="minorHAnsi"/>
                <w:b/>
                <w:color w:val="002060"/>
                <w:lang w:val="sr-Cyrl-RS"/>
              </w:rPr>
              <w:t>. Пројекција основних макроекономских показатеља Републике Србије</w:t>
            </w:r>
          </w:p>
        </w:tc>
      </w:tr>
      <w:tr w:rsidR="00C82CD2" w:rsidRPr="00EA3D8C" w14:paraId="7B093E3D" w14:textId="77777777" w:rsidTr="00B435B3">
        <w:tc>
          <w:tcPr>
            <w:tcW w:w="2483"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26C01C6D" w14:textId="77777777" w:rsidR="00C82CD2" w:rsidRPr="00EA3D8C" w:rsidRDefault="00C82CD2" w:rsidP="00C130D2">
            <w:pPr>
              <w:rPr>
                <w:rFonts w:cstheme="minorHAnsi"/>
                <w:color w:val="002060"/>
                <w:sz w:val="18"/>
                <w:lang w:val="sr-Cyrl-RS"/>
              </w:rPr>
            </w:pPr>
          </w:p>
        </w:tc>
        <w:tc>
          <w:tcPr>
            <w:tcW w:w="499" w:type="pct"/>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330F4748" w14:textId="77777777" w:rsidR="00C82CD2" w:rsidRPr="00EA3D8C" w:rsidRDefault="00C82CD2" w:rsidP="00C130D2">
            <w:pPr>
              <w:jc w:val="center"/>
              <w:rPr>
                <w:rFonts w:cstheme="minorHAnsi"/>
                <w:color w:val="002060"/>
                <w:sz w:val="18"/>
                <w:lang w:val="sr-Cyrl-RS"/>
              </w:rPr>
            </w:pPr>
            <w:r w:rsidRPr="00EA3D8C">
              <w:rPr>
                <w:rFonts w:cstheme="minorHAnsi"/>
                <w:color w:val="002060"/>
                <w:sz w:val="18"/>
                <w:lang w:val="sr-Cyrl-RS"/>
              </w:rPr>
              <w:t>Процена</w:t>
            </w:r>
          </w:p>
        </w:tc>
        <w:tc>
          <w:tcPr>
            <w:tcW w:w="499" w:type="pct"/>
            <w:tcBorders>
              <w:top w:val="single" w:sz="4" w:space="0" w:color="002060"/>
              <w:left w:val="single" w:sz="2" w:space="0" w:color="FFFFFF" w:themeColor="background1"/>
              <w:bottom w:val="single" w:sz="2" w:space="0" w:color="FFFFFF" w:themeColor="background1"/>
              <w:right w:val="single" w:sz="2" w:space="0" w:color="FFFFFF" w:themeColor="background1"/>
            </w:tcBorders>
            <w:shd w:val="clear" w:color="auto" w:fill="auto"/>
          </w:tcPr>
          <w:p w14:paraId="6C2E6C25" w14:textId="77777777" w:rsidR="00C82CD2" w:rsidRPr="00EA3D8C" w:rsidRDefault="00C82CD2" w:rsidP="00C130D2">
            <w:pPr>
              <w:jc w:val="center"/>
              <w:rPr>
                <w:rFonts w:cstheme="minorHAnsi"/>
                <w:color w:val="002060"/>
                <w:sz w:val="18"/>
                <w:lang w:val="sr-Cyrl-RS"/>
              </w:rPr>
            </w:pPr>
          </w:p>
        </w:tc>
        <w:tc>
          <w:tcPr>
            <w:tcW w:w="1519" w:type="pct"/>
            <w:gridSpan w:val="3"/>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4BF7C339" w14:textId="77777777" w:rsidR="00C82CD2" w:rsidRPr="00EA3D8C" w:rsidRDefault="00C82CD2" w:rsidP="00C130D2">
            <w:pPr>
              <w:jc w:val="center"/>
              <w:rPr>
                <w:rFonts w:cstheme="minorHAnsi"/>
                <w:color w:val="002060"/>
                <w:sz w:val="18"/>
                <w:lang w:val="sr-Cyrl-RS"/>
              </w:rPr>
            </w:pPr>
            <w:r w:rsidRPr="00EA3D8C">
              <w:rPr>
                <w:rFonts w:cstheme="minorHAnsi"/>
                <w:color w:val="002060"/>
                <w:sz w:val="18"/>
                <w:lang w:val="sr-Cyrl-RS"/>
              </w:rPr>
              <w:t>Пројекције</w:t>
            </w:r>
          </w:p>
        </w:tc>
      </w:tr>
      <w:tr w:rsidR="00C82CD2" w:rsidRPr="00EA3D8C" w14:paraId="22B17B15" w14:textId="77777777" w:rsidTr="00B435B3">
        <w:tc>
          <w:tcPr>
            <w:tcW w:w="2483" w:type="pct"/>
            <w:tcBorders>
              <w:top w:val="single" w:sz="2" w:space="0" w:color="FFFFFF" w:themeColor="background1"/>
            </w:tcBorders>
          </w:tcPr>
          <w:p w14:paraId="2CA5B6E1" w14:textId="77777777" w:rsidR="00C82CD2" w:rsidRPr="00EA3D8C" w:rsidRDefault="00C82CD2" w:rsidP="00C130D2">
            <w:pPr>
              <w:ind w:left="-15"/>
              <w:rPr>
                <w:rFonts w:cstheme="minorHAnsi"/>
                <w:color w:val="002060"/>
                <w:sz w:val="18"/>
                <w:szCs w:val="18"/>
                <w:lang w:val="sr-Cyrl-RS"/>
              </w:rPr>
            </w:pPr>
          </w:p>
        </w:tc>
        <w:tc>
          <w:tcPr>
            <w:tcW w:w="499" w:type="pct"/>
            <w:tcBorders>
              <w:top w:val="single" w:sz="4" w:space="0" w:color="FFFFFF" w:themeColor="background1"/>
              <w:bottom w:val="single" w:sz="4" w:space="0" w:color="auto"/>
            </w:tcBorders>
          </w:tcPr>
          <w:p w14:paraId="6C658E02" w14:textId="77777777" w:rsidR="00C82CD2" w:rsidRPr="00EA3D8C" w:rsidRDefault="00C82CD2" w:rsidP="00C130D2">
            <w:pPr>
              <w:jc w:val="center"/>
              <w:rPr>
                <w:rFonts w:cstheme="minorHAnsi"/>
                <w:color w:val="002060"/>
                <w:sz w:val="18"/>
                <w:szCs w:val="18"/>
                <w:lang w:val="sr-Cyrl-RS"/>
              </w:rPr>
            </w:pPr>
            <w:r w:rsidRPr="00EA3D8C">
              <w:rPr>
                <w:rFonts w:cstheme="minorHAnsi"/>
                <w:color w:val="002060"/>
                <w:sz w:val="18"/>
                <w:lang w:val="sr-Cyrl-RS"/>
              </w:rPr>
              <w:t>2020</w:t>
            </w:r>
          </w:p>
        </w:tc>
        <w:tc>
          <w:tcPr>
            <w:tcW w:w="499" w:type="pct"/>
            <w:tcBorders>
              <w:top w:val="single" w:sz="2" w:space="0" w:color="FFFFFF" w:themeColor="background1"/>
            </w:tcBorders>
          </w:tcPr>
          <w:p w14:paraId="0F05CC61" w14:textId="77777777" w:rsidR="00C82CD2" w:rsidRPr="00EA3D8C" w:rsidRDefault="00C82CD2" w:rsidP="00C130D2">
            <w:pPr>
              <w:jc w:val="center"/>
              <w:rPr>
                <w:rFonts w:cstheme="minorHAnsi"/>
                <w:color w:val="002060"/>
                <w:sz w:val="18"/>
                <w:szCs w:val="18"/>
                <w:lang w:val="sr-Cyrl-RS"/>
              </w:rPr>
            </w:pPr>
          </w:p>
        </w:tc>
        <w:tc>
          <w:tcPr>
            <w:tcW w:w="524" w:type="pct"/>
            <w:tcBorders>
              <w:top w:val="single" w:sz="4" w:space="0" w:color="FFFFFF" w:themeColor="background1"/>
              <w:bottom w:val="single" w:sz="4" w:space="0" w:color="auto"/>
            </w:tcBorders>
          </w:tcPr>
          <w:p w14:paraId="6C7E5D35" w14:textId="77777777" w:rsidR="00C82CD2" w:rsidRPr="00EA3D8C" w:rsidRDefault="00C82CD2" w:rsidP="00C130D2">
            <w:pPr>
              <w:jc w:val="center"/>
              <w:rPr>
                <w:rFonts w:cstheme="minorHAnsi"/>
                <w:color w:val="002060"/>
                <w:sz w:val="18"/>
                <w:szCs w:val="18"/>
                <w:lang w:val="sr-Cyrl-RS"/>
              </w:rPr>
            </w:pPr>
            <w:r w:rsidRPr="00EA3D8C">
              <w:rPr>
                <w:rFonts w:cstheme="minorHAnsi"/>
                <w:color w:val="002060"/>
                <w:sz w:val="18"/>
                <w:lang w:val="sr-Cyrl-RS"/>
              </w:rPr>
              <w:t>2021</w:t>
            </w:r>
          </w:p>
        </w:tc>
        <w:tc>
          <w:tcPr>
            <w:tcW w:w="502" w:type="pct"/>
            <w:tcBorders>
              <w:top w:val="single" w:sz="4" w:space="0" w:color="FFFFFF" w:themeColor="background1"/>
              <w:bottom w:val="single" w:sz="4" w:space="0" w:color="auto"/>
            </w:tcBorders>
          </w:tcPr>
          <w:p w14:paraId="46CAAE65" w14:textId="77777777" w:rsidR="00C82CD2" w:rsidRPr="00EA3D8C" w:rsidRDefault="00C82CD2" w:rsidP="00C130D2">
            <w:pPr>
              <w:jc w:val="center"/>
              <w:rPr>
                <w:rFonts w:cstheme="minorHAnsi"/>
                <w:color w:val="002060"/>
                <w:sz w:val="18"/>
                <w:szCs w:val="18"/>
                <w:lang w:val="sr-Cyrl-RS"/>
              </w:rPr>
            </w:pPr>
            <w:r w:rsidRPr="00EA3D8C">
              <w:rPr>
                <w:rFonts w:cstheme="minorHAnsi"/>
                <w:color w:val="002060"/>
                <w:sz w:val="18"/>
                <w:lang w:val="sr-Cyrl-RS"/>
              </w:rPr>
              <w:t>2022</w:t>
            </w:r>
          </w:p>
        </w:tc>
        <w:tc>
          <w:tcPr>
            <w:tcW w:w="493" w:type="pct"/>
            <w:tcBorders>
              <w:top w:val="single" w:sz="4" w:space="0" w:color="FFFFFF" w:themeColor="background1"/>
              <w:bottom w:val="single" w:sz="4" w:space="0" w:color="auto"/>
            </w:tcBorders>
          </w:tcPr>
          <w:p w14:paraId="68912125" w14:textId="77777777" w:rsidR="00C82CD2" w:rsidRPr="00EA3D8C" w:rsidRDefault="00C82CD2" w:rsidP="00C130D2">
            <w:pPr>
              <w:jc w:val="center"/>
              <w:rPr>
                <w:rFonts w:cstheme="minorHAnsi"/>
                <w:color w:val="002060"/>
                <w:sz w:val="18"/>
                <w:szCs w:val="18"/>
                <w:lang w:val="sr-Cyrl-RS"/>
              </w:rPr>
            </w:pPr>
            <w:r w:rsidRPr="00EA3D8C">
              <w:rPr>
                <w:rFonts w:cstheme="minorHAnsi"/>
                <w:color w:val="002060"/>
                <w:sz w:val="18"/>
                <w:lang w:val="sr-Cyrl-RS"/>
              </w:rPr>
              <w:t>2023</w:t>
            </w:r>
          </w:p>
        </w:tc>
      </w:tr>
      <w:tr w:rsidR="00C82CD2" w:rsidRPr="00EA3D8C" w14:paraId="29160ADC" w14:textId="77777777" w:rsidTr="00161001">
        <w:tc>
          <w:tcPr>
            <w:tcW w:w="2483" w:type="pct"/>
            <w:tcBorders>
              <w:top w:val="single" w:sz="2" w:space="0" w:color="FFFFFF" w:themeColor="background1"/>
            </w:tcBorders>
          </w:tcPr>
          <w:p w14:paraId="0DCBAB06" w14:textId="77777777" w:rsidR="00C82CD2" w:rsidRPr="00EA3D8C" w:rsidRDefault="00C82CD2" w:rsidP="00161001">
            <w:pPr>
              <w:ind w:left="-15"/>
              <w:rPr>
                <w:rFonts w:cstheme="minorHAnsi"/>
                <w:color w:val="002060"/>
                <w:sz w:val="18"/>
                <w:szCs w:val="18"/>
                <w:lang w:val="sr-Cyrl-RS"/>
              </w:rPr>
            </w:pPr>
            <w:r w:rsidRPr="00EA3D8C">
              <w:rPr>
                <w:rFonts w:cstheme="minorHAnsi"/>
                <w:color w:val="002060"/>
                <w:sz w:val="18"/>
                <w:szCs w:val="18"/>
                <w:lang w:val="sr-Cyrl-RS"/>
              </w:rPr>
              <w:t>БДП, млрд динара (текуће цене)</w:t>
            </w:r>
          </w:p>
        </w:tc>
        <w:tc>
          <w:tcPr>
            <w:tcW w:w="499" w:type="pct"/>
            <w:tcBorders>
              <w:top w:val="single" w:sz="4" w:space="0" w:color="auto"/>
            </w:tcBorders>
          </w:tcPr>
          <w:p w14:paraId="596CC937" w14:textId="77777777" w:rsidR="00C82CD2" w:rsidRPr="00EA3D8C" w:rsidRDefault="00C82CD2" w:rsidP="00161001">
            <w:pPr>
              <w:jc w:val="center"/>
              <w:rPr>
                <w:rFonts w:cstheme="minorHAnsi"/>
                <w:color w:val="002060"/>
                <w:sz w:val="18"/>
                <w:szCs w:val="18"/>
                <w:lang w:val="sr-Cyrl-RS"/>
              </w:rPr>
            </w:pPr>
            <w:r w:rsidRPr="00EA3D8C">
              <w:rPr>
                <w:rFonts w:cstheme="minorHAnsi"/>
                <w:color w:val="002060"/>
                <w:sz w:val="18"/>
                <w:szCs w:val="18"/>
                <w:lang w:val="sr-Cyrl-RS"/>
              </w:rPr>
              <w:t>5.517,3</w:t>
            </w:r>
          </w:p>
        </w:tc>
        <w:tc>
          <w:tcPr>
            <w:tcW w:w="499" w:type="pct"/>
            <w:tcBorders>
              <w:top w:val="single" w:sz="2" w:space="0" w:color="FFFFFF" w:themeColor="background1"/>
            </w:tcBorders>
          </w:tcPr>
          <w:p w14:paraId="3D701A1F" w14:textId="77777777" w:rsidR="00C82CD2" w:rsidRPr="00EA3D8C" w:rsidRDefault="00C82CD2" w:rsidP="00161001">
            <w:pPr>
              <w:jc w:val="center"/>
              <w:rPr>
                <w:rFonts w:cstheme="minorHAnsi"/>
                <w:color w:val="002060"/>
                <w:sz w:val="18"/>
                <w:szCs w:val="18"/>
                <w:lang w:val="sr-Cyrl-RS"/>
              </w:rPr>
            </w:pPr>
          </w:p>
        </w:tc>
        <w:tc>
          <w:tcPr>
            <w:tcW w:w="524" w:type="pct"/>
            <w:vAlign w:val="center"/>
          </w:tcPr>
          <w:p w14:paraId="10A6FA9F" w14:textId="77777777" w:rsidR="00C82CD2" w:rsidRPr="00EA3D8C" w:rsidRDefault="00C82CD2" w:rsidP="00161001">
            <w:pPr>
              <w:jc w:val="center"/>
              <w:rPr>
                <w:rFonts w:cstheme="minorHAnsi"/>
                <w:color w:val="002060"/>
                <w:sz w:val="18"/>
                <w:szCs w:val="18"/>
                <w:lang w:val="sr-Cyrl-RS"/>
              </w:rPr>
            </w:pPr>
            <w:r w:rsidRPr="00EA3D8C">
              <w:rPr>
                <w:rFonts w:cstheme="minorHAnsi"/>
                <w:color w:val="002060"/>
                <w:sz w:val="18"/>
                <w:szCs w:val="18"/>
                <w:lang w:val="sr-Cyrl-RS"/>
              </w:rPr>
              <w:t>5.997,7</w:t>
            </w:r>
          </w:p>
        </w:tc>
        <w:tc>
          <w:tcPr>
            <w:tcW w:w="502" w:type="pct"/>
            <w:vAlign w:val="center"/>
          </w:tcPr>
          <w:p w14:paraId="70E953B1" w14:textId="77777777" w:rsidR="00C82CD2" w:rsidRPr="00EA3D8C" w:rsidRDefault="00C82CD2" w:rsidP="00161001">
            <w:pPr>
              <w:jc w:val="center"/>
              <w:rPr>
                <w:rFonts w:cstheme="minorHAnsi"/>
                <w:color w:val="002060"/>
                <w:sz w:val="18"/>
                <w:szCs w:val="18"/>
                <w:lang w:val="sr-Cyrl-RS"/>
              </w:rPr>
            </w:pPr>
            <w:r w:rsidRPr="00EA3D8C">
              <w:rPr>
                <w:rFonts w:cstheme="minorHAnsi"/>
                <w:color w:val="002060"/>
                <w:sz w:val="18"/>
                <w:szCs w:val="18"/>
                <w:lang w:val="sr-Cyrl-RS"/>
              </w:rPr>
              <w:t>6.408,1</w:t>
            </w:r>
          </w:p>
        </w:tc>
        <w:tc>
          <w:tcPr>
            <w:tcW w:w="493" w:type="pct"/>
            <w:vAlign w:val="center"/>
          </w:tcPr>
          <w:p w14:paraId="423C9467" w14:textId="77777777" w:rsidR="00C82CD2" w:rsidRPr="00EA3D8C" w:rsidRDefault="00C82CD2" w:rsidP="00161001">
            <w:pPr>
              <w:jc w:val="center"/>
              <w:rPr>
                <w:rFonts w:cstheme="minorHAnsi"/>
                <w:color w:val="002060"/>
                <w:sz w:val="18"/>
                <w:szCs w:val="18"/>
                <w:lang w:val="sr-Cyrl-RS"/>
              </w:rPr>
            </w:pPr>
            <w:r w:rsidRPr="00EA3D8C">
              <w:rPr>
                <w:rFonts w:cstheme="minorHAnsi"/>
                <w:color w:val="002060"/>
                <w:sz w:val="18"/>
                <w:szCs w:val="18"/>
                <w:lang w:val="sr-Cyrl-RS"/>
              </w:rPr>
              <w:t>6.871,3</w:t>
            </w:r>
          </w:p>
        </w:tc>
      </w:tr>
      <w:tr w:rsidR="00C82CD2" w:rsidRPr="00EA3D8C" w14:paraId="46276E2C" w14:textId="77777777" w:rsidTr="00161001">
        <w:tc>
          <w:tcPr>
            <w:tcW w:w="2483" w:type="pct"/>
          </w:tcPr>
          <w:p w14:paraId="4DAB72C9" w14:textId="77777777" w:rsidR="00C82CD2" w:rsidRPr="00EA3D8C" w:rsidRDefault="00C82CD2" w:rsidP="00161001">
            <w:pPr>
              <w:ind w:left="-15"/>
              <w:rPr>
                <w:rFonts w:cstheme="minorHAnsi"/>
                <w:color w:val="002060"/>
                <w:sz w:val="18"/>
                <w:szCs w:val="18"/>
                <w:lang w:val="sr-Cyrl-RS"/>
              </w:rPr>
            </w:pPr>
            <w:r w:rsidRPr="00EA3D8C">
              <w:rPr>
                <w:rFonts w:cstheme="minorHAnsi"/>
                <w:color w:val="002060"/>
                <w:sz w:val="18"/>
                <w:szCs w:val="18"/>
                <w:lang w:val="sr-Cyrl-RS"/>
              </w:rPr>
              <w:t>Реални раст БДП, %</w:t>
            </w:r>
          </w:p>
        </w:tc>
        <w:tc>
          <w:tcPr>
            <w:tcW w:w="499" w:type="pct"/>
          </w:tcPr>
          <w:p w14:paraId="455F7331"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-1,0</w:t>
            </w:r>
          </w:p>
        </w:tc>
        <w:tc>
          <w:tcPr>
            <w:tcW w:w="499" w:type="pct"/>
          </w:tcPr>
          <w:p w14:paraId="79D30766" w14:textId="77777777" w:rsidR="00C82CD2" w:rsidRPr="00EA3D8C" w:rsidRDefault="00C82CD2" w:rsidP="00184007">
            <w:pPr>
              <w:jc w:val="right"/>
              <w:rPr>
                <w:rFonts w:cstheme="minorHAnsi"/>
                <w:color w:val="002060"/>
                <w:sz w:val="18"/>
                <w:szCs w:val="18"/>
                <w:lang w:val="sr-Cyrl-RS"/>
              </w:rPr>
            </w:pPr>
          </w:p>
        </w:tc>
        <w:tc>
          <w:tcPr>
            <w:tcW w:w="524" w:type="pct"/>
            <w:vAlign w:val="center"/>
          </w:tcPr>
          <w:p w14:paraId="2FCFC3C6"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6,0</w:t>
            </w:r>
          </w:p>
        </w:tc>
        <w:tc>
          <w:tcPr>
            <w:tcW w:w="502" w:type="pct"/>
            <w:vAlign w:val="center"/>
          </w:tcPr>
          <w:p w14:paraId="5096562D"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4,0</w:t>
            </w:r>
          </w:p>
        </w:tc>
        <w:tc>
          <w:tcPr>
            <w:tcW w:w="493" w:type="pct"/>
            <w:vAlign w:val="center"/>
          </w:tcPr>
          <w:p w14:paraId="3274CE9F"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4,0</w:t>
            </w:r>
          </w:p>
        </w:tc>
      </w:tr>
      <w:tr w:rsidR="00C82CD2" w:rsidRPr="00EA3D8C" w14:paraId="6EE82666" w14:textId="77777777" w:rsidTr="00161001">
        <w:tc>
          <w:tcPr>
            <w:tcW w:w="2483" w:type="pct"/>
          </w:tcPr>
          <w:p w14:paraId="71BA619A" w14:textId="77777777" w:rsidR="00C82CD2" w:rsidRPr="00EA3D8C" w:rsidRDefault="00C82CD2" w:rsidP="00161001">
            <w:pPr>
              <w:ind w:left="-15"/>
              <w:rPr>
                <w:rFonts w:cstheme="minorHAnsi"/>
                <w:color w:val="002060"/>
                <w:sz w:val="18"/>
                <w:szCs w:val="18"/>
                <w:lang w:val="sr-Cyrl-RS"/>
              </w:rPr>
            </w:pPr>
            <w:r w:rsidRPr="00EA3D8C">
              <w:rPr>
                <w:rFonts w:cstheme="minorHAnsi"/>
                <w:color w:val="002060"/>
                <w:sz w:val="18"/>
                <w:szCs w:val="18"/>
                <w:lang w:val="sr-Cyrl-RS"/>
              </w:rPr>
              <w:t>Дефлатор БДП, %</w:t>
            </w:r>
          </w:p>
        </w:tc>
        <w:tc>
          <w:tcPr>
            <w:tcW w:w="499" w:type="pct"/>
          </w:tcPr>
          <w:p w14:paraId="163F4610"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2,9</w:t>
            </w:r>
          </w:p>
        </w:tc>
        <w:tc>
          <w:tcPr>
            <w:tcW w:w="499" w:type="pct"/>
          </w:tcPr>
          <w:p w14:paraId="146F83B2"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151BF9C4"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2,6</w:t>
            </w:r>
          </w:p>
        </w:tc>
        <w:tc>
          <w:tcPr>
            <w:tcW w:w="502" w:type="pct"/>
            <w:tcBorders>
              <w:top w:val="nil"/>
              <w:left w:val="nil"/>
              <w:bottom w:val="nil"/>
              <w:right w:val="nil"/>
            </w:tcBorders>
            <w:shd w:val="clear" w:color="auto" w:fill="auto"/>
            <w:vAlign w:val="bottom"/>
          </w:tcPr>
          <w:p w14:paraId="6D498D39"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2,7</w:t>
            </w:r>
          </w:p>
        </w:tc>
        <w:tc>
          <w:tcPr>
            <w:tcW w:w="493" w:type="pct"/>
            <w:tcBorders>
              <w:top w:val="nil"/>
              <w:left w:val="nil"/>
              <w:bottom w:val="nil"/>
              <w:right w:val="nil"/>
            </w:tcBorders>
            <w:shd w:val="clear" w:color="auto" w:fill="auto"/>
            <w:vAlign w:val="bottom"/>
          </w:tcPr>
          <w:p w14:paraId="39BBA650"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3,1</w:t>
            </w:r>
          </w:p>
        </w:tc>
      </w:tr>
      <w:tr w:rsidR="00C82CD2" w:rsidRPr="00EA3D8C" w14:paraId="76315734" w14:textId="77777777" w:rsidTr="00B435B3">
        <w:tc>
          <w:tcPr>
            <w:tcW w:w="5000" w:type="pct"/>
            <w:gridSpan w:val="6"/>
            <w:shd w:val="clear" w:color="auto" w:fill="E7E6E6" w:themeFill="background2"/>
          </w:tcPr>
          <w:p w14:paraId="5B160101" w14:textId="77777777" w:rsidR="00C82CD2" w:rsidRPr="00EA3D8C" w:rsidRDefault="00C82CD2" w:rsidP="00184007">
            <w:pPr>
              <w:ind w:right="227"/>
              <w:jc w:val="right"/>
              <w:rPr>
                <w:rFonts w:cstheme="minorHAnsi"/>
                <w:color w:val="002060"/>
                <w:sz w:val="18"/>
                <w:szCs w:val="18"/>
                <w:lang w:val="sr-Cyrl-RS"/>
              </w:rPr>
            </w:pPr>
          </w:p>
        </w:tc>
      </w:tr>
      <w:tr w:rsidR="00C82CD2" w:rsidRPr="00EA3D8C" w14:paraId="3FECC487" w14:textId="77777777" w:rsidTr="00161001">
        <w:tc>
          <w:tcPr>
            <w:tcW w:w="2483" w:type="pct"/>
          </w:tcPr>
          <w:p w14:paraId="5DEB6FE8" w14:textId="77777777" w:rsidR="00C82CD2" w:rsidRPr="00EA3D8C" w:rsidRDefault="00C82CD2" w:rsidP="00161001">
            <w:pPr>
              <w:ind w:left="256"/>
              <w:rPr>
                <w:rFonts w:cstheme="minorHAnsi"/>
                <w:color w:val="002060"/>
                <w:sz w:val="18"/>
                <w:szCs w:val="18"/>
                <w:lang w:val="sr-Cyrl-RS"/>
              </w:rPr>
            </w:pPr>
            <w:r w:rsidRPr="00EA3D8C">
              <w:rPr>
                <w:rFonts w:cstheme="minorHAnsi"/>
                <w:color w:val="002060"/>
                <w:sz w:val="18"/>
                <w:szCs w:val="18"/>
                <w:lang w:val="sr-Cyrl-RS"/>
              </w:rPr>
              <w:t>Лична потрошња</w:t>
            </w:r>
          </w:p>
        </w:tc>
        <w:tc>
          <w:tcPr>
            <w:tcW w:w="499" w:type="pct"/>
          </w:tcPr>
          <w:p w14:paraId="2C31079A"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-1,9</w:t>
            </w:r>
          </w:p>
        </w:tc>
        <w:tc>
          <w:tcPr>
            <w:tcW w:w="499" w:type="pct"/>
          </w:tcPr>
          <w:p w14:paraId="6FFD5D22"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65EAD869"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5,4</w:t>
            </w:r>
          </w:p>
        </w:tc>
        <w:tc>
          <w:tcPr>
            <w:tcW w:w="502" w:type="pct"/>
            <w:tcBorders>
              <w:top w:val="nil"/>
              <w:left w:val="nil"/>
              <w:bottom w:val="nil"/>
              <w:right w:val="nil"/>
            </w:tcBorders>
            <w:shd w:val="clear" w:color="auto" w:fill="auto"/>
            <w:vAlign w:val="bottom"/>
          </w:tcPr>
          <w:p w14:paraId="7D7D261B"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2,8</w:t>
            </w:r>
          </w:p>
        </w:tc>
        <w:tc>
          <w:tcPr>
            <w:tcW w:w="493" w:type="pct"/>
            <w:tcBorders>
              <w:top w:val="nil"/>
              <w:left w:val="nil"/>
              <w:bottom w:val="nil"/>
              <w:right w:val="nil"/>
            </w:tcBorders>
            <w:shd w:val="clear" w:color="auto" w:fill="auto"/>
            <w:vAlign w:val="bottom"/>
          </w:tcPr>
          <w:p w14:paraId="452BE493"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2,9</w:t>
            </w:r>
          </w:p>
        </w:tc>
      </w:tr>
      <w:tr w:rsidR="00C82CD2" w:rsidRPr="00EA3D8C" w14:paraId="086AB120" w14:textId="77777777" w:rsidTr="00161001">
        <w:tc>
          <w:tcPr>
            <w:tcW w:w="2483" w:type="pct"/>
          </w:tcPr>
          <w:p w14:paraId="793C42CF" w14:textId="77777777" w:rsidR="00C82CD2" w:rsidRPr="00EA3D8C" w:rsidRDefault="00C82CD2" w:rsidP="00161001">
            <w:pPr>
              <w:ind w:left="256"/>
              <w:rPr>
                <w:rFonts w:cstheme="minorHAnsi"/>
                <w:color w:val="002060"/>
                <w:sz w:val="18"/>
                <w:szCs w:val="18"/>
                <w:lang w:val="sr-Cyrl-RS"/>
              </w:rPr>
            </w:pPr>
            <w:r w:rsidRPr="00EA3D8C">
              <w:rPr>
                <w:rFonts w:cstheme="minorHAnsi"/>
                <w:color w:val="002060"/>
                <w:sz w:val="18"/>
                <w:szCs w:val="18"/>
                <w:lang w:val="sr-Cyrl-RS"/>
              </w:rPr>
              <w:t>Државна потрошња</w:t>
            </w:r>
          </w:p>
        </w:tc>
        <w:tc>
          <w:tcPr>
            <w:tcW w:w="499" w:type="pct"/>
          </w:tcPr>
          <w:p w14:paraId="17DC0240"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5,8</w:t>
            </w:r>
          </w:p>
        </w:tc>
        <w:tc>
          <w:tcPr>
            <w:tcW w:w="499" w:type="pct"/>
          </w:tcPr>
          <w:p w14:paraId="6E4F1F3F"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6C6EB775"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0,4</w:t>
            </w:r>
          </w:p>
        </w:tc>
        <w:tc>
          <w:tcPr>
            <w:tcW w:w="502" w:type="pct"/>
            <w:tcBorders>
              <w:top w:val="nil"/>
              <w:left w:val="nil"/>
              <w:bottom w:val="nil"/>
              <w:right w:val="nil"/>
            </w:tcBorders>
            <w:shd w:val="clear" w:color="auto" w:fill="auto"/>
            <w:vAlign w:val="bottom"/>
          </w:tcPr>
          <w:p w14:paraId="6E810235"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2,5</w:t>
            </w:r>
          </w:p>
        </w:tc>
        <w:tc>
          <w:tcPr>
            <w:tcW w:w="493" w:type="pct"/>
            <w:tcBorders>
              <w:top w:val="nil"/>
              <w:left w:val="nil"/>
              <w:bottom w:val="nil"/>
              <w:right w:val="nil"/>
            </w:tcBorders>
            <w:shd w:val="clear" w:color="auto" w:fill="auto"/>
            <w:vAlign w:val="bottom"/>
          </w:tcPr>
          <w:p w14:paraId="663E8B16"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1,8</w:t>
            </w:r>
          </w:p>
        </w:tc>
      </w:tr>
      <w:tr w:rsidR="00C82CD2" w:rsidRPr="00EA3D8C" w14:paraId="6FF1DAA6" w14:textId="77777777" w:rsidTr="00161001">
        <w:tc>
          <w:tcPr>
            <w:tcW w:w="2483" w:type="pct"/>
          </w:tcPr>
          <w:p w14:paraId="0019BBD8" w14:textId="77777777" w:rsidR="00C82CD2" w:rsidRPr="00EA3D8C" w:rsidRDefault="00C82CD2" w:rsidP="00161001">
            <w:pPr>
              <w:ind w:left="256"/>
              <w:rPr>
                <w:rFonts w:cstheme="minorHAnsi"/>
                <w:color w:val="002060"/>
                <w:sz w:val="18"/>
                <w:szCs w:val="18"/>
                <w:lang w:val="sr-Cyrl-RS"/>
              </w:rPr>
            </w:pPr>
            <w:r w:rsidRPr="00EA3D8C">
              <w:rPr>
                <w:rFonts w:cstheme="minorHAnsi"/>
                <w:color w:val="002060"/>
                <w:sz w:val="18"/>
                <w:szCs w:val="18"/>
                <w:lang w:val="sr-Cyrl-RS"/>
              </w:rPr>
              <w:t>Бруто инвестиције у основне фондове</w:t>
            </w:r>
          </w:p>
        </w:tc>
        <w:tc>
          <w:tcPr>
            <w:tcW w:w="499" w:type="pct"/>
          </w:tcPr>
          <w:p w14:paraId="76480F2E"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-4,8</w:t>
            </w:r>
          </w:p>
        </w:tc>
        <w:tc>
          <w:tcPr>
            <w:tcW w:w="499" w:type="pct"/>
          </w:tcPr>
          <w:p w14:paraId="457B3D04"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23E099E5"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13,3</w:t>
            </w:r>
          </w:p>
        </w:tc>
        <w:tc>
          <w:tcPr>
            <w:tcW w:w="502" w:type="pct"/>
            <w:tcBorders>
              <w:top w:val="nil"/>
              <w:left w:val="nil"/>
              <w:bottom w:val="nil"/>
              <w:right w:val="nil"/>
            </w:tcBorders>
            <w:shd w:val="clear" w:color="auto" w:fill="auto"/>
            <w:vAlign w:val="bottom"/>
          </w:tcPr>
          <w:p w14:paraId="7A7CBF0E"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7,1</w:t>
            </w:r>
          </w:p>
        </w:tc>
        <w:tc>
          <w:tcPr>
            <w:tcW w:w="493" w:type="pct"/>
            <w:tcBorders>
              <w:top w:val="nil"/>
              <w:left w:val="nil"/>
              <w:bottom w:val="nil"/>
              <w:right w:val="nil"/>
            </w:tcBorders>
            <w:shd w:val="clear" w:color="auto" w:fill="auto"/>
            <w:vAlign w:val="bottom"/>
          </w:tcPr>
          <w:p w14:paraId="1EBA6643"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7,8</w:t>
            </w:r>
          </w:p>
        </w:tc>
      </w:tr>
      <w:tr w:rsidR="00C82CD2" w:rsidRPr="00EA3D8C" w14:paraId="164B2354" w14:textId="77777777" w:rsidTr="00161001">
        <w:tc>
          <w:tcPr>
            <w:tcW w:w="2483" w:type="pct"/>
          </w:tcPr>
          <w:p w14:paraId="2C5E08FE" w14:textId="77777777" w:rsidR="00C82CD2" w:rsidRPr="00EA3D8C" w:rsidRDefault="00C82CD2" w:rsidP="00161001">
            <w:pPr>
              <w:ind w:left="256"/>
              <w:rPr>
                <w:rFonts w:cstheme="minorHAnsi"/>
                <w:color w:val="002060"/>
                <w:sz w:val="18"/>
                <w:szCs w:val="18"/>
                <w:lang w:val="sr-Cyrl-RS"/>
              </w:rPr>
            </w:pPr>
            <w:r w:rsidRPr="00EA3D8C">
              <w:rPr>
                <w:rFonts w:cstheme="minorHAnsi"/>
                <w:color w:val="002060"/>
                <w:sz w:val="18"/>
                <w:szCs w:val="18"/>
                <w:lang w:val="sr-Cyrl-RS"/>
              </w:rPr>
              <w:t>Извоз робе и услуга</w:t>
            </w:r>
          </w:p>
        </w:tc>
        <w:tc>
          <w:tcPr>
            <w:tcW w:w="499" w:type="pct"/>
          </w:tcPr>
          <w:p w14:paraId="2E8BC753"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-6,9</w:t>
            </w:r>
          </w:p>
        </w:tc>
        <w:tc>
          <w:tcPr>
            <w:tcW w:w="499" w:type="pct"/>
          </w:tcPr>
          <w:p w14:paraId="436A86D4"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68C35E63"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9,6</w:t>
            </w:r>
          </w:p>
        </w:tc>
        <w:tc>
          <w:tcPr>
            <w:tcW w:w="502" w:type="pct"/>
            <w:tcBorders>
              <w:top w:val="nil"/>
              <w:left w:val="nil"/>
              <w:bottom w:val="nil"/>
              <w:right w:val="nil"/>
            </w:tcBorders>
            <w:shd w:val="clear" w:color="auto" w:fill="auto"/>
            <w:vAlign w:val="bottom"/>
          </w:tcPr>
          <w:p w14:paraId="2A08E0F8"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9,1</w:t>
            </w:r>
          </w:p>
        </w:tc>
        <w:tc>
          <w:tcPr>
            <w:tcW w:w="493" w:type="pct"/>
            <w:tcBorders>
              <w:top w:val="nil"/>
              <w:left w:val="nil"/>
              <w:bottom w:val="nil"/>
              <w:right w:val="nil"/>
            </w:tcBorders>
            <w:shd w:val="clear" w:color="auto" w:fill="auto"/>
            <w:vAlign w:val="bottom"/>
          </w:tcPr>
          <w:p w14:paraId="31AB5E3D"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9,3</w:t>
            </w:r>
          </w:p>
        </w:tc>
      </w:tr>
      <w:tr w:rsidR="00C82CD2" w:rsidRPr="00EA3D8C" w14:paraId="3AA90D19" w14:textId="77777777" w:rsidTr="00161001">
        <w:tc>
          <w:tcPr>
            <w:tcW w:w="2483" w:type="pct"/>
          </w:tcPr>
          <w:p w14:paraId="5B9706D6" w14:textId="77777777" w:rsidR="00C82CD2" w:rsidRPr="00EA3D8C" w:rsidRDefault="00C82CD2" w:rsidP="00161001">
            <w:pPr>
              <w:ind w:left="256"/>
              <w:rPr>
                <w:rFonts w:cstheme="minorHAnsi"/>
                <w:color w:val="002060"/>
                <w:sz w:val="18"/>
                <w:szCs w:val="18"/>
                <w:lang w:val="sr-Cyrl-RS"/>
              </w:rPr>
            </w:pPr>
            <w:r w:rsidRPr="00EA3D8C">
              <w:rPr>
                <w:rFonts w:cstheme="minorHAnsi"/>
                <w:color w:val="002060"/>
                <w:sz w:val="18"/>
                <w:szCs w:val="18"/>
                <w:lang w:val="sr-Cyrl-RS"/>
              </w:rPr>
              <w:t>Увоз робе и услуга</w:t>
            </w:r>
          </w:p>
        </w:tc>
        <w:tc>
          <w:tcPr>
            <w:tcW w:w="499" w:type="pct"/>
          </w:tcPr>
          <w:p w14:paraId="4BEE17DC"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-6,5</w:t>
            </w:r>
          </w:p>
        </w:tc>
        <w:tc>
          <w:tcPr>
            <w:tcW w:w="499" w:type="pct"/>
          </w:tcPr>
          <w:p w14:paraId="08161DC7"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vAlign w:val="bottom"/>
          </w:tcPr>
          <w:p w14:paraId="53812060"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9,3</w:t>
            </w:r>
          </w:p>
        </w:tc>
        <w:tc>
          <w:tcPr>
            <w:tcW w:w="502" w:type="pct"/>
            <w:tcBorders>
              <w:top w:val="nil"/>
              <w:left w:val="nil"/>
              <w:bottom w:val="nil"/>
              <w:right w:val="nil"/>
            </w:tcBorders>
            <w:shd w:val="clear" w:color="auto" w:fill="auto"/>
            <w:vAlign w:val="bottom"/>
          </w:tcPr>
          <w:p w14:paraId="1BC3EED9"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7,7</w:t>
            </w:r>
          </w:p>
        </w:tc>
        <w:tc>
          <w:tcPr>
            <w:tcW w:w="493" w:type="pct"/>
            <w:tcBorders>
              <w:top w:val="nil"/>
              <w:left w:val="nil"/>
              <w:bottom w:val="nil"/>
              <w:right w:val="nil"/>
            </w:tcBorders>
            <w:shd w:val="clear" w:color="auto" w:fill="auto"/>
            <w:vAlign w:val="bottom"/>
          </w:tcPr>
          <w:p w14:paraId="46AECADB"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7,8</w:t>
            </w:r>
          </w:p>
        </w:tc>
      </w:tr>
      <w:tr w:rsidR="00C82CD2" w:rsidRPr="00EA3D8C" w14:paraId="29828B89" w14:textId="77777777" w:rsidTr="00B435B3">
        <w:tc>
          <w:tcPr>
            <w:tcW w:w="2483" w:type="pct"/>
          </w:tcPr>
          <w:p w14:paraId="0268543F" w14:textId="77777777" w:rsidR="00C82CD2" w:rsidRPr="00EA3D8C" w:rsidRDefault="00C82CD2" w:rsidP="00161001">
            <w:pPr>
              <w:ind w:left="-15"/>
              <w:rPr>
                <w:rFonts w:cstheme="minorHAnsi"/>
                <w:color w:val="002060"/>
                <w:sz w:val="18"/>
                <w:szCs w:val="18"/>
                <w:lang w:val="sr-Cyrl-RS"/>
              </w:rPr>
            </w:pPr>
            <w:r w:rsidRPr="00EA3D8C">
              <w:rPr>
                <w:rFonts w:cstheme="minorHAnsi"/>
                <w:color w:val="002060"/>
                <w:sz w:val="18"/>
                <w:szCs w:val="18"/>
                <w:lang w:val="sr-Cyrl-RS"/>
              </w:rPr>
              <w:t>Салдо робе и услуга, у ЕУР, % БДП</w:t>
            </w:r>
          </w:p>
        </w:tc>
        <w:tc>
          <w:tcPr>
            <w:tcW w:w="499" w:type="pct"/>
          </w:tcPr>
          <w:p w14:paraId="7774B865"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-8,5</w:t>
            </w:r>
          </w:p>
        </w:tc>
        <w:tc>
          <w:tcPr>
            <w:tcW w:w="499" w:type="pct"/>
          </w:tcPr>
          <w:p w14:paraId="53D2EDC8" w14:textId="77777777" w:rsidR="00C82CD2" w:rsidRPr="00EA3D8C" w:rsidRDefault="00C82CD2" w:rsidP="00184007">
            <w:pPr>
              <w:jc w:val="right"/>
              <w:rPr>
                <w:rFonts w:cstheme="minorHAnsi"/>
                <w:color w:val="002060"/>
                <w:sz w:val="18"/>
                <w:szCs w:val="18"/>
                <w:lang w:val="sr-Cyrl-RS"/>
              </w:rPr>
            </w:pPr>
          </w:p>
        </w:tc>
        <w:tc>
          <w:tcPr>
            <w:tcW w:w="524" w:type="pct"/>
          </w:tcPr>
          <w:p w14:paraId="5DF90292" w14:textId="77777777" w:rsidR="00C82CD2" w:rsidRPr="00EA3D8C" w:rsidRDefault="00C82CD2" w:rsidP="00184007">
            <w:pPr>
              <w:ind w:right="227"/>
              <w:jc w:val="right"/>
              <w:rPr>
                <w:color w:val="002060"/>
                <w:sz w:val="18"/>
                <w:lang w:val="sr-Cyrl-RS"/>
              </w:rPr>
            </w:pPr>
            <w:r w:rsidRPr="00EA3D8C">
              <w:rPr>
                <w:color w:val="002060"/>
                <w:sz w:val="18"/>
                <w:lang w:val="sr-Cyrl-RS"/>
              </w:rPr>
              <w:t>-8,9</w:t>
            </w:r>
          </w:p>
        </w:tc>
        <w:tc>
          <w:tcPr>
            <w:tcW w:w="502" w:type="pct"/>
          </w:tcPr>
          <w:p w14:paraId="34E490FA" w14:textId="77777777" w:rsidR="00C82CD2" w:rsidRPr="00EA3D8C" w:rsidRDefault="00C82CD2" w:rsidP="00184007">
            <w:pPr>
              <w:ind w:right="227"/>
              <w:jc w:val="right"/>
              <w:rPr>
                <w:color w:val="002060"/>
                <w:sz w:val="18"/>
                <w:lang w:val="sr-Cyrl-RS"/>
              </w:rPr>
            </w:pPr>
            <w:r w:rsidRPr="00EA3D8C">
              <w:rPr>
                <w:color w:val="002060"/>
                <w:sz w:val="18"/>
                <w:lang w:val="sr-Cyrl-RS"/>
              </w:rPr>
              <w:t>-8,6</w:t>
            </w:r>
          </w:p>
        </w:tc>
        <w:tc>
          <w:tcPr>
            <w:tcW w:w="493" w:type="pct"/>
          </w:tcPr>
          <w:p w14:paraId="3F9A9CEA" w14:textId="77777777" w:rsidR="00C82CD2" w:rsidRPr="00EA3D8C" w:rsidRDefault="00C82CD2" w:rsidP="00184007">
            <w:pPr>
              <w:ind w:right="227"/>
              <w:jc w:val="right"/>
              <w:rPr>
                <w:color w:val="002060"/>
                <w:sz w:val="18"/>
                <w:lang w:val="sr-Cyrl-RS"/>
              </w:rPr>
            </w:pPr>
            <w:r w:rsidRPr="00EA3D8C">
              <w:rPr>
                <w:color w:val="002060"/>
                <w:sz w:val="18"/>
                <w:lang w:val="sr-Cyrl-RS"/>
              </w:rPr>
              <w:t>-8,0</w:t>
            </w:r>
          </w:p>
        </w:tc>
      </w:tr>
      <w:tr w:rsidR="00C82CD2" w:rsidRPr="00EA3D8C" w14:paraId="757484D1" w14:textId="77777777" w:rsidTr="00161001">
        <w:tc>
          <w:tcPr>
            <w:tcW w:w="2483" w:type="pct"/>
          </w:tcPr>
          <w:p w14:paraId="102FC809" w14:textId="77777777" w:rsidR="00C82CD2" w:rsidRPr="00EA3D8C" w:rsidRDefault="00C82CD2" w:rsidP="00161001">
            <w:pPr>
              <w:ind w:left="-15"/>
              <w:rPr>
                <w:rFonts w:cstheme="minorHAnsi"/>
                <w:color w:val="002060"/>
                <w:sz w:val="18"/>
                <w:szCs w:val="18"/>
                <w:lang w:val="sr-Cyrl-RS"/>
              </w:rPr>
            </w:pPr>
            <w:r w:rsidRPr="00EA3D8C">
              <w:rPr>
                <w:rFonts w:cstheme="minorHAnsi"/>
                <w:color w:val="002060"/>
                <w:sz w:val="18"/>
                <w:szCs w:val="18"/>
                <w:lang w:val="sr-Cyrl-RS"/>
              </w:rPr>
              <w:t>Салдо текућег рачуна, у ЕУР, % БДП</w:t>
            </w:r>
          </w:p>
        </w:tc>
        <w:tc>
          <w:tcPr>
            <w:tcW w:w="499" w:type="pct"/>
          </w:tcPr>
          <w:p w14:paraId="1419BCC4"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-5,6</w:t>
            </w:r>
          </w:p>
        </w:tc>
        <w:tc>
          <w:tcPr>
            <w:tcW w:w="499" w:type="pct"/>
          </w:tcPr>
          <w:p w14:paraId="3A6B6739"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000000" w:fill="FFFFFF"/>
            <w:vAlign w:val="bottom"/>
          </w:tcPr>
          <w:p w14:paraId="4563BC24"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-5,9</w:t>
            </w:r>
          </w:p>
        </w:tc>
        <w:tc>
          <w:tcPr>
            <w:tcW w:w="502" w:type="pct"/>
            <w:tcBorders>
              <w:top w:val="nil"/>
              <w:left w:val="nil"/>
              <w:bottom w:val="nil"/>
              <w:right w:val="nil"/>
            </w:tcBorders>
            <w:shd w:val="clear" w:color="000000" w:fill="FFFFFF"/>
            <w:vAlign w:val="bottom"/>
          </w:tcPr>
          <w:p w14:paraId="1E358107"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-5,5</w:t>
            </w:r>
          </w:p>
        </w:tc>
        <w:tc>
          <w:tcPr>
            <w:tcW w:w="493" w:type="pct"/>
            <w:tcBorders>
              <w:top w:val="nil"/>
              <w:left w:val="nil"/>
              <w:bottom w:val="nil"/>
              <w:right w:val="nil"/>
            </w:tcBorders>
            <w:shd w:val="clear" w:color="000000" w:fill="FFFFFF"/>
            <w:vAlign w:val="bottom"/>
          </w:tcPr>
          <w:p w14:paraId="05A3BC1E" w14:textId="77777777" w:rsidR="00C82CD2" w:rsidRPr="00EA3D8C" w:rsidRDefault="00C82CD2" w:rsidP="00184007">
            <w:pPr>
              <w:ind w:right="227"/>
              <w:jc w:val="right"/>
              <w:rPr>
                <w:rFonts w:cstheme="minorHAnsi"/>
                <w:color w:val="002060"/>
                <w:sz w:val="18"/>
                <w:szCs w:val="18"/>
                <w:lang w:val="sr-Cyrl-RS"/>
              </w:rPr>
            </w:pPr>
            <w:r w:rsidRPr="00EA3D8C">
              <w:rPr>
                <w:color w:val="002060"/>
                <w:sz w:val="18"/>
                <w:lang w:val="sr-Cyrl-RS"/>
              </w:rPr>
              <w:t>-5,2</w:t>
            </w:r>
          </w:p>
        </w:tc>
      </w:tr>
      <w:tr w:rsidR="00C82CD2" w:rsidRPr="00EA3D8C" w14:paraId="36C242AB" w14:textId="77777777" w:rsidTr="00706309">
        <w:trPr>
          <w:trHeight w:val="283"/>
        </w:trPr>
        <w:tc>
          <w:tcPr>
            <w:tcW w:w="2483" w:type="pct"/>
            <w:tcBorders>
              <w:bottom w:val="single" w:sz="4" w:space="0" w:color="002060"/>
            </w:tcBorders>
          </w:tcPr>
          <w:p w14:paraId="12182F6E" w14:textId="77777777" w:rsidR="00C82CD2" w:rsidRPr="00EA3D8C" w:rsidRDefault="00C82CD2" w:rsidP="00161001">
            <w:pPr>
              <w:rPr>
                <w:rFonts w:cstheme="minorHAnsi"/>
                <w:color w:val="002060"/>
                <w:sz w:val="18"/>
                <w:szCs w:val="18"/>
                <w:lang w:val="sr-Cyrl-RS"/>
              </w:rPr>
            </w:pPr>
            <w:r w:rsidRPr="00EA3D8C">
              <w:rPr>
                <w:rFonts w:cstheme="minorHAnsi"/>
                <w:color w:val="002060"/>
                <w:sz w:val="18"/>
                <w:szCs w:val="18"/>
                <w:lang w:val="sr-Cyrl-RS"/>
              </w:rPr>
              <w:t>Инфлација, просек периода, %</w:t>
            </w:r>
          </w:p>
        </w:tc>
        <w:tc>
          <w:tcPr>
            <w:tcW w:w="499" w:type="pct"/>
            <w:tcBorders>
              <w:bottom w:val="single" w:sz="4" w:space="0" w:color="002060"/>
            </w:tcBorders>
          </w:tcPr>
          <w:p w14:paraId="44E038D9" w14:textId="77777777" w:rsidR="00C82CD2" w:rsidRPr="00EA3D8C" w:rsidRDefault="00C82CD2" w:rsidP="00184007">
            <w:pPr>
              <w:ind w:right="227"/>
              <w:jc w:val="right"/>
              <w:rPr>
                <w:rFonts w:cstheme="minorHAnsi"/>
                <w:color w:val="002060"/>
                <w:sz w:val="18"/>
                <w:szCs w:val="18"/>
                <w:lang w:val="sr-Cyrl-RS"/>
              </w:rPr>
            </w:pPr>
            <w:r w:rsidRPr="00EA3D8C">
              <w:rPr>
                <w:rFonts w:cstheme="minorHAnsi"/>
                <w:color w:val="002060"/>
                <w:sz w:val="18"/>
                <w:szCs w:val="18"/>
                <w:lang w:val="sr-Cyrl-RS"/>
              </w:rPr>
              <w:t>1,5</w:t>
            </w:r>
          </w:p>
        </w:tc>
        <w:tc>
          <w:tcPr>
            <w:tcW w:w="499" w:type="pct"/>
            <w:tcBorders>
              <w:top w:val="nil"/>
              <w:left w:val="nil"/>
              <w:bottom w:val="nil"/>
              <w:right w:val="nil"/>
            </w:tcBorders>
            <w:shd w:val="clear" w:color="auto" w:fill="auto"/>
          </w:tcPr>
          <w:p w14:paraId="68F1A4E9" w14:textId="77777777" w:rsidR="00C82CD2" w:rsidRPr="00EA3D8C" w:rsidRDefault="00C82CD2" w:rsidP="00184007">
            <w:pPr>
              <w:jc w:val="right"/>
              <w:rPr>
                <w:rFonts w:cstheme="minorHAnsi"/>
                <w:color w:val="002060"/>
                <w:sz w:val="18"/>
                <w:szCs w:val="18"/>
                <w:lang w:val="sr-Cyrl-RS"/>
              </w:rPr>
            </w:pPr>
          </w:p>
        </w:tc>
        <w:tc>
          <w:tcPr>
            <w:tcW w:w="524" w:type="pct"/>
            <w:tcBorders>
              <w:top w:val="nil"/>
              <w:left w:val="nil"/>
              <w:bottom w:val="nil"/>
              <w:right w:val="nil"/>
            </w:tcBorders>
            <w:shd w:val="clear" w:color="auto" w:fill="auto"/>
          </w:tcPr>
          <w:p w14:paraId="195074CF" w14:textId="77777777" w:rsidR="00C82CD2" w:rsidRPr="00EA3D8C" w:rsidRDefault="00C82CD2" w:rsidP="00184007">
            <w:pPr>
              <w:ind w:right="227"/>
              <w:jc w:val="right"/>
              <w:rPr>
                <w:color w:val="002060"/>
                <w:sz w:val="18"/>
                <w:lang w:val="sr-Cyrl-RS"/>
              </w:rPr>
            </w:pPr>
            <w:r w:rsidRPr="00EA3D8C">
              <w:rPr>
                <w:color w:val="002060"/>
                <w:sz w:val="18"/>
                <w:lang w:val="sr-Cyrl-RS"/>
              </w:rPr>
              <w:t>2,0</w:t>
            </w:r>
          </w:p>
        </w:tc>
        <w:tc>
          <w:tcPr>
            <w:tcW w:w="502" w:type="pct"/>
            <w:tcBorders>
              <w:top w:val="nil"/>
              <w:left w:val="nil"/>
              <w:bottom w:val="nil"/>
              <w:right w:val="nil"/>
            </w:tcBorders>
            <w:shd w:val="clear" w:color="auto" w:fill="auto"/>
          </w:tcPr>
          <w:p w14:paraId="3E9DEDD5" w14:textId="77777777" w:rsidR="00C82CD2" w:rsidRPr="00EA3D8C" w:rsidRDefault="00C82CD2" w:rsidP="00184007">
            <w:pPr>
              <w:ind w:right="227"/>
              <w:jc w:val="right"/>
              <w:rPr>
                <w:color w:val="002060"/>
                <w:sz w:val="18"/>
                <w:lang w:val="sr-Cyrl-RS"/>
              </w:rPr>
            </w:pPr>
            <w:r w:rsidRPr="00EA3D8C">
              <w:rPr>
                <w:color w:val="002060"/>
                <w:sz w:val="18"/>
                <w:lang w:val="sr-Cyrl-RS"/>
              </w:rPr>
              <w:t>2,2</w:t>
            </w:r>
          </w:p>
        </w:tc>
        <w:tc>
          <w:tcPr>
            <w:tcW w:w="493" w:type="pct"/>
            <w:tcBorders>
              <w:top w:val="nil"/>
              <w:left w:val="nil"/>
              <w:bottom w:val="nil"/>
              <w:right w:val="nil"/>
            </w:tcBorders>
            <w:shd w:val="clear" w:color="auto" w:fill="auto"/>
          </w:tcPr>
          <w:p w14:paraId="4BB9ECE7" w14:textId="77777777" w:rsidR="00C82CD2" w:rsidRPr="00EA3D8C" w:rsidRDefault="00C82CD2" w:rsidP="00184007">
            <w:pPr>
              <w:ind w:right="227"/>
              <w:jc w:val="right"/>
              <w:rPr>
                <w:color w:val="002060"/>
                <w:sz w:val="18"/>
                <w:lang w:val="sr-Cyrl-RS"/>
              </w:rPr>
            </w:pPr>
            <w:r w:rsidRPr="00EA3D8C">
              <w:rPr>
                <w:color w:val="002060"/>
                <w:sz w:val="18"/>
                <w:lang w:val="sr-Cyrl-RS"/>
              </w:rPr>
              <w:t>3,0</w:t>
            </w:r>
          </w:p>
        </w:tc>
      </w:tr>
      <w:tr w:rsidR="00C82CD2" w:rsidRPr="00EA3D8C" w14:paraId="6E9389CC" w14:textId="77777777" w:rsidTr="00706309">
        <w:tc>
          <w:tcPr>
            <w:tcW w:w="2483" w:type="pct"/>
            <w:tcBorders>
              <w:top w:val="single" w:sz="4" w:space="0" w:color="002060"/>
            </w:tcBorders>
            <w:vAlign w:val="center"/>
          </w:tcPr>
          <w:p w14:paraId="55847169" w14:textId="77777777" w:rsidR="00C82CD2" w:rsidRPr="00EA3D8C" w:rsidRDefault="00C82CD2" w:rsidP="00706309">
            <w:pPr>
              <w:spacing w:before="40"/>
              <w:jc w:val="left"/>
              <w:rPr>
                <w:rFonts w:cstheme="minorHAnsi"/>
                <w:sz w:val="16"/>
                <w:lang w:val="sr-Cyrl-RS"/>
              </w:rPr>
            </w:pPr>
            <w:r w:rsidRPr="00EA3D8C">
              <w:rPr>
                <w:rFonts w:cstheme="minorHAnsi"/>
                <w:sz w:val="16"/>
                <w:lang w:val="sr-Cyrl-RS"/>
              </w:rPr>
              <w:t>Извор: Министарство финансија</w:t>
            </w:r>
          </w:p>
        </w:tc>
        <w:tc>
          <w:tcPr>
            <w:tcW w:w="499" w:type="pct"/>
            <w:tcBorders>
              <w:top w:val="single" w:sz="4" w:space="0" w:color="002060"/>
            </w:tcBorders>
          </w:tcPr>
          <w:p w14:paraId="54FFBA6F" w14:textId="77777777" w:rsidR="00C82CD2" w:rsidRPr="00EA3D8C" w:rsidRDefault="00C82CD2" w:rsidP="00161001">
            <w:pPr>
              <w:rPr>
                <w:rFonts w:cstheme="minorHAnsi"/>
                <w:sz w:val="16"/>
                <w:lang w:val="sr-Cyrl-RS"/>
              </w:rPr>
            </w:pPr>
          </w:p>
        </w:tc>
        <w:tc>
          <w:tcPr>
            <w:tcW w:w="499" w:type="pct"/>
            <w:tcBorders>
              <w:top w:val="single" w:sz="4" w:space="0" w:color="002060"/>
            </w:tcBorders>
          </w:tcPr>
          <w:p w14:paraId="71A026BD" w14:textId="77777777" w:rsidR="00C82CD2" w:rsidRPr="00EA3D8C" w:rsidRDefault="00C82CD2" w:rsidP="00161001">
            <w:pPr>
              <w:rPr>
                <w:rFonts w:cstheme="minorHAnsi"/>
                <w:sz w:val="16"/>
                <w:lang w:val="sr-Cyrl-RS"/>
              </w:rPr>
            </w:pPr>
          </w:p>
        </w:tc>
        <w:tc>
          <w:tcPr>
            <w:tcW w:w="524" w:type="pct"/>
            <w:tcBorders>
              <w:top w:val="single" w:sz="4" w:space="0" w:color="002060"/>
            </w:tcBorders>
          </w:tcPr>
          <w:p w14:paraId="27FB0883" w14:textId="77777777" w:rsidR="00C82CD2" w:rsidRPr="00EA3D8C" w:rsidRDefault="00C82CD2" w:rsidP="00161001">
            <w:pPr>
              <w:rPr>
                <w:rFonts w:cstheme="minorHAnsi"/>
                <w:sz w:val="16"/>
                <w:lang w:val="sr-Cyrl-RS"/>
              </w:rPr>
            </w:pPr>
          </w:p>
        </w:tc>
        <w:tc>
          <w:tcPr>
            <w:tcW w:w="502" w:type="pct"/>
            <w:tcBorders>
              <w:top w:val="single" w:sz="4" w:space="0" w:color="002060"/>
            </w:tcBorders>
          </w:tcPr>
          <w:p w14:paraId="64825A23" w14:textId="77777777" w:rsidR="00C82CD2" w:rsidRPr="00EA3D8C" w:rsidRDefault="00C82CD2" w:rsidP="00161001">
            <w:pPr>
              <w:rPr>
                <w:rFonts w:cstheme="minorHAnsi"/>
                <w:sz w:val="16"/>
                <w:lang w:val="sr-Cyrl-RS"/>
              </w:rPr>
            </w:pPr>
          </w:p>
        </w:tc>
        <w:tc>
          <w:tcPr>
            <w:tcW w:w="493" w:type="pct"/>
            <w:tcBorders>
              <w:top w:val="single" w:sz="4" w:space="0" w:color="002060"/>
            </w:tcBorders>
          </w:tcPr>
          <w:p w14:paraId="77C8D4AB" w14:textId="77777777" w:rsidR="00C82CD2" w:rsidRPr="00EA3D8C" w:rsidRDefault="00C82CD2" w:rsidP="00161001">
            <w:pPr>
              <w:rPr>
                <w:rFonts w:cstheme="minorHAnsi"/>
                <w:sz w:val="16"/>
                <w:lang w:val="sr-Cyrl-RS"/>
              </w:rPr>
            </w:pPr>
          </w:p>
        </w:tc>
      </w:tr>
    </w:tbl>
    <w:p w14:paraId="2D1A43AF" w14:textId="77777777" w:rsidR="00C82CD2" w:rsidRPr="00EA3D8C" w:rsidRDefault="00C82CD2" w:rsidP="0096352B">
      <w:pPr>
        <w:jc w:val="center"/>
        <w:rPr>
          <w:rFonts w:cstheme="minorHAnsi"/>
          <w:b/>
          <w:sz w:val="16"/>
          <w:lang w:val="sr-Cyrl-RS"/>
        </w:rPr>
        <w:sectPr w:rsidR="00C82CD2" w:rsidRPr="00EA3D8C" w:rsidSect="00AE40EB">
          <w:type w:val="continuous"/>
          <w:pgSz w:w="12240" w:h="15840" w:code="1"/>
          <w:pgMar w:top="1440" w:right="1440" w:bottom="1440" w:left="1440" w:header="720" w:footer="720" w:gutter="0"/>
          <w:cols w:space="720"/>
          <w:docGrid w:linePitch="360"/>
        </w:sectPr>
      </w:pPr>
    </w:p>
    <w:p w14:paraId="63A34BB1" w14:textId="7956E1FC" w:rsidR="00C82CD2" w:rsidRPr="00EA3D8C" w:rsidRDefault="00C82CD2" w:rsidP="006E3D4E">
      <w:pPr>
        <w:rPr>
          <w:rFonts w:cstheme="minorHAnsi"/>
          <w:bCs/>
          <w:szCs w:val="72"/>
          <w:lang w:val="sr-Cyrl-RS"/>
        </w:rPr>
      </w:pPr>
      <w:r w:rsidRPr="00EA3D8C">
        <w:rPr>
          <w:rFonts w:cstheme="minorHAnsi"/>
          <w:bCs/>
          <w:szCs w:val="72"/>
          <w:lang w:val="sr-Cyrl-RS"/>
        </w:rPr>
        <w:lastRenderedPageBreak/>
        <w:t>За 2021. годину пројектован је реални раст БДП од 6,0% чиме је иницијална пројекција из претходне Фискалне стратегије ревидирана навише за 2,0</w:t>
      </w:r>
      <w:r w:rsidR="004E1EC6" w:rsidRPr="00EA3D8C">
        <w:rPr>
          <w:rFonts w:cstheme="minorHAnsi"/>
          <w:bCs/>
          <w:szCs w:val="72"/>
          <w:lang w:val="sr-Cyrl-RS"/>
        </w:rPr>
        <w:t> </w:t>
      </w:r>
      <w:r w:rsidRPr="00EA3D8C">
        <w:rPr>
          <w:rFonts w:cstheme="minorHAnsi"/>
          <w:bCs/>
          <w:szCs w:val="72"/>
          <w:lang w:val="sr-Cyrl-RS"/>
        </w:rPr>
        <w:t xml:space="preserve">п.п. Главни разлог ове ревизије јесте нижа база у 2020. години услед утицаја </w:t>
      </w:r>
      <w:r w:rsidR="008E4992" w:rsidRPr="008E4992">
        <w:rPr>
          <w:rFonts w:cstheme="minorHAnsi"/>
          <w:bCs/>
          <w:szCs w:val="72"/>
          <w:lang w:val="sr-Cyrl-RS"/>
        </w:rPr>
        <w:t>пан</w:t>
      </w:r>
      <w:r w:rsidRPr="00EA3D8C">
        <w:rPr>
          <w:rFonts w:cstheme="minorHAnsi"/>
          <w:bCs/>
          <w:szCs w:val="72"/>
          <w:lang w:val="sr-Cyrl-RS"/>
        </w:rPr>
        <w:t>демије на све компоненте БДП.</w:t>
      </w:r>
    </w:p>
    <w:p w14:paraId="0A9BAB35" w14:textId="0AA74E9B" w:rsidR="00C82CD2" w:rsidRPr="00EA3D8C" w:rsidRDefault="00C82CD2" w:rsidP="00161001">
      <w:pPr>
        <w:rPr>
          <w:rFonts w:cstheme="minorHAnsi"/>
          <w:bCs/>
          <w:szCs w:val="72"/>
          <w:lang w:val="sr-Cyrl-RS"/>
        </w:rPr>
      </w:pPr>
      <w:r w:rsidRPr="00EA3D8C">
        <w:rPr>
          <w:rFonts w:cstheme="minorHAnsi"/>
          <w:bCs/>
          <w:szCs w:val="72"/>
          <w:lang w:val="sr-Cyrl-RS"/>
        </w:rPr>
        <w:t>Посматрано по агрегатима употребе раст ће бити у потпуности вођен домаћом тражњом, док ће допринос нето извоза бити негативан. Све три к</w:t>
      </w:r>
      <w:r w:rsidR="00C2087D">
        <w:rPr>
          <w:rFonts w:cstheme="minorHAnsi"/>
          <w:bCs/>
          <w:szCs w:val="72"/>
          <w:lang w:val="sr-Cyrl-RS"/>
        </w:rPr>
        <w:t>омпоненте домаће тражње позитив</w:t>
      </w:r>
      <w:r w:rsidRPr="00EA3D8C">
        <w:rPr>
          <w:rFonts w:cstheme="minorHAnsi"/>
          <w:bCs/>
          <w:szCs w:val="72"/>
          <w:lang w:val="sr-Cyrl-RS"/>
        </w:rPr>
        <w:t xml:space="preserve">но ће допринети расту економске активности. Очувана стабилност на тржишту радне снаге и очекивано реално повећање зарада, како у приватном тако и у јавном сектору, уз опоравак потрошње у сегменту услуга које су током 2020. године биле највише погођене </w:t>
      </w:r>
      <w:r w:rsidR="008E4992" w:rsidRPr="008E4992">
        <w:rPr>
          <w:rFonts w:cstheme="minorHAnsi"/>
          <w:bCs/>
          <w:szCs w:val="72"/>
          <w:lang w:val="sr-Cyrl-RS"/>
        </w:rPr>
        <w:t>пан</w:t>
      </w:r>
      <w:r w:rsidRPr="00EA3D8C">
        <w:rPr>
          <w:rFonts w:cstheme="minorHAnsi"/>
          <w:bCs/>
          <w:szCs w:val="72"/>
          <w:lang w:val="sr-Cyrl-RS"/>
        </w:rPr>
        <w:t xml:space="preserve">демијом, потпомогнуто повољним условима финансирања, резултираће растом личне потрошње од 5,4% и следствено највећем учешћу овог агрегата у БДП, допринеће расту економске активности са 3,8 п.п. Треба имати у виду да је повећање потрошње базирано на здравим изворима, биће ниже од реалног раста БДП и неће генерисати унутрашње и спољне неравнотеже. У 2021. години инвестиције ће бити друга по значају компонента у погледу позитивног доприноса расту БДП, што је веома важно са становишта његове одрживости. Очекује се међугодишње повећање од 13,3%, односно допринос расту БДП од 3,0 п.п. Динамика инвестиционе активности биће опредељена даљим повећањем производних капацитета привреде, пре свега у секторима који производе разменљива добра, али и наставком реализације инфраструктурних пројеката за које се у 2021. години процењује рекордно учешће у БДП од </w:t>
      </w:r>
      <w:r w:rsidR="00525761" w:rsidRPr="00EA3D8C">
        <w:rPr>
          <w:rFonts w:cstheme="minorHAnsi"/>
          <w:bCs/>
          <w:szCs w:val="72"/>
          <w:lang w:val="sr-Cyrl-RS"/>
        </w:rPr>
        <w:t>5,5</w:t>
      </w:r>
      <w:r w:rsidRPr="00EA3D8C">
        <w:rPr>
          <w:rFonts w:cstheme="minorHAnsi"/>
          <w:bCs/>
          <w:szCs w:val="72"/>
          <w:lang w:val="sr-Cyrl-RS"/>
        </w:rPr>
        <w:t>%.</w:t>
      </w:r>
      <w:r w:rsidRPr="00EA3D8C">
        <w:rPr>
          <w:rFonts w:cstheme="minorHAnsi"/>
          <w:bCs/>
          <w:color w:val="FF0000"/>
          <w:szCs w:val="72"/>
          <w:lang w:val="sr-Cyrl-RS"/>
        </w:rPr>
        <w:t xml:space="preserve"> </w:t>
      </w:r>
      <w:r w:rsidRPr="00EA3D8C">
        <w:rPr>
          <w:rFonts w:cstheme="minorHAnsi"/>
          <w:bCs/>
          <w:szCs w:val="72"/>
          <w:lang w:val="sr-Cyrl-RS"/>
        </w:rPr>
        <w:t>За разлику од ове две компоненте домаће тражње, потрошња државе ће у 2021. години забележити благи раст од 0,4%, пре свега услед високе базе из претходне године узроковане значајним повећањем издатака за потребе здрав</w:t>
      </w:r>
      <w:r w:rsidR="00986E5E">
        <w:rPr>
          <w:rFonts w:cstheme="minorHAnsi"/>
          <w:bCs/>
          <w:szCs w:val="72"/>
          <w:lang w:val="sr-Cyrl-RS"/>
        </w:rPr>
        <w:t>ст</w:t>
      </w:r>
      <w:r w:rsidRPr="00EA3D8C">
        <w:rPr>
          <w:rFonts w:cstheme="minorHAnsi"/>
          <w:bCs/>
          <w:szCs w:val="72"/>
          <w:lang w:val="sr-Cyrl-RS"/>
        </w:rPr>
        <w:t xml:space="preserve">ва. Очекивани опоравак спољне тражње, уз активирање нових производних капацитета као резултат ефектуирања </w:t>
      </w:r>
      <w:r w:rsidR="000E4558">
        <w:rPr>
          <w:rFonts w:cstheme="minorHAnsi"/>
          <w:bCs/>
          <w:szCs w:val="72"/>
          <w:lang w:val="sr-Cyrl-RS"/>
        </w:rPr>
        <w:t>СДИ</w:t>
      </w:r>
      <w:r w:rsidRPr="00EA3D8C">
        <w:rPr>
          <w:rFonts w:cstheme="minorHAnsi"/>
          <w:bCs/>
          <w:szCs w:val="72"/>
          <w:lang w:val="sr-Cyrl-RS"/>
        </w:rPr>
        <w:t xml:space="preserve"> из претходног периода, потпомогнуто очекиваним повећањем извоза појединих пољопривредних производа, резултираће растом извоза од 9,6%. С друге стране, солидан раст приватне потрошње уз снажан раст инвестиција имаће за последицу и </w:t>
      </w:r>
      <w:r w:rsidRPr="00EA3D8C">
        <w:rPr>
          <w:rFonts w:cstheme="minorHAnsi"/>
          <w:bCs/>
          <w:szCs w:val="72"/>
          <w:lang w:val="sr-Cyrl-RS"/>
        </w:rPr>
        <w:lastRenderedPageBreak/>
        <w:t>раст увоза од 9,3%. Иако се очекује бржи р</w:t>
      </w:r>
      <w:r w:rsidR="009F48B0" w:rsidRPr="00EA3D8C">
        <w:rPr>
          <w:rFonts w:cstheme="minorHAnsi"/>
          <w:bCs/>
          <w:szCs w:val="72"/>
          <w:lang w:val="sr-Cyrl-RS"/>
        </w:rPr>
        <w:t>аст извоза од увоза, веће учешће</w:t>
      </w:r>
      <w:r w:rsidRPr="00EA3D8C">
        <w:rPr>
          <w:rFonts w:cstheme="minorHAnsi"/>
          <w:bCs/>
          <w:szCs w:val="72"/>
          <w:lang w:val="sr-Cyrl-RS"/>
        </w:rPr>
        <w:t xml:space="preserve"> увоза у БДП имаће за последицу да допринос нето извоза расту БДП ипак буде негативан и износиће -0,8 п.п.</w:t>
      </w:r>
    </w:p>
    <w:p w14:paraId="58A6AC89" w14:textId="141D4845" w:rsidR="00C82CD2" w:rsidRPr="00EA3D8C" w:rsidRDefault="00C82CD2" w:rsidP="006E3D4E">
      <w:pPr>
        <w:pStyle w:val="NoSpacing"/>
        <w:jc w:val="center"/>
        <w:rPr>
          <w:rFonts w:cstheme="minorHAnsi"/>
          <w:color w:val="002060"/>
          <w:lang w:val="sr-Cyrl-RS"/>
        </w:rPr>
      </w:pPr>
      <w:r w:rsidRPr="00EA3D8C">
        <w:rPr>
          <w:rFonts w:cstheme="minorHAnsi"/>
          <w:color w:val="002060"/>
          <w:lang w:val="sr-Cyrl-RS"/>
        </w:rPr>
        <w:t xml:space="preserve">Доприноси стопи реалног раста БДП, </w:t>
      </w:r>
      <w:r w:rsidRPr="00EA3D8C">
        <w:rPr>
          <w:rFonts w:cstheme="minorHAnsi"/>
          <w:color w:val="002060"/>
          <w:lang w:val="sr-Cyrl-RS"/>
        </w:rPr>
        <w:br/>
        <w:t>расходни приступ, п.п.</w:t>
      </w:r>
    </w:p>
    <w:p w14:paraId="0D35E7F4" w14:textId="77777777" w:rsidR="00C82CD2" w:rsidRPr="00EA3D8C" w:rsidRDefault="00C82CD2" w:rsidP="00161001">
      <w:pPr>
        <w:spacing w:after="60"/>
        <w:rPr>
          <w:rFonts w:cstheme="minorHAnsi"/>
          <w:sz w:val="16"/>
          <w:lang w:val="sr-Cyrl-RS"/>
        </w:rPr>
      </w:pPr>
      <w:r w:rsidRPr="00EA3D8C">
        <w:rPr>
          <w:noProof/>
        </w:rPr>
        <w:drawing>
          <wp:inline distT="0" distB="0" distL="0" distR="0" wp14:anchorId="56AA5E8B" wp14:editId="60F9E9FD">
            <wp:extent cx="2743200" cy="2016000"/>
            <wp:effectExtent l="0" t="0" r="0" b="3810"/>
            <wp:docPr id="43" name="Chart 43">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6810297F" w14:textId="77777777" w:rsidR="00C82CD2" w:rsidRPr="00EA3D8C" w:rsidRDefault="00C82CD2" w:rsidP="00B435B3">
      <w:pPr>
        <w:rPr>
          <w:rFonts w:cstheme="minorHAnsi"/>
          <w:sz w:val="16"/>
          <w:lang w:val="sr-Cyrl-RS"/>
        </w:rPr>
      </w:pPr>
      <w:r w:rsidRPr="00EA3D8C">
        <w:rPr>
          <w:rFonts w:cstheme="minorHAnsi"/>
          <w:sz w:val="16"/>
          <w:lang w:val="sr-Cyrl-RS"/>
        </w:rPr>
        <w:t>Извор: Министарство финансија</w:t>
      </w:r>
    </w:p>
    <w:p w14:paraId="4F14CD45" w14:textId="4F6391E3" w:rsidR="00C82CD2" w:rsidRPr="00EA3D8C" w:rsidRDefault="00C82CD2" w:rsidP="008217BC">
      <w:pPr>
        <w:rPr>
          <w:rFonts w:cstheme="minorHAnsi"/>
          <w:bCs/>
          <w:szCs w:val="72"/>
          <w:lang w:val="sr-Cyrl-RS"/>
        </w:rPr>
      </w:pPr>
      <w:r w:rsidRPr="00EA3D8C">
        <w:rPr>
          <w:rFonts w:cstheme="minorHAnsi"/>
          <w:bCs/>
          <w:szCs w:val="72"/>
          <w:lang w:val="sr-Cyrl-RS"/>
        </w:rPr>
        <w:t>Посматрано са производне стране, повећање креиране БДВ очекује се код свих сектора, осим код пољопривреде за коју се полази од претпоставке просечне сезоне. Услужни сектор који је током 2020. го</w:t>
      </w:r>
      <w:r w:rsidR="00986E5E">
        <w:rPr>
          <w:rFonts w:cstheme="minorHAnsi"/>
          <w:bCs/>
          <w:szCs w:val="72"/>
          <w:lang w:val="sr-Cyrl-RS"/>
        </w:rPr>
        <w:t xml:space="preserve">дине био највише погођен </w:t>
      </w:r>
      <w:r w:rsidR="008E4992" w:rsidRPr="008E4992">
        <w:rPr>
          <w:rFonts w:cstheme="minorHAnsi"/>
          <w:bCs/>
          <w:szCs w:val="72"/>
          <w:lang w:val="sr-Cyrl-RS"/>
        </w:rPr>
        <w:t>пан</w:t>
      </w:r>
      <w:r w:rsidR="00986E5E">
        <w:rPr>
          <w:rFonts w:cstheme="minorHAnsi"/>
          <w:bCs/>
          <w:szCs w:val="72"/>
          <w:lang w:val="sr-Cyrl-RS"/>
        </w:rPr>
        <w:t>деми</w:t>
      </w:r>
      <w:r w:rsidRPr="00EA3D8C">
        <w:rPr>
          <w:rFonts w:cstheme="minorHAnsi"/>
          <w:bCs/>
          <w:szCs w:val="72"/>
          <w:lang w:val="sr-Cyrl-RS"/>
        </w:rPr>
        <w:t>јом, ће у 2021. години имати улогу доминантног носиоца раста са доприносом од 3,5 п.п. Раст би требао да буде диверсификован и остварен у већини услужних делатности а посебно снажан у ИКТ сектору, трговини и саобраћају, док се умерени опоравак очекује у туризму и угоститељству као и услугама рекреације и забаве. Укупна индустрија ће са опоравком спољне тражње и активирањем нових производних капацитета али и услед дејства базног ефекта убрзати у 2021. години и допринети расту БДП са 1,2 п.п. Грађевинска активност би требала да оствари солидан раст у 2021. години услед даљег убрзања реализације инфраструктурних пројеката али и снажног опоравка приватних грађевинских радова што би резултирало доприносом расту БДП од 0,4 п.п. у 2021. години. За сектор пољопривреде, под претпоставком просечних агромете</w:t>
      </w:r>
      <w:r w:rsidR="005255CB">
        <w:rPr>
          <w:rFonts w:cstheme="minorHAnsi"/>
          <w:bCs/>
          <w:szCs w:val="72"/>
          <w:lang w:val="sr-Cyrl-RS"/>
        </w:rPr>
        <w:t>о</w:t>
      </w:r>
      <w:r w:rsidRPr="00EA3D8C">
        <w:rPr>
          <w:rFonts w:cstheme="minorHAnsi"/>
          <w:bCs/>
          <w:szCs w:val="72"/>
          <w:lang w:val="sr-Cyrl-RS"/>
        </w:rPr>
        <w:t xml:space="preserve">ролошких услова уз </w:t>
      </w:r>
      <w:r w:rsidR="009F48B0" w:rsidRPr="00EA3D8C">
        <w:rPr>
          <w:rFonts w:cstheme="minorHAnsi"/>
          <w:bCs/>
          <w:szCs w:val="72"/>
          <w:lang w:val="sr-Cyrl-RS"/>
        </w:rPr>
        <w:t>наставак</w:t>
      </w:r>
      <w:r w:rsidRPr="00EA3D8C">
        <w:rPr>
          <w:rFonts w:cstheme="minorHAnsi"/>
          <w:bCs/>
          <w:szCs w:val="72"/>
          <w:lang w:val="sr-Cyrl-RS"/>
        </w:rPr>
        <w:t xml:space="preserve"> тренда повећања продуктивности, а под утицајем изузетно високе базе из 2020. године, пројектован је пад БДВ од око 4% у 2021. години.</w:t>
      </w:r>
    </w:p>
    <w:p w14:paraId="6C13ABA0" w14:textId="45316C87" w:rsidR="00C82CD2" w:rsidRPr="00EA3D8C" w:rsidRDefault="00C82CD2" w:rsidP="00161001">
      <w:pPr>
        <w:pStyle w:val="Caption"/>
        <w:keepNext/>
        <w:spacing w:after="120"/>
        <w:rPr>
          <w:rFonts w:cstheme="minorHAnsi"/>
          <w:b w:val="0"/>
          <w:i/>
          <w:iCs w:val="0"/>
          <w:color w:val="44546A" w:themeColor="text2"/>
          <w:szCs w:val="22"/>
          <w:lang w:val="sr-Cyrl-RS"/>
        </w:rPr>
      </w:pPr>
      <w:r w:rsidRPr="00EA3D8C">
        <w:rPr>
          <w:rFonts w:cstheme="minorHAnsi"/>
          <w:iCs w:val="0"/>
          <w:szCs w:val="22"/>
          <w:lang w:val="sr-Cyrl-RS"/>
        </w:rPr>
        <w:lastRenderedPageBreak/>
        <w:t>Доприноси стопи реалног раста БДП, производни приступ, п.п.</w:t>
      </w:r>
      <w:r w:rsidRPr="00EA3D8C">
        <w:rPr>
          <w:noProof/>
        </w:rPr>
        <w:drawing>
          <wp:inline distT="0" distB="0" distL="0" distR="0" wp14:anchorId="6E927389" wp14:editId="03674CCE">
            <wp:extent cx="2743200" cy="2052000"/>
            <wp:effectExtent l="0" t="0" r="0" b="5715"/>
            <wp:docPr id="44" name="Chart 44">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49AC17FA" w14:textId="77777777" w:rsidR="00C82CD2" w:rsidRPr="00EA3D8C" w:rsidRDefault="00C82CD2" w:rsidP="008217BC">
      <w:pPr>
        <w:rPr>
          <w:rFonts w:cstheme="minorHAnsi"/>
          <w:sz w:val="16"/>
          <w:lang w:val="sr-Cyrl-RS"/>
        </w:rPr>
      </w:pPr>
      <w:r w:rsidRPr="00EA3D8C">
        <w:rPr>
          <w:rFonts w:cstheme="minorHAnsi"/>
          <w:sz w:val="16"/>
          <w:lang w:val="sr-Cyrl-RS"/>
        </w:rPr>
        <w:t>Извор: Министарство финансија</w:t>
      </w:r>
    </w:p>
    <w:p w14:paraId="6A20BF97" w14:textId="77777777" w:rsidR="00C82CD2" w:rsidRPr="00EA3D8C" w:rsidRDefault="00C82CD2" w:rsidP="008217BC">
      <w:pPr>
        <w:rPr>
          <w:rFonts w:cstheme="minorHAnsi"/>
          <w:bCs/>
          <w:szCs w:val="72"/>
          <w:lang w:val="sr-Cyrl-RS"/>
        </w:rPr>
      </w:pPr>
      <w:r w:rsidRPr="00EA3D8C">
        <w:rPr>
          <w:rFonts w:cstheme="minorHAnsi"/>
          <w:bCs/>
          <w:szCs w:val="72"/>
          <w:lang w:val="sr-Cyrl-RS"/>
        </w:rPr>
        <w:t>Према средњорочној макроекономској пројекцији кумулативна стопа раста у периоду 2021–2023. година износиће 14,6% и биће опредељена растом домаће тражње. Овај извор раста је детерминисан како перманентним повећањем инвестиција тако и растом потрошње домаћинстава услед раста животног стандарда становништва. Просечно годишње, српска привреда ће расти по стопи од 4,7%.</w:t>
      </w:r>
      <w:r w:rsidRPr="00EA3D8C">
        <w:rPr>
          <w:rFonts w:cstheme="minorHAnsi"/>
          <w:bCs/>
          <w:color w:val="FF0000"/>
          <w:szCs w:val="72"/>
          <w:lang w:val="sr-Cyrl-RS"/>
        </w:rPr>
        <w:t xml:space="preserve"> </w:t>
      </w:r>
      <w:r w:rsidRPr="00EA3D8C">
        <w:rPr>
          <w:rFonts w:cstheme="minorHAnsi"/>
          <w:bCs/>
          <w:szCs w:val="72"/>
          <w:lang w:val="sr-Cyrl-RS"/>
        </w:rPr>
        <w:t xml:space="preserve">Повећање приватне потрошње пројектовано је по нижој стопи од убрзања привредне активности и у просеку ће износити 3,7%. У првој години пројекције очекује се нешто већи раст потрошње домаћинства од просека, пре свега услед базног ефекта, а затим постепено успоравање раста. Ово повећање у себи не садржи нарушавајуће елементе, засновано је на здравим изворима, пре свега на повећању запослености али и повољном утицају ценовних и кредитних кретања на расположиви доходак. Очекује се стабилан раст инвестиција, у просеку од око 10% годишње, што ће постепено подизати њихово учешће у структури БДП које би на крају пројекцијског периода требало да износи близу 25%. Са опоравком спољне тражње и активирањем нових производних капацитета повећаваће се и обим спољнотрговинске размене.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9,3%, што је брже од </w:t>
      </w:r>
      <w:r w:rsidRPr="00EA3D8C">
        <w:rPr>
          <w:rFonts w:cstheme="minorHAnsi"/>
          <w:bCs/>
          <w:szCs w:val="72"/>
          <w:lang w:val="sr-Cyrl-RS"/>
        </w:rPr>
        <w:lastRenderedPageBreak/>
        <w:t>очекиваног годишњег раста увоза који ће у просеку износити 8,3%.</w:t>
      </w:r>
      <w:r w:rsidRPr="00EA3D8C">
        <w:rPr>
          <w:rFonts w:cstheme="minorHAnsi"/>
          <w:bCs/>
          <w:color w:val="FF0000"/>
          <w:szCs w:val="72"/>
          <w:lang w:val="sr-Cyrl-RS"/>
        </w:rPr>
        <w:t xml:space="preserve"> </w:t>
      </w:r>
      <w:r w:rsidRPr="00EA3D8C">
        <w:rPr>
          <w:rFonts w:cstheme="minorHAnsi"/>
          <w:bCs/>
          <w:szCs w:val="72"/>
          <w:lang w:val="sr-Cyrl-RS"/>
        </w:rPr>
        <w:t>Оваква динамика спољнотрговинских токова побољшаће салдо текућег рачуна платног биланса у средњем року и обезбедити благо смањење платнобилансног дефицита са 6,9% у 2019. години на 5,2% у 2023. години. Посматрано на страни понуде, услужни сектор и индустрија ће задржати улогу доминантних извора раста и повећавати креирану БДВ у просеку годишње за 5,0% и 5,2%, респективно. Позитиван допринос ће доћи и од раста грађевинске активности који ће у просеку износити 9,6%. Достизање европских стандарда и подизање конкурентности у пољопривреди, испуњењем услова за отварање Поглавља 11 и кроз коришћење ИПАРД II програма ЕУ, смањиће варијабилност производње овог сектора изазвану агрометеоролошким условима.</w:t>
      </w:r>
    </w:p>
    <w:p w14:paraId="0562E1AB" w14:textId="43D06FCE" w:rsidR="00C82CD2" w:rsidRPr="00EA3D8C" w:rsidRDefault="00C82CD2" w:rsidP="008217BC">
      <w:pPr>
        <w:rPr>
          <w:rFonts w:cstheme="minorHAnsi"/>
          <w:bCs/>
          <w:szCs w:val="72"/>
          <w:lang w:val="sr-Cyrl-RS"/>
        </w:rPr>
      </w:pPr>
      <w:r w:rsidRPr="00EA3D8C">
        <w:rPr>
          <w:rFonts w:cstheme="minorHAnsi"/>
          <w:bCs/>
          <w:szCs w:val="72"/>
          <w:lang w:val="sr-Cyrl-RS"/>
        </w:rPr>
        <w:t>Влада и овим трогодишњим сценариом остаје посвећена очувању модела привредног раста који се заснива на инвестицијама и извозу, а који је подржан растом приватне потрошње на реалним и здравим изворима. Удео бруто инвестиција у основне фондове у БДП ће на крају 2023. године бити 24,6% што је за око 2,1 п.п. већи у односу на преткризну 2019. годину, док ће се истовремено учешће извоза роба и услуга повећати за 1,9 п.п. Државна потрошња ће након скока у 2020. години постепено смањивати своје учешће у БДП, тако да ће на крају пројекцијског периода бити приближна нивоу из 2019. године.</w:t>
      </w:r>
    </w:p>
    <w:p w14:paraId="3D78207B" w14:textId="4C730AE2" w:rsidR="00C82CD2" w:rsidRPr="00EA3D8C" w:rsidRDefault="00C82CD2" w:rsidP="008217BC">
      <w:pPr>
        <w:rPr>
          <w:rFonts w:cstheme="minorHAnsi"/>
          <w:bCs/>
          <w:szCs w:val="72"/>
          <w:lang w:val="sr-Cyrl-RS"/>
        </w:rPr>
      </w:pPr>
      <w:r w:rsidRPr="00EA3D8C">
        <w:rPr>
          <w:rFonts w:cstheme="minorHAnsi"/>
          <w:bCs/>
          <w:szCs w:val="72"/>
          <w:lang w:val="sr-Cyrl-RS"/>
        </w:rPr>
        <w:t xml:space="preserve">Влада својим активностима и мерама покушава да оснажи инвестициону и извозну компоненту БДП. Убрзање свих административних процедура које прате ове активности, пореско растерећење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су само неке од мера које треба да обезбеде здраве фундаменте за раст потенцијалног БДП. Доследност у очувању фискалне стабилности спречава генерисање неравнотежа и креирање неизвесности, а реформски процеси треба да обезбеде снажнију позитивну динамику основних макроекономских варијабли. Дигитална трансформација и изградња дигиталног </w:t>
      </w:r>
      <w:r w:rsidRPr="00EA3D8C">
        <w:rPr>
          <w:rFonts w:cstheme="minorHAnsi"/>
          <w:bCs/>
          <w:szCs w:val="72"/>
          <w:lang w:val="sr-Cyrl-RS"/>
        </w:rPr>
        <w:lastRenderedPageBreak/>
        <w:t>екосистема остаје стратешка ор</w:t>
      </w:r>
      <w:r w:rsidR="00EC6D62">
        <w:rPr>
          <w:rFonts w:cstheme="minorHAnsi"/>
          <w:bCs/>
          <w:szCs w:val="72"/>
          <w:lang w:val="sr-Cyrl-RS"/>
        </w:rPr>
        <w:t>и</w:t>
      </w:r>
      <w:r w:rsidRPr="00EA3D8C">
        <w:rPr>
          <w:rFonts w:cstheme="minorHAnsi"/>
          <w:bCs/>
          <w:szCs w:val="72"/>
          <w:lang w:val="sr-Cyrl-RS"/>
        </w:rPr>
        <w:t>јентација Владе.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земљама. Нови систем фискализације и измене царинских прописа, смањиће учешће сиве економије у укупним привредним токовима, обезбедити афирмативно конкурентско надметање и побољшати економичност и ефикасност процедура.</w:t>
      </w:r>
    </w:p>
    <w:p w14:paraId="4482F3D6" w14:textId="3D7E8A2F" w:rsidR="00C82CD2" w:rsidRPr="00EA3D8C" w:rsidRDefault="00C82CD2" w:rsidP="00161001">
      <w:pPr>
        <w:pStyle w:val="NoSpacing"/>
        <w:jc w:val="center"/>
        <w:rPr>
          <w:rFonts w:cstheme="minorHAnsi"/>
          <w:color w:val="002060"/>
          <w:lang w:val="sr-Cyrl-RS"/>
        </w:rPr>
      </w:pPr>
      <w:r w:rsidRPr="00EA3D8C">
        <w:rPr>
          <w:rFonts w:cstheme="minorHAnsi"/>
          <w:color w:val="002060"/>
          <w:lang w:val="sr-Cyrl-RS"/>
        </w:rPr>
        <w:t>Доприноси фактора производње потенцијалној стопи раста БДП, п.п.</w:t>
      </w:r>
    </w:p>
    <w:p w14:paraId="6ED13AD2" w14:textId="77777777" w:rsidR="00C82CD2" w:rsidRPr="00EA3D8C" w:rsidRDefault="00C82CD2" w:rsidP="002B644D">
      <w:pPr>
        <w:spacing w:after="0"/>
        <w:rPr>
          <w:rFonts w:cstheme="minorHAnsi"/>
          <w:bCs/>
          <w:sz w:val="16"/>
          <w:szCs w:val="72"/>
          <w:lang w:val="sr-Cyrl-RS"/>
        </w:rPr>
      </w:pPr>
      <w:r w:rsidRPr="00EA3D8C">
        <w:rPr>
          <w:noProof/>
          <w:color w:val="FF0000"/>
        </w:rPr>
        <w:drawing>
          <wp:inline distT="0" distB="0" distL="0" distR="0" wp14:anchorId="2CFA1C08" wp14:editId="1212244B">
            <wp:extent cx="2673350" cy="2133600"/>
            <wp:effectExtent l="0" t="0" r="0" b="0"/>
            <wp:docPr id="45" name="Chart 45">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6BCA8193" w14:textId="77777777" w:rsidR="00C82CD2" w:rsidRPr="00EA3D8C" w:rsidRDefault="00C82CD2" w:rsidP="008217BC">
      <w:pPr>
        <w:rPr>
          <w:rFonts w:cstheme="minorHAnsi"/>
          <w:bCs/>
          <w:sz w:val="16"/>
          <w:szCs w:val="72"/>
          <w:lang w:val="sr-Cyrl-RS"/>
        </w:rPr>
      </w:pPr>
      <w:r w:rsidRPr="00EA3D8C">
        <w:rPr>
          <w:rFonts w:cstheme="minorHAnsi"/>
          <w:bCs/>
          <w:sz w:val="16"/>
          <w:szCs w:val="72"/>
          <w:lang w:val="sr-Cyrl-RS"/>
        </w:rPr>
        <w:t>Извор: Министарство финансија</w:t>
      </w:r>
    </w:p>
    <w:p w14:paraId="52D9C4D6" w14:textId="6138135E" w:rsidR="00C82CD2" w:rsidRPr="00EA3D8C" w:rsidRDefault="00C82CD2" w:rsidP="00161001">
      <w:pPr>
        <w:rPr>
          <w:rFonts w:cstheme="minorHAnsi"/>
          <w:bCs/>
          <w:szCs w:val="72"/>
          <w:lang w:val="sr-Cyrl-RS"/>
        </w:rPr>
      </w:pPr>
      <w:r w:rsidRPr="00EA3D8C">
        <w:rPr>
          <w:rFonts w:cstheme="minorHAnsi"/>
          <w:bCs/>
          <w:szCs w:val="72"/>
          <w:lang w:val="sr-Cyrl-RS"/>
        </w:rPr>
        <w:t xml:space="preserve">Према централном сценарију, у средњорочном периоду се очекује убрзање раста потенцијалног БДП. Након повећања од 3,2% у 2020. години, потенцијални БДП ће се постепено повећавати и на крају пројекцијског периода достићи стопу од </w:t>
      </w:r>
      <w:r w:rsidRPr="00EA3D8C">
        <w:rPr>
          <w:rFonts w:cstheme="minorHAnsi"/>
          <w:bCs/>
          <w:szCs w:val="72"/>
          <w:lang w:val="sr-Cyrl-RS"/>
        </w:rPr>
        <w:lastRenderedPageBreak/>
        <w:t>4%. Успоренији раст потенцијалног БДП, од очекиваног у претходној Фиск</w:t>
      </w:r>
      <w:r w:rsidR="00114519">
        <w:rPr>
          <w:rFonts w:cstheme="minorHAnsi"/>
          <w:bCs/>
          <w:szCs w:val="72"/>
          <w:lang w:val="sr-Cyrl-RS"/>
        </w:rPr>
        <w:t>ал</w:t>
      </w:r>
      <w:r w:rsidRPr="00EA3D8C">
        <w:rPr>
          <w:rFonts w:cstheme="minorHAnsi"/>
          <w:bCs/>
          <w:szCs w:val="72"/>
          <w:lang w:val="sr-Cyrl-RS"/>
        </w:rPr>
        <w:t xml:space="preserve">ној стратегији, последица је негативних ефеката изазваних </w:t>
      </w:r>
      <w:r w:rsidR="008E4992" w:rsidRPr="008E4992">
        <w:rPr>
          <w:rFonts w:cstheme="minorHAnsi"/>
          <w:bCs/>
          <w:szCs w:val="72"/>
          <w:lang w:val="sr-Cyrl-RS"/>
        </w:rPr>
        <w:t>пан</w:t>
      </w:r>
      <w:r w:rsidRPr="00EA3D8C">
        <w:rPr>
          <w:rFonts w:cstheme="minorHAnsi"/>
          <w:bCs/>
          <w:szCs w:val="72"/>
          <w:lang w:val="sr-Cyrl-RS"/>
        </w:rPr>
        <w:t>демијом коронавируса. Ипак, адекватном економском политиком сачувани су производни потенцијали привреде. Убрзање реализације капиталних пројеката и наставак започетог инвестиционог циклуса подржани, како стабилним приливом СДИ, тако и домаћим иновативним активностима,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w:t>
      </w:r>
      <w:r w:rsidRPr="00EA3D8C">
        <w:rPr>
          <w:rFonts w:cstheme="minorHAnsi"/>
          <w:bCs/>
          <w:color w:val="FF0000"/>
          <w:szCs w:val="72"/>
          <w:lang w:val="sr-Cyrl-RS"/>
        </w:rPr>
        <w:t xml:space="preserve"> </w:t>
      </w:r>
      <w:r w:rsidRPr="00EA3D8C">
        <w:rPr>
          <w:rFonts w:cstheme="minorHAnsi"/>
          <w:bCs/>
          <w:szCs w:val="72"/>
          <w:lang w:val="sr-Cyrl-RS"/>
        </w:rPr>
        <w:t>Адекватна и синхронизована монетарна политика, даља унапређења финансијског система, подизање кредибилитета и атрактивности код инвеститора, коренита реформа система просвете и његово прилагођавање потребама привреде, као и модернизација образовних програма,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 Повољна кретања на тржишту рада ће такође допринети расту потенцијалног БДП али споријим темпом него у претходном периоду.</w:t>
      </w:r>
    </w:p>
    <w:p w14:paraId="076116E5" w14:textId="77777777" w:rsidR="00C82CD2" w:rsidRPr="00EA3D8C" w:rsidRDefault="00C82CD2" w:rsidP="00161001">
      <w:pPr>
        <w:rPr>
          <w:rFonts w:cstheme="minorHAnsi"/>
          <w:bCs/>
          <w:szCs w:val="72"/>
          <w:lang w:val="sr-Cyrl-RS"/>
        </w:rPr>
        <w:sectPr w:rsidR="00C82CD2" w:rsidRPr="00EA3D8C" w:rsidSect="00AE40EB">
          <w:footerReference w:type="default" r:id="rId78"/>
          <w:type w:val="continuous"/>
          <w:pgSz w:w="12240" w:h="15840" w:code="1"/>
          <w:pgMar w:top="1440" w:right="1440" w:bottom="1440" w:left="1440" w:header="720" w:footer="720" w:gutter="0"/>
          <w:cols w:num="2" w:space="720"/>
          <w:docGrid w:linePitch="360"/>
        </w:sectPr>
      </w:pPr>
    </w:p>
    <w:p w14:paraId="78370070" w14:textId="77777777" w:rsidR="00CE1168" w:rsidRPr="00EA3D8C" w:rsidRDefault="00CE1168">
      <w:pPr>
        <w:jc w:val="left"/>
        <w:rPr>
          <w:rFonts w:cstheme="minorHAnsi"/>
          <w:b/>
          <w:color w:val="2F5496" w:themeColor="accent1" w:themeShade="BF"/>
          <w:sz w:val="22"/>
          <w:lang w:val="sr-Cyrl-RS"/>
        </w:rPr>
      </w:pPr>
      <w:r w:rsidRPr="00EA3D8C">
        <w:rPr>
          <w:rFonts w:cstheme="minorHAnsi"/>
          <w:b/>
          <w:color w:val="2F5496" w:themeColor="accent1" w:themeShade="BF"/>
          <w:sz w:val="22"/>
          <w:lang w:val="sr-Cyrl-RS"/>
        </w:rPr>
        <w:lastRenderedPageBreak/>
        <w:br w:type="page"/>
      </w:r>
    </w:p>
    <w:p w14:paraId="323F70C2" w14:textId="2E6F204D" w:rsidR="00CE1168" w:rsidRPr="00EA3D8C" w:rsidRDefault="00CE1168" w:rsidP="00161001">
      <w:pPr>
        <w:spacing w:before="40"/>
        <w:rPr>
          <w:rFonts w:cstheme="minorHAnsi"/>
          <w:bCs/>
          <w:color w:val="2F5496" w:themeColor="accent1" w:themeShade="BF"/>
          <w:szCs w:val="72"/>
          <w:lang w:val="sr-Cyrl-RS"/>
        </w:rPr>
      </w:pPr>
      <w:r w:rsidRPr="00EA3D8C">
        <w:rPr>
          <w:rFonts w:cstheme="minorHAnsi"/>
          <w:b/>
          <w:color w:val="2F5496" w:themeColor="accent1" w:themeShade="BF"/>
          <w:sz w:val="22"/>
          <w:lang w:val="sr-Cyrl-RS"/>
        </w:rPr>
        <w:lastRenderedPageBreak/>
        <w:t>Тржиште рада</w:t>
      </w:r>
    </w:p>
    <w:p w14:paraId="46D59E57" w14:textId="396F3976" w:rsidR="00CE1168" w:rsidRPr="00EA3D8C" w:rsidRDefault="00CE1168" w:rsidP="00161001">
      <w:pPr>
        <w:spacing w:after="360"/>
        <w:rPr>
          <w:rFonts w:cstheme="minorHAnsi"/>
          <w:bCs/>
          <w:szCs w:val="72"/>
          <w:lang w:val="sr-Cyrl-RS"/>
        </w:rPr>
      </w:pPr>
      <w:r w:rsidRPr="00EA3D8C">
        <w:rPr>
          <w:rFonts w:cstheme="minorHAnsi"/>
          <w:bCs/>
          <w:szCs w:val="72"/>
          <w:lang w:val="sr-Cyrl-RS"/>
        </w:rPr>
        <w:t>Ситуацију на тржишту рада карактеришу релативно повољна кретања упркос негат</w:t>
      </w:r>
      <w:r w:rsidR="00285491">
        <w:rPr>
          <w:rFonts w:cstheme="minorHAnsi"/>
          <w:bCs/>
          <w:szCs w:val="72"/>
          <w:lang w:val="sr-Cyrl-RS"/>
        </w:rPr>
        <w:t xml:space="preserve">ивним ефектима </w:t>
      </w:r>
      <w:r w:rsidR="008E4992" w:rsidRPr="008E4992">
        <w:rPr>
          <w:rFonts w:cstheme="minorHAnsi"/>
          <w:bCs/>
          <w:szCs w:val="72"/>
          <w:lang w:val="sr-Cyrl-RS"/>
        </w:rPr>
        <w:t>пан</w:t>
      </w:r>
      <w:r w:rsidR="00285491">
        <w:rPr>
          <w:rFonts w:cstheme="minorHAnsi"/>
          <w:bCs/>
          <w:szCs w:val="72"/>
          <w:lang w:val="sr-Cyrl-RS"/>
        </w:rPr>
        <w:t>демије корона</w:t>
      </w:r>
      <w:r w:rsidRPr="00EA3D8C">
        <w:rPr>
          <w:rFonts w:cstheme="minorHAnsi"/>
          <w:bCs/>
          <w:szCs w:val="72"/>
          <w:lang w:val="sr-Cyrl-RS"/>
        </w:rPr>
        <w:t xml:space="preserve">вируса. Томе је у значајној мери допринео пакет економских мера Владе који је био конципиран пре свега тако да обезбеди одржавање производних капацитета привреде, посебно у погледу очувања радних места. Са истим циљем у јулу је усвојен и правни </w:t>
      </w:r>
      <w:r w:rsidRPr="00EA3D8C">
        <w:rPr>
          <w:rFonts w:cstheme="minorHAnsi"/>
          <w:bCs/>
          <w:szCs w:val="72"/>
          <w:lang w:val="sr-Cyrl-RS"/>
        </w:rPr>
        <w:lastRenderedPageBreak/>
        <w:t>оквир за спровођење другог пакета економских мера. Након спроведеног првог сета мера, а пролонгираног трајања сложене епидемиолошке ситуације Влада је донела одлуку да се за још два месеца (у августу и септембру) обезбеди директна помоћ микро, малим и средњим предузећима у износу од 60% минималне зараде, те продужи одлагање плаћања пореза и доприноса на зараде за још један месец.</w:t>
      </w:r>
    </w:p>
    <w:p w14:paraId="5E1388AC" w14:textId="77777777" w:rsidR="00CE1168" w:rsidRPr="00EA3D8C" w:rsidRDefault="00CE1168" w:rsidP="00161001">
      <w:pPr>
        <w:jc w:val="center"/>
        <w:rPr>
          <w:rFonts w:cstheme="minorHAnsi"/>
          <w:b/>
          <w:color w:val="2F5496" w:themeColor="accent1" w:themeShade="BF"/>
          <w:lang w:val="sr-Cyrl-RS"/>
        </w:rPr>
        <w:sectPr w:rsidR="00CE1168" w:rsidRPr="00EA3D8C" w:rsidSect="00AE40EB">
          <w:headerReference w:type="default" r:id="rId79"/>
          <w:footerReference w:type="even" r:id="rId80"/>
          <w:footerReference w:type="default" r:id="rId81"/>
          <w:type w:val="continuous"/>
          <w:pgSz w:w="12240" w:h="15840" w:code="1"/>
          <w:pgMar w:top="1440" w:right="1440" w:bottom="1440" w:left="1440" w:header="720" w:footer="720" w:gutter="0"/>
          <w:cols w:num="2" w:space="720"/>
          <w:docGrid w:linePitch="360"/>
        </w:sectPr>
      </w:pPr>
    </w:p>
    <w:p w14:paraId="7ED04084" w14:textId="6CA70263" w:rsidR="00CE1168" w:rsidRPr="00EA3D8C" w:rsidRDefault="00CE1168" w:rsidP="00161001">
      <w:pPr>
        <w:jc w:val="center"/>
        <w:rPr>
          <w:rFonts w:cstheme="minorHAnsi"/>
          <w:b/>
          <w:color w:val="2F5496" w:themeColor="accent1" w:themeShade="BF"/>
          <w:lang w:val="sr-Cyrl-RS"/>
        </w:rPr>
        <w:sectPr w:rsidR="00CE1168" w:rsidRPr="00EA3D8C" w:rsidSect="00AE40EB">
          <w:type w:val="continuous"/>
          <w:pgSz w:w="12240" w:h="15840" w:code="1"/>
          <w:pgMar w:top="1440" w:right="1440" w:bottom="1440" w:left="1440" w:header="720" w:footer="720" w:gutter="0"/>
          <w:cols w:space="720"/>
          <w:docGrid w:linePitch="360"/>
        </w:sectPr>
      </w:pPr>
      <w:r w:rsidRPr="00EA3D8C">
        <w:rPr>
          <w:rFonts w:cstheme="minorHAnsi"/>
          <w:noProof/>
          <w:color w:val="auto"/>
        </w:rPr>
        <w:lastRenderedPageBreak/>
        <mc:AlternateContent>
          <mc:Choice Requires="wps">
            <w:drawing>
              <wp:anchor distT="0" distB="0" distL="114300" distR="114300" simplePos="0" relativeHeight="251664896" behindDoc="1" locked="0" layoutInCell="1" allowOverlap="1" wp14:anchorId="491922C3" wp14:editId="167ACA60">
                <wp:simplePos x="0" y="0"/>
                <wp:positionH relativeFrom="margin">
                  <wp:posOffset>-66675</wp:posOffset>
                </wp:positionH>
                <wp:positionV relativeFrom="paragraph">
                  <wp:posOffset>8890</wp:posOffset>
                </wp:positionV>
                <wp:extent cx="6048375" cy="5710687"/>
                <wp:effectExtent l="0" t="0" r="9525" b="4445"/>
                <wp:wrapNone/>
                <wp:docPr id="62" name="Rectangle 62"/>
                <wp:cNvGraphicFramePr/>
                <a:graphic xmlns:a="http://schemas.openxmlformats.org/drawingml/2006/main">
                  <a:graphicData uri="http://schemas.microsoft.com/office/word/2010/wordprocessingShape">
                    <wps:wsp>
                      <wps:cNvSpPr/>
                      <wps:spPr>
                        <a:xfrm>
                          <a:off x="0" y="0"/>
                          <a:ext cx="6048375" cy="5710687"/>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7090780" id="Rectangle 62" o:spid="_x0000_s1026" style="position:absolute;margin-left:-5.25pt;margin-top:.7pt;width:476.25pt;height:449.65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" fillcolor="#d9d9d9" stroked="f" strokeweight="1pt">
                <v:fill r:id="rId19" o:title="" color2="window" type="pattern"/>
                <w10:wrap anchorx="margin"/>
              </v:rect>
            </w:pict>
          </mc:Fallback>
        </mc:AlternateContent>
      </w:r>
      <w:r w:rsidRPr="00EA3D8C">
        <w:rPr>
          <w:rFonts w:cstheme="minorHAnsi"/>
          <w:b/>
          <w:color w:val="2F5496" w:themeColor="accent1" w:themeShade="BF"/>
          <w:lang w:val="sr-Cyrl-RS"/>
        </w:rPr>
        <w:t>Структурна побољшања на тржишту рада у периоду од 2014. до 2019. године</w:t>
      </w:r>
    </w:p>
    <w:p w14:paraId="164806A9" w14:textId="2FA1077E" w:rsidR="00CE1168" w:rsidRPr="00EA3D8C" w:rsidRDefault="00CE1168" w:rsidP="00161001">
      <w:pPr>
        <w:spacing w:after="360"/>
        <w:rPr>
          <w:rFonts w:cstheme="minorHAnsi"/>
          <w:bCs/>
          <w:szCs w:val="72"/>
          <w:lang w:val="sr-Cyrl-RS"/>
        </w:rPr>
        <w:sectPr w:rsidR="00CE1168" w:rsidRPr="00EA3D8C" w:rsidSect="00AE40EB">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lastRenderedPageBreak/>
        <w:t xml:space="preserve">Према Анкети о радној снази у 2019. години стопа незапослености достигла је рекордно низак ниво и износила је 10,4%, што је мање за 2,3 п.п. у поређењу са годином пре и за чак 8,8 п.п. мање него пре пет година. Од 2014. до 2019. године повећана је запосленост за 13,3%, и износила је 2.901,0 хиљада, уз повећање броја радника на неодређено и одређено време, као и запослених са пуним радним временом. У овом периоду, стопа запослености достигла је ниво од 49,0%, што је њен највећи ниво од када постоје упоредиви подаци. Поред значајног смањења стопе </w:t>
      </w:r>
      <w:r w:rsidRPr="00EA3D8C">
        <w:rPr>
          <w:rFonts w:cstheme="minorHAnsi"/>
          <w:bCs/>
          <w:szCs w:val="72"/>
          <w:lang w:val="sr-Cyrl-RS"/>
        </w:rPr>
        <w:lastRenderedPageBreak/>
        <w:t xml:space="preserve">незапослености, забележена су и структурна побољшања на тржишту рада. У последњих пет година регистровано је смањење стопе незапослености младих са 47,5% на 27,5%. Смањење незапослености регистровано је у свим старосним групама. Поред категорије младих </w:t>
      </w:r>
      <w:r w:rsidRPr="00EA3D8C">
        <w:rPr>
          <w:rFonts w:cstheme="minorHAnsi"/>
          <w:bCs/>
          <w:spacing w:val="4"/>
          <w:szCs w:val="72"/>
          <w:lang w:val="sr-Cyrl-RS"/>
        </w:rPr>
        <w:t xml:space="preserve">(15–24 године), значајно смањење незапослености забележено је и код старосне групе 25–34 године. Такође, уочљив је напредак у положају жена на тржишту рада као и </w:t>
      </w:r>
      <w:r w:rsidRPr="00EA3D8C">
        <w:rPr>
          <w:rFonts w:cstheme="minorHAnsi"/>
          <w:bCs/>
          <w:szCs w:val="72"/>
          <w:lang w:val="sr-Cyrl-RS"/>
        </w:rPr>
        <w:t>повећање стопе активности код оба пола свих старосних доби.</w:t>
      </w:r>
      <w:r w:rsidR="00E336BD" w:rsidRPr="00EA3D8C">
        <w:rPr>
          <w:rFonts w:cstheme="minorHAnsi"/>
          <w:bCs/>
          <w:szCs w:val="72"/>
          <w:lang w:val="sr-Cyrl-RS"/>
        </w:rPr>
        <w:tab/>
      </w:r>
    </w:p>
    <w:p w14:paraId="64343ADD" w14:textId="77777777" w:rsidR="00CE1168" w:rsidRPr="00EA3D8C" w:rsidRDefault="00CE1168" w:rsidP="00C130D2">
      <w:pPr>
        <w:spacing w:after="0"/>
        <w:jc w:val="center"/>
        <w:rPr>
          <w:rFonts w:cstheme="minorHAnsi"/>
          <w:b/>
          <w:bCs/>
          <w:color w:val="002060"/>
          <w:szCs w:val="72"/>
          <w:lang w:val="sr-Cyrl-RS"/>
        </w:rPr>
      </w:pPr>
      <w:r w:rsidRPr="00EA3D8C">
        <w:rPr>
          <w:rFonts w:cstheme="minorHAnsi"/>
          <w:b/>
          <w:bCs/>
          <w:color w:val="002060"/>
          <w:szCs w:val="72"/>
          <w:lang w:val="sr-Cyrl-RS"/>
        </w:rPr>
        <w:lastRenderedPageBreak/>
        <w:t>Показатељи тржишта рада према старосним групама и полу</w:t>
      </w:r>
    </w:p>
    <w:p w14:paraId="42C31656" w14:textId="77777777" w:rsidR="00CE1168" w:rsidRPr="00EA3D8C" w:rsidRDefault="00CE1168" w:rsidP="00C130D2">
      <w:pPr>
        <w:spacing w:after="0"/>
        <w:jc w:val="center"/>
        <w:rPr>
          <w:rFonts w:cstheme="minorHAnsi"/>
          <w:b/>
          <w:bCs/>
          <w:color w:val="002060"/>
          <w:szCs w:val="72"/>
          <w:lang w:val="sr-Cyrl-RS"/>
        </w:rPr>
      </w:pPr>
      <w:r w:rsidRPr="00EA3D8C">
        <w:rPr>
          <w:rFonts w:cstheme="minorHAnsi"/>
          <w:b/>
          <w:bCs/>
          <w:color w:val="002060"/>
          <w:szCs w:val="72"/>
          <w:lang w:val="sr-Cyrl-RS"/>
        </w:rPr>
        <w:t>2014. година                                                                                             2019. година</w:t>
      </w:r>
    </w:p>
    <w:p w14:paraId="513CCA37" w14:textId="77777777" w:rsidR="00CE1168" w:rsidRPr="00EA3D8C" w:rsidRDefault="00CE1168" w:rsidP="00C130D2">
      <w:pPr>
        <w:rPr>
          <w:rFonts w:cstheme="minorHAnsi"/>
          <w:bCs/>
          <w:szCs w:val="72"/>
          <w:lang w:val="sr-Cyrl-RS"/>
        </w:rPr>
      </w:pPr>
      <w:r w:rsidRPr="00EA3D8C">
        <w:rPr>
          <w:rFonts w:cstheme="minorHAnsi"/>
          <w:bCs/>
          <w:noProof/>
          <w:szCs w:val="72"/>
        </w:rPr>
        <w:drawing>
          <wp:anchor distT="0" distB="0" distL="114300" distR="114300" simplePos="0" relativeHeight="251663872" behindDoc="0" locked="0" layoutInCell="1" allowOverlap="1" wp14:anchorId="066A5DFC" wp14:editId="39A44618">
            <wp:simplePos x="0" y="0"/>
            <wp:positionH relativeFrom="margin">
              <wp:align>center</wp:align>
            </wp:positionH>
            <wp:positionV relativeFrom="paragraph">
              <wp:posOffset>1071143</wp:posOffset>
            </wp:positionV>
            <wp:extent cx="673160" cy="592532"/>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73160" cy="592532"/>
                    </a:xfrm>
                    <a:prstGeom prst="rect">
                      <a:avLst/>
                    </a:prstGeom>
                    <a:noFill/>
                  </pic:spPr>
                </pic:pic>
              </a:graphicData>
            </a:graphic>
          </wp:anchor>
        </w:drawing>
      </w:r>
      <w:r w:rsidRPr="00EA3D8C">
        <w:rPr>
          <w:noProof/>
        </w:rPr>
        <w:drawing>
          <wp:inline distT="0" distB="0" distL="0" distR="0" wp14:anchorId="6E21CD60" wp14:editId="21D0C0BB">
            <wp:extent cx="2999213" cy="2376000"/>
            <wp:effectExtent l="6985"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6"/>
                    <pic:cNvPicPr>
                      <a:picLocks noChangeAspect="1" noChangeArrowheads="1"/>
                      <a:extLst>
                        <a:ext uri="{84589F7E-364E-4C9E-8A38-B11213B215E9}">
                          <a14:cameraTool xmlns:a14="http://schemas.microsoft.com/office/drawing/2010/main" cellRange="$A$185:$F$203"/>
                        </a:ext>
                      </a:extLst>
                    </pic:cNvPicPr>
                  </pic:nvPicPr>
                  <pic:blipFill>
                    <a:blip r:embed="rId83"/>
                    <a:srcRect/>
                    <a:stretch>
                      <a:fillRect/>
                    </a:stretch>
                  </pic:blipFill>
                  <pic:spPr bwMode="auto">
                    <a:xfrm rot="16200000">
                      <a:off x="0" y="0"/>
                      <a:ext cx="2999213" cy="2376000"/>
                    </a:xfrm>
                    <a:prstGeom prst="rect">
                      <a:avLst/>
                    </a:prstGeom>
                    <a:solidFill>
                      <a:srgbClr xmlns:a14="http://schemas.microsoft.com/office/drawing/2010/main" val="FFFFFF" mc:Ignorable="a14" a14:legacySpreadsheetColorIndex="9"/>
                    </a:solidFill>
                    <a:ln w="9525">
                      <a:noFill/>
                      <a:miter lim="800000"/>
                      <a:headEnd/>
                      <a:tailEnd/>
                    </a:ln>
                  </pic:spPr>
                </pic:pic>
              </a:graphicData>
            </a:graphic>
          </wp:inline>
        </w:drawing>
      </w:r>
      <w:r w:rsidRPr="00EA3D8C">
        <w:rPr>
          <w:rFonts w:cstheme="minorHAnsi"/>
          <w:bCs/>
          <w:szCs w:val="72"/>
          <w:lang w:val="sr-Cyrl-RS"/>
        </w:rPr>
        <w:t xml:space="preserve">                                  </w:t>
      </w:r>
      <w:r w:rsidRPr="00EA3D8C">
        <w:rPr>
          <w:noProof/>
        </w:rPr>
        <w:drawing>
          <wp:inline distT="0" distB="0" distL="0" distR="0" wp14:anchorId="607E8C4A" wp14:editId="71D8E239">
            <wp:extent cx="2990981" cy="2347393"/>
            <wp:effectExtent l="0" t="1905" r="0" b="0"/>
            <wp:docPr id="66" name="Picture 6">
              <a:extLst xmlns:a="http://schemas.openxmlformats.org/drawingml/2006/main">
                <a:ext uri="{FF2B5EF4-FFF2-40B4-BE49-F238E27FC236}">
                  <a16:creationId xmlns:a16="http://schemas.microsoft.com/office/drawing/2014/main" id="{CE4728A1-2677-44AD-A48E-F7F5452C96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E4728A1-2677-44AD-A48E-F7F5452C966D}"/>
                        </a:ext>
                      </a:extLst>
                    </pic:cNvPr>
                    <pic:cNvPicPr>
                      <a:picLocks noChangeAspect="1" noChangeArrowheads="1"/>
                      <a:extLst>
                        <a:ext uri="{84589F7E-364E-4C9E-8A38-B11213B215E9}">
                          <a14:cameraTool xmlns:a14="http://schemas.microsoft.com/office/drawing/2010/main" cellRange="$A$185:$G$207" spid="_x0000_s16391"/>
                        </a:ext>
                      </a:extLst>
                    </pic:cNvPicPr>
                  </pic:nvPicPr>
                  <pic:blipFill>
                    <a:blip r:embed="rId84"/>
                    <a:srcRect/>
                    <a:stretch>
                      <a:fillRect/>
                    </a:stretch>
                  </pic:blipFill>
                  <pic:spPr bwMode="auto">
                    <a:xfrm rot="16200000">
                      <a:off x="0" y="0"/>
                      <a:ext cx="2994621" cy="2350250"/>
                    </a:xfrm>
                    <a:prstGeom prst="rect">
                      <a:avLst/>
                    </a:prstGeom>
                    <a:noFill/>
                    <a:ln w="9525">
                      <a:noFill/>
                      <a:miter lim="800000"/>
                      <a:headEnd/>
                      <a:tailEnd/>
                    </a:ln>
                  </pic:spPr>
                </pic:pic>
              </a:graphicData>
            </a:graphic>
          </wp:inline>
        </w:drawing>
      </w:r>
    </w:p>
    <w:p w14:paraId="24268C2E" w14:textId="77777777" w:rsidR="00CE1168" w:rsidRPr="00EA3D8C" w:rsidRDefault="00CE1168" w:rsidP="0074685C">
      <w:pPr>
        <w:spacing w:after="0"/>
        <w:rPr>
          <w:rFonts w:cstheme="minorHAnsi"/>
          <w:bCs/>
          <w:szCs w:val="72"/>
          <w:lang w:val="sr-Cyrl-RS"/>
        </w:rPr>
        <w:sectPr w:rsidR="00CE1168" w:rsidRPr="00EA3D8C" w:rsidSect="00AE40EB">
          <w:type w:val="continuous"/>
          <w:pgSz w:w="12240" w:h="15840" w:code="1"/>
          <w:pgMar w:top="1440" w:right="1440" w:bottom="1440" w:left="1440" w:header="720" w:footer="720" w:gutter="0"/>
          <w:cols w:space="720"/>
          <w:docGrid w:linePitch="360"/>
        </w:sectPr>
      </w:pPr>
    </w:p>
    <w:p w14:paraId="49F51E4A" w14:textId="5F4F08D8" w:rsidR="00CE1168" w:rsidRPr="00EA3D8C" w:rsidRDefault="00CE1168" w:rsidP="00642143">
      <w:pPr>
        <w:spacing w:after="120"/>
        <w:rPr>
          <w:rFonts w:cstheme="minorHAnsi"/>
          <w:bCs/>
          <w:szCs w:val="72"/>
          <w:lang w:val="sr-Cyrl-RS"/>
        </w:rPr>
      </w:pPr>
      <w:r w:rsidRPr="00EA3D8C">
        <w:rPr>
          <w:rFonts w:cstheme="minorHAnsi"/>
          <w:bCs/>
          <w:szCs w:val="72"/>
          <w:lang w:val="sr-Cyrl-RS"/>
        </w:rPr>
        <w:lastRenderedPageBreak/>
        <w:t xml:space="preserve">И поред отежаних услова како на међународном, тако и на домаћем тржишту, у 2020. години се бележе повољна кретања на тржишту рада. Према подацима АРС стопа незапослености на </w:t>
      </w:r>
      <w:r w:rsidRPr="00EA3D8C">
        <w:rPr>
          <w:rFonts w:cstheme="minorHAnsi"/>
          <w:bCs/>
          <w:szCs w:val="72"/>
          <w:lang w:val="sr-Cyrl-RS"/>
        </w:rPr>
        <w:lastRenderedPageBreak/>
        <w:t>међугодишњем нивоу у прво</w:t>
      </w:r>
      <w:r w:rsidR="00DD6317">
        <w:rPr>
          <w:rFonts w:cstheme="minorHAnsi"/>
          <w:bCs/>
          <w:szCs w:val="72"/>
          <w:lang w:val="sr-Cyrl-RS"/>
        </w:rPr>
        <w:t>м кварталу је смањена за 2,4 п.</w:t>
      </w:r>
      <w:r w:rsidRPr="00EA3D8C">
        <w:rPr>
          <w:rFonts w:cstheme="minorHAnsi"/>
          <w:bCs/>
          <w:szCs w:val="72"/>
          <w:lang w:val="sr-Cyrl-RS"/>
        </w:rPr>
        <w:t>п, на ниво од 9,7%. У другом кварталу стопа неза</w:t>
      </w:r>
      <w:r w:rsidR="00DD6317">
        <w:rPr>
          <w:rFonts w:cstheme="minorHAnsi"/>
          <w:bCs/>
          <w:szCs w:val="72"/>
          <w:lang w:val="sr-Cyrl-RS"/>
        </w:rPr>
        <w:t>послености је смањена за 3,0 п.</w:t>
      </w:r>
      <w:r w:rsidRPr="00EA3D8C">
        <w:rPr>
          <w:rFonts w:cstheme="minorHAnsi"/>
          <w:bCs/>
          <w:szCs w:val="72"/>
          <w:lang w:val="sr-Cyrl-RS"/>
        </w:rPr>
        <w:t xml:space="preserve">п, мг, на рекордно низак ниво од 7,3%. </w:t>
      </w:r>
      <w:r w:rsidRPr="00EA3D8C">
        <w:rPr>
          <w:rFonts w:cstheme="minorHAnsi"/>
          <w:bCs/>
          <w:szCs w:val="72"/>
          <w:lang w:val="sr-Cyrl-RS"/>
        </w:rPr>
        <w:lastRenderedPageBreak/>
        <w:t xml:space="preserve">Такође, у другом кварталу је дошло и до смањења стопе запослености са 49,2% у Q2 2019 на 48,2% у Q2 2020. године. Истовремено смањење стопе незапослености и стопе запослености последица је пораста броја неактивног становништва за 153,8 хиљада лица, односно смањења стопе активности за 2,8 п.п. Укупан број запослених је смањен за 2,5%, уз раст формалне за 60,1 хиљаду и пад неформалне запослености за 132,4 хиљада лица, а што је резултат. Поред значајног смањења стопе незапослености и смањења неформалне запослености, забележена су и побољшања код других показатеља. Побољшан је положај код осетљивијих категорија становништва, односно код популације младих и жена. Тако је на међугодишњем нивоу смањена стопа незапослености младих са 24,4% на 20,7%, док је код жена смањена са 11,0% на 7,6%. </w:t>
      </w:r>
      <w:r w:rsidRPr="00EA3D8C">
        <w:rPr>
          <w:rFonts w:cstheme="minorHAnsi"/>
          <w:bCs/>
          <w:spacing w:val="-4"/>
          <w:szCs w:val="72"/>
          <w:lang w:val="sr-Cyrl-RS"/>
        </w:rPr>
        <w:t>Такође, смањена је стопа дугорочне незапослености за 2,0п.п. на 4,1%, и стопа запослености у неформалном делу привреде за 4,1 п.п. на 15,2%.</w:t>
      </w:r>
      <w:r w:rsidRPr="00EA3D8C">
        <w:rPr>
          <w:rFonts w:cstheme="minorHAnsi"/>
          <w:bCs/>
          <w:szCs w:val="72"/>
          <w:lang w:val="sr-Cyrl-RS"/>
        </w:rPr>
        <w:t xml:space="preserve"> Повољна кретања на тржишту радне снаге потврђују и подаци из ЦРОСО, према којима је у периоду јануар–септембар број запослених на међугодишњем нивоу повећан за 45,1 хиљаду лица, односно за 2,2%. То је готово у потпуности резултат раста броја запослених у приватном сектору. Секторски посматрано прерађивачка индустрија предњачи по запошљавању са 15,4 хиљада новозапослених радника, а следе је грађевинарство са 10,2 хиљаде и информациони сектор са 6,2 хиљаде. Такође, још једна потврда добрих резултата на тржишту рада су и подаци Националне службе за запошљавање (у даљем тексту: НСЗ), према којима је у периоду јануар–септембар 2020. године број незапослених лица смањен за 23,9 хиљада, односно за 4,4%, мг.</w:t>
      </w:r>
    </w:p>
    <w:p w14:paraId="5B97D047" w14:textId="77777777" w:rsidR="00CE1168" w:rsidRPr="00EA3D8C" w:rsidRDefault="00CE1168" w:rsidP="00642143">
      <w:pPr>
        <w:pStyle w:val="Caption"/>
        <w:keepNext/>
        <w:spacing w:after="80"/>
        <w:rPr>
          <w:rFonts w:cstheme="minorHAnsi"/>
          <w:b w:val="0"/>
          <w:i/>
          <w:iCs w:val="0"/>
          <w:szCs w:val="22"/>
          <w:lang w:val="sr-Cyrl-RS"/>
        </w:rPr>
      </w:pPr>
      <w:r w:rsidRPr="00EA3D8C">
        <w:rPr>
          <w:rFonts w:cstheme="minorHAnsi"/>
          <w:iCs w:val="0"/>
          <w:szCs w:val="22"/>
          <w:lang w:val="sr-Cyrl-RS"/>
        </w:rPr>
        <w:t>Кретање основних показатеља тржишта рада</w:t>
      </w:r>
    </w:p>
    <w:p w14:paraId="6A1E2B00" w14:textId="77777777" w:rsidR="00CE1168" w:rsidRPr="00EA3D8C" w:rsidRDefault="00CE1168" w:rsidP="0074685C">
      <w:pPr>
        <w:spacing w:after="0"/>
        <w:rPr>
          <w:rFonts w:cstheme="minorHAnsi"/>
          <w:bCs/>
          <w:szCs w:val="72"/>
          <w:lang w:val="sr-Cyrl-RS"/>
        </w:rPr>
      </w:pPr>
      <w:r w:rsidRPr="00EA3D8C">
        <w:rPr>
          <w:noProof/>
        </w:rPr>
        <w:drawing>
          <wp:inline distT="0" distB="0" distL="0" distR="0" wp14:anchorId="286BA1C4" wp14:editId="4720A5BD">
            <wp:extent cx="2736850" cy="1562100"/>
            <wp:effectExtent l="0" t="0" r="6350" b="0"/>
            <wp:docPr id="67" name="Chart 67">
              <a:extLst xmlns:a="http://schemas.openxmlformats.org/drawingml/2006/main">
                <a:ext uri="{FF2B5EF4-FFF2-40B4-BE49-F238E27FC236}">
                  <a16:creationId xmlns:a16="http://schemas.microsoft.com/office/drawing/2014/main" id="{00000000-0008-0000-0D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22649ED4" w14:textId="77777777" w:rsidR="00CE1168" w:rsidRPr="00EA3D8C" w:rsidRDefault="00CE1168" w:rsidP="0074685C">
      <w:pPr>
        <w:spacing w:before="40"/>
        <w:rPr>
          <w:rFonts w:cstheme="minorHAnsi"/>
          <w:bCs/>
          <w:szCs w:val="72"/>
          <w:lang w:val="sr-Cyrl-RS"/>
        </w:rPr>
      </w:pPr>
      <w:r w:rsidRPr="00EA3D8C">
        <w:rPr>
          <w:rFonts w:cstheme="minorHAnsi"/>
          <w:bCs/>
          <w:sz w:val="16"/>
          <w:szCs w:val="72"/>
          <w:lang w:val="sr-Cyrl-RS"/>
        </w:rPr>
        <w:t>Извор: РЗС</w:t>
      </w:r>
    </w:p>
    <w:p w14:paraId="092E0036" w14:textId="6309010A" w:rsidR="00CE1168" w:rsidRPr="00EA3D8C" w:rsidRDefault="00CE1168" w:rsidP="00C130D2">
      <w:pPr>
        <w:rPr>
          <w:rFonts w:cstheme="minorHAnsi"/>
          <w:bCs/>
          <w:szCs w:val="72"/>
          <w:lang w:val="sr-Cyrl-RS"/>
        </w:rPr>
      </w:pPr>
      <w:r w:rsidRPr="00EA3D8C">
        <w:rPr>
          <w:rFonts w:cstheme="minorHAnsi"/>
          <w:bCs/>
          <w:szCs w:val="72"/>
          <w:lang w:val="sr-Cyrl-RS"/>
        </w:rPr>
        <w:lastRenderedPageBreak/>
        <w:t xml:space="preserve">Просечна нето зарада у 2019. години била је вођена, пре свега снажним привредним растом, те је повећана номинално за 10,6% и реално за 8,5% у односу на 2018. годину и износила је 54.919 динара. Раст зарада је био вођен, пре свега растом зарада у приватном сектору. Посматрано према делатностима расту зарада су пре свега допринеле прерађивачка индустрија и трговина. Позитивна кретања прелила су се и у 2020. годину, упркос негативним ефектима </w:t>
      </w:r>
      <w:r w:rsidR="008E4992" w:rsidRPr="008E4992">
        <w:rPr>
          <w:rFonts w:cstheme="minorHAnsi"/>
          <w:bCs/>
          <w:szCs w:val="72"/>
          <w:lang w:val="sr-Cyrl-RS"/>
        </w:rPr>
        <w:t>пан</w:t>
      </w:r>
      <w:r w:rsidRPr="00EA3D8C">
        <w:rPr>
          <w:rFonts w:cstheme="minorHAnsi"/>
          <w:bCs/>
          <w:szCs w:val="72"/>
          <w:lang w:val="sr-Cyrl-RS"/>
        </w:rPr>
        <w:t>демије коронавируса. Како би што више ублажила негативне ефекте на кретање зарада Влада је у два наврата доносила пакет економских мера. Такође, на раст просечне зараде утицала је и одлука Владе крајем 2019. године о повећању плата у распону од осам процената у државној управи до 15 процената код медицинских сестара, али и одлуке о трајном повећању плата здравственим радницима за 10% почев од априла 2020. године. Поред овога на раст зарада утицала је и одлука о повећању минималне цене рада на 172,54 по радном часу у 2020. са 155,3 динара колико је износила у 2019. години. Тако у периоду јануар–август просечна нето зарада номинално је повећана за 9,2%, а реално за 7,6%, мг. и износила је 59.234 динара. Повећање просечне нето зараде забележено је у свим регионима, с тим да је највеће било у Београдском региону. Реални раст зарада у јавном сектору је износио 9,3%, док је у приватном сектору остварен реални раст зарада од 6,8%. Секторски посматрано највећи допринос расту просечне зараде дали су здравство, трговина и прерађивачка индустрија.</w:t>
      </w:r>
    </w:p>
    <w:p w14:paraId="35E3669A" w14:textId="2C0B2CD1" w:rsidR="00CE1168" w:rsidRPr="00EA3D8C" w:rsidRDefault="00285491" w:rsidP="00C130D2">
      <w:pPr>
        <w:rPr>
          <w:rFonts w:cstheme="minorHAnsi"/>
          <w:bCs/>
          <w:szCs w:val="72"/>
          <w:highlight w:val="darkYellow"/>
          <w:lang w:val="sr-Cyrl-RS"/>
        </w:rPr>
      </w:pPr>
      <w:r>
        <w:rPr>
          <w:rFonts w:cstheme="minorHAnsi"/>
          <w:bCs/>
          <w:szCs w:val="72"/>
          <w:lang w:val="sr-Cyrl-RS"/>
        </w:rPr>
        <w:t>Пандемија корона</w:t>
      </w:r>
      <w:r w:rsidR="00CE1168" w:rsidRPr="00EA3D8C">
        <w:rPr>
          <w:rFonts w:cstheme="minorHAnsi"/>
          <w:bCs/>
          <w:szCs w:val="72"/>
          <w:lang w:val="sr-Cyrl-RS"/>
        </w:rPr>
        <w:t xml:space="preserve">вируса неминовно ће се одразити на тржиште радне снаге. Међутим, правовремене мере креатора економске политике, у чијем је фокусу пре свега одржавање запослености, у значајној мери ублажавају негативне ефекте изазване пандемијом, те се у 2020. години не очекују значајније турбуленције на тржишту радне снаге, ни када је реч о броју запослених, нити по питању висине зарада. Иако је у другом кварталу остварена рекордно ниска стопа незапослености, пре свега услед смањења броја људи који су активно тражили посао, очекује се њено благо повећање до краја године, с тим да ће остати на годишњем нивоу испод 10%. Досадашња повољна кретања, посвећеност Владе </w:t>
      </w:r>
      <w:r w:rsidR="00CE1168" w:rsidRPr="00EA3D8C">
        <w:rPr>
          <w:rFonts w:cstheme="minorHAnsi"/>
          <w:bCs/>
          <w:szCs w:val="72"/>
          <w:lang w:val="sr-Cyrl-RS"/>
        </w:rPr>
        <w:lastRenderedPageBreak/>
        <w:t>повећању броја запослених, као једном од приоритетних циљева економске политике, као и очекивани привредни раст определило је пројекцију за средњорочни период. Очекује се наставак позитивних кретања, кроз побољшање свих индикатора тржишта рада, нарочито кроз даље смањивање стопе незапослености. Оваква очекивања резултат су континуираног рада на побољшавању услова на тржишту рада, унапређивању институција тржишта рада, подстицању запошљавања и укључивања на тржиште рада теже запошљивих лица, као и подршке регионалној и локалној политици запошљавања. Такође, континуирано се ради на унапређивању радне снаге у погледу квалитета, као и на улагању у људски капитал, све у циљу лакшег општег запошљавања, а нарочито у оном делу привреде који има већу додату вредност. Такође, интензивираним радом инспекцијских служби, а након унапређења радног законодавства и донесених мера у правцу пореског растерећења рада, наставиће се смањивање броја запослених у сивој зони и њихово превођење у контингент формално запослених. Овим мерама ће услови рада, у погледу права и осигурања радника, бити побољшани, а позитиван ефекат ће се одразити и на приходе буџета. На крају средњорочног периода очекује се ефектуирање комплексних реформи образовног система и адекватан одговор на потребе привреде, док ће се активним мерама обука, преквалификација и подршке социјалном предузетништву олакшати доступност радних места социјално рањивим категоријама друштва и тиме додатно обезбедити инклузивност привредног раста. У средњем року очекује се наставак раста просечних зарада. Ради економске одрживости, раст зарада у средњем и нарочито дужем року треба да буде заснован на расту продуктивности. То ће захтевати наставак креирања повољних услова за привредни раст, пре свега кроз раст потрошње и привлачење и раст приватних инвестиција.</w:t>
      </w:r>
    </w:p>
    <w:p w14:paraId="6FE3FF4E" w14:textId="77777777" w:rsidR="00CE1168" w:rsidRPr="00EA3D8C" w:rsidRDefault="00CE1168" w:rsidP="00F97457">
      <w:pPr>
        <w:rPr>
          <w:rFonts w:cstheme="minorHAnsi"/>
          <w:b/>
          <w:color w:val="2F5496" w:themeColor="accent1" w:themeShade="BF"/>
          <w:sz w:val="22"/>
          <w:lang w:val="sr-Cyrl-RS"/>
        </w:rPr>
      </w:pPr>
      <w:r w:rsidRPr="00EA3D8C">
        <w:rPr>
          <w:rFonts w:cstheme="minorHAnsi"/>
          <w:b/>
          <w:color w:val="2F5496" w:themeColor="accent1" w:themeShade="BF"/>
          <w:sz w:val="22"/>
          <w:lang w:val="sr-Cyrl-RS"/>
        </w:rPr>
        <w:t>Монетарна кретања</w:t>
      </w:r>
    </w:p>
    <w:p w14:paraId="18C6399E" w14:textId="3F6310BC" w:rsidR="00CE1168" w:rsidRPr="00EA3D8C" w:rsidRDefault="00CE1168" w:rsidP="00161001">
      <w:pPr>
        <w:pStyle w:val="Caption"/>
        <w:keepNext/>
        <w:jc w:val="both"/>
        <w:rPr>
          <w:rFonts w:cstheme="minorHAnsi"/>
          <w:b w:val="0"/>
          <w:iCs w:val="0"/>
          <w:color w:val="44546A" w:themeColor="text2"/>
          <w:szCs w:val="22"/>
          <w:lang w:val="sr-Cyrl-RS"/>
        </w:rPr>
      </w:pPr>
      <w:r w:rsidRPr="00EA3D8C">
        <w:rPr>
          <w:rFonts w:cstheme="minorHAnsi"/>
          <w:b w:val="0"/>
          <w:iCs w:val="0"/>
          <w:color w:val="44546A" w:themeColor="text2"/>
          <w:szCs w:val="22"/>
          <w:lang w:val="sr-Cyrl-RS"/>
        </w:rPr>
        <w:t>Услед појачане неизвесности узр</w:t>
      </w:r>
      <w:r w:rsidR="00285491">
        <w:rPr>
          <w:rFonts w:cstheme="minorHAnsi"/>
          <w:b w:val="0"/>
          <w:iCs w:val="0"/>
          <w:color w:val="44546A" w:themeColor="text2"/>
          <w:szCs w:val="22"/>
          <w:lang w:val="sr-Cyrl-RS"/>
        </w:rPr>
        <w:t>оковане пандемијом вируса</w:t>
      </w:r>
      <w:r w:rsidRPr="00EA3D8C">
        <w:rPr>
          <w:rFonts w:cstheme="minorHAnsi"/>
          <w:b w:val="0"/>
          <w:iCs w:val="0"/>
          <w:color w:val="44546A" w:themeColor="text2"/>
          <w:szCs w:val="22"/>
          <w:lang w:val="sr-Cyrl-RS"/>
        </w:rPr>
        <w:t xml:space="preserve">, а у условима претходно очуване пуне ценовне и финансијске стабилности, </w:t>
      </w:r>
      <w:r w:rsidRPr="00EA3D8C">
        <w:rPr>
          <w:rFonts w:cstheme="minorHAnsi"/>
          <w:b w:val="0"/>
          <w:iCs w:val="0"/>
          <w:color w:val="44546A" w:themeColor="text2"/>
          <w:szCs w:val="22"/>
          <w:lang w:val="sr-Cyrl-RS"/>
        </w:rPr>
        <w:lastRenderedPageBreak/>
        <w:t>НБС је у 2020. години ублажавала монетарну политику са циљем ублажавања негативних ефеката пандемије на економску активност. Пре свега, НБС је снизила референтну каматну стопу у три наврата, у марту за 0,50 п.п, у априлу за 0,25 п.п. и јуну за још 0,25 п.п, на историјски најнижи ниво од 1,25%. Ублажавање монетарне политике је довело и до пада каматних стопа на динарске кредите, што је уз подстицање одобравања кредитирања из гарантне шеме допринело расту кредитне активности. Истовремено је, у условима пандемије, а као резултат предузетих мера и пуне координације Владе и НБС, очувана укупна макроекономска, финансијска и фискална стабилност</w:t>
      </w:r>
      <w:r w:rsidRPr="001C31E8">
        <w:rPr>
          <w:rFonts w:cstheme="minorHAnsi"/>
          <w:b w:val="0"/>
          <w:iCs w:val="0"/>
          <w:color w:val="44546A" w:themeColor="text2"/>
          <w:szCs w:val="22"/>
          <w:lang w:val="sr-Cyrl-RS"/>
        </w:rPr>
        <w:t xml:space="preserve">. Поред тога, у два наврата је уведен мораторијум на отплату </w:t>
      </w:r>
      <w:r w:rsidR="00053791" w:rsidRPr="001C31E8">
        <w:rPr>
          <w:rFonts w:cstheme="minorHAnsi"/>
          <w:b w:val="0"/>
          <w:iCs w:val="0"/>
          <w:color w:val="44546A" w:themeColor="text2"/>
          <w:szCs w:val="22"/>
          <w:lang w:val="sr-Cyrl-RS"/>
        </w:rPr>
        <w:t xml:space="preserve">обавеза по основу </w:t>
      </w:r>
      <w:r w:rsidRPr="001C31E8">
        <w:rPr>
          <w:rFonts w:cstheme="minorHAnsi"/>
          <w:b w:val="0"/>
          <w:iCs w:val="0"/>
          <w:color w:val="44546A" w:themeColor="text2"/>
          <w:szCs w:val="22"/>
          <w:lang w:val="sr-Cyrl-RS"/>
        </w:rPr>
        <w:t>кредита</w:t>
      </w:r>
      <w:r w:rsidR="00053791" w:rsidRPr="001C31E8">
        <w:rPr>
          <w:rFonts w:cstheme="minorHAnsi"/>
          <w:b w:val="0"/>
          <w:iCs w:val="0"/>
          <w:color w:val="44546A" w:themeColor="text2"/>
          <w:szCs w:val="22"/>
          <w:lang w:val="sr-Cyrl-RS"/>
        </w:rPr>
        <w:t xml:space="preserve"> и других сличних обавеза дужника</w:t>
      </w:r>
      <w:r w:rsidRPr="001C31E8">
        <w:rPr>
          <w:rFonts w:cstheme="minorHAnsi"/>
          <w:b w:val="0"/>
          <w:iCs w:val="0"/>
          <w:color w:val="44546A" w:themeColor="text2"/>
          <w:szCs w:val="22"/>
          <w:lang w:val="sr-Cyrl-RS"/>
        </w:rPr>
        <w:t>, а обезбеђена су и значајна средства за ликвидност</w:t>
      </w:r>
      <w:r w:rsidR="00053791" w:rsidRPr="001C31E8">
        <w:rPr>
          <w:rFonts w:cstheme="minorHAnsi"/>
          <w:b w:val="0"/>
          <w:iCs w:val="0"/>
          <w:color w:val="44546A" w:themeColor="text2"/>
          <w:szCs w:val="22"/>
          <w:lang w:val="sr-Cyrl-RS"/>
        </w:rPr>
        <w:t xml:space="preserve"> банкарског сектора</w:t>
      </w:r>
      <w:r w:rsidRPr="001C31E8">
        <w:rPr>
          <w:rFonts w:cstheme="minorHAnsi"/>
          <w:b w:val="0"/>
          <w:iCs w:val="0"/>
          <w:color w:val="44546A" w:themeColor="text2"/>
          <w:szCs w:val="22"/>
          <w:lang w:val="sr-Cyrl-RS"/>
        </w:rPr>
        <w:t xml:space="preserve"> путем репо операција</w:t>
      </w:r>
      <w:r w:rsidR="00053791" w:rsidRPr="001C31E8">
        <w:rPr>
          <w:rFonts w:cstheme="minorHAnsi"/>
          <w:b w:val="0"/>
          <w:iCs w:val="0"/>
          <w:color w:val="44546A" w:themeColor="text2"/>
          <w:szCs w:val="22"/>
          <w:lang w:val="sr-Cyrl-RS"/>
        </w:rPr>
        <w:t>,</w:t>
      </w:r>
      <w:r w:rsidRPr="001C31E8">
        <w:rPr>
          <w:rFonts w:cstheme="minorHAnsi"/>
          <w:b w:val="0"/>
          <w:iCs w:val="0"/>
          <w:color w:val="44546A" w:themeColor="text2"/>
          <w:szCs w:val="22"/>
          <w:lang w:val="sr-Cyrl-RS"/>
        </w:rPr>
        <w:t xml:space="preserve"> </w:t>
      </w:r>
      <w:r w:rsidR="00053791" w:rsidRPr="001C31E8">
        <w:rPr>
          <w:rFonts w:cstheme="minorHAnsi"/>
          <w:b w:val="0"/>
          <w:iCs w:val="0"/>
          <w:color w:val="44546A" w:themeColor="text2"/>
          <w:szCs w:val="22"/>
          <w:lang w:val="sr-Cyrl-RS"/>
        </w:rPr>
        <w:t xml:space="preserve">своп аукција девиза, као </w:t>
      </w:r>
      <w:r w:rsidRPr="001C31E8">
        <w:rPr>
          <w:rFonts w:cstheme="minorHAnsi"/>
          <w:b w:val="0"/>
          <w:iCs w:val="0"/>
          <w:color w:val="44546A" w:themeColor="text2"/>
          <w:szCs w:val="22"/>
          <w:lang w:val="sr-Cyrl-RS"/>
        </w:rPr>
        <w:t>и билатералне куповине динарских хартија од вредности</w:t>
      </w:r>
      <w:r w:rsidR="00053791" w:rsidRPr="001C31E8">
        <w:rPr>
          <w:rFonts w:cstheme="minorHAnsi"/>
          <w:b w:val="0"/>
          <w:iCs w:val="0"/>
          <w:color w:val="44546A" w:themeColor="text2"/>
          <w:szCs w:val="22"/>
          <w:lang w:val="sr-Cyrl-RS"/>
        </w:rPr>
        <w:t xml:space="preserve"> (државних и корпоративних)</w:t>
      </w:r>
      <w:r w:rsidRPr="001C31E8">
        <w:rPr>
          <w:rFonts w:cstheme="minorHAnsi"/>
          <w:b w:val="0"/>
          <w:iCs w:val="0"/>
          <w:color w:val="44546A" w:themeColor="text2"/>
          <w:szCs w:val="22"/>
          <w:lang w:val="sr-Cyrl-RS"/>
        </w:rPr>
        <w:t xml:space="preserve"> од банака</w:t>
      </w:r>
      <w:r w:rsidR="00053791" w:rsidRPr="001C31E8">
        <w:rPr>
          <w:rFonts w:cstheme="minorHAnsi"/>
          <w:b w:val="0"/>
          <w:iCs w:val="0"/>
          <w:color w:val="44546A" w:themeColor="text2"/>
          <w:szCs w:val="22"/>
          <w:lang w:val="sr-Cyrl-RS"/>
        </w:rPr>
        <w:t xml:space="preserve"> на секундарном тржишту</w:t>
      </w:r>
      <w:r w:rsidRPr="001C31E8">
        <w:rPr>
          <w:rFonts w:cstheme="minorHAnsi"/>
          <w:b w:val="0"/>
          <w:iCs w:val="0"/>
          <w:color w:val="44546A" w:themeColor="text2"/>
          <w:szCs w:val="22"/>
          <w:lang w:val="sr-Cyrl-RS"/>
        </w:rPr>
        <w:t>.</w:t>
      </w:r>
    </w:p>
    <w:p w14:paraId="079D13A1" w14:textId="14F65F7E" w:rsidR="00CE1168" w:rsidRPr="00EA3D8C" w:rsidRDefault="00CE1168" w:rsidP="00161001">
      <w:pPr>
        <w:pStyle w:val="Caption"/>
        <w:keepNext/>
        <w:jc w:val="both"/>
        <w:rPr>
          <w:rFonts w:cstheme="minorHAnsi"/>
          <w:b w:val="0"/>
          <w:iCs w:val="0"/>
          <w:color w:val="44546A" w:themeColor="text2"/>
          <w:szCs w:val="22"/>
          <w:lang w:val="sr-Cyrl-RS"/>
        </w:rPr>
      </w:pPr>
      <w:r w:rsidRPr="00EA3D8C">
        <w:rPr>
          <w:rFonts w:cstheme="minorHAnsi"/>
          <w:b w:val="0"/>
          <w:iCs w:val="0"/>
          <w:color w:val="44546A" w:themeColor="text2"/>
          <w:szCs w:val="22"/>
          <w:lang w:val="sr-Cyrl-RS"/>
        </w:rPr>
        <w:t>У условима појачане неизвесности на глобалном тржишту, изазване пандемијом коронавируса, кредитна активност бележи двоцифрене стопе раста, уз истовремено даље смањење проблематичних кредита. Раст кредитне активности остварен је захваљујући убрзаном расту кредита почетком године, затим услед релаксације монетарне политике, ефектима два мораторијума у отплати кредита, повољним условима задуживања, а од маја и поз</w:t>
      </w:r>
      <w:r w:rsidRPr="001C31E8">
        <w:rPr>
          <w:rFonts w:cstheme="minorHAnsi"/>
          <w:b w:val="0"/>
          <w:iCs w:val="0"/>
          <w:color w:val="44546A" w:themeColor="text2"/>
          <w:szCs w:val="22"/>
          <w:lang w:val="sr-Cyrl-RS"/>
        </w:rPr>
        <w:t>итивним доприносом кредита из гарантне шеме. Такође, значајно је повећан динарски део пласмана</w:t>
      </w:r>
      <w:r w:rsidR="005300AF" w:rsidRPr="001C31E8">
        <w:rPr>
          <w:rFonts w:cstheme="minorHAnsi"/>
          <w:b w:val="0"/>
          <w:iCs w:val="0"/>
          <w:color w:val="44546A" w:themeColor="text2"/>
          <w:szCs w:val="22"/>
          <w:lang w:val="sr-Cyrl-RS"/>
        </w:rPr>
        <w:t>, што је резултат раста динарских кредита привреди (добрим делом из гарантне шеме), односно</w:t>
      </w:r>
      <w:r w:rsidRPr="001C31E8">
        <w:rPr>
          <w:rFonts w:cstheme="minorHAnsi"/>
          <w:b w:val="0"/>
          <w:iCs w:val="0"/>
          <w:color w:val="44546A" w:themeColor="text2"/>
          <w:szCs w:val="22"/>
          <w:lang w:val="sr-Cyrl-RS"/>
        </w:rPr>
        <w:t xml:space="preserve"> пада каматних стопа на динарск</w:t>
      </w:r>
      <w:r w:rsidR="005300AF" w:rsidRPr="001C31E8">
        <w:rPr>
          <w:rFonts w:cstheme="minorHAnsi"/>
          <w:b w:val="0"/>
          <w:iCs w:val="0"/>
          <w:color w:val="44546A" w:themeColor="text2"/>
          <w:szCs w:val="22"/>
          <w:lang w:val="sr-Cyrl-RS"/>
        </w:rPr>
        <w:t>е</w:t>
      </w:r>
      <w:r w:rsidRPr="001C31E8">
        <w:rPr>
          <w:rFonts w:cstheme="minorHAnsi"/>
          <w:b w:val="0"/>
          <w:iCs w:val="0"/>
          <w:color w:val="44546A" w:themeColor="text2"/>
          <w:szCs w:val="22"/>
          <w:lang w:val="sr-Cyrl-RS"/>
        </w:rPr>
        <w:t xml:space="preserve"> </w:t>
      </w:r>
      <w:r w:rsidR="005300AF" w:rsidRPr="001C31E8">
        <w:rPr>
          <w:rFonts w:cstheme="minorHAnsi"/>
          <w:b w:val="0"/>
          <w:iCs w:val="0"/>
          <w:color w:val="44546A" w:themeColor="text2"/>
          <w:szCs w:val="22"/>
          <w:lang w:val="sr-Cyrl-RS"/>
        </w:rPr>
        <w:t>кредите</w:t>
      </w:r>
      <w:r w:rsidRPr="001C31E8">
        <w:rPr>
          <w:rFonts w:cstheme="minorHAnsi"/>
          <w:b w:val="0"/>
          <w:iCs w:val="0"/>
          <w:color w:val="44546A" w:themeColor="text2"/>
          <w:szCs w:val="22"/>
          <w:lang w:val="sr-Cyrl-RS"/>
        </w:rPr>
        <w:t>.</w:t>
      </w:r>
      <w:r w:rsidRPr="00EA3D8C">
        <w:rPr>
          <w:rFonts w:cstheme="minorHAnsi"/>
          <w:b w:val="0"/>
          <w:iCs w:val="0"/>
          <w:color w:val="44546A" w:themeColor="text2"/>
          <w:szCs w:val="22"/>
          <w:lang w:val="sr-Cyrl-RS"/>
        </w:rPr>
        <w:t xml:space="preserve"> Не мање важно, расту кредитне активности допринела је и ниска и стабилна инфлација, као и мере НБС у циљу подршке процесу динаризације. Позитиван допринос расту кредита дали су и кредити привреди и кредити становништву, а задржана је и повољна структура кредита, пре свега код привреде, где је учешће инвестиционих кредита било веће од кредита за обртна средства. Крајем септембра 2020. године регистрован је номинални раст укупних кредита за 14,4%, мг, за колико су </w:t>
      </w:r>
      <w:r w:rsidRPr="00EA3D8C">
        <w:rPr>
          <w:rFonts w:cstheme="minorHAnsi"/>
          <w:b w:val="0"/>
          <w:iCs w:val="0"/>
          <w:color w:val="44546A" w:themeColor="text2"/>
          <w:szCs w:val="22"/>
          <w:lang w:val="sr-Cyrl-RS"/>
        </w:rPr>
        <w:lastRenderedPageBreak/>
        <w:t xml:space="preserve">повећани и кредити привреди, док су кредити становништву били већи за 14,3%. </w:t>
      </w:r>
      <w:r w:rsidRPr="00CD6E68">
        <w:rPr>
          <w:rFonts w:cstheme="minorHAnsi"/>
          <w:b w:val="0"/>
          <w:iCs w:val="0"/>
          <w:color w:val="44546A" w:themeColor="text2"/>
          <w:szCs w:val="22"/>
          <w:lang w:val="sr-Cyrl-RS"/>
        </w:rPr>
        <w:t xml:space="preserve">Стратегијом за </w:t>
      </w:r>
      <w:r w:rsidR="00135AAB" w:rsidRPr="00CD6E68">
        <w:rPr>
          <w:rFonts w:cstheme="minorHAnsi"/>
          <w:b w:val="0"/>
          <w:iCs w:val="0"/>
          <w:color w:val="44546A" w:themeColor="text2"/>
          <w:szCs w:val="22"/>
          <w:lang w:val="sr-Cyrl-RS"/>
        </w:rPr>
        <w:t>решавање</w:t>
      </w:r>
      <w:r w:rsidRPr="00CD6E68">
        <w:rPr>
          <w:rFonts w:cstheme="minorHAnsi"/>
          <w:b w:val="0"/>
          <w:iCs w:val="0"/>
          <w:color w:val="44546A" w:themeColor="text2"/>
          <w:szCs w:val="22"/>
          <w:lang w:val="sr-Cyrl-RS"/>
        </w:rPr>
        <w:t xml:space="preserve"> проблематичних кредита, чија је примена започета у другој половини 2015. године, учешће проблематичних кредита банкарског сектора у укупним кредитима смањено је за четири пута и на крају </w:t>
      </w:r>
      <w:r w:rsidR="00CD6E68" w:rsidRPr="004543DA">
        <w:rPr>
          <w:rFonts w:cstheme="minorHAnsi"/>
          <w:b w:val="0"/>
          <w:iCs w:val="0"/>
          <w:color w:val="44546A" w:themeColor="text2"/>
          <w:szCs w:val="22"/>
          <w:lang w:val="sr-Cyrl-RS"/>
        </w:rPr>
        <w:t>септембра</w:t>
      </w:r>
      <w:r w:rsidRPr="00CD6E68">
        <w:rPr>
          <w:rFonts w:cstheme="minorHAnsi"/>
          <w:b w:val="0"/>
          <w:iCs w:val="0"/>
          <w:color w:val="44546A" w:themeColor="text2"/>
          <w:szCs w:val="22"/>
          <w:lang w:val="sr-Cyrl-RS"/>
        </w:rPr>
        <w:t xml:space="preserve"> 2020. године износило </w:t>
      </w:r>
      <w:r w:rsidRPr="004543DA">
        <w:rPr>
          <w:rFonts w:cstheme="minorHAnsi"/>
          <w:b w:val="0"/>
          <w:iCs w:val="0"/>
          <w:color w:val="44546A" w:themeColor="text2"/>
          <w:szCs w:val="22"/>
          <w:lang w:val="sr-Cyrl-RS"/>
        </w:rPr>
        <w:t>је 3,</w:t>
      </w:r>
      <w:r w:rsidR="00CD6E68" w:rsidRPr="004543DA">
        <w:rPr>
          <w:rFonts w:cstheme="minorHAnsi"/>
          <w:b w:val="0"/>
          <w:iCs w:val="0"/>
          <w:color w:val="44546A" w:themeColor="text2"/>
          <w:szCs w:val="22"/>
          <w:lang w:val="sr-Cyrl-RS"/>
        </w:rPr>
        <w:t>4</w:t>
      </w:r>
      <w:r w:rsidRPr="004543DA">
        <w:rPr>
          <w:rFonts w:cstheme="minorHAnsi"/>
          <w:b w:val="0"/>
          <w:iCs w:val="0"/>
          <w:color w:val="44546A" w:themeColor="text2"/>
          <w:szCs w:val="22"/>
          <w:lang w:val="sr-Cyrl-RS"/>
        </w:rPr>
        <w:t>%, што</w:t>
      </w:r>
      <w:r w:rsidRPr="00CD6E68">
        <w:rPr>
          <w:rFonts w:cstheme="minorHAnsi"/>
          <w:b w:val="0"/>
          <w:iCs w:val="0"/>
          <w:color w:val="44546A" w:themeColor="text2"/>
          <w:szCs w:val="22"/>
          <w:lang w:val="sr-Cyrl-RS"/>
        </w:rPr>
        <w:t xml:space="preserve"> је најнижи ниво од к</w:t>
      </w:r>
      <w:r w:rsidRPr="00EA3D8C">
        <w:rPr>
          <w:rFonts w:cstheme="minorHAnsi"/>
          <w:b w:val="0"/>
          <w:iCs w:val="0"/>
          <w:color w:val="44546A" w:themeColor="text2"/>
          <w:szCs w:val="22"/>
          <w:lang w:val="sr-Cyrl-RS"/>
        </w:rPr>
        <w:t xml:space="preserve">ада се прати њихово стање. У односу на период пре примене наведене </w:t>
      </w:r>
      <w:r w:rsidRPr="00EB570A">
        <w:rPr>
          <w:rFonts w:cstheme="minorHAnsi"/>
          <w:b w:val="0"/>
          <w:iCs w:val="0"/>
          <w:color w:val="44546A" w:themeColor="text2"/>
          <w:szCs w:val="22"/>
          <w:lang w:val="sr-Cyrl-RS"/>
        </w:rPr>
        <w:t>Стратегије тај показатељ је смањен за чак 18,</w:t>
      </w:r>
      <w:r w:rsidR="00EB570A">
        <w:rPr>
          <w:rFonts w:cstheme="minorHAnsi"/>
          <w:b w:val="0"/>
          <w:iCs w:val="0"/>
          <w:color w:val="44546A" w:themeColor="text2"/>
          <w:szCs w:val="22"/>
          <w:lang w:val="sr-Latn-RS"/>
        </w:rPr>
        <w:t>82</w:t>
      </w:r>
      <w:r w:rsidRPr="00EB570A">
        <w:rPr>
          <w:rFonts w:cstheme="minorHAnsi"/>
          <w:b w:val="0"/>
          <w:iCs w:val="0"/>
          <w:color w:val="44546A" w:themeColor="text2"/>
          <w:szCs w:val="22"/>
          <w:lang w:val="sr-Cyrl-RS"/>
        </w:rPr>
        <w:t xml:space="preserve"> п.п.</w:t>
      </w:r>
    </w:p>
    <w:p w14:paraId="3006C7EE" w14:textId="77777777" w:rsidR="00CE1168" w:rsidRPr="00EA3D8C" w:rsidRDefault="00CE1168" w:rsidP="00161001">
      <w:pPr>
        <w:pStyle w:val="Caption"/>
        <w:keepNext/>
        <w:jc w:val="both"/>
        <w:rPr>
          <w:rFonts w:cstheme="minorHAnsi"/>
          <w:b w:val="0"/>
          <w:i/>
          <w:iCs w:val="0"/>
          <w:szCs w:val="22"/>
          <w:lang w:val="sr-Cyrl-RS"/>
        </w:rPr>
      </w:pPr>
      <w:r w:rsidRPr="00EA3D8C">
        <w:rPr>
          <w:rFonts w:cstheme="minorHAnsi"/>
          <w:iCs w:val="0"/>
          <w:szCs w:val="22"/>
          <w:lang w:val="sr-Cyrl-RS"/>
        </w:rPr>
        <w:t>Проблематични кредити, млрд РСД</w:t>
      </w:r>
    </w:p>
    <w:p w14:paraId="0F30B108" w14:textId="0BAB9403" w:rsidR="00CE1168" w:rsidRPr="00EA3D8C" w:rsidRDefault="00332E3E" w:rsidP="00C130D2">
      <w:pPr>
        <w:rPr>
          <w:rFonts w:cstheme="minorHAnsi"/>
          <w:bCs/>
          <w:szCs w:val="72"/>
          <w:highlight w:val="yellow"/>
          <w:lang w:val="sr-Cyrl-RS"/>
        </w:rPr>
      </w:pPr>
      <w:r>
        <w:rPr>
          <w:noProof/>
        </w:rPr>
        <w:drawing>
          <wp:inline distT="0" distB="0" distL="0" distR="0" wp14:anchorId="68B485AB" wp14:editId="36F12C2D">
            <wp:extent cx="2743200" cy="1673860"/>
            <wp:effectExtent l="0" t="0" r="0" b="2540"/>
            <wp:docPr id="1" name="Chart 1">
              <a:extLst xmlns:a="http://schemas.openxmlformats.org/drawingml/2006/main">
                <a:ext uri="{FF2B5EF4-FFF2-40B4-BE49-F238E27FC236}">
                  <a16:creationId xmlns:a16="http://schemas.microsoft.com/office/drawing/2014/main" id="{00000000-0008-0000-1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5A0442E4" w14:textId="77777777" w:rsidR="00CE1168" w:rsidRPr="00EA3D8C" w:rsidRDefault="00CE1168" w:rsidP="00C130D2">
      <w:pPr>
        <w:rPr>
          <w:rFonts w:cstheme="minorHAnsi"/>
          <w:lang w:val="sr-Cyrl-RS"/>
        </w:rPr>
      </w:pPr>
      <w:r w:rsidRPr="00EA3D8C">
        <w:rPr>
          <w:rFonts w:cstheme="minorHAnsi"/>
          <w:bCs/>
          <w:sz w:val="16"/>
          <w:szCs w:val="72"/>
          <w:lang w:val="sr-Cyrl-RS"/>
        </w:rPr>
        <w:t>Извор: НБС</w:t>
      </w:r>
    </w:p>
    <w:p w14:paraId="70870D80" w14:textId="75A38289" w:rsidR="00CE1168" w:rsidRPr="00EA3D8C" w:rsidRDefault="00CE1168" w:rsidP="00592092">
      <w:pPr>
        <w:rPr>
          <w:rFonts w:cstheme="minorHAnsi"/>
          <w:bCs/>
          <w:szCs w:val="72"/>
          <w:highlight w:val="darkYellow"/>
          <w:lang w:val="sr-Cyrl-RS"/>
        </w:rPr>
      </w:pPr>
      <w:r w:rsidRPr="00EA3D8C">
        <w:rPr>
          <w:rFonts w:cstheme="minorHAnsi"/>
          <w:bCs/>
          <w:szCs w:val="72"/>
          <w:lang w:val="sr-Cyrl-RS"/>
        </w:rPr>
        <w:t>Кретања на девизном тржишту у 2019. години обележила је релативна стабилност девизног курса, уз преовладавање апрецијацијских притисака, услед стабилних макроекономских кретања, привредног раста, високог прилива СДИ, као и повећаних улагања нерезидената на домаћем тржишту хартија од вредности. Кретања на девизном тржишту карактерише стабилност девизног курса и током 2020. године, упркос депрецијацијским притисцима подстакнутим неизвесношћу на међународном финансијском тржишту. Стабилности девизног курса допринеле су, пре свега, мере НБС, која је на међубанкарском девизном тржишту интервенисала продајом девиза. Девизни курс је у периоду јануар–септембар у просеку номинално апрецирао за 0,3% на међугодишњем нивоу. Како би ублажила прекомерне краткорочне осцилације курса, НБС је интервенисала на међубанкарском девизном тржишту у периоду јануар–септембар нето продајом 1,6 млрд евра.</w:t>
      </w:r>
    </w:p>
    <w:p w14:paraId="081DDE31" w14:textId="77777777" w:rsidR="00CE1168" w:rsidRPr="00EA3D8C" w:rsidRDefault="00CE1168" w:rsidP="00C130D2">
      <w:pPr>
        <w:pStyle w:val="Caption"/>
        <w:keepNext/>
        <w:rPr>
          <w:rFonts w:cstheme="minorHAnsi"/>
          <w:b w:val="0"/>
          <w:i/>
          <w:iCs w:val="0"/>
          <w:szCs w:val="22"/>
          <w:lang w:val="sr-Cyrl-RS"/>
        </w:rPr>
      </w:pPr>
      <w:r w:rsidRPr="00EA3D8C">
        <w:rPr>
          <w:rFonts w:cstheme="minorHAnsi"/>
          <w:iCs w:val="0"/>
          <w:szCs w:val="22"/>
          <w:lang w:val="sr-Cyrl-RS"/>
        </w:rPr>
        <w:lastRenderedPageBreak/>
        <w:t>Девизни курс и интервенције НБС на девизном тржишту</w:t>
      </w:r>
    </w:p>
    <w:p w14:paraId="7CE1A67C" w14:textId="77777777" w:rsidR="00CE1168" w:rsidRPr="00EA3D8C" w:rsidRDefault="00CE1168" w:rsidP="00C130D2">
      <w:pPr>
        <w:rPr>
          <w:rFonts w:cstheme="minorHAnsi"/>
          <w:bCs/>
          <w:szCs w:val="72"/>
          <w:highlight w:val="darkYellow"/>
          <w:lang w:val="sr-Cyrl-RS"/>
        </w:rPr>
      </w:pPr>
      <w:r w:rsidRPr="00EA3D8C">
        <w:rPr>
          <w:noProof/>
        </w:rPr>
        <w:drawing>
          <wp:inline distT="0" distB="0" distL="0" distR="0" wp14:anchorId="4618AAA0" wp14:editId="3B569A29">
            <wp:extent cx="2743200" cy="1698625"/>
            <wp:effectExtent l="0" t="0" r="0" b="0"/>
            <wp:docPr id="69" name="Chart 69">
              <a:extLst xmlns:a="http://schemas.openxmlformats.org/drawingml/2006/main">
                <a:ext uri="{FF2B5EF4-FFF2-40B4-BE49-F238E27FC236}">
                  <a16:creationId xmlns:a16="http://schemas.microsoft.com/office/drawing/2014/main" id="{00000000-0008-0000-1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77BCD516" w14:textId="77777777" w:rsidR="00CE1168" w:rsidRPr="00EA3D8C" w:rsidRDefault="00CE1168" w:rsidP="00C130D2">
      <w:pPr>
        <w:rPr>
          <w:rFonts w:cstheme="minorHAnsi"/>
          <w:bCs/>
          <w:szCs w:val="72"/>
          <w:lang w:val="sr-Cyrl-RS"/>
        </w:rPr>
      </w:pPr>
      <w:r w:rsidRPr="00EA3D8C">
        <w:rPr>
          <w:rFonts w:cstheme="minorHAnsi"/>
          <w:bCs/>
          <w:sz w:val="16"/>
          <w:szCs w:val="72"/>
          <w:lang w:val="sr-Cyrl-RS"/>
        </w:rPr>
        <w:t>Извор: НБС</w:t>
      </w:r>
    </w:p>
    <w:p w14:paraId="0BDAE40F" w14:textId="7E4C1017" w:rsidR="00C237FC" w:rsidRPr="00F11524" w:rsidRDefault="00CE1168" w:rsidP="00592092">
      <w:pPr>
        <w:rPr>
          <w:rFonts w:cstheme="minorHAnsi"/>
          <w:bCs/>
          <w:szCs w:val="72"/>
          <w:lang w:val="sr-Cyrl-RS"/>
        </w:rPr>
      </w:pPr>
      <w:r w:rsidRPr="00EA3D8C">
        <w:rPr>
          <w:rFonts w:cstheme="minorHAnsi"/>
          <w:bCs/>
          <w:szCs w:val="72"/>
          <w:lang w:val="sr-Cyrl-RS"/>
        </w:rPr>
        <w:t xml:space="preserve">Девизне резерве су крајем септембра 2020. године међугодишње смањене за 265,1 мил. евра и износиле су 13,0 млрд евра. То је било довољно за покривеност новчане масе М1 од 136% и за шест месеци увоза робе и услуга. </w:t>
      </w:r>
      <w:r w:rsidRPr="00F11524">
        <w:rPr>
          <w:rFonts w:cstheme="minorHAnsi"/>
          <w:bCs/>
          <w:szCs w:val="72"/>
          <w:lang w:val="sr-Cyrl-RS"/>
        </w:rPr>
        <w:t>На смањење девизних резерви највећим делом су утицале</w:t>
      </w:r>
      <w:r w:rsidR="00C237FC" w:rsidRPr="00F11524">
        <w:rPr>
          <w:rFonts w:cstheme="minorHAnsi"/>
          <w:bCs/>
          <w:szCs w:val="72"/>
          <w:lang w:val="sr-Cyrl-RS"/>
        </w:rPr>
        <w:t xml:space="preserve"> активности НБС на домаћем девизном тржишту, продајом девиза у износу од 1,6 млрд евра у периоду од јануара до септембра, предузете са циљем одржања стабилности, односно ради ублажавања ефеката кризе изазване пандемијом коронавируса на домаћу економију и финансијски систем.</w:t>
      </w:r>
    </w:p>
    <w:p w14:paraId="2FB2CC9B" w14:textId="77777777" w:rsidR="00CE1168" w:rsidRPr="00EA3D8C" w:rsidRDefault="00CE1168" w:rsidP="00E31C39">
      <w:pPr>
        <w:pStyle w:val="Caption"/>
        <w:keepNext/>
        <w:rPr>
          <w:rFonts w:cstheme="minorHAnsi"/>
          <w:b w:val="0"/>
          <w:i/>
          <w:iCs w:val="0"/>
          <w:szCs w:val="22"/>
          <w:lang w:val="sr-Cyrl-RS"/>
        </w:rPr>
      </w:pPr>
      <w:r w:rsidRPr="00EA3D8C">
        <w:rPr>
          <w:rFonts w:cstheme="minorHAnsi"/>
          <w:iCs w:val="0"/>
          <w:szCs w:val="22"/>
          <w:lang w:val="sr-Cyrl-RS"/>
        </w:rPr>
        <w:t>Девизне резерве и девизна штедња, млрд евра</w:t>
      </w:r>
    </w:p>
    <w:p w14:paraId="7960292D" w14:textId="77777777" w:rsidR="00CE1168" w:rsidRPr="00EA3D8C" w:rsidRDefault="00CE1168" w:rsidP="00C130D2">
      <w:pPr>
        <w:spacing w:after="0"/>
        <w:rPr>
          <w:rFonts w:cstheme="minorHAnsi"/>
          <w:bCs/>
          <w:szCs w:val="72"/>
          <w:highlight w:val="darkYellow"/>
          <w:lang w:val="sr-Cyrl-RS"/>
        </w:rPr>
      </w:pPr>
      <w:r w:rsidRPr="00EA3D8C">
        <w:rPr>
          <w:noProof/>
        </w:rPr>
        <w:drawing>
          <wp:inline distT="0" distB="0" distL="0" distR="0" wp14:anchorId="0464EF2A" wp14:editId="2F37D0B0">
            <wp:extent cx="2743200" cy="1799590"/>
            <wp:effectExtent l="0" t="0" r="0" b="0"/>
            <wp:docPr id="70" name="Chart 70">
              <a:extLst xmlns:a="http://schemas.openxmlformats.org/drawingml/2006/main">
                <a:ext uri="{FF2B5EF4-FFF2-40B4-BE49-F238E27FC236}">
                  <a16:creationId xmlns:a16="http://schemas.microsoft.com/office/drawing/2014/main" id="{00000000-0008-0000-1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79189F80" w14:textId="77777777" w:rsidR="00CE1168" w:rsidRPr="00EA3D8C" w:rsidRDefault="00CE1168" w:rsidP="00592092">
      <w:pPr>
        <w:rPr>
          <w:rFonts w:cstheme="minorHAnsi"/>
          <w:bCs/>
          <w:szCs w:val="72"/>
          <w:lang w:val="sr-Cyrl-RS"/>
        </w:rPr>
      </w:pPr>
      <w:r w:rsidRPr="00EA3D8C">
        <w:rPr>
          <w:rFonts w:cstheme="minorHAnsi"/>
          <w:bCs/>
          <w:sz w:val="16"/>
          <w:szCs w:val="72"/>
          <w:lang w:val="sr-Cyrl-RS"/>
        </w:rPr>
        <w:t>Извор: НБС</w:t>
      </w:r>
    </w:p>
    <w:p w14:paraId="7FA3B755" w14:textId="77777777" w:rsidR="00642143" w:rsidRPr="00EA3D8C" w:rsidRDefault="00642143" w:rsidP="00C130D2">
      <w:pPr>
        <w:rPr>
          <w:rFonts w:cstheme="minorHAnsi"/>
          <w:bCs/>
          <w:szCs w:val="72"/>
          <w:lang w:val="sr-Cyrl-RS"/>
        </w:rPr>
      </w:pPr>
      <w:r w:rsidRPr="00EA3D8C">
        <w:rPr>
          <w:rFonts w:cstheme="minorHAnsi"/>
          <w:bCs/>
          <w:szCs w:val="72"/>
          <w:lang w:val="sr-Cyrl-RS"/>
        </w:rPr>
        <w:br w:type="page"/>
      </w:r>
    </w:p>
    <w:p w14:paraId="40ABF0F4" w14:textId="7ED5EA62" w:rsidR="00CE1168" w:rsidRPr="00EA3D8C" w:rsidRDefault="00CE1168" w:rsidP="00C130D2">
      <w:pPr>
        <w:rPr>
          <w:rFonts w:cstheme="minorHAnsi"/>
          <w:bCs/>
          <w:szCs w:val="72"/>
          <w:highlight w:val="darkYellow"/>
          <w:lang w:val="sr-Cyrl-RS"/>
        </w:rPr>
      </w:pPr>
      <w:r w:rsidRPr="00EA3D8C">
        <w:rPr>
          <w:rFonts w:cstheme="minorHAnsi"/>
          <w:bCs/>
          <w:szCs w:val="72"/>
          <w:lang w:val="sr-Cyrl-RS"/>
        </w:rPr>
        <w:lastRenderedPageBreak/>
        <w:t xml:space="preserve">Инфлација се у 2019. години кретала на ниском нивоу, углавном унутар граница циљаног коридора НБС, изузев августа, септембра и октобра, када је под утицајем базног ефекта била благо испод доње границе. </w:t>
      </w:r>
      <w:r w:rsidRPr="00B85F20">
        <w:rPr>
          <w:rFonts w:cstheme="minorHAnsi"/>
          <w:bCs/>
          <w:szCs w:val="72"/>
          <w:lang w:val="sr-Cyrl-RS"/>
        </w:rPr>
        <w:t xml:space="preserve">Као резултат и даље присутних ниских инфлаторних притисака и стабилних кретања на девизном тржишту, </w:t>
      </w:r>
      <w:r w:rsidR="007A3B29" w:rsidRPr="00B85F20">
        <w:rPr>
          <w:rFonts w:cstheme="minorHAnsi"/>
          <w:bCs/>
          <w:szCs w:val="72"/>
          <w:lang w:val="sr-Cyrl-RS"/>
        </w:rPr>
        <w:t xml:space="preserve">међугодишња </w:t>
      </w:r>
      <w:r w:rsidRPr="00B85F20">
        <w:rPr>
          <w:rFonts w:cstheme="minorHAnsi"/>
          <w:bCs/>
          <w:szCs w:val="72"/>
          <w:lang w:val="sr-Cyrl-RS"/>
        </w:rPr>
        <w:t>инфлација се у периоду јануар</w:t>
      </w:r>
      <w:r w:rsidR="006F0487" w:rsidRPr="00B85F20">
        <w:rPr>
          <w:rFonts w:cstheme="minorHAnsi"/>
          <w:bCs/>
          <w:szCs w:val="72"/>
          <w:lang w:val="sr-Cyrl-RS"/>
        </w:rPr>
        <w:t>–</w:t>
      </w:r>
      <w:r w:rsidRPr="00B85F20">
        <w:rPr>
          <w:rFonts w:cstheme="minorHAnsi"/>
          <w:bCs/>
          <w:szCs w:val="72"/>
          <w:lang w:val="sr-Cyrl-RS"/>
        </w:rPr>
        <w:t>септембар 2020. године налази</w:t>
      </w:r>
      <w:r w:rsidR="007A3B29" w:rsidRPr="00B85F20">
        <w:rPr>
          <w:rFonts w:cstheme="minorHAnsi"/>
          <w:bCs/>
          <w:szCs w:val="72"/>
          <w:lang w:val="sr-Cyrl-RS"/>
        </w:rPr>
        <w:t>ла</w:t>
      </w:r>
      <w:r w:rsidRPr="00B85F20">
        <w:rPr>
          <w:rFonts w:cstheme="minorHAnsi"/>
          <w:bCs/>
          <w:szCs w:val="72"/>
          <w:lang w:val="sr-Cyrl-RS"/>
        </w:rPr>
        <w:t xml:space="preserve"> на ниском нивоу и </w:t>
      </w:r>
      <w:r w:rsidR="007A3B29" w:rsidRPr="00B85F20">
        <w:rPr>
          <w:rFonts w:cstheme="minorHAnsi"/>
          <w:bCs/>
          <w:szCs w:val="72"/>
          <w:lang w:val="sr-Cyrl-RS"/>
        </w:rPr>
        <w:t>у просеку је износила</w:t>
      </w:r>
      <w:r w:rsidRPr="00B85F20">
        <w:rPr>
          <w:rFonts w:cstheme="minorHAnsi"/>
          <w:bCs/>
          <w:szCs w:val="72"/>
          <w:lang w:val="sr-Cyrl-RS"/>
        </w:rPr>
        <w:t xml:space="preserve"> 1,6%. Д</w:t>
      </w:r>
      <w:r w:rsidRPr="00EA3D8C">
        <w:rPr>
          <w:rFonts w:cstheme="minorHAnsi"/>
          <w:bCs/>
          <w:szCs w:val="72"/>
          <w:lang w:val="sr-Cyrl-RS"/>
        </w:rPr>
        <w:t>а је инфлација ниска и стабилна указују и подаци о базној инфлацији, тј. стопи раста потрошачких цена по искључењу цена хране, енергије, алкохола и цигарета. Базна инфлација се у периоду од јануара до септембра 2020. године кретала у распону од најниже вредности од 1,0% до највише од 1,9%, мг. Међугодишња инфлација у септембру је износила 1,8%. Највећи утицај на инфлацију у овом периоду имало је пре свега повећање цена воћа, поврћа, дувана, месних прерађевина, телефонских услуга, електричне енергије и туристичких аранжмана. С друге стране, односно у правцу успоравања раста инфлације снажно је деловао пад цена нафтних деривата.</w:t>
      </w:r>
    </w:p>
    <w:p w14:paraId="1F47996F" w14:textId="77777777" w:rsidR="00CE1168" w:rsidRPr="00EA3D8C" w:rsidRDefault="00CE1168" w:rsidP="00C130D2">
      <w:pPr>
        <w:pStyle w:val="Caption"/>
        <w:keepNext/>
        <w:rPr>
          <w:rFonts w:cstheme="minorHAnsi"/>
          <w:b w:val="0"/>
          <w:iCs w:val="0"/>
          <w:szCs w:val="22"/>
          <w:lang w:val="sr-Cyrl-RS"/>
        </w:rPr>
      </w:pPr>
      <w:r w:rsidRPr="00EA3D8C">
        <w:rPr>
          <w:rFonts w:cstheme="minorHAnsi"/>
          <w:iCs w:val="0"/>
          <w:szCs w:val="22"/>
          <w:lang w:val="sr-Cyrl-RS"/>
        </w:rPr>
        <w:t>Инфлација и референтна каматна стопа, %</w:t>
      </w:r>
    </w:p>
    <w:p w14:paraId="18D5F42B" w14:textId="77777777" w:rsidR="00CE1168" w:rsidRPr="00EA3D8C" w:rsidRDefault="00CE1168" w:rsidP="00C130D2">
      <w:pPr>
        <w:rPr>
          <w:rFonts w:cstheme="minorHAnsi"/>
          <w:bCs/>
          <w:szCs w:val="72"/>
          <w:highlight w:val="darkYellow"/>
          <w:lang w:val="sr-Cyrl-RS"/>
        </w:rPr>
      </w:pPr>
      <w:r w:rsidRPr="00EA3D8C">
        <w:rPr>
          <w:noProof/>
        </w:rPr>
        <w:drawing>
          <wp:inline distT="0" distB="0" distL="0" distR="0" wp14:anchorId="0B4DACC8" wp14:editId="3DEA3B04">
            <wp:extent cx="2743200" cy="1758315"/>
            <wp:effectExtent l="0" t="0" r="0" b="0"/>
            <wp:docPr id="4" name="Chart 4">
              <a:extLst xmlns:a="http://schemas.openxmlformats.org/drawingml/2006/main">
                <a:ext uri="{FF2B5EF4-FFF2-40B4-BE49-F238E27FC236}">
                  <a16:creationId xmlns:a16="http://schemas.microsoft.com/office/drawing/2014/main" id="{00000000-0008-0000-0E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6304DBFA" w14:textId="77777777" w:rsidR="00CE1168" w:rsidRPr="00EA3D8C" w:rsidRDefault="00CE1168" w:rsidP="00C130D2">
      <w:pPr>
        <w:rPr>
          <w:rFonts w:cstheme="minorHAnsi"/>
          <w:bCs/>
          <w:szCs w:val="72"/>
          <w:lang w:val="sr-Cyrl-RS"/>
        </w:rPr>
      </w:pPr>
      <w:r w:rsidRPr="00EA3D8C">
        <w:rPr>
          <w:rFonts w:cstheme="minorHAnsi"/>
          <w:bCs/>
          <w:sz w:val="16"/>
          <w:szCs w:val="72"/>
          <w:lang w:val="sr-Cyrl-RS"/>
        </w:rPr>
        <w:t>Извор: НБС</w:t>
      </w:r>
    </w:p>
    <w:p w14:paraId="4C77F52A" w14:textId="04A77210" w:rsidR="00CE1168" w:rsidRPr="00EA3D8C" w:rsidRDefault="00CE1168" w:rsidP="00161001">
      <w:pPr>
        <w:spacing w:after="0" w:line="240" w:lineRule="auto"/>
        <w:rPr>
          <w:rFonts w:cstheme="minorHAnsi"/>
          <w:bCs/>
          <w:szCs w:val="72"/>
          <w:highlight w:val="darkYellow"/>
          <w:lang w:val="sr-Cyrl-RS"/>
        </w:rPr>
      </w:pPr>
      <w:r w:rsidRPr="00EA3D8C">
        <w:rPr>
          <w:rFonts w:cstheme="minorHAnsi"/>
          <w:bCs/>
          <w:szCs w:val="72"/>
          <w:lang w:val="sr-Cyrl-RS"/>
        </w:rPr>
        <w:t xml:space="preserve">Присуство и даље ниских инфлаторних притисака, смањена агрегатна тражња, ниска база код цена поврћа, као и дезинфлаторни ефекти због цена нафтних деривата утицаће да се инфлација у кратком року креће на ниском и стабилном нивоу. </w:t>
      </w:r>
      <w:r w:rsidRPr="00B85F20">
        <w:rPr>
          <w:rFonts w:cstheme="minorHAnsi"/>
          <w:bCs/>
          <w:szCs w:val="72"/>
          <w:lang w:val="sr-Cyrl-RS"/>
        </w:rPr>
        <w:t xml:space="preserve">У средњем року се очекује кретање инфлације око средишње вредности циља, пре свега услед </w:t>
      </w:r>
      <w:r w:rsidR="00B6529E" w:rsidRPr="00B85F20">
        <w:rPr>
          <w:rFonts w:cstheme="minorHAnsi"/>
          <w:bCs/>
          <w:szCs w:val="72"/>
          <w:lang w:val="sr-Cyrl-RS"/>
        </w:rPr>
        <w:t xml:space="preserve">постепеног опоравка </w:t>
      </w:r>
      <w:r w:rsidRPr="00B85F20">
        <w:rPr>
          <w:rFonts w:cstheme="minorHAnsi"/>
          <w:bCs/>
          <w:szCs w:val="72"/>
          <w:lang w:val="sr-Cyrl-RS"/>
        </w:rPr>
        <w:t>домаће и стране тражње</w:t>
      </w:r>
      <w:r w:rsidRPr="00EA3D8C">
        <w:rPr>
          <w:rFonts w:cstheme="minorHAnsi"/>
          <w:bCs/>
          <w:szCs w:val="72"/>
          <w:lang w:val="sr-Cyrl-RS"/>
        </w:rPr>
        <w:t xml:space="preserve">, али и очекиваног постепеног неутралисања дезинфлаторног ефекта снижених цена нафтних деривата. Кључни ризици остварења пројекције </w:t>
      </w:r>
      <w:r w:rsidRPr="00EA3D8C">
        <w:rPr>
          <w:rFonts w:cstheme="minorHAnsi"/>
          <w:bCs/>
          <w:szCs w:val="72"/>
          <w:lang w:val="sr-Cyrl-RS"/>
        </w:rPr>
        <w:lastRenderedPageBreak/>
        <w:t>инфлације односе се на кретања у међународном окружењу, а посебно на неизвесности у погледу кретања на светском тржишту примарних производа и финансијском тржишту.</w:t>
      </w:r>
      <w:r w:rsidRPr="00EA3D8C">
        <w:rPr>
          <w:lang w:val="sr-Cyrl-RS"/>
        </w:rPr>
        <w:t xml:space="preserve"> У наредном периоду </w:t>
      </w:r>
      <w:r w:rsidRPr="00EA3D8C">
        <w:rPr>
          <w:rFonts w:cstheme="minorHAnsi"/>
          <w:bCs/>
          <w:szCs w:val="72"/>
          <w:lang w:val="sr-Cyrl-RS"/>
        </w:rPr>
        <w:t>очекује се наставак позитивних тенденција у кредитној активности, као резултат досадашњих предузетих мера на подстицању кредитирања, ниских каматних стопа у зони евра, као и очекиваног опоравка економске активности.</w:t>
      </w:r>
    </w:p>
    <w:p w14:paraId="310522F3" w14:textId="77777777" w:rsidR="00CE1168" w:rsidRPr="00EA3D8C" w:rsidRDefault="00CE1168" w:rsidP="00C130D2">
      <w:pPr>
        <w:pStyle w:val="Caption"/>
        <w:keepNext/>
        <w:rPr>
          <w:rFonts w:cstheme="minorHAnsi"/>
          <w:b w:val="0"/>
          <w:i/>
          <w:iCs w:val="0"/>
          <w:szCs w:val="22"/>
          <w:lang w:val="sr-Cyrl-RS"/>
        </w:rPr>
      </w:pPr>
      <w:r w:rsidRPr="00EA3D8C">
        <w:rPr>
          <w:rFonts w:cstheme="minorHAnsi"/>
          <w:iCs w:val="0"/>
          <w:szCs w:val="22"/>
          <w:lang w:val="sr-Cyrl-RS"/>
        </w:rPr>
        <w:t>Пројекција инфлације, %</w:t>
      </w:r>
    </w:p>
    <w:p w14:paraId="2D1AA430" w14:textId="77777777" w:rsidR="00CE1168" w:rsidRPr="00EA3D8C" w:rsidRDefault="00CE1168" w:rsidP="00807FC3">
      <w:pPr>
        <w:spacing w:after="0"/>
        <w:rPr>
          <w:rFonts w:cstheme="minorHAnsi"/>
          <w:sz w:val="16"/>
          <w:szCs w:val="16"/>
          <w:lang w:val="sr-Cyrl-RS"/>
        </w:rPr>
      </w:pPr>
      <w:r w:rsidRPr="00EA3D8C">
        <w:rPr>
          <w:noProof/>
        </w:rPr>
        <w:drawing>
          <wp:inline distT="0" distB="0" distL="0" distR="0" wp14:anchorId="5DE6D16F" wp14:editId="7AFD6603">
            <wp:extent cx="2743200" cy="1687830"/>
            <wp:effectExtent l="0" t="0" r="0" b="7620"/>
            <wp:docPr id="71" name="Chart 71">
              <a:extLst xmlns:a="http://schemas.openxmlformats.org/drawingml/2006/main">
                <a:ext uri="{FF2B5EF4-FFF2-40B4-BE49-F238E27FC236}">
                  <a16:creationId xmlns:a16="http://schemas.microsoft.com/office/drawing/2014/main" id="{00000000-0008-0000-0F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72198C18" w14:textId="77777777" w:rsidR="00CE1168" w:rsidRPr="00EA3D8C" w:rsidRDefault="00CE1168" w:rsidP="00B435B3">
      <w:pPr>
        <w:rPr>
          <w:rFonts w:cstheme="minorHAnsi"/>
          <w:bCs/>
          <w:sz w:val="16"/>
          <w:szCs w:val="72"/>
          <w:lang w:val="sr-Cyrl-RS"/>
        </w:rPr>
      </w:pPr>
      <w:r w:rsidRPr="00EA3D8C">
        <w:rPr>
          <w:rFonts w:cstheme="minorHAnsi"/>
          <w:bCs/>
          <w:sz w:val="16"/>
          <w:szCs w:val="72"/>
          <w:lang w:val="sr-Cyrl-RS"/>
        </w:rPr>
        <w:t>Извор: НБС и Министарство финансија</w:t>
      </w:r>
    </w:p>
    <w:p w14:paraId="65B6C857" w14:textId="77777777" w:rsidR="00807FC3" w:rsidRPr="00EA3D8C" w:rsidRDefault="00807FC3" w:rsidP="00807FC3">
      <w:pPr>
        <w:spacing w:before="240"/>
        <w:jc w:val="left"/>
        <w:rPr>
          <w:lang w:val="sr-Cyrl-RS"/>
        </w:rPr>
      </w:pPr>
      <w:bookmarkStart w:id="8" w:name="_Toc23342463"/>
      <w:r w:rsidRPr="00EA3D8C">
        <w:rPr>
          <w:rFonts w:cstheme="minorHAnsi"/>
          <w:b/>
          <w:color w:val="2F5496" w:themeColor="accent1" w:themeShade="BF"/>
          <w:sz w:val="22"/>
          <w:lang w:val="sr-Cyrl-RS"/>
        </w:rPr>
        <w:t>Екстерни сектор</w:t>
      </w:r>
    </w:p>
    <w:p w14:paraId="3030A7C5" w14:textId="68D50F25" w:rsidR="00807FC3" w:rsidRPr="00EA3D8C" w:rsidRDefault="00807FC3" w:rsidP="00161001">
      <w:pPr>
        <w:rPr>
          <w:rFonts w:cstheme="minorHAnsi"/>
          <w:bCs/>
          <w:szCs w:val="72"/>
          <w:lang w:val="sr-Cyrl-RS"/>
        </w:rPr>
      </w:pPr>
      <w:r w:rsidRPr="00EA3D8C">
        <w:rPr>
          <w:rFonts w:cstheme="minorHAnsi"/>
          <w:bCs/>
          <w:szCs w:val="72"/>
          <w:lang w:val="sr-Cyrl-RS"/>
        </w:rPr>
        <w:t>У 2019. години обим спољнотрговинске размене забележио је раст и међугодишње посматрано већи је за 3,2 млрд евра. Експанзија спољнотрговинске активности праћена је бржим растом робног увоза, који је увећан за 8,9%, док је извоз остварио раст од 7,7%. Оваквом динамиком извозно-увозних токова спољнотрговински дефицит је повећан за 12,5%. Међутим, то повећање је највећим делом опредељено већим потребама привреде за репроматеријалом и опремом, којих је увезено више за 1,4 млрд евра, док је увоз потрошне робе био већи за пола милијарде евра. Посматрано према структури, увозна активност опредељена производним потребама привреде допринела је расту са 6,4 п.п. док је допринос потрошно ор</w:t>
      </w:r>
      <w:r w:rsidR="001A7C3B">
        <w:rPr>
          <w:rFonts w:cstheme="minorHAnsi"/>
          <w:bCs/>
          <w:szCs w:val="72"/>
          <w:lang w:val="sr-Cyrl-RS"/>
        </w:rPr>
        <w:t>и</w:t>
      </w:r>
      <w:r w:rsidRPr="00EA3D8C">
        <w:rPr>
          <w:rFonts w:cstheme="minorHAnsi"/>
          <w:bCs/>
          <w:szCs w:val="72"/>
          <w:lang w:val="sr-Cyrl-RS"/>
        </w:rPr>
        <w:t>јентисане компоненте износио 2,4 п.п. Раст извоза робе у овом периоду вођен је извозом електричне опреме, машинске индустрије и пољопривреде. Такође, значајан допринос расту извоза дале су гумарска и прехрамбена индустрија. Ових пет делатности опредељује око три четвртине раста извоза у 2019. години и још једна је потврда значаја СДИ за нашу привреду.</w:t>
      </w:r>
    </w:p>
    <w:p w14:paraId="55A0F533" w14:textId="77777777" w:rsidR="00807FC3" w:rsidRPr="00EA3D8C" w:rsidRDefault="00807FC3" w:rsidP="00161001">
      <w:pPr>
        <w:pStyle w:val="NoSpacing"/>
        <w:jc w:val="center"/>
        <w:rPr>
          <w:rFonts w:cstheme="minorHAnsi"/>
          <w:color w:val="002060"/>
          <w:lang w:val="sr-Cyrl-RS"/>
        </w:rPr>
      </w:pPr>
      <w:r w:rsidRPr="00EA3D8C">
        <w:rPr>
          <w:rFonts w:cstheme="minorHAnsi"/>
          <w:color w:val="002060"/>
          <w:lang w:val="sr-Cyrl-RS"/>
        </w:rPr>
        <w:lastRenderedPageBreak/>
        <w:t>Доприноси стопи раста увоза, економска намена, п.п.</w:t>
      </w:r>
    </w:p>
    <w:p w14:paraId="1AEB8E0E" w14:textId="77777777" w:rsidR="00807FC3" w:rsidRPr="00EA3D8C" w:rsidRDefault="00807FC3" w:rsidP="00161001">
      <w:pPr>
        <w:pStyle w:val="NoSpacing"/>
        <w:jc w:val="center"/>
        <w:rPr>
          <w:rFonts w:cstheme="minorHAnsi"/>
          <w:color w:val="44546A" w:themeColor="text2"/>
          <w:lang w:val="sr-Cyrl-RS"/>
        </w:rPr>
      </w:pPr>
      <w:r w:rsidRPr="00EA3D8C">
        <w:rPr>
          <w:noProof/>
        </w:rPr>
        <w:drawing>
          <wp:inline distT="0" distB="0" distL="0" distR="0" wp14:anchorId="77125994" wp14:editId="16038991">
            <wp:extent cx="2743200" cy="1798320"/>
            <wp:effectExtent l="0" t="0" r="0" b="0"/>
            <wp:docPr id="22" name="Chart 22">
              <a:extLst xmlns:a="http://schemas.openxmlformats.org/drawingml/2006/main">
                <a:ext uri="{FF2B5EF4-FFF2-40B4-BE49-F238E27FC236}">
                  <a16:creationId xmlns:a16="http://schemas.microsoft.com/office/drawing/2014/main"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59B57179" w14:textId="77777777" w:rsidR="00807FC3" w:rsidRPr="00EA3D8C" w:rsidRDefault="00807FC3" w:rsidP="00807FC3">
      <w:pPr>
        <w:spacing w:before="120"/>
        <w:rPr>
          <w:rFonts w:cstheme="minorHAnsi"/>
          <w:bCs/>
          <w:szCs w:val="72"/>
          <w:lang w:val="sr-Cyrl-RS"/>
        </w:rPr>
      </w:pPr>
      <w:r w:rsidRPr="00EA3D8C">
        <w:rPr>
          <w:rFonts w:cstheme="minorHAnsi"/>
          <w:bCs/>
          <w:sz w:val="16"/>
          <w:szCs w:val="72"/>
          <w:lang w:val="sr-Cyrl-RS"/>
        </w:rPr>
        <w:t>Извор: РЗС</w:t>
      </w:r>
    </w:p>
    <w:p w14:paraId="20CF0640" w14:textId="77777777" w:rsidR="00807FC3" w:rsidRPr="00EA3D8C" w:rsidRDefault="00807FC3" w:rsidP="00161001">
      <w:pPr>
        <w:rPr>
          <w:rFonts w:cstheme="minorHAnsi"/>
          <w:bCs/>
          <w:szCs w:val="72"/>
          <w:lang w:val="sr-Cyrl-RS"/>
        </w:rPr>
      </w:pPr>
      <w:r w:rsidRPr="00EA3D8C">
        <w:rPr>
          <w:rFonts w:cstheme="minorHAnsi"/>
          <w:bCs/>
          <w:szCs w:val="72"/>
          <w:lang w:val="sr-Cyrl-RS"/>
        </w:rPr>
        <w:t>Значајне промене у међународном окружењу као последица закључавања економија, последичне промене у глобалним ланцима снабдевања и смањена економска активност земаља најважнијих спољнотрговинских партнера негативно су се одразиле на спољнотрговинску активност у 2020. години. Током првих девет месеци 2020. године, обим спољнотрговинске размене је смањен, при чему је међугодишње посматрано мањи за 1,6 млрд евра. Извезено је робе (ф.о.б) за 12,2 млрд евра, а увезено за 16,5 млрд евра (ц.и.ф), што је смањење од 6,1% мг. и 4,8% мг, респективно. Широка диверсификација извоза по делатностима определила је да пад извоза буде релативно мали, док је већ у септембру материјализован опоравак кроз међугодишњи раст извозне активности. Прерађивачка индустрија је наставила да буде доминантан сектор извозне активности и током првих девет месеци 2020. године. У оквиру овог сектора највећи шок претрпела је аутомобилска индустрија, због смањене тражње и зависности ове гране од глобалних ланаца снабдевања, а опредељујући негативан утицај имао је и нижи извоз основних метала и гумарске индустрије. Ове три делатности заједно определиле су нижи извоз за 5,6 п.п. С друге стране, пораст извоза дуванске индустрије, прехрамбене и фармацеутске индустрије, утицао је на ублажавање пада укупног робног извоза. Такође, добра пољопривредна сезона обезбедила је позитиван допринос сектора пољопривреде расту извоза.</w:t>
      </w:r>
    </w:p>
    <w:p w14:paraId="412F902E" w14:textId="77777777" w:rsidR="00807FC3" w:rsidRPr="00EA3D8C" w:rsidRDefault="00807FC3" w:rsidP="00161001">
      <w:pPr>
        <w:rPr>
          <w:rFonts w:cstheme="minorHAnsi"/>
          <w:bCs/>
          <w:szCs w:val="72"/>
          <w:lang w:val="sr-Cyrl-RS"/>
        </w:rPr>
      </w:pPr>
      <w:r w:rsidRPr="00EA3D8C">
        <w:rPr>
          <w:rFonts w:cstheme="minorHAnsi"/>
          <w:bCs/>
          <w:szCs w:val="72"/>
          <w:lang w:val="sr-Cyrl-RS"/>
        </w:rPr>
        <w:t xml:space="preserve">Увоз робе у првих девет месеци је успорио као последица нижег увоза репроматеријала услед </w:t>
      </w:r>
      <w:r w:rsidRPr="00EA3D8C">
        <w:rPr>
          <w:rFonts w:cstheme="minorHAnsi"/>
          <w:bCs/>
          <w:szCs w:val="72"/>
          <w:lang w:val="sr-Cyrl-RS"/>
        </w:rPr>
        <w:lastRenderedPageBreak/>
        <w:t>смањених капацитета привреде и ниже цене нафте, док се увоз потрошне робе и опреме опорављају и остварују раст. У оквиру прерађивачке индустрије најзначајнији суфицит у овом периоду бележе прехрамбена индустрија, производња моторних возила, производња производа од гуме и пластике, производња намештаја и дуванска индустрија. Већи апсолутни пад увоза од извоза у првих девет месеци имао је за резултат благо смањење дефицита спољнотрговинске размене за 35,9 милиона евра у односу на исти период претходне године. У периоду јануар–септембар 2020. године, покривеност робног увоза извозом изражена у еврима, износила је 73,9%.</w:t>
      </w:r>
    </w:p>
    <w:p w14:paraId="58BB00C3" w14:textId="77777777" w:rsidR="00807FC3" w:rsidRPr="00EA3D8C" w:rsidRDefault="00807FC3" w:rsidP="00161001">
      <w:pPr>
        <w:spacing w:after="60"/>
        <w:rPr>
          <w:rFonts w:cstheme="minorHAnsi"/>
          <w:bCs/>
          <w:spacing w:val="-2"/>
          <w:szCs w:val="72"/>
          <w:lang w:val="sr-Cyrl-RS"/>
        </w:rPr>
      </w:pPr>
      <w:r w:rsidRPr="00EA3D8C">
        <w:rPr>
          <w:rFonts w:cstheme="minorHAnsi"/>
          <w:bCs/>
          <w:spacing w:val="-2"/>
          <w:szCs w:val="72"/>
          <w:lang w:val="sr-Cyrl-RS"/>
        </w:rPr>
        <w:t>Најважнији спољнотрговински партнери у периоду јануар–</w:t>
      </w:r>
      <w:r w:rsidRPr="00EA3D8C">
        <w:rPr>
          <w:rFonts w:cstheme="minorHAnsi"/>
          <w:bCs/>
          <w:szCs w:val="72"/>
          <w:lang w:val="sr-Cyrl-RS"/>
        </w:rPr>
        <w:t>септембар</w:t>
      </w:r>
      <w:r w:rsidRPr="00EA3D8C">
        <w:rPr>
          <w:rFonts w:cstheme="minorHAnsi"/>
          <w:bCs/>
          <w:spacing w:val="-2"/>
          <w:szCs w:val="72"/>
          <w:lang w:val="sr-Cyrl-RS"/>
        </w:rPr>
        <w:t xml:space="preserve"> 2020. године биле су земље ЕУ, на које се односило 64,3% укупног извоза и 58,3% укупног увоза. Највећи део укупног извоза (39,5%) у том периоду био је усмерен на тржиште пет земаља: Немачка, Италија, БиХ, Румунија и Руска Федерација. Увоз из Немачке, Кине, Италије, Руске Федерације и Мађарске чинио је 45,6% укупног увоза. Суфицит је остварен у размени са БиХ, Црном Гором, Северном Македонијом, Румунијом, Алжиром, Бугарском, Чешком, Хрватском, Словачком, Великом Британијом, Шведском и Молдавијом и износио је готово 2,1 млрд евра.</w:t>
      </w:r>
    </w:p>
    <w:p w14:paraId="191920B1" w14:textId="77777777" w:rsidR="00807FC3" w:rsidRPr="00EA3D8C" w:rsidRDefault="00807FC3" w:rsidP="00161001">
      <w:pPr>
        <w:pStyle w:val="NoSpacing"/>
        <w:jc w:val="center"/>
        <w:rPr>
          <w:rFonts w:cstheme="minorHAnsi"/>
          <w:color w:val="002060"/>
          <w:lang w:val="sr-Cyrl-RS"/>
        </w:rPr>
      </w:pPr>
      <w:r w:rsidRPr="00EA3D8C">
        <w:rPr>
          <w:rFonts w:cstheme="minorHAnsi"/>
          <w:color w:val="002060"/>
          <w:lang w:val="sr-Cyrl-RS"/>
        </w:rPr>
        <w:t>Робна размена, мил. ЕУР</w:t>
      </w:r>
    </w:p>
    <w:p w14:paraId="7407F6B2" w14:textId="77777777" w:rsidR="00807FC3" w:rsidRPr="00EA3D8C" w:rsidRDefault="00807FC3" w:rsidP="00161001">
      <w:pPr>
        <w:pStyle w:val="NoSpacing"/>
        <w:jc w:val="center"/>
        <w:rPr>
          <w:rFonts w:cstheme="minorHAnsi"/>
          <w:color w:val="002060"/>
          <w:lang w:val="sr-Cyrl-RS"/>
        </w:rPr>
      </w:pPr>
      <w:r w:rsidRPr="00EA3D8C">
        <w:rPr>
          <w:noProof/>
        </w:rPr>
        <w:drawing>
          <wp:inline distT="0" distB="0" distL="0" distR="0" wp14:anchorId="20C12A76" wp14:editId="2D86BFD8">
            <wp:extent cx="2743200" cy="1659255"/>
            <wp:effectExtent l="0" t="0" r="0" b="0"/>
            <wp:docPr id="23" name="Chart 23">
              <a:extLst xmlns:a="http://schemas.openxmlformats.org/drawingml/2006/main">
                <a:ext uri="{FF2B5EF4-FFF2-40B4-BE49-F238E27FC236}">
                  <a16:creationId xmlns:a16="http://schemas.microsoft.com/office/drawing/2014/main" id="{00000000-0008-0000-1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7090070B" w14:textId="77777777" w:rsidR="00807FC3" w:rsidRPr="00EA3D8C" w:rsidRDefault="00807FC3" w:rsidP="00161001">
      <w:pPr>
        <w:spacing w:before="40"/>
        <w:rPr>
          <w:rFonts w:cstheme="minorHAnsi"/>
          <w:sz w:val="16"/>
          <w:lang w:val="sr-Cyrl-RS"/>
        </w:rPr>
      </w:pPr>
      <w:r w:rsidRPr="00EA3D8C">
        <w:rPr>
          <w:rFonts w:cstheme="minorHAnsi"/>
          <w:sz w:val="16"/>
          <w:lang w:val="sr-Cyrl-RS"/>
        </w:rPr>
        <w:t>Извор: РЗС</w:t>
      </w:r>
    </w:p>
    <w:p w14:paraId="606B1EEA" w14:textId="77777777" w:rsidR="00807FC3" w:rsidRPr="00EA3D8C" w:rsidRDefault="00807FC3" w:rsidP="00161001">
      <w:pPr>
        <w:rPr>
          <w:rFonts w:cstheme="minorHAnsi"/>
          <w:bCs/>
          <w:szCs w:val="72"/>
          <w:lang w:val="sr-Cyrl-RS"/>
        </w:rPr>
      </w:pPr>
      <w:r w:rsidRPr="00EA3D8C">
        <w:rPr>
          <w:rFonts w:cstheme="minorHAnsi"/>
          <w:bCs/>
          <w:szCs w:val="72"/>
          <w:lang w:val="sr-Cyrl-RS"/>
        </w:rPr>
        <w:t xml:space="preserve">Према подацима НБС, учешће дефицита текућег рачуна платног биланса у 2019. години у БДП износило је 6,9% и повећано је у односу на 2018. годину за 2,1 п.п. Повећање текућег дефицита последица је вишег дефицита у трговини робом (за 10,6% услед бржег раста увоза од извоза), при чему је већи увоз у великој мери резултат раста увоза опреме услед бржег раста фиксних </w:t>
      </w:r>
      <w:r w:rsidRPr="00EA3D8C">
        <w:rPr>
          <w:rFonts w:cstheme="minorHAnsi"/>
          <w:bCs/>
          <w:szCs w:val="72"/>
          <w:lang w:val="sr-Cyrl-RS"/>
        </w:rPr>
        <w:lastRenderedPageBreak/>
        <w:t>инвестиција. Поред тога, повећање дефицита текућег рачуна у 2019. последица је и вишег дефицита рачуна примарног дохотка (за 13,6% услед виших расхода по основу директних инвестиција) и нижег суфицита секундарног дохотка. У супротном смеру деловао је нешто виши суфицит у размени услуга.</w:t>
      </w:r>
    </w:p>
    <w:p w14:paraId="088DE2D5" w14:textId="77777777" w:rsidR="00807FC3" w:rsidRPr="00EA3D8C" w:rsidRDefault="00807FC3" w:rsidP="00161001">
      <w:pPr>
        <w:rPr>
          <w:rFonts w:cstheme="minorHAnsi"/>
          <w:bCs/>
          <w:szCs w:val="72"/>
          <w:lang w:val="sr-Cyrl-RS"/>
        </w:rPr>
      </w:pPr>
      <w:r w:rsidRPr="00EA3D8C">
        <w:rPr>
          <w:rFonts w:cstheme="minorHAnsi"/>
          <w:bCs/>
          <w:szCs w:val="72"/>
          <w:lang w:val="sr-Cyrl-RS"/>
        </w:rPr>
        <w:t>Платнобилансна кретања у првих девет месеци 2020. године карактерише осетно смањење дефицита текућег рачуна. У посматраном периоду, дефицит текућег рачуна износио је 1,7 млрд евра и нижи је за 14,9% у односу на исти период претходне године. Нижи дефицит текућег рачуна је резултат побољшања на рачуну услуга, који бележи већи суфицит за 119,3 мил. евра и смањења дефицита на рачуну примарног дохотка за 635,1 мил. евра. Дефицит на рачуну робе је готово непромењен услед уједначеног пада извоза и увоза робе, а као последица пада екстерне тражње и поремећаја у глобалним ланцима снабдевања. На рачуну услуга забележен је раст суфицита што је опредељено вишим суфицитом у ИКТ услугама али и мањим падом извоза туристичких услуга од увоза. Дефицит примарног дохотка нижи је због мањих расхода по основу СДИ. У супротном смеру деловао је нижи суфицит секундарног дохотка за 423,2 мил. евра, а као последица нижих дознака из иностранства због мањег протока радне снаге. Смањење текућег дефицита од почетка године резултат је кретања у периоду април–септембар. Након текућег дефицита од 956,6 мил. евра у првом кварталу, текући дефицит је у наредних шест месеци износио свега 757,3 мил. евра, односно нешто више од 125 мил. евра месечно, што представља смањење од 39% у односу на период април–септембар 2019. године.</w:t>
      </w:r>
    </w:p>
    <w:p w14:paraId="4643C777" w14:textId="77777777" w:rsidR="00807FC3" w:rsidRPr="00EA3D8C" w:rsidRDefault="00807FC3" w:rsidP="00161001">
      <w:pPr>
        <w:rPr>
          <w:rFonts w:cstheme="minorHAnsi"/>
          <w:bCs/>
          <w:szCs w:val="72"/>
          <w:lang w:val="sr-Cyrl-RS"/>
        </w:rPr>
      </w:pPr>
      <w:r w:rsidRPr="00EA3D8C">
        <w:rPr>
          <w:rFonts w:cstheme="minorHAnsi"/>
          <w:bCs/>
          <w:szCs w:val="72"/>
          <w:lang w:val="sr-Cyrl-RS"/>
        </w:rPr>
        <w:t xml:space="preserve">Истовремено, прилив СДИ остао је висок упркос неповољном деловању пандемије. Прилив СДИ обезбеђује потпуну покривеност дефицита текућег рачуна. Такође, дисперзијом СДИ обезбеђена је пожељна распрострањеност по секторима који продукују разменљива добра. Нето прилив СДИ износио је 1,7 млрд евра и нижи је за 33,1% у односу на рекордне приливе прошле године. Према структури нето СДИ у првој половини 2020. године, највећи прилив бележе прерађивачка индустрија – 32,3% и копнени саобраћај и </w:t>
      </w:r>
      <w:r w:rsidRPr="00EA3D8C">
        <w:rPr>
          <w:rFonts w:cstheme="minorHAnsi"/>
          <w:bCs/>
          <w:szCs w:val="72"/>
          <w:lang w:val="sr-Cyrl-RS"/>
        </w:rPr>
        <w:lastRenderedPageBreak/>
        <w:t>цевоводни транспорт – 23,8%. Значајни приливи регистровани су и у грађевинарству, финансијском сектору и у трговини. Посматрано према географском пореклу, из ЕУ је у овом периоду стигло 67,5% укупних инвестиција, а гледано по државама најзначајније су из Холандије, Кине, Немачке, В. Британије и Хонг Конга. У периоду јануар–септембар 2020. године, забележен је и прилив по основу портфолио инвестиција у износу од 1,3 млрд евра и одлив по основу осталих инвестиција у износу од 1,2 млрд евра, услед нето повећања трговинских кредита и повећања нето финансијске активе.</w:t>
      </w:r>
    </w:p>
    <w:p w14:paraId="31480203" w14:textId="77777777" w:rsidR="00807FC3" w:rsidRPr="00EA3D8C" w:rsidRDefault="00807FC3" w:rsidP="00161001">
      <w:pPr>
        <w:rPr>
          <w:rFonts w:cstheme="minorHAnsi"/>
          <w:bCs/>
          <w:szCs w:val="72"/>
          <w:lang w:val="sr-Cyrl-RS"/>
        </w:rPr>
      </w:pPr>
      <w:r w:rsidRPr="00EA3D8C">
        <w:rPr>
          <w:rFonts w:cstheme="minorHAnsi"/>
          <w:bCs/>
          <w:szCs w:val="72"/>
          <w:lang w:val="sr-Cyrl-RS"/>
        </w:rPr>
        <w:t>Очекује се да укупан дефицит текућег рачуна у 2020. години износи око 2,6 млрд евра, односно 5,6% БДП. Имајући у виду остварени текући дефицит током девет месеци, постоји могућност и за бољи исход. Такође, очекује се наставак стабилног прилива СДИ, које би у нето износу требало да износе око 2,2 млрд евра односно 4,7% БДП.</w:t>
      </w:r>
    </w:p>
    <w:p w14:paraId="32820881" w14:textId="77777777" w:rsidR="00807FC3" w:rsidRPr="00EA3D8C" w:rsidRDefault="00807FC3" w:rsidP="00161001">
      <w:pPr>
        <w:spacing w:after="120"/>
        <w:rPr>
          <w:rFonts w:cstheme="minorHAnsi"/>
          <w:bCs/>
          <w:szCs w:val="72"/>
          <w:lang w:val="sr-Cyrl-RS"/>
        </w:rPr>
      </w:pPr>
      <w:r w:rsidRPr="00EA3D8C">
        <w:rPr>
          <w:rFonts w:cstheme="minorHAnsi"/>
          <w:bCs/>
          <w:szCs w:val="72"/>
          <w:lang w:val="sr-Cyrl-RS"/>
        </w:rPr>
        <w:t>Средњорочним макроекономским оквиром за период 2021–2023. година предвиђено је побољшање спољнотрговинских токова у односу на 2020. годину када су токови погоршани услед глобалне рецесије и повратак на претходну путању раста већ у 2021. години, као и наставак модернизације и ширења производних и извозних капацитета у делатностима разменљивих добара, јачање конкурентности на међународном тржишту и освајање нових тржишних ниша.</w:t>
      </w:r>
    </w:p>
    <w:p w14:paraId="418D076B" w14:textId="77777777" w:rsidR="00807FC3" w:rsidRPr="00EA3D8C" w:rsidRDefault="00807FC3" w:rsidP="00161001">
      <w:pPr>
        <w:spacing w:after="120"/>
        <w:rPr>
          <w:rFonts w:cstheme="minorHAnsi"/>
          <w:bCs/>
          <w:szCs w:val="72"/>
          <w:lang w:val="sr-Cyrl-RS"/>
        </w:rPr>
      </w:pPr>
      <w:r w:rsidRPr="00EA3D8C">
        <w:rPr>
          <w:rFonts w:cstheme="minorHAnsi"/>
          <w:bCs/>
          <w:spacing w:val="-2"/>
          <w:szCs w:val="72"/>
          <w:lang w:val="sr-Cyrl-RS"/>
        </w:rPr>
        <w:t>Раст робног извоза у еврима по просечној стопи од 9,8% и увоза за 8,6% у пројектованом трогодишњем периоду смањиће спољнотрговински дефицит роба на 10,2% БДП у</w:t>
      </w:r>
      <w:r w:rsidRPr="00EA3D8C">
        <w:rPr>
          <w:rFonts w:cstheme="minorHAnsi"/>
          <w:bCs/>
          <w:szCs w:val="72"/>
          <w:lang w:val="sr-Cyrl-RS"/>
        </w:rPr>
        <w:t xml:space="preserve"> 2023. години, са овогодишњих 11,1%. Предвиђа се наставак повољних кретања на рачуну услуга, где ће суфицит у пројектованом трогодишњем периоду износити у просеку 1,3 млрд евра. Прилив по основу</w:t>
      </w:r>
      <w:r w:rsidRPr="00EA3D8C">
        <w:rPr>
          <w:rFonts w:cstheme="minorHAnsi"/>
          <w:bCs/>
          <w:color w:val="FF0000"/>
          <w:szCs w:val="72"/>
          <w:lang w:val="sr-Cyrl-RS"/>
        </w:rPr>
        <w:t xml:space="preserve"> </w:t>
      </w:r>
      <w:r w:rsidRPr="00EA3D8C">
        <w:rPr>
          <w:rFonts w:cstheme="minorHAnsi"/>
          <w:bCs/>
          <w:szCs w:val="72"/>
          <w:lang w:val="sr-Cyrl-RS"/>
        </w:rPr>
        <w:t xml:space="preserve">текућих трансфера износиће у просеку 7,6%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и износиће око 2,5 млрд евра просечно годишње, што ће бити довољно да покрије скоро половину дефицита спољнотрговинског биланса роба и </w:t>
      </w:r>
      <w:r w:rsidRPr="00EA3D8C">
        <w:rPr>
          <w:rFonts w:cstheme="minorHAnsi"/>
          <w:bCs/>
          <w:szCs w:val="72"/>
          <w:lang w:val="sr-Cyrl-RS"/>
        </w:rPr>
        <w:lastRenderedPageBreak/>
        <w:t>услуга. Оваква кретања уз пројектовану динамику економске активности имаће за резултат смањење учешћа дефицита текућег рачуна платног биланса на 5,2% БДП на крају пројекцијског периода.</w:t>
      </w:r>
    </w:p>
    <w:p w14:paraId="5A626372" w14:textId="77777777" w:rsidR="00807FC3" w:rsidRPr="00EA3D8C" w:rsidRDefault="00807FC3" w:rsidP="00161001">
      <w:pPr>
        <w:spacing w:after="120"/>
        <w:jc w:val="center"/>
        <w:rPr>
          <w:rFonts w:cstheme="minorHAnsi"/>
          <w:b/>
          <w:color w:val="002060"/>
          <w:lang w:val="sr-Cyrl-RS"/>
        </w:rPr>
      </w:pPr>
      <w:r w:rsidRPr="00EA3D8C">
        <w:rPr>
          <w:rFonts w:cstheme="minorHAnsi"/>
          <w:b/>
          <w:color w:val="002060"/>
          <w:lang w:val="sr-Cyrl-RS"/>
        </w:rPr>
        <w:t>Структура текућег рачуна, % БДП</w:t>
      </w:r>
    </w:p>
    <w:p w14:paraId="0B8DE283" w14:textId="77777777" w:rsidR="00807FC3" w:rsidRPr="00EA3D8C" w:rsidRDefault="00807FC3" w:rsidP="00663DA8">
      <w:pPr>
        <w:rPr>
          <w:rFonts w:cstheme="minorHAnsi"/>
          <w:sz w:val="16"/>
          <w:lang w:val="sr-Cyrl-RS"/>
        </w:rPr>
      </w:pPr>
      <w:r w:rsidRPr="00EA3D8C">
        <w:rPr>
          <w:noProof/>
        </w:rPr>
        <w:drawing>
          <wp:inline distT="0" distB="0" distL="0" distR="0" wp14:anchorId="257A862E" wp14:editId="687A5BD7">
            <wp:extent cx="2743200" cy="2159635"/>
            <wp:effectExtent l="0" t="0" r="0" b="0"/>
            <wp:docPr id="28" name="Chart 28">
              <a:extLst xmlns:a="http://schemas.openxmlformats.org/drawingml/2006/main">
                <a:ext uri="{FF2B5EF4-FFF2-40B4-BE49-F238E27FC236}">
                  <a16:creationId xmlns:a16="http://schemas.microsoft.com/office/drawing/2014/main" id="{00000000-0008-0000-1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sidRPr="00EA3D8C">
        <w:rPr>
          <w:rFonts w:cstheme="minorHAnsi"/>
          <w:sz w:val="16"/>
          <w:lang w:val="sr-Cyrl-RS"/>
        </w:rPr>
        <w:t>Извор: Министарство финансија, НБС, РЗС</w:t>
      </w:r>
    </w:p>
    <w:p w14:paraId="5D3763C0" w14:textId="77777777" w:rsidR="00807FC3" w:rsidRPr="00EA3D8C" w:rsidRDefault="00807FC3" w:rsidP="00161001">
      <w:pPr>
        <w:rPr>
          <w:rFonts w:cstheme="minorHAnsi"/>
          <w:bCs/>
          <w:szCs w:val="72"/>
          <w:lang w:val="sr-Cyrl-RS"/>
        </w:rPr>
      </w:pPr>
      <w:r w:rsidRPr="00EA3D8C">
        <w:rPr>
          <w:rFonts w:cstheme="minorHAnsi"/>
          <w:bCs/>
          <w:szCs w:val="72"/>
          <w:lang w:val="sr-Cyrl-RS"/>
        </w:rPr>
        <w:t>Битно је истаћи да ће у структури финансијског рачуна доминирати удео СДИ са учешћем у БДП од 6,3% просечно годишње. Овај прилив ће уједно бити главни извор финансирања дефицита текућег рачуна. Задржана повољна инвестициона перспектива наше земље и раст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30FAA461" w14:textId="77777777" w:rsidR="00807FC3" w:rsidRPr="00EA3D8C" w:rsidRDefault="00807FC3" w:rsidP="00161001">
      <w:pPr>
        <w:jc w:val="center"/>
        <w:rPr>
          <w:rFonts w:cstheme="minorHAnsi"/>
          <w:bCs/>
          <w:szCs w:val="72"/>
          <w:lang w:val="sr-Cyrl-RS"/>
        </w:rPr>
      </w:pPr>
      <w:r w:rsidRPr="00EA3D8C">
        <w:rPr>
          <w:rFonts w:cstheme="minorHAnsi"/>
          <w:b/>
          <w:color w:val="002060"/>
          <w:lang w:val="sr-Cyrl-RS"/>
        </w:rPr>
        <w:lastRenderedPageBreak/>
        <w:t>Дефицит текућег рачуна и СДИ, % БДП</w:t>
      </w:r>
    </w:p>
    <w:p w14:paraId="1A80D8BC" w14:textId="77777777" w:rsidR="00807FC3" w:rsidRPr="00EA3D8C" w:rsidRDefault="00807FC3" w:rsidP="00161001">
      <w:pPr>
        <w:spacing w:after="120"/>
        <w:rPr>
          <w:lang w:val="sr-Cyrl-RS"/>
        </w:rPr>
      </w:pPr>
      <w:r w:rsidRPr="00EA3D8C">
        <w:rPr>
          <w:noProof/>
        </w:rPr>
        <w:drawing>
          <wp:inline distT="0" distB="0" distL="0" distR="0" wp14:anchorId="39222BBC" wp14:editId="6EF4A2F6">
            <wp:extent cx="2743200" cy="2015490"/>
            <wp:effectExtent l="0" t="0" r="0" b="3810"/>
            <wp:docPr id="29" name="Chart 29">
              <a:extLst xmlns:a="http://schemas.openxmlformats.org/drawingml/2006/main">
                <a:ext uri="{FF2B5EF4-FFF2-40B4-BE49-F238E27FC236}">
                  <a16:creationId xmlns:a16="http://schemas.microsoft.com/office/drawing/2014/main" id="{00000000-0008-0000-1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5C076050" w14:textId="77777777" w:rsidR="00807FC3" w:rsidRPr="00EA3D8C" w:rsidRDefault="00807FC3" w:rsidP="00161001">
      <w:pPr>
        <w:spacing w:after="120"/>
        <w:rPr>
          <w:lang w:val="sr-Cyrl-RS"/>
        </w:rPr>
      </w:pPr>
      <w:r w:rsidRPr="00EA3D8C">
        <w:rPr>
          <w:rFonts w:cstheme="minorHAnsi"/>
          <w:sz w:val="16"/>
          <w:lang w:val="sr-Cyrl-RS"/>
        </w:rPr>
        <w:t>Извор: НБС и Министарство финансија</w:t>
      </w:r>
    </w:p>
    <w:p w14:paraId="3B949997" w14:textId="77777777" w:rsidR="00807FC3" w:rsidRPr="00EA3D8C" w:rsidRDefault="00807FC3" w:rsidP="00161001">
      <w:pPr>
        <w:rPr>
          <w:rFonts w:cstheme="minorHAnsi"/>
          <w:bCs/>
          <w:szCs w:val="72"/>
          <w:lang w:val="sr-Cyrl-RS"/>
        </w:rPr>
        <w:sectPr w:rsidR="00807FC3" w:rsidRPr="00EA3D8C" w:rsidSect="00AE40EB">
          <w:headerReference w:type="even" r:id="rId95"/>
          <w:headerReference w:type="default" r:id="rId96"/>
          <w:footerReference w:type="even" r:id="rId97"/>
          <w:footerReference w:type="default" r:id="rId98"/>
          <w:headerReference w:type="first" r:id="rId99"/>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t xml:space="preserve">Поједини показатељи екстерне позиције Србије су благо погоршани али и даље одражавају задовољавајућу резистентност српске привреде на финансијске шокове из међународног окружења. </w:t>
      </w:r>
      <w:r w:rsidRPr="00EA3D8C">
        <w:rPr>
          <w:szCs w:val="20"/>
          <w:lang w:val="sr-Cyrl-RS"/>
        </w:rPr>
        <w:t>Повећани су рацио спољни дуг према извозу и спољни дуг према БДП. На повећање ових индикатора екстерне солвентности највећи утицај имала је продаја државних обвезница на међународном финансијском тржишту у износу од две млрд евра, са циљем помоћи привреди у време пандемије.</w:t>
      </w:r>
      <w:r w:rsidRPr="00EA3D8C">
        <w:rPr>
          <w:rFonts w:cstheme="minorHAnsi"/>
          <w:bCs/>
          <w:szCs w:val="72"/>
          <w:lang w:val="sr-Cyrl-RS"/>
        </w:rPr>
        <w:t xml:space="preserve"> Учешће спољног дуга у извозу роба и услуга у првој половини 2020. године</w:t>
      </w:r>
      <w:r w:rsidRPr="00EA3D8C">
        <w:rPr>
          <w:rFonts w:cstheme="minorHAnsi"/>
          <w:bCs/>
          <w:color w:val="FF0000"/>
          <w:szCs w:val="72"/>
          <w:lang w:val="sr-Cyrl-RS"/>
        </w:rPr>
        <w:t xml:space="preserve"> </w:t>
      </w:r>
      <w:r w:rsidRPr="00EA3D8C">
        <w:rPr>
          <w:rFonts w:cstheme="minorHAnsi"/>
          <w:bCs/>
          <w:szCs w:val="72"/>
          <w:lang w:val="sr-Cyrl-RS"/>
        </w:rPr>
        <w:t>износи 138%, што је значајно испод критеријума Светске банке од 220% и гарант је одрживости сервисирања.</w:t>
      </w:r>
    </w:p>
    <w:p w14:paraId="2206C9DC" w14:textId="2B2CFAAA" w:rsidR="00807FC3" w:rsidRPr="00EA3D8C" w:rsidRDefault="00807FC3" w:rsidP="00161001">
      <w:pPr>
        <w:rPr>
          <w:rFonts w:cstheme="minorHAnsi"/>
          <w:bCs/>
          <w:color w:val="FF0000"/>
          <w:szCs w:val="72"/>
          <w:lang w:val="sr-Cyrl-RS"/>
        </w:rPr>
        <w:sectPr w:rsidR="00807FC3" w:rsidRPr="00EA3D8C" w:rsidSect="00AE40EB">
          <w:type w:val="continuous"/>
          <w:pgSz w:w="12240" w:h="15840" w:code="1"/>
          <w:pgMar w:top="1440" w:right="1440" w:bottom="1440" w:left="1440" w:header="720" w:footer="720" w:gutter="0"/>
          <w:cols w:space="720"/>
          <w:docGrid w:linePitch="360"/>
        </w:sectPr>
      </w:pPr>
    </w:p>
    <w:p w14:paraId="24E652D5" w14:textId="77777777" w:rsidR="005E54B2" w:rsidRPr="00EA3D8C" w:rsidRDefault="005E54B2">
      <w:pPr>
        <w:jc w:val="left"/>
        <w:rPr>
          <w:rFonts w:cstheme="minorHAnsi"/>
          <w:b/>
          <w:color w:val="002060"/>
          <w:sz w:val="24"/>
          <w:szCs w:val="24"/>
          <w:lang w:val="sr-Cyrl-RS"/>
        </w:rPr>
      </w:pPr>
      <w:r w:rsidRPr="00EA3D8C">
        <w:rPr>
          <w:rFonts w:cstheme="minorHAnsi"/>
          <w:b/>
          <w:color w:val="002060"/>
          <w:sz w:val="24"/>
          <w:szCs w:val="24"/>
          <w:lang w:val="sr-Cyrl-RS"/>
        </w:rPr>
        <w:lastRenderedPageBreak/>
        <w:br w:type="page"/>
      </w:r>
    </w:p>
    <w:p w14:paraId="46C6B2C7" w14:textId="2F11109A" w:rsidR="009C1F5E" w:rsidRPr="00EA3D8C" w:rsidRDefault="005E54B2" w:rsidP="005E54B2">
      <w:pPr>
        <w:pStyle w:val="Heading2"/>
        <w:jc w:val="center"/>
        <w:rPr>
          <w:rFonts w:asciiTheme="minorHAnsi" w:hAnsiTheme="minorHAnsi" w:cstheme="minorHAnsi"/>
          <w:b/>
          <w:sz w:val="24"/>
          <w:szCs w:val="24"/>
          <w:lang w:val="sr-Cyrl-RS"/>
        </w:rPr>
      </w:pPr>
      <w:bookmarkStart w:id="9" w:name="_Toc56667073"/>
      <w:r w:rsidRPr="00EA3D8C">
        <w:rPr>
          <w:rFonts w:asciiTheme="minorHAnsi" w:hAnsiTheme="minorHAnsi" w:cstheme="minorHAnsi"/>
          <w:b/>
          <w:sz w:val="24"/>
          <w:szCs w:val="24"/>
          <w:lang w:val="sr-Cyrl-RS"/>
        </w:rPr>
        <w:lastRenderedPageBreak/>
        <w:t xml:space="preserve">4. </w:t>
      </w:r>
      <w:r w:rsidR="009C1F5E" w:rsidRPr="00EA3D8C">
        <w:rPr>
          <w:rFonts w:asciiTheme="minorHAnsi" w:hAnsiTheme="minorHAnsi" w:cstheme="minorHAnsi"/>
          <w:b/>
          <w:sz w:val="24"/>
          <w:szCs w:val="24"/>
          <w:lang w:val="sr-Cyrl-RS"/>
        </w:rPr>
        <w:t>Ризици остваривања пројекције кретања БДП Републике Србије</w:t>
      </w:r>
      <w:r w:rsidR="009C1F5E" w:rsidRPr="00EA3D8C">
        <w:rPr>
          <w:rFonts w:asciiTheme="minorHAnsi" w:hAnsiTheme="minorHAnsi" w:cstheme="minorHAnsi"/>
          <w:b/>
          <w:sz w:val="24"/>
          <w:szCs w:val="24"/>
          <w:lang w:val="sr-Cyrl-RS"/>
        </w:rPr>
        <w:br w:type="textWrapping" w:clear="all"/>
        <w:t>у периоду 2021–2023. година</w:t>
      </w:r>
      <w:bookmarkEnd w:id="8"/>
      <w:bookmarkEnd w:id="9"/>
    </w:p>
    <w:p w14:paraId="4FC558C1" w14:textId="77777777" w:rsidR="009C1F5E" w:rsidRPr="00EA3D8C" w:rsidRDefault="009C1F5E" w:rsidP="001476C8">
      <w:pPr>
        <w:spacing w:after="40"/>
        <w:rPr>
          <w:color w:val="auto"/>
          <w:lang w:val="sr-Cyrl-RS"/>
        </w:rPr>
      </w:pPr>
    </w:p>
    <w:p w14:paraId="60EAC37F" w14:textId="77777777" w:rsidR="009C1F5E" w:rsidRPr="00EA3D8C" w:rsidRDefault="009C1F5E" w:rsidP="001476C8">
      <w:pPr>
        <w:spacing w:after="40"/>
        <w:jc w:val="center"/>
        <w:rPr>
          <w:color w:val="auto"/>
          <w:lang w:val="sr-Cyrl-RS"/>
        </w:rPr>
        <w:sectPr w:rsidR="009C1F5E" w:rsidRPr="00EA3D8C" w:rsidSect="00AE40EB">
          <w:headerReference w:type="even" r:id="rId100"/>
          <w:headerReference w:type="default" r:id="rId101"/>
          <w:footerReference w:type="even" r:id="rId102"/>
          <w:footerReference w:type="default" r:id="rId103"/>
          <w:headerReference w:type="first" r:id="rId104"/>
          <w:type w:val="continuous"/>
          <w:pgSz w:w="12240" w:h="15840" w:code="1"/>
          <w:pgMar w:top="1440" w:right="1440" w:bottom="1440" w:left="1440" w:header="720" w:footer="720" w:gutter="0"/>
          <w:cols w:space="720"/>
          <w:docGrid w:linePitch="360"/>
        </w:sectPr>
      </w:pPr>
    </w:p>
    <w:p w14:paraId="295AC1BE" w14:textId="77777777" w:rsidR="009C1F5E" w:rsidRPr="00EA3D8C" w:rsidRDefault="009C1F5E" w:rsidP="00163ABC">
      <w:pPr>
        <w:rPr>
          <w:rFonts w:cstheme="minorHAnsi"/>
          <w:bCs/>
          <w:szCs w:val="72"/>
          <w:lang w:val="sr-Cyrl-RS"/>
        </w:rPr>
      </w:pPr>
      <w:r w:rsidRPr="00EA3D8C">
        <w:rPr>
          <w:rFonts w:cstheme="minorHAnsi"/>
          <w:bCs/>
          <w:szCs w:val="72"/>
          <w:lang w:val="sr-Cyrl-RS"/>
        </w:rPr>
        <w:lastRenderedPageBreak/>
        <w:t>Средњорочни сценарио кретања привредне активности Републике Србије праћен је бројним ризицима како из међународног окружења, тако и по основу домаћих фактора.</w:t>
      </w:r>
    </w:p>
    <w:p w14:paraId="19C7715D" w14:textId="77777777" w:rsidR="009C1F5E" w:rsidRPr="00EA3D8C" w:rsidRDefault="009C1F5E" w:rsidP="00161001">
      <w:pPr>
        <w:rPr>
          <w:rFonts w:cstheme="minorHAnsi"/>
          <w:bCs/>
          <w:spacing w:val="-2"/>
          <w:szCs w:val="72"/>
          <w:lang w:val="sr-Cyrl-RS"/>
        </w:rPr>
      </w:pPr>
      <w:r w:rsidRPr="00EA3D8C">
        <w:rPr>
          <w:rFonts w:cstheme="minorHAnsi"/>
          <w:bCs/>
          <w:spacing w:val="-2"/>
          <w:szCs w:val="72"/>
          <w:lang w:val="sr-Cyrl-RS"/>
        </w:rPr>
        <w:t>Ризици макроекономског оквира јесу неуобичајено високи и проистичу из даљег тока и трајања пандемије и одговора на њу, нарочито након поновног заоштравања епидемиолошке ситуације у свету и код нас, те делимичног или потпуног затварања појединих земаља.</w:t>
      </w:r>
    </w:p>
    <w:p w14:paraId="1354C060" w14:textId="09CC935B" w:rsidR="009C1F5E" w:rsidRPr="00EA3D8C" w:rsidRDefault="009C1F5E" w:rsidP="00161001">
      <w:pPr>
        <w:rPr>
          <w:rFonts w:cstheme="minorHAnsi"/>
          <w:bCs/>
          <w:szCs w:val="72"/>
          <w:lang w:val="sr-Cyrl-RS"/>
        </w:rPr>
      </w:pPr>
      <w:r w:rsidRPr="00EA3D8C">
        <w:rPr>
          <w:rFonts w:cstheme="minorHAnsi"/>
          <w:bCs/>
          <w:szCs w:val="72"/>
          <w:lang w:val="sr-Cyrl-RS"/>
        </w:rPr>
        <w:t>Основним макроекономским сценаријем претпостав</w:t>
      </w:r>
      <w:r w:rsidR="005242EC" w:rsidRPr="00EA3D8C">
        <w:rPr>
          <w:rFonts w:cstheme="minorHAnsi"/>
          <w:bCs/>
          <w:szCs w:val="72"/>
          <w:lang w:val="sr-Cyrl-RS"/>
        </w:rPr>
        <w:t>љ</w:t>
      </w:r>
      <w:r w:rsidRPr="00EA3D8C">
        <w:rPr>
          <w:rFonts w:cstheme="minorHAnsi"/>
          <w:bCs/>
          <w:szCs w:val="72"/>
          <w:lang w:val="sr-Cyrl-RS"/>
        </w:rPr>
        <w:t>ено је да ће утицај пандемије слабити током 2021. године како буде остварен напредак у проналажењу и употреби вакцине, ограничењу трансмисије вируса и ефикасније терапије у лечењу. У супротном, погоршање епидемиолошке ситуације и увођење додатних рестриктивних мера водило би даљим рецесионим трендовима. Опоравак еврозоне и региона централне и југоисточне Европе, наших најзначајнијих спољнотрговинских партнера, у наредном периоду ће зависити од ефикасности здравствених мера, али и од могућности коришћења и домета фискалних и монетарних подстицаја.</w:t>
      </w:r>
    </w:p>
    <w:p w14:paraId="3564D035" w14:textId="420D8446" w:rsidR="009C1F5E" w:rsidRPr="00EA3D8C" w:rsidRDefault="009C1F5E" w:rsidP="00161001">
      <w:pPr>
        <w:rPr>
          <w:rFonts w:cstheme="minorHAnsi"/>
          <w:bCs/>
          <w:szCs w:val="72"/>
          <w:lang w:val="sr-Cyrl-RS"/>
        </w:rPr>
      </w:pPr>
      <w:r w:rsidRPr="00EA3D8C">
        <w:rPr>
          <w:rFonts w:cstheme="minorHAnsi"/>
          <w:bCs/>
          <w:szCs w:val="72"/>
          <w:lang w:val="sr-Cyrl-RS"/>
        </w:rPr>
        <w:t xml:space="preserve">У кратком року, егзогени ризици су асиметрични наниже по основу више фактора. Неизвесност на међународном робном и </w:t>
      </w:r>
      <w:r w:rsidR="00114519" w:rsidRPr="00EA3D8C">
        <w:rPr>
          <w:rFonts w:cstheme="minorHAnsi"/>
          <w:bCs/>
          <w:szCs w:val="72"/>
          <w:lang w:val="sr-Cyrl-RS"/>
        </w:rPr>
        <w:t>финансијском</w:t>
      </w:r>
      <w:r w:rsidRPr="00EA3D8C">
        <w:rPr>
          <w:rFonts w:cstheme="minorHAnsi"/>
          <w:bCs/>
          <w:szCs w:val="72"/>
          <w:lang w:val="sr-Cyrl-RS"/>
        </w:rPr>
        <w:t xml:space="preserve"> тржишту, трговинске тензије и урушено пословно поверење негативно би се одразили на токове капитала. Такође, успоравање екстерне тражње и застој у ланцима снабдевања утиче негативно на извозну активност, смањење прилива капитала у Србију, а тиме и на нижу индустријску производњу. Што се тиче робног тржишта, колабирање цена примарних производа може имати двојак утицај на привредни раст Србије. Кретање цене нафте изнад пројектованог негативно би се одразило на трошкове производње, али би и променило структуру потрошње домаћинстава повећањем удела увозних добара, што би удружено успорило привредни раст. Србија је задржала улогу нето извозника основних метала и поред смањења извоза, тако да би бржи раст њихових цена </w:t>
      </w:r>
      <w:r w:rsidRPr="00EA3D8C">
        <w:rPr>
          <w:rFonts w:cstheme="minorHAnsi"/>
          <w:bCs/>
          <w:szCs w:val="72"/>
          <w:lang w:val="sr-Cyrl-RS"/>
        </w:rPr>
        <w:lastRenderedPageBreak/>
        <w:t>погодовао економској активности и донекле неутрализовао ефекте ЕУ мера. Ублажавању негативних ризика допринеће активирање нових и проширење постојећих извозних капацитета, повољнији односи робне размене, али и укидање такса од 100% на производе који се испоручују на Косово и Метохију.</w:t>
      </w:r>
    </w:p>
    <w:p w14:paraId="779456F8" w14:textId="28D65481" w:rsidR="009C1F5E" w:rsidRPr="00EA3D8C" w:rsidRDefault="009C1F5E" w:rsidP="00161001">
      <w:pPr>
        <w:rPr>
          <w:rFonts w:cstheme="minorHAnsi"/>
          <w:bCs/>
          <w:szCs w:val="72"/>
          <w:lang w:val="sr-Cyrl-RS"/>
        </w:rPr>
      </w:pPr>
      <w:r w:rsidRPr="00EA3D8C">
        <w:rPr>
          <w:rFonts w:cstheme="minorHAnsi"/>
          <w:bCs/>
          <w:szCs w:val="72"/>
          <w:lang w:val="sr-Cyrl-RS"/>
        </w:rPr>
        <w:t>Ендогени ризици су идентификовани као израженији навише. Иако је погоршање епидемиолошке ситуације и привремено затварање економије током 2020. године утицало на уздржавање од потрошње, њен потпун опоравак се очекује у 2021. години. С друге стране, пакет економских мера Владе и НБС очувао је расположиви доходак становништва и постојећа радна места, те обезбедио опоравак бржи од очекиваног.</w:t>
      </w:r>
    </w:p>
    <w:p w14:paraId="10D96082" w14:textId="4174B1BA" w:rsidR="009C1F5E" w:rsidRPr="00EA3D8C" w:rsidRDefault="009C1F5E" w:rsidP="00161001">
      <w:pPr>
        <w:rPr>
          <w:rFonts w:cstheme="minorHAnsi"/>
          <w:bCs/>
          <w:szCs w:val="72"/>
          <w:lang w:val="sr-Cyrl-RS"/>
        </w:rPr>
      </w:pPr>
      <w:r w:rsidRPr="00EA3D8C">
        <w:rPr>
          <w:rFonts w:cstheme="minorHAnsi"/>
          <w:bCs/>
          <w:szCs w:val="72"/>
          <w:lang w:val="sr-Cyrl-RS"/>
        </w:rPr>
        <w:t>Ток пандемије ће определити кретања у услужном сектору, посебно у секторима саобраћаја, угоститељства и туризма. Штета проузрокована пандемијом у овим секторима може се прелити и на друге привредне гране.</w:t>
      </w:r>
    </w:p>
    <w:p w14:paraId="7E580ACD" w14:textId="34D316BF" w:rsidR="009C1F5E" w:rsidRPr="00EA3D8C" w:rsidRDefault="009C1F5E" w:rsidP="00161001">
      <w:pPr>
        <w:rPr>
          <w:rFonts w:cstheme="minorHAnsi"/>
          <w:bCs/>
          <w:szCs w:val="72"/>
          <w:lang w:val="sr-Cyrl-RS"/>
        </w:rPr>
      </w:pPr>
      <w:r w:rsidRPr="00EA3D8C">
        <w:rPr>
          <w:rFonts w:cstheme="minorHAnsi"/>
          <w:bCs/>
          <w:szCs w:val="72"/>
          <w:lang w:val="sr-Cyrl-RS"/>
        </w:rPr>
        <w:t xml:space="preserve">Остали фактори из домаћег окружења односе се на волатилност пољопривредне производње, ефикасност у реализацији јавних пројеката и динамику спровођења започетих реформи. Наставак структурних реформи и даља унапређења пословног амбијента требало би да допринесу бржем расту. И поред унапређења и модернизације сектора пољопривреде, производња главних биљних култура и даље је значајно зависна од агрометеоролошких услова, што може довести до битних одступања од вишегодишње просечне пољопривредне производње на бази које се пројектује кретање овог сектора. У основном сценарију је претпостављен негативан допринос пољопривреде БДП с обзиром на овогодишњу одличну сезону. Раст грађевинарства у наредном периоду базиран је на трендним кретањима ове делатности, предикцијским индикаторима и најављеним инвестиционим улагањима државе. Динамика и ефикасност у спровођењу јавних </w:t>
      </w:r>
      <w:r w:rsidRPr="00EA3D8C">
        <w:rPr>
          <w:rFonts w:cstheme="minorHAnsi"/>
          <w:bCs/>
          <w:szCs w:val="72"/>
          <w:lang w:val="sr-Cyrl-RS"/>
        </w:rPr>
        <w:lastRenderedPageBreak/>
        <w:t>пројеката, након попуштања здравствених мера, као и активности у сегменту изградње зграда и производних капацитета носе са собом симетричне ризике. Кретање индустријске производње у највећој мери опредељено је екстерним факторима. Ипак, електро-енергетски сегмент би могао да допринесе расту изнад очекивања, уколико реформски процеси буду интензивирани, а инвестициона улагања из претходног периода ефектуирана у долазећем периоду. Такође, реформа јавних предузећа основ је за подизање нивоа продуктивности и ефикасности, што би појефтинило производне процесе, подигло конкурентност и проширило инвестиционе капацитете. Динамика спровођења ових реформи јасно се осликава на динамици укупног привредног раста утицајем у истом смеру, брже спровођење реформи носи бржи привредни раст и обратно.</w:t>
      </w:r>
    </w:p>
    <w:p w14:paraId="12A367CA" w14:textId="77777777" w:rsidR="009C1F5E" w:rsidRPr="00EA3D8C" w:rsidRDefault="009C1F5E" w:rsidP="00161001">
      <w:pPr>
        <w:rPr>
          <w:rFonts w:cstheme="minorHAnsi"/>
          <w:bCs/>
          <w:szCs w:val="72"/>
          <w:lang w:val="sr-Cyrl-RS"/>
        </w:rPr>
      </w:pPr>
      <w:r w:rsidRPr="00EA3D8C">
        <w:rPr>
          <w:rFonts w:cstheme="minorHAnsi"/>
          <w:bCs/>
          <w:szCs w:val="72"/>
          <w:lang w:val="sr-Cyrl-RS"/>
        </w:rPr>
        <w:t xml:space="preserve">Иако је неутралисањем унутрашњих и спољашњих неравнотежа у претходном периоду повећана резистентност српске привреде на екстерне </w:t>
      </w:r>
      <w:r w:rsidRPr="00EA3D8C">
        <w:rPr>
          <w:rFonts w:cstheme="minorHAnsi"/>
          <w:bCs/>
          <w:szCs w:val="72"/>
          <w:lang w:val="sr-Cyrl-RS"/>
        </w:rPr>
        <w:lastRenderedPageBreak/>
        <w:t>шокове, не треба губити из вида да смо мала и отворена економија која им је значајно изложена.</w:t>
      </w:r>
    </w:p>
    <w:p w14:paraId="21D17A0A" w14:textId="211C5FA0" w:rsidR="009C1F5E" w:rsidRPr="00EA3D8C" w:rsidRDefault="009C1F5E" w:rsidP="00161001">
      <w:pPr>
        <w:rPr>
          <w:rFonts w:cstheme="minorHAnsi"/>
          <w:bCs/>
          <w:szCs w:val="72"/>
          <w:lang w:val="sr-Cyrl-RS"/>
        </w:rPr>
      </w:pPr>
      <w:r w:rsidRPr="00EA3D8C">
        <w:rPr>
          <w:rFonts w:cstheme="minorHAnsi"/>
          <w:bCs/>
          <w:szCs w:val="72"/>
          <w:lang w:val="sr-Cyrl-RS"/>
        </w:rPr>
        <w:t>Повољна макроекономска перспектива земље, унапређен пословни амбијент, задржавање повољних финансијских услова и планирани инвестициони пројекти државе умањиће неизвесност присутну у погледу спремности за инвестициона улагања и ширење производних капацитета.</w:t>
      </w:r>
    </w:p>
    <w:p w14:paraId="7C439A4F" w14:textId="77777777" w:rsidR="009C1F5E" w:rsidRPr="00EA3D8C" w:rsidRDefault="009C1F5E" w:rsidP="0023268B">
      <w:pPr>
        <w:pStyle w:val="Caption"/>
        <w:keepNext/>
        <w:spacing w:after="0"/>
        <w:rPr>
          <w:rFonts w:cstheme="minorHAnsi"/>
          <w:b w:val="0"/>
          <w:i/>
          <w:iCs w:val="0"/>
          <w:szCs w:val="22"/>
          <w:lang w:val="sr-Cyrl-RS"/>
        </w:rPr>
      </w:pPr>
      <w:r w:rsidRPr="00EA3D8C">
        <w:rPr>
          <w:rFonts w:cstheme="minorHAnsi"/>
          <w:iCs w:val="0"/>
          <w:szCs w:val="22"/>
          <w:lang w:val="sr-Cyrl-RS"/>
        </w:rPr>
        <w:t xml:space="preserve">Пројекција кретања БДП, међугодишње </w:t>
      </w:r>
      <w:r w:rsidRPr="00EA3D8C">
        <w:rPr>
          <w:rFonts w:cstheme="minorHAnsi"/>
          <w:iCs w:val="0"/>
          <w:szCs w:val="22"/>
          <w:lang w:val="sr-Cyrl-RS"/>
        </w:rPr>
        <w:br w:type="textWrapping" w:clear="all"/>
        <w:t>стопе раста, %</w:t>
      </w:r>
    </w:p>
    <w:p w14:paraId="4883D03F" w14:textId="77777777" w:rsidR="009C1F5E" w:rsidRPr="00EA3D8C" w:rsidRDefault="009C1F5E" w:rsidP="0023268B">
      <w:pPr>
        <w:spacing w:after="120"/>
        <w:rPr>
          <w:rFonts w:cstheme="minorHAnsi"/>
          <w:bCs/>
          <w:sz w:val="16"/>
          <w:szCs w:val="72"/>
          <w:lang w:val="sr-Cyrl-RS"/>
        </w:rPr>
      </w:pPr>
      <w:r w:rsidRPr="00EA3D8C">
        <w:rPr>
          <w:noProof/>
        </w:rPr>
        <w:drawing>
          <wp:inline distT="0" distB="0" distL="0" distR="0" wp14:anchorId="38AF0B10" wp14:editId="2E4828D9">
            <wp:extent cx="2743200" cy="1449070"/>
            <wp:effectExtent l="0" t="0" r="0" b="0"/>
            <wp:docPr id="72" name="Chart 72">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03D8CAFF" w14:textId="77777777" w:rsidR="009C1F5E" w:rsidRPr="00EA3D8C" w:rsidRDefault="009C1F5E" w:rsidP="00B435B3">
      <w:pPr>
        <w:rPr>
          <w:rFonts w:cstheme="minorHAnsi"/>
          <w:bCs/>
          <w:sz w:val="16"/>
          <w:szCs w:val="72"/>
          <w:lang w:val="sr-Cyrl-RS"/>
        </w:rPr>
      </w:pPr>
      <w:r w:rsidRPr="00EA3D8C">
        <w:rPr>
          <w:rFonts w:cstheme="minorHAnsi"/>
          <w:bCs/>
          <w:sz w:val="16"/>
          <w:szCs w:val="72"/>
          <w:lang w:val="sr-Cyrl-RS"/>
        </w:rPr>
        <w:t>Извор: Министарство финансија</w:t>
      </w:r>
      <w:bookmarkStart w:id="10" w:name="_Toc530635103"/>
    </w:p>
    <w:p w14:paraId="2EF03E67" w14:textId="77777777" w:rsidR="009C1F5E" w:rsidRPr="00EA3D8C" w:rsidRDefault="009C1F5E" w:rsidP="00B435B3">
      <w:pPr>
        <w:rPr>
          <w:rFonts w:cstheme="minorHAnsi"/>
          <w:bCs/>
          <w:sz w:val="16"/>
          <w:szCs w:val="72"/>
          <w:lang w:val="sr-Cyrl-RS"/>
        </w:rPr>
      </w:pPr>
    </w:p>
    <w:p w14:paraId="65C22FBB" w14:textId="77777777" w:rsidR="00671F5D" w:rsidRPr="00EA3D8C" w:rsidRDefault="00671F5D" w:rsidP="00B435B3">
      <w:pPr>
        <w:rPr>
          <w:color w:val="auto"/>
          <w:lang w:val="sr-Cyrl-RS"/>
        </w:rPr>
        <w:sectPr w:rsidR="00671F5D" w:rsidRPr="00EA3D8C" w:rsidSect="00AE40EB">
          <w:headerReference w:type="even" r:id="rId106"/>
          <w:footerReference w:type="even" r:id="rId107"/>
          <w:footerReference w:type="default" r:id="rId108"/>
          <w:headerReference w:type="first" r:id="rId109"/>
          <w:type w:val="continuous"/>
          <w:pgSz w:w="12240" w:h="15840" w:code="1"/>
          <w:pgMar w:top="1440" w:right="1440" w:bottom="1440" w:left="1440" w:header="720" w:footer="720" w:gutter="0"/>
          <w:cols w:num="2" w:space="720"/>
          <w:docGrid w:linePitch="360"/>
        </w:sectPr>
      </w:pPr>
    </w:p>
    <w:p w14:paraId="5196BDDF" w14:textId="112F7C59" w:rsidR="009C1F5E" w:rsidRPr="00EA3D8C" w:rsidRDefault="009C1F5E" w:rsidP="00B435B3">
      <w:pPr>
        <w:rPr>
          <w:color w:val="auto"/>
          <w:lang w:val="sr-Cyrl-RS"/>
        </w:rPr>
        <w:sectPr w:rsidR="009C1F5E" w:rsidRPr="00EA3D8C" w:rsidSect="00AE40EB">
          <w:type w:val="continuous"/>
          <w:pgSz w:w="12240" w:h="15840" w:code="1"/>
          <w:pgMar w:top="1440" w:right="1440" w:bottom="1440" w:left="1440" w:header="720" w:footer="720" w:gutter="0"/>
          <w:cols w:num="2" w:space="720"/>
          <w:docGrid w:linePitch="360"/>
        </w:sectPr>
      </w:pPr>
    </w:p>
    <w:p w14:paraId="49748461" w14:textId="77777777" w:rsidR="004478A8" w:rsidRPr="00EA3D8C" w:rsidRDefault="004478A8">
      <w:pPr>
        <w:jc w:val="left"/>
        <w:rPr>
          <w:rFonts w:eastAsiaTheme="majorEastAsia" w:cstheme="minorHAnsi"/>
          <w:b/>
          <w:color w:val="2F5496" w:themeColor="accent1" w:themeShade="BF"/>
          <w:sz w:val="26"/>
          <w:szCs w:val="26"/>
          <w:lang w:val="sr-Cyrl-RS"/>
        </w:rPr>
      </w:pPr>
      <w:bookmarkStart w:id="11" w:name="_Toc24119837"/>
      <w:bookmarkEnd w:id="3"/>
      <w:bookmarkEnd w:id="10"/>
      <w:r w:rsidRPr="00EA3D8C">
        <w:rPr>
          <w:rFonts w:cstheme="minorHAnsi"/>
          <w:b/>
          <w:sz w:val="26"/>
          <w:szCs w:val="26"/>
          <w:lang w:val="sr-Cyrl-RS"/>
        </w:rPr>
        <w:lastRenderedPageBreak/>
        <w:br w:type="page"/>
      </w:r>
    </w:p>
    <w:p w14:paraId="344BFBA7" w14:textId="77777777" w:rsidR="00333B2E" w:rsidRPr="00EA3D8C" w:rsidRDefault="00333B2E" w:rsidP="00A70E96">
      <w:pPr>
        <w:pStyle w:val="Heading1"/>
        <w:jc w:val="center"/>
        <w:rPr>
          <w:rFonts w:asciiTheme="minorHAnsi" w:hAnsiTheme="minorHAnsi" w:cstheme="minorHAnsi"/>
          <w:b/>
          <w:sz w:val="24"/>
          <w:szCs w:val="24"/>
          <w:lang w:val="sr-Cyrl-RS"/>
        </w:rPr>
      </w:pPr>
      <w:bookmarkStart w:id="12" w:name="_Toc11155989"/>
      <w:bookmarkStart w:id="13" w:name="_Toc56667074"/>
      <w:r w:rsidRPr="00EA3D8C">
        <w:rPr>
          <w:rFonts w:asciiTheme="minorHAnsi" w:hAnsiTheme="minorHAnsi" w:cstheme="minorHAnsi"/>
          <w:b/>
          <w:sz w:val="24"/>
          <w:szCs w:val="24"/>
          <w:lang w:val="sr-Cyrl-RS"/>
        </w:rPr>
        <w:lastRenderedPageBreak/>
        <w:t>II. ФИСКАЛНИ ОКВИР ЗА ПЕРИОД ОД 2021. ДО 2023. ГОДИНЕ</w:t>
      </w:r>
      <w:bookmarkStart w:id="14" w:name="_Toc528909823"/>
      <w:bookmarkStart w:id="15" w:name="_Toc530635104"/>
      <w:bookmarkEnd w:id="12"/>
      <w:bookmarkEnd w:id="13"/>
    </w:p>
    <w:p w14:paraId="62021008" w14:textId="77777777" w:rsidR="00333B2E" w:rsidRPr="00EA3D8C" w:rsidRDefault="00333B2E" w:rsidP="009E4B86">
      <w:pPr>
        <w:keepNext/>
        <w:keepLines/>
        <w:spacing w:before="40" w:after="360"/>
        <w:jc w:val="center"/>
        <w:outlineLvl w:val="1"/>
        <w:rPr>
          <w:rFonts w:eastAsiaTheme="majorEastAsia" w:cstheme="minorHAnsi"/>
          <w:b/>
          <w:color w:val="2F5496" w:themeColor="accent1" w:themeShade="BF"/>
          <w:sz w:val="24"/>
          <w:szCs w:val="26"/>
          <w:lang w:val="sr-Cyrl-RS"/>
        </w:rPr>
      </w:pPr>
      <w:bookmarkStart w:id="16" w:name="_Toc11155990"/>
      <w:bookmarkStart w:id="17" w:name="_Toc56667075"/>
      <w:r w:rsidRPr="00EA3D8C">
        <w:rPr>
          <w:rFonts w:eastAsiaTheme="majorEastAsia" w:cstheme="minorHAnsi"/>
          <w:b/>
          <w:color w:val="2F5496" w:themeColor="accent1" w:themeShade="BF"/>
          <w:sz w:val="24"/>
          <w:szCs w:val="26"/>
          <w:lang w:val="sr-Cyrl-RS"/>
        </w:rPr>
        <w:t xml:space="preserve">1. </w:t>
      </w:r>
      <w:bookmarkEnd w:id="14"/>
      <w:r w:rsidRPr="00EA3D8C">
        <w:rPr>
          <w:rFonts w:eastAsiaTheme="majorEastAsia" w:cstheme="minorHAnsi"/>
          <w:b/>
          <w:color w:val="2F5496" w:themeColor="accent1" w:themeShade="BF"/>
          <w:sz w:val="24"/>
          <w:szCs w:val="26"/>
          <w:lang w:val="sr-Cyrl-RS"/>
        </w:rPr>
        <w:t>Средњорочни циљеви фискалне политике</w:t>
      </w:r>
      <w:bookmarkEnd w:id="15"/>
      <w:bookmarkEnd w:id="16"/>
      <w:bookmarkEnd w:id="17"/>
    </w:p>
    <w:p w14:paraId="042DDEFF" w14:textId="77777777" w:rsidR="00333B2E" w:rsidRPr="00EA3D8C" w:rsidRDefault="00333B2E" w:rsidP="00C130D2">
      <w:pPr>
        <w:spacing w:after="120" w:line="276" w:lineRule="auto"/>
        <w:rPr>
          <w:rFonts w:ascii="Calibri" w:hAnsi="Calibri" w:cs="Calibri"/>
          <w:bCs/>
          <w:color w:val="FF0000"/>
          <w:szCs w:val="20"/>
          <w:lang w:val="sr-Cyrl-RS"/>
        </w:rPr>
        <w:sectPr w:rsidR="00333B2E" w:rsidRPr="00EA3D8C" w:rsidSect="00AE40EB">
          <w:headerReference w:type="even" r:id="rId110"/>
          <w:headerReference w:type="default" r:id="rId111"/>
          <w:footerReference w:type="even" r:id="rId112"/>
          <w:footerReference w:type="default" r:id="rId113"/>
          <w:headerReference w:type="first" r:id="rId114"/>
          <w:type w:val="continuous"/>
          <w:pgSz w:w="12240" w:h="15840" w:code="1"/>
          <w:pgMar w:top="1440" w:right="1440" w:bottom="1440" w:left="1440" w:header="720" w:footer="720" w:gutter="0"/>
          <w:cols w:space="720"/>
          <w:docGrid w:linePitch="360"/>
        </w:sectPr>
      </w:pPr>
    </w:p>
    <w:p w14:paraId="6ED0992D" w14:textId="7C4FF691" w:rsidR="00333B2E" w:rsidRPr="00EA3D8C" w:rsidRDefault="00333B2E" w:rsidP="0084203C">
      <w:pPr>
        <w:spacing w:after="120"/>
        <w:rPr>
          <w:rFonts w:ascii="Calibri" w:hAnsi="Calibri" w:cs="Calibri"/>
          <w:bCs/>
          <w:szCs w:val="20"/>
          <w:lang w:val="sr-Cyrl-RS"/>
        </w:rPr>
      </w:pPr>
      <w:r w:rsidRPr="00EA3D8C">
        <w:rPr>
          <w:rFonts w:ascii="Calibri" w:hAnsi="Calibri" w:cs="Calibri"/>
          <w:bCs/>
          <w:szCs w:val="20"/>
          <w:lang w:val="sr-Cyrl-RS"/>
        </w:rPr>
        <w:lastRenderedPageBreak/>
        <w:t>Добро стање јавних финансија и релативно повољан ниво дуга омогућили су издашну и правовремену реакцију државе на кризу изазвану пандемијом. Пакет мера у износу од око 12,5% БДП, у комбинацији са монетарним мерама, ублажио је негативне ефекте кризе и стабилизовао макроекономска кретања.</w:t>
      </w:r>
    </w:p>
    <w:p w14:paraId="53914A8F" w14:textId="66263E9F" w:rsidR="00333B2E" w:rsidRPr="00EA3D8C" w:rsidRDefault="00333B2E" w:rsidP="0084203C">
      <w:pPr>
        <w:spacing w:after="120"/>
        <w:rPr>
          <w:rFonts w:ascii="Calibri" w:hAnsi="Calibri" w:cs="Calibri"/>
          <w:bCs/>
          <w:szCs w:val="20"/>
          <w:lang w:val="sr-Cyrl-RS"/>
        </w:rPr>
      </w:pPr>
      <w:r w:rsidRPr="00EA3D8C">
        <w:rPr>
          <w:rFonts w:ascii="Calibri" w:hAnsi="Calibri" w:cs="Calibri"/>
          <w:bCs/>
          <w:szCs w:val="20"/>
          <w:lang w:val="sr-Cyrl-RS"/>
        </w:rPr>
        <w:t>Фискални дефицит се у 2020. години очекује на нивоу од 8,9% БДП, док ће дуг опште државе износити 59% БДП. Једнократно повећање дуга и дефицита је неизбежна последица интервентних мера у циљу неутралисања ефеката кризе. Фискални пакет мера се састојао из три компоненте. Прва компонента је била помоћ привредним субјектима у виду одлагања плаћања пореских обавеза, директне помоћи и омогућавања лакшег приступа кредитима. Други аспект пакета мера био је фискални стимуланс становништву са циљем очувања животног стандарда. Коначно, значајан део средстава уложен је у здравствени систем ради јачања људских ресурса и набавке неопходне медицинске опреме, средстава и лекова. Истовремено, настојало се да се не зауставе развојни програми и инфраструктурни пројекти финансирани из буџета тако да се очекује да капитални издаци значајно превазиђу план са почетка године.</w:t>
      </w:r>
    </w:p>
    <w:p w14:paraId="07E6297E" w14:textId="75C0B0EA" w:rsidR="00333B2E" w:rsidRPr="00EA3D8C" w:rsidRDefault="00333B2E" w:rsidP="0084203C">
      <w:pPr>
        <w:spacing w:after="120"/>
        <w:rPr>
          <w:rFonts w:ascii="Calibri" w:hAnsi="Calibri" w:cs="Calibri"/>
          <w:bCs/>
          <w:szCs w:val="20"/>
          <w:lang w:val="sr-Cyrl-RS"/>
        </w:rPr>
      </w:pPr>
      <w:r w:rsidRPr="00EA3D8C">
        <w:rPr>
          <w:rFonts w:ascii="Calibri" w:hAnsi="Calibri" w:cs="Calibri"/>
          <w:bCs/>
          <w:szCs w:val="20"/>
          <w:lang w:val="sr-Cyrl-RS"/>
        </w:rPr>
        <w:t xml:space="preserve">Глобална пандемија још није завршена тако да је предстојећи период пун неизвесности. Планирање економске и, посебно, фискалне политике првенствено ће зависити од сузбијања пандемије и њеног окончања. Опште је опредељење да се у периоду након кризе изазване пандемијом омогући постепено уравнотежење и стабилизација јавних финансија, како би се смањило учешће јавног дуга у БДП и створиле основе за стабилан привредни раст. До </w:t>
      </w:r>
      <w:r w:rsidRPr="00EA3D8C">
        <w:rPr>
          <w:rFonts w:ascii="Calibri" w:hAnsi="Calibri" w:cs="Calibri"/>
          <w:bCs/>
          <w:szCs w:val="20"/>
          <w:lang w:val="sr-Cyrl-RS"/>
        </w:rPr>
        <w:lastRenderedPageBreak/>
        <w:t>тада, потребно је обезбедити могућност правовремене реакције фискалне политике у случају продубљивања кризе.</w:t>
      </w:r>
    </w:p>
    <w:p w14:paraId="23D27C93" w14:textId="27006F67" w:rsidR="00333B2E" w:rsidRPr="00EA3D8C" w:rsidRDefault="00333B2E" w:rsidP="0084203C">
      <w:pPr>
        <w:spacing w:after="120"/>
        <w:rPr>
          <w:rFonts w:ascii="Calibri" w:hAnsi="Calibri" w:cs="Calibri"/>
          <w:bCs/>
          <w:szCs w:val="20"/>
          <w:lang w:val="sr-Cyrl-RS"/>
        </w:rPr>
      </w:pPr>
      <w:r w:rsidRPr="00EA3D8C">
        <w:rPr>
          <w:rFonts w:ascii="Calibri" w:hAnsi="Calibri" w:cs="Calibri"/>
          <w:bCs/>
          <w:szCs w:val="20"/>
          <w:lang w:val="sr-Cyrl-RS"/>
        </w:rPr>
        <w:t xml:space="preserve">Средњорочни фискални оквир предвиђа умерено напуштање експанзивне фискалне политике. С обзиром на неизвесну економску ситуацију буџет ће свакако представљати </w:t>
      </w:r>
      <w:r w:rsidR="00E33648">
        <w:rPr>
          <w:rFonts w:ascii="Calibri" w:hAnsi="Calibri" w:cs="Calibri"/>
          <w:bCs/>
          <w:szCs w:val="20"/>
          <w:lang w:val="sr-Cyrl-RS"/>
        </w:rPr>
        <w:t>„</w:t>
      </w:r>
      <w:r w:rsidRPr="00EA3D8C">
        <w:rPr>
          <w:rFonts w:ascii="Calibri" w:hAnsi="Calibri" w:cs="Calibri"/>
          <w:bCs/>
          <w:szCs w:val="20"/>
          <w:lang w:val="sr-Cyrl-RS"/>
        </w:rPr>
        <w:t>сигурносну мрежу</w:t>
      </w:r>
      <w:r w:rsidR="00E33648" w:rsidRPr="00E33648">
        <w:rPr>
          <w:rFonts w:ascii="Calibri" w:hAnsi="Calibri" w:cs="Calibri"/>
          <w:bCs/>
          <w:szCs w:val="20"/>
          <w:lang w:val="sr-Cyrl-RS"/>
        </w:rPr>
        <w:t>”</w:t>
      </w:r>
      <w:r w:rsidRPr="00EA3D8C">
        <w:rPr>
          <w:rFonts w:ascii="Calibri" w:hAnsi="Calibri" w:cs="Calibri"/>
          <w:bCs/>
          <w:szCs w:val="20"/>
          <w:lang w:val="sr-Cyrl-RS"/>
        </w:rPr>
        <w:t xml:space="preserve"> у случају ескалације неповољних кретања. Са једне стране обезбедиће се континуитет развојних и социјалних програма, а са друге стране обезбедиће се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опште државе БДП у наредном периоду.</w:t>
      </w:r>
    </w:p>
    <w:p w14:paraId="0AF50B57" w14:textId="4D001392" w:rsidR="00451097" w:rsidRPr="00EA3D8C" w:rsidRDefault="00333B2E" w:rsidP="0084203C">
      <w:pPr>
        <w:spacing w:after="120"/>
        <w:rPr>
          <w:rFonts w:ascii="Calibri" w:hAnsi="Calibri" w:cs="Calibri"/>
          <w:bCs/>
          <w:color w:val="FF0000"/>
          <w:szCs w:val="20"/>
          <w:lang w:val="sr-Cyrl-RS"/>
        </w:rPr>
        <w:sectPr w:rsidR="00451097" w:rsidRPr="00EA3D8C" w:rsidSect="00AE40EB">
          <w:type w:val="continuous"/>
          <w:pgSz w:w="12240" w:h="15840" w:code="1"/>
          <w:pgMar w:top="1440" w:right="1440" w:bottom="1440" w:left="1440" w:header="720" w:footer="720" w:gutter="0"/>
          <w:cols w:num="2" w:space="720"/>
          <w:docGrid w:linePitch="360"/>
        </w:sectPr>
      </w:pPr>
      <w:r w:rsidRPr="00EA3D8C">
        <w:rPr>
          <w:rFonts w:ascii="Calibri" w:hAnsi="Calibri" w:cs="Calibri"/>
          <w:bCs/>
          <w:szCs w:val="20"/>
          <w:lang w:val="sr-Cyrl-RS"/>
        </w:rPr>
        <w:t xml:space="preserve">Фискална политика ће у </w:t>
      </w:r>
      <w:r w:rsidR="00114519" w:rsidRPr="00EA3D8C">
        <w:rPr>
          <w:rFonts w:ascii="Calibri" w:hAnsi="Calibri" w:cs="Calibri"/>
          <w:bCs/>
          <w:szCs w:val="20"/>
          <w:lang w:val="sr-Cyrl-RS"/>
        </w:rPr>
        <w:t>наредном</w:t>
      </w:r>
      <w:r w:rsidRPr="00EA3D8C">
        <w:rPr>
          <w:rFonts w:ascii="Calibri" w:hAnsi="Calibri" w:cs="Calibri"/>
          <w:bCs/>
          <w:szCs w:val="20"/>
          <w:lang w:val="sr-Cyrl-RS"/>
        </w:rPr>
        <w:t xml:space="preserve"> периоду бити фокусирана на наставак смањења укупног пореског оптерећења рада чиме се додатно растерећује привреда, односно повећава конкурентност приватног сектора. На расходној страни, приоритет ће имати инфраструктурни и капитални пројекти, те политика пензија и плата. При томе ће се водити рачуна да се повећањем ове две, највеће, категорије расхода не изађе из планираног одрживог оквира. Додатно, стабилности јавних финансија и одрживом фискалном оквиру допринеће планиране измене Закона о буџетском систему, којима ће, између осталог, бити редизајниран скуп фискалних правила, општих и посебних, те дефинисане посебне мере и консеквенце у случају њиховог непоштовања. Посебан акценат биће стављен на измену општих правила која се односе на јавни дуг и дефицит опште државе, те посебних правила везаних за одрживи ниво расхода за плате и пензије.</w:t>
      </w:r>
    </w:p>
    <w:p w14:paraId="5D01D6E9" w14:textId="3B035C34" w:rsidR="00333B2E" w:rsidRPr="00EA3D8C" w:rsidRDefault="00333B2E" w:rsidP="005D42AC">
      <w:pPr>
        <w:spacing w:after="120" w:line="276" w:lineRule="auto"/>
        <w:rPr>
          <w:rFonts w:ascii="Calibri" w:hAnsi="Calibri" w:cs="Calibri"/>
          <w:bCs/>
          <w:szCs w:val="20"/>
          <w:lang w:val="sr-Cyrl-RS"/>
        </w:rPr>
        <w:sectPr w:rsidR="00333B2E" w:rsidRPr="00EA3D8C" w:rsidSect="00AE40EB">
          <w:type w:val="continuous"/>
          <w:pgSz w:w="12240" w:h="15840" w:code="1"/>
          <w:pgMar w:top="1440" w:right="1440" w:bottom="1440" w:left="1440" w:header="720" w:footer="720" w:gutter="0"/>
          <w:cols w:num="2" w:space="720"/>
          <w:docGrid w:linePitch="360"/>
        </w:sectPr>
      </w:pPr>
      <w:r w:rsidRPr="00EA3D8C">
        <w:rPr>
          <w:rFonts w:ascii="Calibri" w:hAnsi="Calibri" w:cs="Calibri"/>
          <w:bCs/>
          <w:color w:val="FF0000"/>
          <w:szCs w:val="20"/>
          <w:lang w:val="sr-Cyrl-RS"/>
        </w:rPr>
        <w:lastRenderedPageBreak/>
        <w:t xml:space="preserve"> </w:t>
      </w:r>
    </w:p>
    <w:p w14:paraId="2A9E9BBC" w14:textId="77777777" w:rsidR="00333B2E" w:rsidRPr="00EA3D8C" w:rsidRDefault="00333B2E" w:rsidP="002E4BCE">
      <w:pPr>
        <w:keepNext/>
        <w:keepLines/>
        <w:spacing w:after="0"/>
        <w:jc w:val="center"/>
        <w:outlineLvl w:val="1"/>
        <w:rPr>
          <w:rFonts w:eastAsia="MS PGothic" w:cstheme="minorHAnsi"/>
          <w:b/>
          <w:color w:val="2F5496" w:themeColor="accent1" w:themeShade="BF"/>
          <w:sz w:val="24"/>
          <w:szCs w:val="26"/>
          <w:lang w:val="sr-Cyrl-RS" w:eastAsia="ja-JP"/>
        </w:rPr>
      </w:pPr>
      <w:bookmarkStart w:id="18" w:name="_Toc530635105"/>
      <w:bookmarkStart w:id="19" w:name="_Toc24119831"/>
      <w:bookmarkStart w:id="20" w:name="_Toc56667076"/>
      <w:bookmarkStart w:id="21" w:name="_Toc530635106"/>
      <w:r w:rsidRPr="00EA3D8C">
        <w:rPr>
          <w:rFonts w:eastAsia="MS PGothic" w:cstheme="minorHAnsi"/>
          <w:b/>
          <w:color w:val="2F5496" w:themeColor="accent1" w:themeShade="BF"/>
          <w:sz w:val="24"/>
          <w:szCs w:val="26"/>
          <w:lang w:val="sr-Cyrl-RS" w:eastAsia="ja-JP"/>
        </w:rPr>
        <w:lastRenderedPageBreak/>
        <w:t>2. Фискална кретања у 2019. години</w:t>
      </w:r>
      <w:bookmarkEnd w:id="18"/>
      <w:bookmarkEnd w:id="19"/>
      <w:bookmarkEnd w:id="20"/>
    </w:p>
    <w:p w14:paraId="21C95523" w14:textId="77777777" w:rsidR="00333B2E" w:rsidRPr="00EA3D8C" w:rsidRDefault="00333B2E" w:rsidP="005D42AC">
      <w:pPr>
        <w:spacing w:after="120"/>
        <w:rPr>
          <w:rFonts w:cstheme="minorHAnsi"/>
          <w:lang w:val="sr-Cyrl-RS" w:eastAsia="ja-JP"/>
        </w:rPr>
      </w:pPr>
    </w:p>
    <w:p w14:paraId="43D3F163" w14:textId="77777777" w:rsidR="00333B2E" w:rsidRPr="00EA3D8C" w:rsidRDefault="00333B2E" w:rsidP="005D42AC">
      <w:pPr>
        <w:spacing w:line="276" w:lineRule="auto"/>
        <w:rPr>
          <w:rFonts w:cstheme="minorHAnsi"/>
          <w:bCs/>
          <w:szCs w:val="72"/>
          <w:lang w:val="sr-Cyrl-RS"/>
        </w:rPr>
        <w:sectPr w:rsidR="00333B2E" w:rsidRPr="00EA3D8C" w:rsidSect="00AE40EB">
          <w:headerReference w:type="even" r:id="rId115"/>
          <w:footerReference w:type="even" r:id="rId116"/>
          <w:footerReference w:type="default" r:id="rId117"/>
          <w:headerReference w:type="first" r:id="rId118"/>
          <w:pgSz w:w="12240" w:h="15840" w:code="1"/>
          <w:pgMar w:top="1440" w:right="1440" w:bottom="1440" w:left="1440" w:header="720" w:footer="720" w:gutter="0"/>
          <w:cols w:space="720"/>
          <w:docGrid w:linePitch="360"/>
        </w:sectPr>
      </w:pPr>
    </w:p>
    <w:p w14:paraId="34E03C5B" w14:textId="7A11EFA9" w:rsidR="00333B2E" w:rsidRPr="00EA3D8C" w:rsidRDefault="00333B2E" w:rsidP="0084203C">
      <w:pPr>
        <w:rPr>
          <w:rFonts w:cstheme="minorHAnsi"/>
          <w:bCs/>
          <w:szCs w:val="72"/>
          <w:lang w:val="sr-Cyrl-RS"/>
        </w:rPr>
      </w:pPr>
      <w:r w:rsidRPr="00EA3D8C">
        <w:rPr>
          <w:rFonts w:cstheme="minorHAnsi"/>
          <w:bCs/>
          <w:szCs w:val="72"/>
          <w:lang w:val="sr-Cyrl-RS"/>
        </w:rPr>
        <w:lastRenderedPageBreak/>
        <w:t>На крају 2019. године, на нивоу опште државе остварен је фискални дефицит у износу од 11,1 млрд динара, односно 0,2% БДП, што је за 0,3% БДП боље од планираног, с обзиром да је буџетом планиран фискални дефицит од 0,5% БДП. У истом периоду остварен је примарни фискални суфицит од 1,8% БДП. Позитивна фискална кретања повољно су се одразила на путању дуга, те је тренд пада дуга опште државе настављен и у 2019. годи</w:t>
      </w:r>
      <w:r w:rsidR="00DD6317">
        <w:rPr>
          <w:rFonts w:cstheme="minorHAnsi"/>
          <w:bCs/>
          <w:szCs w:val="72"/>
          <w:lang w:val="sr-Cyrl-RS"/>
        </w:rPr>
        <w:t>ни. Дуг је смањен за око 1,5 п.</w:t>
      </w:r>
      <w:r w:rsidRPr="00EA3D8C">
        <w:rPr>
          <w:rFonts w:cstheme="minorHAnsi"/>
          <w:bCs/>
          <w:szCs w:val="72"/>
          <w:lang w:val="sr-Cyrl-RS"/>
        </w:rPr>
        <w:t>п, са 54,4% БДП, колико је износио на крају 2018. године на 52,9% БДП на крају 2019. године.</w:t>
      </w:r>
    </w:p>
    <w:p w14:paraId="19783D49" w14:textId="6F66DF7D" w:rsidR="00333B2E" w:rsidRPr="00EA3D8C" w:rsidRDefault="00333B2E" w:rsidP="0084203C">
      <w:pPr>
        <w:rPr>
          <w:rFonts w:cstheme="minorHAnsi"/>
          <w:bCs/>
          <w:szCs w:val="72"/>
          <w:lang w:val="sr-Cyrl-RS"/>
        </w:rPr>
      </w:pPr>
      <w:r w:rsidRPr="00EA3D8C">
        <w:rPr>
          <w:rFonts w:cstheme="minorHAnsi"/>
          <w:bCs/>
          <w:szCs w:val="72"/>
          <w:lang w:val="sr-Cyrl-RS"/>
        </w:rPr>
        <w:t xml:space="preserve">На бољи фискални резултат утицала је наплата јавних прихода који су премашили план за чак 116,9 млрд динара, односно 5,4%. Порески приходи су већи за 78,1 млрд динара од планираног износа, односно 4,1%. Непорески приходи су премашили план за 39,4 млрд динара, односно 17,1%. У категорији пореских прихода значајно боље остварење у односу на план забележено је код социјалних доприноса и пореза на доходак, као и индиректних пореза (нарочито акциза). Повољнија кретања на тржишту рада, односно бржи раст зарада и запослености, утицала су на наплату прихода од доприноса и пореза на доходак грађана, где је план превазиђен за око 0,7% БДП. Индиректни порези су премашили план за око 0,5% БДП, највише због раста акциза (веће за 0,3% БДП), услед повећане потрошње акцизних производа (највише нафтних деривата). Знатно боља наплата непореских прихода у односу на план резултат је непланираних једнократних уплата. Непорески приходи су бољи у односу на план за 0,4% БДП. Приликом израде пројекције прихода за 2019. годину, у складу са начелом опрезности, у планирани износ непореских прихода су били укључени само претпостављени структурни, односно трајни износи непореских прихода. Планом нису биле обухваћене једнократне уплате попут уплате добити НБС у износу од 9,3 млрд динара, уплате </w:t>
      </w:r>
      <w:r w:rsidR="00662A2F">
        <w:rPr>
          <w:rFonts w:cstheme="minorHAnsi"/>
          <w:bCs/>
          <w:szCs w:val="72"/>
          <w:lang w:val="sr-Cyrl-RS"/>
        </w:rPr>
        <w:t>Агенције за осигурање де</w:t>
      </w:r>
      <w:r w:rsidR="00316892">
        <w:rPr>
          <w:rFonts w:cstheme="minorHAnsi"/>
          <w:bCs/>
          <w:szCs w:val="72"/>
          <w:lang w:val="sr-Cyrl-RS"/>
        </w:rPr>
        <w:t>позита (</w:t>
      </w:r>
      <w:r w:rsidR="00662A2F">
        <w:rPr>
          <w:rFonts w:cstheme="minorHAnsi"/>
          <w:bCs/>
          <w:szCs w:val="72"/>
          <w:lang w:val="sr-Cyrl-RS"/>
        </w:rPr>
        <w:t>у даљем тексту: АОД)</w:t>
      </w:r>
      <w:r w:rsidRPr="00EA3D8C">
        <w:rPr>
          <w:rFonts w:cstheme="minorHAnsi"/>
          <w:bCs/>
          <w:szCs w:val="72"/>
          <w:lang w:val="sr-Cyrl-RS"/>
        </w:rPr>
        <w:t xml:space="preserve"> од 1,8 млрд динара, премије за реотварање емисије ХОВ и др. Планом нису </w:t>
      </w:r>
      <w:r w:rsidRPr="00EA3D8C">
        <w:rPr>
          <w:rFonts w:cstheme="minorHAnsi"/>
          <w:bCs/>
          <w:szCs w:val="72"/>
          <w:lang w:val="sr-Cyrl-RS"/>
        </w:rPr>
        <w:lastRenderedPageBreak/>
        <w:t>били обухваћени ни приходи и расходи институција социјалне заштите, као индиректних буџетских корисника, који су од 2019. укључени у систем извршења буџета.</w:t>
      </w:r>
    </w:p>
    <w:p w14:paraId="34D3E546" w14:textId="77777777" w:rsidR="00333B2E" w:rsidRPr="00EA3D8C" w:rsidRDefault="00333B2E" w:rsidP="0084203C">
      <w:pPr>
        <w:rPr>
          <w:rFonts w:cstheme="minorHAnsi"/>
          <w:bCs/>
          <w:szCs w:val="72"/>
          <w:lang w:val="sr-Cyrl-RS"/>
        </w:rPr>
      </w:pPr>
      <w:r w:rsidRPr="00EA3D8C">
        <w:rPr>
          <w:rFonts w:cstheme="minorHAnsi"/>
          <w:bCs/>
          <w:szCs w:val="72"/>
          <w:lang w:val="sr-Cyrl-RS"/>
        </w:rPr>
        <w:t xml:space="preserve">Укупни расходи опште државе виши су од плана за 99,3 млрд динара, односно 4,5%. Највеће одступање од плана бележи се у реализацији капиталних расхода, расхода за запослене, расхода за робе и услуге и осталих текућих расхода. Ефикасније повлачење пројектних зајмова и извршење средстава по том основу основни су разлог зашто су капитални расходи значајно премашили планирани износ. Они су већи за 0,9% БДП од плана и у 2019. години достижу 4,9% БДП, што представља рекордни ниво у последњих десетак година. Веће извршење расхода за запослене у односу на план (око 0,3% БДП) резултат је више фактора. </w:t>
      </w:r>
      <w:r w:rsidRPr="00EA3D8C">
        <w:rPr>
          <w:szCs w:val="20"/>
          <w:lang w:val="sr-Cyrl-RS"/>
        </w:rPr>
        <w:t>Укључивањем установа социјалне заштите обухваћене су у потпуности и зараде запослених код ових индиректних корисника. Други фактор који је допринео повећању расхода за запослене у односу на првобитни износ је усвојено повећање зарада у јавном сектору које се креће у распону од 8% до 15%, које се односило на новембарске зараде, са исплатом у децембру. Расходи за куповину роба и услуга су већи за 0,3% БДП од планираног износа. Ово се може објаснити снажнијом потрошњом на локалном нивоу и код ЈП „Путеви Србијеˮ (одржавање путне мреже), а део потиче и од, раније поменутог, укључивања установа социјалне заштите у систем извршења буџета. Остали текући расходи су већи у односу на буџетски план за 0,4% БДП једним делом због повећаног извршења код ЈП „Путеви Србијеˮ, а другим делом због плаћања обавеза по основу судске пресуде у вези са компанијом „Енерго-зеленаˮ. На позицији субвенција издвојена су средства за решавање проблема грађана који су узимали кредите у швајцарским францима, но и поред овога укупне субвенције су извршене у складу с планом. Остале категорије расхода (социјална помоћ, камате и остало) су извршене у складу са буџетским планом.</w:t>
      </w:r>
    </w:p>
    <w:p w14:paraId="400F7A68" w14:textId="77777777" w:rsidR="00333B2E" w:rsidRPr="00EA3D8C" w:rsidRDefault="00333B2E" w:rsidP="00C130D2">
      <w:pPr>
        <w:keepNext/>
        <w:keepLines/>
        <w:spacing w:before="120" w:after="240"/>
        <w:jc w:val="center"/>
        <w:outlineLvl w:val="1"/>
        <w:rPr>
          <w:rFonts w:eastAsia="Calibri" w:cstheme="minorHAnsi"/>
          <w:b/>
          <w:color w:val="2F5496" w:themeColor="accent1" w:themeShade="BF"/>
          <w:sz w:val="24"/>
          <w:szCs w:val="26"/>
          <w:lang w:val="sr-Cyrl-RS"/>
        </w:rPr>
        <w:sectPr w:rsidR="00333B2E" w:rsidRPr="00EA3D8C" w:rsidSect="00AE40EB">
          <w:type w:val="continuous"/>
          <w:pgSz w:w="12240" w:h="15840" w:code="1"/>
          <w:pgMar w:top="1440" w:right="1440" w:bottom="1440" w:left="1440" w:header="720" w:footer="720" w:gutter="0"/>
          <w:cols w:num="2" w:space="720"/>
          <w:docGrid w:linePitch="360"/>
        </w:sectPr>
      </w:pPr>
    </w:p>
    <w:p w14:paraId="47663215" w14:textId="77777777" w:rsidR="001901FC" w:rsidRPr="00EA3D8C" w:rsidRDefault="001901FC" w:rsidP="00FE1A26">
      <w:pPr>
        <w:keepNext/>
        <w:keepLines/>
        <w:spacing w:after="120"/>
        <w:jc w:val="center"/>
        <w:outlineLvl w:val="1"/>
        <w:rPr>
          <w:rFonts w:eastAsia="MS PGothic" w:cstheme="minorHAnsi"/>
          <w:b/>
          <w:color w:val="2F5496" w:themeColor="accent1" w:themeShade="BF"/>
          <w:sz w:val="24"/>
          <w:szCs w:val="26"/>
          <w:lang w:val="sr-Cyrl-RS" w:eastAsia="ja-JP"/>
        </w:rPr>
      </w:pPr>
      <w:bookmarkStart w:id="22" w:name="_Toc11155992"/>
      <w:bookmarkStart w:id="23" w:name="_Toc56667077"/>
      <w:bookmarkStart w:id="24" w:name="_Toc11155993"/>
      <w:bookmarkEnd w:id="21"/>
      <w:r w:rsidRPr="00EA3D8C">
        <w:rPr>
          <w:rFonts w:eastAsia="MS PGothic" w:cstheme="minorHAnsi"/>
          <w:b/>
          <w:color w:val="2F5496" w:themeColor="accent1" w:themeShade="BF"/>
          <w:sz w:val="24"/>
          <w:szCs w:val="26"/>
          <w:lang w:val="sr-Cyrl-RS" w:eastAsia="ja-JP"/>
        </w:rPr>
        <w:lastRenderedPageBreak/>
        <w:t>3. Текућа фискална кретања и изгледи за 2020. годину</w:t>
      </w:r>
      <w:bookmarkEnd w:id="22"/>
      <w:bookmarkEnd w:id="23"/>
    </w:p>
    <w:p w14:paraId="369C1ED4" w14:textId="77777777" w:rsidR="001901FC" w:rsidRPr="00EA3D8C" w:rsidRDefault="001901FC" w:rsidP="00FE1A26">
      <w:pPr>
        <w:rPr>
          <w:lang w:val="sr-Cyrl-RS" w:eastAsia="ja-JP"/>
        </w:rPr>
      </w:pPr>
    </w:p>
    <w:p w14:paraId="1E5784A2" w14:textId="77777777" w:rsidR="001901FC" w:rsidRPr="00EA3D8C" w:rsidRDefault="001901FC" w:rsidP="00D81397">
      <w:pPr>
        <w:spacing w:before="480" w:after="120" w:line="276" w:lineRule="auto"/>
        <w:rPr>
          <w:rFonts w:eastAsia="MS PGothic" w:cstheme="minorHAnsi"/>
          <w:b/>
          <w:color w:val="2F5496" w:themeColor="accent1" w:themeShade="BF"/>
          <w:szCs w:val="20"/>
          <w:lang w:val="sr-Cyrl-RS" w:eastAsia="ja-JP"/>
        </w:rPr>
        <w:sectPr w:rsidR="001901FC" w:rsidRPr="00EA3D8C" w:rsidSect="00AE40EB">
          <w:headerReference w:type="even" r:id="rId119"/>
          <w:headerReference w:type="default" r:id="rId120"/>
          <w:footerReference w:type="even" r:id="rId121"/>
          <w:footerReference w:type="default" r:id="rId122"/>
          <w:headerReference w:type="first" r:id="rId123"/>
          <w:type w:val="continuous"/>
          <w:pgSz w:w="12240" w:h="15840" w:code="1"/>
          <w:pgMar w:top="1440" w:right="1440" w:bottom="1440" w:left="1440" w:header="720" w:footer="720" w:gutter="0"/>
          <w:cols w:space="720"/>
          <w:docGrid w:linePitch="360"/>
        </w:sectPr>
      </w:pPr>
    </w:p>
    <w:p w14:paraId="1E87F79F" w14:textId="5B4DCA92"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lastRenderedPageBreak/>
        <w:t>Фискални дефицит опште државе у 2020. години, према најновијим проценама, износиће 8,9% БДП. У односу на резултат предвиђен оригиналним буџетом за 2020. годину дефицит је већи за 8,4 п.п</w:t>
      </w:r>
      <w:r w:rsidR="004B56B4">
        <w:rPr>
          <w:rFonts w:eastAsia="MS PGothic" w:cstheme="minorHAnsi"/>
          <w:szCs w:val="20"/>
          <w:lang w:val="sr-Cyrl-RS" w:eastAsia="ja-JP"/>
        </w:rPr>
        <w:t>.</w:t>
      </w:r>
      <w:r w:rsidRPr="00EA3D8C">
        <w:rPr>
          <w:rFonts w:eastAsia="MS PGothic" w:cstheme="minorHAnsi"/>
          <w:szCs w:val="20"/>
          <w:lang w:val="sr-Cyrl-RS" w:eastAsia="ja-JP"/>
        </w:rPr>
        <w:t xml:space="preserve"> БДП. Овако значајна ревизија фискалног дефицита опште државе резултат је пре свега ефеката пандемије </w:t>
      </w:r>
      <w:r w:rsidR="007451D1" w:rsidRPr="007451D1">
        <w:rPr>
          <w:rFonts w:eastAsia="MS PGothic" w:cstheme="minorHAnsi"/>
          <w:szCs w:val="20"/>
          <w:lang w:val="sr-Cyrl-RS" w:eastAsia="ja-JP"/>
        </w:rPr>
        <w:t>COVID</w:t>
      </w:r>
      <w:r w:rsidRPr="00EA3D8C">
        <w:rPr>
          <w:rFonts w:eastAsia="MS PGothic" w:cstheme="minorHAnsi"/>
          <w:szCs w:val="20"/>
          <w:lang w:val="sr-Cyrl-RS" w:eastAsia="ja-JP"/>
        </w:rPr>
        <w:t>-19 на глобална и домаћа економска кретања. Тренд пада учешћа јавног дуга у БДП, присутан од 2016. године, привремено је прекинут. У наредном периоду се очекује да ће услед стабилизације економских кретања и привредног опоравка, путања јавног дуга поново бити опадајућа.</w:t>
      </w:r>
    </w:p>
    <w:p w14:paraId="61334E26" w14:textId="77777777" w:rsidR="001901FC" w:rsidRPr="00EA3D8C" w:rsidRDefault="001901FC" w:rsidP="001A0449">
      <w:pPr>
        <w:jc w:val="center"/>
        <w:rPr>
          <w:rFonts w:cstheme="minorHAnsi"/>
          <w:b/>
          <w:color w:val="002060"/>
          <w:lang w:val="sr-Cyrl-RS"/>
        </w:rPr>
      </w:pPr>
      <w:r w:rsidRPr="00EA3D8C">
        <w:rPr>
          <w:rFonts w:cstheme="minorHAnsi"/>
          <w:b/>
          <w:color w:val="002060"/>
          <w:lang w:val="sr-Cyrl-RS"/>
        </w:rPr>
        <w:t>Фискални резултат опште државе у периоду од 2015. до 2020. године, % БДП</w:t>
      </w:r>
    </w:p>
    <w:p w14:paraId="0849FB46" w14:textId="77777777" w:rsidR="001901FC" w:rsidRPr="00EA3D8C" w:rsidRDefault="001901FC" w:rsidP="00FE1A26">
      <w:pPr>
        <w:spacing w:after="120" w:line="276" w:lineRule="auto"/>
        <w:jc w:val="center"/>
        <w:rPr>
          <w:lang w:val="sr-Cyrl-RS"/>
        </w:rPr>
      </w:pPr>
      <w:r w:rsidRPr="00EA3D8C">
        <w:rPr>
          <w:noProof/>
          <w:color w:val="1F3864"/>
        </w:rPr>
        <w:drawing>
          <wp:inline distT="0" distB="0" distL="0" distR="0" wp14:anchorId="62A596A9" wp14:editId="0591B713">
            <wp:extent cx="2775098" cy="1755775"/>
            <wp:effectExtent l="0" t="0" r="6350" b="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14:paraId="19395C63" w14:textId="77777777" w:rsidR="001901FC" w:rsidRPr="00EA3D8C" w:rsidRDefault="001901FC" w:rsidP="009877EB">
      <w:pPr>
        <w:spacing w:after="120" w:line="276" w:lineRule="auto"/>
        <w:rPr>
          <w:rFonts w:cstheme="minorHAnsi"/>
          <w:bCs/>
          <w:sz w:val="16"/>
          <w:szCs w:val="72"/>
          <w:lang w:val="sr-Cyrl-RS"/>
        </w:rPr>
      </w:pPr>
      <w:r w:rsidRPr="00EA3D8C">
        <w:rPr>
          <w:rFonts w:cstheme="minorHAnsi"/>
          <w:bCs/>
          <w:sz w:val="16"/>
          <w:szCs w:val="72"/>
          <w:lang w:val="sr-Cyrl-RS"/>
        </w:rPr>
        <w:t>Извор: Министарство финансија</w:t>
      </w:r>
    </w:p>
    <w:p w14:paraId="4899FF08" w14:textId="26A6C210" w:rsidR="001901FC" w:rsidRPr="00EA3D8C" w:rsidRDefault="00285491" w:rsidP="0084203C">
      <w:pPr>
        <w:rPr>
          <w:rFonts w:eastAsia="MS PGothic" w:cstheme="minorHAnsi"/>
          <w:szCs w:val="20"/>
          <w:lang w:val="sr-Cyrl-RS" w:eastAsia="ja-JP"/>
        </w:rPr>
      </w:pPr>
      <w:r>
        <w:rPr>
          <w:rFonts w:eastAsia="MS PGothic" w:cstheme="minorHAnsi"/>
          <w:szCs w:val="20"/>
          <w:lang w:val="sr-Cyrl-RS" w:eastAsia="ja-JP"/>
        </w:rPr>
        <w:t>Пандемија изазвана корона</w:t>
      </w:r>
      <w:r w:rsidR="001901FC" w:rsidRPr="00EA3D8C">
        <w:rPr>
          <w:rFonts w:eastAsia="MS PGothic" w:cstheme="minorHAnsi"/>
          <w:szCs w:val="20"/>
          <w:lang w:val="sr-Cyrl-RS" w:eastAsia="ja-JP"/>
        </w:rPr>
        <w:t xml:space="preserve">вирусом током читаве 2020. године имала је изразито негативне здравствене, економске и шире друштвене последице, како у читавом свету, тако и у Републици Србији. Од марта, када је регистрован први случај обољевања у Републици Србији, на снази су епидемиолошке мере различитог интензитета у циљу очувања здравља грађана и умањења притиска на јавно здравство. Пандемија </w:t>
      </w:r>
      <w:r w:rsidR="007451D1" w:rsidRPr="007451D1">
        <w:rPr>
          <w:rFonts w:eastAsia="MS PGothic" w:cstheme="minorHAnsi"/>
          <w:szCs w:val="20"/>
          <w:lang w:val="sr-Cyrl-RS" w:eastAsia="ja-JP"/>
        </w:rPr>
        <w:t>COVID</w:t>
      </w:r>
      <w:r w:rsidR="001901FC" w:rsidRPr="00EA3D8C">
        <w:rPr>
          <w:rFonts w:eastAsia="MS PGothic" w:cstheme="minorHAnsi"/>
          <w:szCs w:val="20"/>
          <w:lang w:val="sr-Cyrl-RS" w:eastAsia="ja-JP"/>
        </w:rPr>
        <w:t>-19 поставила је пред економску политику земље огромне изазове у циљу очувања економске активности, радних места и стандарда становништва.</w:t>
      </w:r>
    </w:p>
    <w:p w14:paraId="56D9B12B" w14:textId="44D2D635"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Почетком априла 2020. године Влад</w:t>
      </w:r>
      <w:r w:rsidR="00D87123" w:rsidRPr="00EA3D8C">
        <w:rPr>
          <w:rFonts w:eastAsia="MS PGothic" w:cstheme="minorHAnsi"/>
          <w:szCs w:val="20"/>
          <w:lang w:val="sr-Cyrl-RS" w:eastAsia="ja-JP"/>
        </w:rPr>
        <w:t xml:space="preserve">а је </w:t>
      </w:r>
      <w:r w:rsidRPr="00EA3D8C">
        <w:rPr>
          <w:rFonts w:eastAsia="MS PGothic" w:cstheme="minorHAnsi"/>
          <w:szCs w:val="20"/>
          <w:lang w:val="sr-Cyrl-RS" w:eastAsia="ja-JP"/>
        </w:rPr>
        <w:t xml:space="preserve">усвојила „Програм економских мера за смањивање негативних ефеката проузрокованих пандемијом </w:t>
      </w:r>
      <w:r w:rsidRPr="00EA3D8C">
        <w:rPr>
          <w:rFonts w:eastAsia="MS PGothic" w:cstheme="minorHAnsi"/>
          <w:szCs w:val="20"/>
          <w:lang w:val="sr-Cyrl-RS" w:eastAsia="ja-JP"/>
        </w:rPr>
        <w:lastRenderedPageBreak/>
        <w:t xml:space="preserve">вируса </w:t>
      </w:r>
      <w:r w:rsidR="007451D1" w:rsidRPr="007451D1">
        <w:rPr>
          <w:rFonts w:eastAsia="MS PGothic" w:cstheme="minorHAnsi"/>
          <w:szCs w:val="20"/>
          <w:lang w:val="sr-Cyrl-RS" w:eastAsia="ja-JP"/>
        </w:rPr>
        <w:t>COVID</w:t>
      </w:r>
      <w:r w:rsidR="00AC64E3">
        <w:rPr>
          <w:rFonts w:eastAsia="MS PGothic" w:cstheme="minorHAnsi"/>
          <w:szCs w:val="20"/>
          <w:lang w:val="sr-Cyrl-RS" w:eastAsia="ja-JP"/>
        </w:rPr>
        <w:t>-19 и подршку привреди Србије</w:t>
      </w:r>
      <w:r w:rsidRPr="00EA3D8C">
        <w:rPr>
          <w:rFonts w:eastAsia="MS PGothic" w:cstheme="minorHAnsi"/>
          <w:szCs w:val="20"/>
          <w:lang w:val="sr-Cyrl-RS" w:eastAsia="ja-JP"/>
        </w:rPr>
        <w:t xml:space="preserve"> којим је формулисан сет мера помоћи привреди у циљу очувања ликвидности и ублажавање пада запослености, те очувања животног стандарда и ликвидности становништва. Програмом мера представљен је макроекономски оквир којим је квантификован негативан ефекат пандемије како на глобална, тако и на економска кретања у нашој земљи. Макроекономске претпоставке са којима се ушло у израду програма подразумевале су ревизију реалног раста БДП за око 6 </w:t>
      </w:r>
      <w:r w:rsidR="00AC64E3">
        <w:rPr>
          <w:rFonts w:eastAsia="MS PGothic" w:cstheme="minorHAnsi"/>
          <w:szCs w:val="20"/>
          <w:lang w:val="sr-Cyrl-RS" w:eastAsia="ja-JP"/>
        </w:rPr>
        <w:t>п.п.</w:t>
      </w:r>
      <w:r w:rsidRPr="00EA3D8C">
        <w:rPr>
          <w:rFonts w:eastAsia="MS PGothic" w:cstheme="minorHAnsi"/>
          <w:szCs w:val="20"/>
          <w:lang w:val="sr-Cyrl-RS" w:eastAsia="ja-JP"/>
        </w:rPr>
        <w:t xml:space="preserve"> (са +4% на -1,8%).</w:t>
      </w:r>
    </w:p>
    <w:p w14:paraId="786EA199" w14:textId="27B174A6"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Укупан обим пакета мера помоћи привреди и становништву тада је процењен на преко 608 млрд динара (11% БДП), при чему се претпостављало да ће сви привредни субјекти квалификовани за примену одређене мере ту могућност и искористити. Од ефеката усвојених мера на директно смањење очекиваних прихода опште државе односило се 177 млрд динара (160 млрд динара одлагање и репрограм пореских обавеза по основу пореза на </w:t>
      </w:r>
      <w:r w:rsidR="00AC64E3">
        <w:rPr>
          <w:rFonts w:eastAsia="MS PGothic" w:cstheme="minorHAnsi"/>
          <w:szCs w:val="20"/>
          <w:lang w:val="sr-Cyrl-RS" w:eastAsia="ja-JP"/>
        </w:rPr>
        <w:t>зараде</w:t>
      </w:r>
      <w:r w:rsidRPr="00EA3D8C">
        <w:rPr>
          <w:rFonts w:eastAsia="MS PGothic" w:cstheme="minorHAnsi"/>
          <w:szCs w:val="20"/>
          <w:lang w:val="sr-Cyrl-RS" w:eastAsia="ja-JP"/>
        </w:rPr>
        <w:t xml:space="preserve"> и аконтација пореза на добит).</w:t>
      </w:r>
    </w:p>
    <w:p w14:paraId="473A68C3" w14:textId="77777777"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Прва група мера пореске политике односила се на одлагање плаћања пореза и доприноса на зараде и пореза на добит за приватни сектор, најпре у трајању од три месеца, уз каснију отплату настале обавезе у ратама најраније од 2021. године. Додатно, мера одлагања продужена је за још један месец. Право на ову помоћ имају сва предузећа (без обзира на сектор/делатност), под условом да нису смањила број запослених за више од 10%. Ова мера за циљ имала је очување радних места и повећање ликвидности привредних субјеката.</w:t>
      </w:r>
    </w:p>
    <w:p w14:paraId="26D1D62F" w14:textId="1C0F8AF1"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Други сет мера подразумевао је исплату директне помоћи у висини минималне зараде за предузетнике, микро, мала и средња предузећа, односно субвенције 50% минималне зараде великим предузећима, чији запослени су послати </w:t>
      </w:r>
      <w:r w:rsidR="00AC64E3">
        <w:rPr>
          <w:rFonts w:eastAsia="MS PGothic" w:cstheme="minorHAnsi"/>
          <w:szCs w:val="20"/>
          <w:lang w:val="sr-Cyrl-RS" w:eastAsia="ja-JP"/>
        </w:rPr>
        <w:t>на принудни одмор</w:t>
      </w:r>
      <w:r w:rsidRPr="00EA3D8C">
        <w:rPr>
          <w:rFonts w:eastAsia="MS PGothic" w:cstheme="minorHAnsi"/>
          <w:szCs w:val="20"/>
          <w:lang w:val="sr-Cyrl-RS" w:eastAsia="ja-JP"/>
        </w:rPr>
        <w:t xml:space="preserve"> због смањеног обима пословања или потпуне обуставе рада.</w:t>
      </w:r>
    </w:p>
    <w:p w14:paraId="5B129EA4" w14:textId="445ABE59"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lastRenderedPageBreak/>
        <w:t xml:space="preserve">Циљ трећег сета мера био је очување ликвидности привредних субјеката у условима економске кризе очекиване током и по окончању ванредне ситуације проузроковане пандемијом </w:t>
      </w:r>
      <w:r w:rsidR="007451D1" w:rsidRPr="007451D1">
        <w:rPr>
          <w:rFonts w:eastAsia="MS PGothic" w:cstheme="minorHAnsi"/>
          <w:szCs w:val="20"/>
          <w:lang w:val="sr-Cyrl-RS" w:eastAsia="ja-JP"/>
        </w:rPr>
        <w:t>COVID</w:t>
      </w:r>
      <w:r w:rsidRPr="00EA3D8C">
        <w:rPr>
          <w:rFonts w:eastAsia="MS PGothic" w:cstheme="minorHAnsi"/>
          <w:szCs w:val="20"/>
          <w:lang w:val="sr-Cyrl-RS" w:eastAsia="ja-JP"/>
        </w:rPr>
        <w:t>-19 вируса. Програм финансијске подршке односио се на кредите које ће држава дати предузећима директно преко Фонда за развој Републике Србије, а намењени су предузетницима, микро, малим и средњим предузећима, као и пољопривредним газдинствима. Други део финансијске подршке привреди односи се на кредитирање преко комерцијалних банака уз гаранцију државе за ове зајмове.</w:t>
      </w:r>
    </w:p>
    <w:p w14:paraId="745CE40C" w14:textId="00BF5112" w:rsidR="001901FC" w:rsidRPr="00EA3D8C" w:rsidRDefault="001901FC" w:rsidP="0084203C">
      <w:pPr>
        <w:rPr>
          <w:rFonts w:eastAsia="MS PGothic" w:cstheme="minorHAnsi"/>
          <w:szCs w:val="20"/>
          <w:lang w:val="sr-Cyrl-RS" w:eastAsia="ja-JP"/>
        </w:rPr>
      </w:pPr>
      <w:r w:rsidRPr="0055757E">
        <w:rPr>
          <w:rFonts w:eastAsia="MS PGothic" w:cstheme="minorHAnsi"/>
          <w:szCs w:val="20"/>
          <w:lang w:val="sr-Cyrl-RS" w:eastAsia="ja-JP"/>
        </w:rPr>
        <w:t xml:space="preserve">Поред ових мера усмерених ка привреди спроведена је и исплата новчаног износа свим </w:t>
      </w:r>
      <w:r w:rsidR="00AC64E3" w:rsidRPr="0055757E">
        <w:rPr>
          <w:rFonts w:eastAsia="MS PGothic" w:cstheme="minorHAnsi"/>
          <w:szCs w:val="20"/>
          <w:lang w:val="sr-Cyrl-RS" w:eastAsia="ja-JP"/>
        </w:rPr>
        <w:t xml:space="preserve">пунолетним </w:t>
      </w:r>
      <w:r w:rsidRPr="0055757E">
        <w:rPr>
          <w:rFonts w:eastAsia="MS PGothic" w:cstheme="minorHAnsi"/>
          <w:szCs w:val="20"/>
          <w:lang w:val="sr-Cyrl-RS" w:eastAsia="ja-JP"/>
        </w:rPr>
        <w:t xml:space="preserve">грађанима Републике Србије у износу од 100 </w:t>
      </w:r>
      <w:r w:rsidR="00C7797A" w:rsidRPr="0055757E">
        <w:rPr>
          <w:rFonts w:eastAsia="MS PGothic" w:cstheme="minorHAnsi"/>
          <w:szCs w:val="20"/>
          <w:lang w:val="sr-Cyrl-RS" w:eastAsia="ja-JP"/>
        </w:rPr>
        <w:t>евра</w:t>
      </w:r>
      <w:r w:rsidR="0066425F" w:rsidRPr="0055757E">
        <w:rPr>
          <w:rFonts w:eastAsia="MS PGothic" w:cstheme="minorHAnsi"/>
          <w:szCs w:val="20"/>
          <w:lang w:val="sr-Cyrl-RS" w:eastAsia="ja-JP"/>
        </w:rPr>
        <w:t xml:space="preserve"> у динарској противвредности прерачунато по званичном средњем курсу НБС</w:t>
      </w:r>
      <w:r w:rsidR="0066425F">
        <w:rPr>
          <w:rFonts w:eastAsia="MS PGothic" w:cstheme="minorHAnsi"/>
          <w:szCs w:val="20"/>
          <w:lang w:val="sr-Cyrl-RS" w:eastAsia="ja-JP"/>
        </w:rPr>
        <w:t>,</w:t>
      </w:r>
      <w:r w:rsidRPr="00EA3D8C">
        <w:rPr>
          <w:rFonts w:eastAsia="MS PGothic" w:cstheme="minorHAnsi"/>
          <w:szCs w:val="20"/>
          <w:lang w:val="sr-Cyrl-RS" w:eastAsia="ja-JP"/>
        </w:rPr>
        <w:t xml:space="preserve"> у циљу помоћи становништву, очувања животног стандарда и подстицања домаће тражње. У оквиру пакета мера пружена је додатна подршка здравственим радницима повећањем зарада за 10% од априла ове године, као и једнократна помоћ пензионерима у висини од 4.000 динара.</w:t>
      </w:r>
    </w:p>
    <w:p w14:paraId="2AA5A4D6" w14:textId="777013EE"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Сагледавањем економских кретања током другог и трећег тромесечја, стања на тржишту рада, ефеката спроведеног сета мера, a у условима пролонгираног трајања сложене епидемиолошке ситуације, Влада </w:t>
      </w:r>
      <w:r w:rsidR="00D87123" w:rsidRPr="00EA3D8C">
        <w:rPr>
          <w:rFonts w:eastAsia="MS PGothic" w:cstheme="minorHAnsi"/>
          <w:szCs w:val="20"/>
          <w:lang w:val="sr-Cyrl-RS" w:eastAsia="ja-JP"/>
        </w:rPr>
        <w:t xml:space="preserve">је </w:t>
      </w:r>
      <w:r w:rsidRPr="00EA3D8C">
        <w:rPr>
          <w:rFonts w:eastAsia="MS PGothic" w:cstheme="minorHAnsi"/>
          <w:szCs w:val="20"/>
          <w:lang w:val="sr-Cyrl-RS" w:eastAsia="ja-JP"/>
        </w:rPr>
        <w:t xml:space="preserve">продужила трајање мера подршке привреди. Одлучено је да се за још два месеца (у августу и септембру) обезбеди директна помоћ микро, малим и средњим предузећима у </w:t>
      </w:r>
      <w:r w:rsidRPr="00EA3D8C">
        <w:rPr>
          <w:rFonts w:eastAsia="MS PGothic" w:cstheme="minorHAnsi"/>
          <w:szCs w:val="20"/>
          <w:lang w:val="sr-Cyrl-RS" w:eastAsia="ja-JP"/>
        </w:rPr>
        <w:lastRenderedPageBreak/>
        <w:t>износу од 60% минималне зараде, те продужи одлагање плаћања пореза и доприноса на зараде за још један месец. Циљ ових мера био је да оснаже привреду у Србији, али и да пруже додатно време предузетницима за прилагођавање постојећим околностима. Такође</w:t>
      </w:r>
      <w:r w:rsidR="00AC64E3">
        <w:rPr>
          <w:rFonts w:eastAsia="MS PGothic" w:cstheme="minorHAnsi"/>
          <w:szCs w:val="20"/>
          <w:lang w:val="sr-Cyrl-RS" w:eastAsia="ja-JP"/>
        </w:rPr>
        <w:t>,</w:t>
      </w:r>
      <w:r w:rsidRPr="00EA3D8C">
        <w:rPr>
          <w:rFonts w:eastAsia="MS PGothic" w:cstheme="minorHAnsi"/>
          <w:szCs w:val="20"/>
          <w:lang w:val="sr-Cyrl-RS" w:eastAsia="ja-JP"/>
        </w:rPr>
        <w:t xml:space="preserve"> додатно је припремљен и усвојен програм помоћи делу привредних субјеката из области туризма и угоститељства. Укупан обим мера економске помоћи привреди и становништву </w:t>
      </w:r>
      <w:r w:rsidR="00AC64E3">
        <w:rPr>
          <w:rFonts w:eastAsia="MS PGothic" w:cstheme="minorHAnsi"/>
          <w:szCs w:val="20"/>
          <w:lang w:val="sr-Cyrl-RS" w:eastAsia="ja-JP"/>
        </w:rPr>
        <w:t>у 2020. години</w:t>
      </w:r>
      <w:r w:rsidRPr="00EA3D8C">
        <w:rPr>
          <w:rFonts w:eastAsia="MS PGothic" w:cstheme="minorHAnsi"/>
          <w:szCs w:val="20"/>
          <w:lang w:val="sr-Cyrl-RS" w:eastAsia="ja-JP"/>
        </w:rPr>
        <w:t xml:space="preserve"> тиме је достигао 12,5% БПД (око 690 млрд динара)</w:t>
      </w:r>
      <w:r w:rsidR="00AC64E3">
        <w:rPr>
          <w:rFonts w:eastAsia="MS PGothic" w:cstheme="minorHAnsi"/>
          <w:szCs w:val="20"/>
          <w:lang w:val="sr-Cyrl-RS" w:eastAsia="ja-JP"/>
        </w:rPr>
        <w:t>,</w:t>
      </w:r>
      <w:r w:rsidRPr="00EA3D8C">
        <w:rPr>
          <w:rFonts w:eastAsia="MS PGothic" w:cstheme="minorHAnsi"/>
          <w:szCs w:val="20"/>
          <w:lang w:val="sr-Cyrl-RS" w:eastAsia="ja-JP"/>
        </w:rPr>
        <w:t xml:space="preserve"> укључујући и гарантне шеме за лакши приступ привреди кредитним средствима.</w:t>
      </w:r>
    </w:p>
    <w:p w14:paraId="2FB15E9D" w14:textId="03780C3E" w:rsidR="001901FC" w:rsidRPr="00EA3D8C" w:rsidRDefault="001901FC" w:rsidP="0084203C">
      <w:pPr>
        <w:tabs>
          <w:tab w:val="left" w:pos="930"/>
        </w:tabs>
        <w:rPr>
          <w:rFonts w:eastAsia="MS PGothic" w:cstheme="minorHAnsi"/>
          <w:szCs w:val="20"/>
          <w:lang w:val="sr-Cyrl-RS" w:eastAsia="ja-JP"/>
        </w:rPr>
      </w:pPr>
      <w:r w:rsidRPr="00EA3D8C">
        <w:rPr>
          <w:rFonts w:eastAsia="MS PGothic" w:cstheme="minorHAnsi"/>
          <w:szCs w:val="20"/>
          <w:lang w:val="sr-Cyrl-RS" w:eastAsia="ja-JP"/>
        </w:rPr>
        <w:t xml:space="preserve">Додатни расходи као подршка систему јавног здравства </w:t>
      </w:r>
      <w:r w:rsidR="00285491">
        <w:rPr>
          <w:rFonts w:eastAsia="MS PGothic" w:cstheme="minorHAnsi"/>
          <w:szCs w:val="20"/>
          <w:lang w:val="sr-Cyrl-RS" w:eastAsia="ja-JP"/>
        </w:rPr>
        <w:t>у борби против пандемије корона</w:t>
      </w:r>
      <w:r w:rsidRPr="00EA3D8C">
        <w:rPr>
          <w:rFonts w:eastAsia="MS PGothic" w:cstheme="minorHAnsi"/>
          <w:szCs w:val="20"/>
          <w:lang w:val="sr-Cyrl-RS" w:eastAsia="ja-JP"/>
        </w:rPr>
        <w:t>вируса процењују се на преко 60 млрд динара, односно 1,1% БДП.</w:t>
      </w:r>
    </w:p>
    <w:p w14:paraId="428781B4" w14:textId="7CDCC022"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Пакет економских мера је имао за циљ очување производних капацитета целокупне привреде, одржање животног стандарда становништва и обезбеђивање ликвидности свих економских субјеката. На тај начин Влада и НБС су значајно помогли да се ублажи непосредна економска штета од шока изазваног </w:t>
      </w:r>
      <w:r w:rsidR="008E4992" w:rsidRPr="008E4992">
        <w:rPr>
          <w:rFonts w:eastAsia="MS PGothic" w:cstheme="minorHAnsi"/>
          <w:szCs w:val="20"/>
          <w:lang w:val="sr-Cyrl-RS" w:eastAsia="ja-JP"/>
        </w:rPr>
        <w:t>пан</w:t>
      </w:r>
      <w:r w:rsidRPr="00EA3D8C">
        <w:rPr>
          <w:rFonts w:eastAsia="MS PGothic" w:cstheme="minorHAnsi"/>
          <w:szCs w:val="20"/>
          <w:lang w:val="sr-Cyrl-RS" w:eastAsia="ja-JP"/>
        </w:rPr>
        <w:t>демијом, али и да се створе услови за бржи опоравак привреде у наступајућем периоду. Реализација пакета мера подршке привреди, закључно са септембром 2020. године процењује се на око 10% БДП. Процењује се да би у случају одсуства мера подршке привреди и становништву пад БДП у 2020. години био већи, и износио би око 5%.</w:t>
      </w:r>
    </w:p>
    <w:p w14:paraId="6387B9F8" w14:textId="77777777" w:rsidR="001901FC" w:rsidRPr="00EA3D8C" w:rsidRDefault="001901FC" w:rsidP="00FE1A26">
      <w:pPr>
        <w:spacing w:after="120" w:line="240" w:lineRule="auto"/>
        <w:jc w:val="center"/>
        <w:rPr>
          <w:rFonts w:ascii="Times New Roman" w:hAnsi="Times New Roman" w:cs="Times New Roman"/>
          <w:b/>
          <w:sz w:val="24"/>
          <w:szCs w:val="24"/>
          <w:lang w:val="sr-Cyrl-RS"/>
        </w:rPr>
        <w:sectPr w:rsidR="001901FC" w:rsidRPr="00EA3D8C" w:rsidSect="00AE40EB">
          <w:type w:val="continuous"/>
          <w:pgSz w:w="12240" w:h="15840" w:code="1"/>
          <w:pgMar w:top="1440" w:right="1440" w:bottom="1440" w:left="1440" w:header="720" w:footer="720" w:gutter="0"/>
          <w:cols w:num="2" w:space="720"/>
          <w:docGrid w:linePitch="360"/>
        </w:sectPr>
      </w:pPr>
    </w:p>
    <w:p w14:paraId="68F6484A" w14:textId="77777777" w:rsidR="001901FC" w:rsidRPr="00EA3D8C" w:rsidRDefault="001901FC" w:rsidP="00FE1A26">
      <w:pPr>
        <w:spacing w:after="120" w:line="240" w:lineRule="auto"/>
        <w:rPr>
          <w:rFonts w:ascii="Times New Roman" w:hAnsi="Times New Roman" w:cs="Times New Roman"/>
          <w:b/>
          <w:sz w:val="24"/>
          <w:szCs w:val="24"/>
          <w:lang w:val="sr-Cyrl-RS"/>
        </w:rPr>
        <w:sectPr w:rsidR="001901FC" w:rsidRPr="00EA3D8C" w:rsidSect="00AE40EB">
          <w:type w:val="continuous"/>
          <w:pgSz w:w="12240" w:h="15840" w:code="1"/>
          <w:pgMar w:top="1440" w:right="1440" w:bottom="1440" w:left="1440" w:header="720" w:footer="720" w:gutter="0"/>
          <w:cols w:space="720"/>
          <w:docGrid w:linePitch="360"/>
        </w:sectPr>
      </w:pPr>
    </w:p>
    <w:p w14:paraId="3676A1F5" w14:textId="77777777" w:rsidR="001901FC" w:rsidRPr="00EA3D8C" w:rsidRDefault="001901FC" w:rsidP="00FE1A26">
      <w:pPr>
        <w:rPr>
          <w:lang w:val="sr-Cyrl-RS"/>
        </w:rPr>
      </w:pPr>
    </w:p>
    <w:p w14:paraId="00301125" w14:textId="77777777" w:rsidR="001901FC" w:rsidRPr="00EA3D8C" w:rsidRDefault="001901FC" w:rsidP="00FE1A26">
      <w:pPr>
        <w:rPr>
          <w:lang w:val="sr-Cyrl-RS"/>
        </w:rPr>
      </w:pPr>
    </w:p>
    <w:p w14:paraId="4F0E6373" w14:textId="77777777" w:rsidR="001901FC" w:rsidRPr="00EA3D8C" w:rsidRDefault="001901FC">
      <w:pPr>
        <w:jc w:val="left"/>
        <w:rPr>
          <w:rFonts w:ascii="Times New Roman" w:hAnsi="Times New Roman" w:cs="Times New Roman"/>
          <w:b/>
          <w:sz w:val="24"/>
          <w:szCs w:val="24"/>
          <w:lang w:val="sr-Cyrl-RS"/>
        </w:rPr>
      </w:pPr>
      <w:r w:rsidRPr="00EA3D8C">
        <w:rPr>
          <w:rFonts w:ascii="Times New Roman" w:hAnsi="Times New Roman" w:cs="Times New Roman"/>
          <w:b/>
          <w:sz w:val="24"/>
          <w:szCs w:val="24"/>
          <w:lang w:val="sr-Cyrl-RS"/>
        </w:rPr>
        <w:br w:type="page"/>
      </w:r>
    </w:p>
    <w:p w14:paraId="760A16A8" w14:textId="77777777" w:rsidR="001901FC" w:rsidRPr="00EA3D8C" w:rsidRDefault="001901FC" w:rsidP="00FE1A26">
      <w:pPr>
        <w:spacing w:after="0" w:line="276" w:lineRule="auto"/>
        <w:jc w:val="center"/>
        <w:rPr>
          <w:rFonts w:cs="Times New Roman"/>
          <w:b/>
          <w:sz w:val="24"/>
          <w:szCs w:val="24"/>
          <w:lang w:val="sr-Cyrl-RS"/>
        </w:rPr>
        <w:sectPr w:rsidR="001901FC" w:rsidRPr="00EA3D8C" w:rsidSect="00AE40EB">
          <w:type w:val="continuous"/>
          <w:pgSz w:w="12240" w:h="15840" w:code="1"/>
          <w:pgMar w:top="1440" w:right="1440" w:bottom="1440" w:left="1440" w:header="720" w:footer="720" w:gutter="0"/>
          <w:cols w:space="720"/>
          <w:docGrid w:linePitch="360"/>
        </w:sectPr>
      </w:pPr>
      <w:r w:rsidRPr="00EA3D8C">
        <w:rPr>
          <w:rFonts w:ascii="Times New Roman" w:hAnsi="Times New Roman" w:cs="Times New Roman"/>
          <w:b/>
          <w:sz w:val="24"/>
          <w:szCs w:val="24"/>
          <w:lang w:val="sr-Cyrl-RS"/>
        </w:rPr>
        <w:lastRenderedPageBreak/>
        <w:fldChar w:fldCharType="begin"/>
      </w:r>
      <w:r w:rsidRPr="00EA3D8C">
        <w:rPr>
          <w:rFonts w:ascii="Times New Roman" w:hAnsi="Times New Roman" w:cs="Times New Roman"/>
          <w:b/>
          <w:sz w:val="24"/>
          <w:szCs w:val="24"/>
          <w:lang w:val="sr-Cyrl-RS"/>
        </w:rPr>
        <w:instrText xml:space="preserve"> LINK Excel.Sheet.12 "C:\\Users\\ljubica.matic\\AppData\\Local\\Microsoft\\Windows\\Temporary Internet Files\\Content.Outlook\\65ACNDVM\\COVID-19 mere srp eng.xlsx" "srp!R1C3:R25C7" \a \f 4 \h  \* MERGEFORMAT </w:instrText>
      </w:r>
      <w:r w:rsidRPr="00EA3D8C">
        <w:rPr>
          <w:rFonts w:ascii="Times New Roman" w:hAnsi="Times New Roman" w:cs="Times New Roman"/>
          <w:b/>
          <w:sz w:val="24"/>
          <w:szCs w:val="24"/>
          <w:lang w:val="sr-Cyrl-RS"/>
        </w:rPr>
        <w:fldChar w:fldCharType="separate"/>
      </w:r>
      <w:r w:rsidRPr="00EA3D8C">
        <w:rPr>
          <w:rFonts w:cstheme="minorHAnsi"/>
          <w:b/>
          <w:color w:val="002060"/>
          <w:lang w:val="sr-Cyrl-RS"/>
        </w:rPr>
        <w:t>Преглед пакета мера за подршку привреди и становништву</w:t>
      </w:r>
    </w:p>
    <w:p w14:paraId="7C141820" w14:textId="77777777" w:rsidR="001901FC" w:rsidRPr="00EA3D8C" w:rsidRDefault="001901FC" w:rsidP="00FE1A26">
      <w:pPr>
        <w:rPr>
          <w:lang w:val="sr-Cyrl-RS"/>
        </w:rPr>
      </w:pPr>
    </w:p>
    <w:tbl>
      <w:tblPr>
        <w:tblStyle w:val="PlainTable41"/>
        <w:tblW w:w="11013" w:type="dxa"/>
        <w:jc w:val="center"/>
        <w:tblLook w:val="04A0" w:firstRow="1" w:lastRow="0" w:firstColumn="1" w:lastColumn="0" w:noHBand="0" w:noVBand="1"/>
      </w:tblPr>
      <w:tblGrid>
        <w:gridCol w:w="7355"/>
        <w:gridCol w:w="1087"/>
        <w:gridCol w:w="742"/>
        <w:gridCol w:w="1087"/>
        <w:gridCol w:w="742"/>
      </w:tblGrid>
      <w:tr w:rsidR="001A2C4E" w:rsidRPr="001A2C4E" w14:paraId="03C0A17C" w14:textId="77777777" w:rsidTr="00FE1A26">
        <w:trPr>
          <w:cnfStyle w:val="100000000000" w:firstRow="1" w:lastRow="0" w:firstColumn="0" w:lastColumn="0" w:oddVBand="0" w:evenVBand="0" w:oddHBand="0"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29EE6F73" w14:textId="77777777" w:rsidR="001901FC" w:rsidRPr="001A2C4E" w:rsidRDefault="001901FC" w:rsidP="00FE1A26">
            <w:pPr>
              <w:rPr>
                <w:rFonts w:ascii="Times New Roman" w:eastAsia="Times New Roman" w:hAnsi="Times New Roman" w:cs="Times New Roman"/>
                <w:color w:val="002060"/>
                <w:szCs w:val="20"/>
                <w:lang w:val="sr-Cyrl-RS"/>
              </w:rPr>
            </w:pPr>
          </w:p>
        </w:tc>
        <w:tc>
          <w:tcPr>
            <w:tcW w:w="1829" w:type="dxa"/>
            <w:gridSpan w:val="2"/>
            <w:hideMark/>
          </w:tcPr>
          <w:p w14:paraId="3B3650F1" w14:textId="77777777" w:rsidR="001901FC" w:rsidRPr="001A2C4E" w:rsidRDefault="001901FC" w:rsidP="00FE1A26">
            <w:pPr>
              <w:jc w:val="center"/>
              <w:cnfStyle w:val="100000000000" w:firstRow="1" w:lastRow="0" w:firstColumn="0" w:lastColumn="0" w:oddVBand="0" w:evenVBand="0" w:oddHBand="0" w:evenHBand="0" w:firstRowFirstColumn="0" w:firstRowLastColumn="0" w:lastRowFirstColumn="0" w:lastRowLastColumn="0"/>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План</w:t>
            </w:r>
          </w:p>
        </w:tc>
        <w:tc>
          <w:tcPr>
            <w:tcW w:w="1829" w:type="dxa"/>
            <w:gridSpan w:val="2"/>
            <w:hideMark/>
          </w:tcPr>
          <w:p w14:paraId="2DCBEFF0" w14:textId="77777777" w:rsidR="001901FC" w:rsidRPr="001A2C4E" w:rsidRDefault="001901FC" w:rsidP="00FE1A26">
            <w:pPr>
              <w:jc w:val="center"/>
              <w:cnfStyle w:val="100000000000" w:firstRow="1" w:lastRow="0" w:firstColumn="0" w:lastColumn="0" w:oddVBand="0" w:evenVBand="0" w:oddHBand="0" w:evenHBand="0" w:firstRowFirstColumn="0" w:firstRowLastColumn="0" w:lastRowFirstColumn="0" w:lastRowLastColumn="0"/>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Остварење до 30.09.2020</w:t>
            </w:r>
          </w:p>
        </w:tc>
      </w:tr>
      <w:tr w:rsidR="001A2C4E" w:rsidRPr="001A2C4E" w14:paraId="01CD17A1"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0FFFB69D" w14:textId="77777777" w:rsidR="001901FC" w:rsidRPr="001A2C4E" w:rsidRDefault="001901FC" w:rsidP="00FE1A26">
            <w:pPr>
              <w:rPr>
                <w:rFonts w:ascii="Times New Roman" w:eastAsia="Times New Roman" w:hAnsi="Times New Roman" w:cs="Times New Roman"/>
                <w:color w:val="002060"/>
                <w:szCs w:val="20"/>
                <w:lang w:val="sr-Cyrl-RS"/>
              </w:rPr>
            </w:pPr>
            <w:r w:rsidRPr="001A2C4E">
              <w:rPr>
                <w:rFonts w:ascii="Times New Roman" w:eastAsia="Times New Roman" w:hAnsi="Times New Roman" w:cs="Times New Roman"/>
                <w:color w:val="002060"/>
                <w:szCs w:val="20"/>
                <w:lang w:val="sr-Cyrl-RS"/>
              </w:rPr>
              <w:t> </w:t>
            </w:r>
          </w:p>
        </w:tc>
        <w:tc>
          <w:tcPr>
            <w:tcW w:w="1087" w:type="dxa"/>
            <w:noWrap/>
            <w:hideMark/>
          </w:tcPr>
          <w:p w14:paraId="600D7116" w14:textId="77777777" w:rsidR="001901FC" w:rsidRPr="001A2C4E" w:rsidRDefault="001901FC" w:rsidP="00FE1A26">
            <w:pPr>
              <w:jc w:val="center"/>
              <w:cnfStyle w:val="000000100000" w:firstRow="0" w:lastRow="0" w:firstColumn="0" w:lastColumn="0" w:oddVBand="0" w:evenVBand="0" w:oddHBand="1" w:evenHBand="0" w:firstRowFirstColumn="0" w:firstRowLastColumn="0" w:lastRowFirstColumn="0" w:lastRowLastColumn="0"/>
              <w:rPr>
                <w:rFonts w:eastAsia="MS PGothic" w:cstheme="minorHAnsi"/>
                <w:b/>
                <w:color w:val="002060"/>
                <w:sz w:val="18"/>
                <w:szCs w:val="18"/>
                <w:lang w:val="sr-Cyrl-RS" w:eastAsia="ja-JP"/>
              </w:rPr>
            </w:pPr>
            <w:r w:rsidRPr="001A2C4E">
              <w:rPr>
                <w:rFonts w:eastAsia="MS PGothic" w:cstheme="minorHAnsi"/>
                <w:b/>
                <w:color w:val="002060"/>
                <w:sz w:val="18"/>
                <w:szCs w:val="18"/>
                <w:lang w:val="sr-Cyrl-RS" w:eastAsia="ja-JP"/>
              </w:rPr>
              <w:t>у млрд дин.</w:t>
            </w:r>
          </w:p>
        </w:tc>
        <w:tc>
          <w:tcPr>
            <w:tcW w:w="741" w:type="dxa"/>
            <w:noWrap/>
            <w:hideMark/>
          </w:tcPr>
          <w:p w14:paraId="7EB840D7" w14:textId="77777777" w:rsidR="001901FC" w:rsidRPr="001A2C4E" w:rsidRDefault="001901FC" w:rsidP="00FE1A26">
            <w:pPr>
              <w:jc w:val="center"/>
              <w:cnfStyle w:val="000000100000" w:firstRow="0" w:lastRow="0" w:firstColumn="0" w:lastColumn="0" w:oddVBand="0" w:evenVBand="0" w:oddHBand="1" w:evenHBand="0" w:firstRowFirstColumn="0" w:firstRowLastColumn="0" w:lastRowFirstColumn="0" w:lastRowLastColumn="0"/>
              <w:rPr>
                <w:rFonts w:eastAsia="MS PGothic" w:cstheme="minorHAnsi"/>
                <w:b/>
                <w:color w:val="002060"/>
                <w:sz w:val="18"/>
                <w:szCs w:val="18"/>
                <w:lang w:val="sr-Cyrl-RS" w:eastAsia="ja-JP"/>
              </w:rPr>
            </w:pPr>
            <w:r w:rsidRPr="001A2C4E">
              <w:rPr>
                <w:rFonts w:eastAsia="MS PGothic" w:cstheme="minorHAnsi"/>
                <w:b/>
                <w:color w:val="002060"/>
                <w:sz w:val="18"/>
                <w:szCs w:val="18"/>
                <w:lang w:val="sr-Cyrl-RS" w:eastAsia="ja-JP"/>
              </w:rPr>
              <w:t>у % БДП</w:t>
            </w:r>
          </w:p>
        </w:tc>
        <w:tc>
          <w:tcPr>
            <w:tcW w:w="1087" w:type="dxa"/>
            <w:noWrap/>
            <w:hideMark/>
          </w:tcPr>
          <w:p w14:paraId="7D9C6EDD" w14:textId="77777777" w:rsidR="001901FC" w:rsidRPr="001A2C4E" w:rsidRDefault="001901FC" w:rsidP="00FE1A26">
            <w:pPr>
              <w:jc w:val="center"/>
              <w:cnfStyle w:val="000000100000" w:firstRow="0" w:lastRow="0" w:firstColumn="0" w:lastColumn="0" w:oddVBand="0" w:evenVBand="0" w:oddHBand="1" w:evenHBand="0" w:firstRowFirstColumn="0" w:firstRowLastColumn="0" w:lastRowFirstColumn="0" w:lastRowLastColumn="0"/>
              <w:rPr>
                <w:rFonts w:eastAsia="MS PGothic" w:cstheme="minorHAnsi"/>
                <w:b/>
                <w:color w:val="002060"/>
                <w:sz w:val="18"/>
                <w:szCs w:val="18"/>
                <w:lang w:val="sr-Cyrl-RS" w:eastAsia="ja-JP"/>
              </w:rPr>
            </w:pPr>
            <w:r w:rsidRPr="001A2C4E">
              <w:rPr>
                <w:rFonts w:eastAsia="MS PGothic" w:cstheme="minorHAnsi"/>
                <w:b/>
                <w:color w:val="002060"/>
                <w:sz w:val="18"/>
                <w:szCs w:val="18"/>
                <w:lang w:val="sr-Cyrl-RS" w:eastAsia="ja-JP"/>
              </w:rPr>
              <w:t>у млрд дин.</w:t>
            </w:r>
          </w:p>
        </w:tc>
        <w:tc>
          <w:tcPr>
            <w:tcW w:w="741" w:type="dxa"/>
            <w:noWrap/>
            <w:hideMark/>
          </w:tcPr>
          <w:p w14:paraId="755610BD" w14:textId="77777777" w:rsidR="001901FC" w:rsidRPr="001A2C4E" w:rsidRDefault="001901FC" w:rsidP="00FE1A26">
            <w:pPr>
              <w:jc w:val="center"/>
              <w:cnfStyle w:val="000000100000" w:firstRow="0" w:lastRow="0" w:firstColumn="0" w:lastColumn="0" w:oddVBand="0" w:evenVBand="0" w:oddHBand="1" w:evenHBand="0" w:firstRowFirstColumn="0" w:firstRowLastColumn="0" w:lastRowFirstColumn="0" w:lastRowLastColumn="0"/>
              <w:rPr>
                <w:rFonts w:eastAsia="MS PGothic" w:cstheme="minorHAnsi"/>
                <w:b/>
                <w:color w:val="002060"/>
                <w:sz w:val="18"/>
                <w:szCs w:val="18"/>
                <w:lang w:val="sr-Cyrl-RS" w:eastAsia="ja-JP"/>
              </w:rPr>
            </w:pPr>
            <w:r w:rsidRPr="001A2C4E">
              <w:rPr>
                <w:rFonts w:eastAsia="MS PGothic" w:cstheme="minorHAnsi"/>
                <w:b/>
                <w:color w:val="002060"/>
                <w:sz w:val="18"/>
                <w:szCs w:val="18"/>
                <w:lang w:val="sr-Cyrl-RS" w:eastAsia="ja-JP"/>
              </w:rPr>
              <w:t>у % БДП</w:t>
            </w:r>
          </w:p>
        </w:tc>
      </w:tr>
      <w:tr w:rsidR="001A2C4E" w:rsidRPr="001A2C4E" w14:paraId="5CC1D9D0"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34101D6F"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Мере пореске политике</w:t>
            </w:r>
          </w:p>
        </w:tc>
        <w:tc>
          <w:tcPr>
            <w:tcW w:w="1087" w:type="dxa"/>
            <w:noWrap/>
            <w:hideMark/>
          </w:tcPr>
          <w:p w14:paraId="6945E9AA" w14:textId="77777777" w:rsidR="001901FC" w:rsidRPr="001A2C4E" w:rsidRDefault="001901FC" w:rsidP="00FE1A26">
            <w:pPr>
              <w:spacing w:line="276" w:lineRule="auto"/>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hideMark/>
          </w:tcPr>
          <w:p w14:paraId="3A221465" w14:textId="77777777" w:rsidR="001901FC" w:rsidRPr="001A2C4E" w:rsidRDefault="001901FC" w:rsidP="00FE1A26">
            <w:pPr>
              <w:spacing w:line="276" w:lineRule="auto"/>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1087" w:type="dxa"/>
            <w:noWrap/>
            <w:hideMark/>
          </w:tcPr>
          <w:p w14:paraId="48754746"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hideMark/>
          </w:tcPr>
          <w:p w14:paraId="563C2770"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r>
      <w:tr w:rsidR="001A2C4E" w:rsidRPr="001A2C4E" w14:paraId="662BE3C2"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13CDF082"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Одложено плаћање пореза на зараде и доприноса за приватни сектор током ванредног стања и за један додатни месец; приватне компаније ће ове обавезе отплаћивати на рате, али не пре јануара 2021. године</w:t>
            </w:r>
          </w:p>
        </w:tc>
        <w:tc>
          <w:tcPr>
            <w:tcW w:w="1087" w:type="dxa"/>
            <w:noWrap/>
            <w:vAlign w:val="bottom"/>
            <w:hideMark/>
          </w:tcPr>
          <w:p w14:paraId="5E906CF0"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168,0</w:t>
            </w:r>
          </w:p>
        </w:tc>
        <w:tc>
          <w:tcPr>
            <w:tcW w:w="741" w:type="dxa"/>
            <w:noWrap/>
            <w:vAlign w:val="bottom"/>
            <w:hideMark/>
          </w:tcPr>
          <w:p w14:paraId="65B0187D"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3,0</w:t>
            </w:r>
          </w:p>
        </w:tc>
        <w:tc>
          <w:tcPr>
            <w:tcW w:w="1087" w:type="dxa"/>
            <w:noWrap/>
            <w:vAlign w:val="bottom"/>
            <w:hideMark/>
          </w:tcPr>
          <w:p w14:paraId="2FA8636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97,3</w:t>
            </w:r>
          </w:p>
        </w:tc>
        <w:tc>
          <w:tcPr>
            <w:tcW w:w="741" w:type="dxa"/>
            <w:noWrap/>
            <w:vAlign w:val="bottom"/>
            <w:hideMark/>
          </w:tcPr>
          <w:p w14:paraId="69FB3BA4"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1,8</w:t>
            </w:r>
          </w:p>
        </w:tc>
      </w:tr>
      <w:tr w:rsidR="001A2C4E" w:rsidRPr="001A2C4E" w14:paraId="2EBB0DD5"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3CCD79DF"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 xml:space="preserve">Одложено плаћање аконтације за други квартал 2020. пореза на добит правних лица </w:t>
            </w:r>
          </w:p>
        </w:tc>
        <w:tc>
          <w:tcPr>
            <w:tcW w:w="1087" w:type="dxa"/>
            <w:noWrap/>
            <w:vAlign w:val="bottom"/>
            <w:hideMark/>
          </w:tcPr>
          <w:p w14:paraId="31C9252C"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21,0</w:t>
            </w:r>
          </w:p>
        </w:tc>
        <w:tc>
          <w:tcPr>
            <w:tcW w:w="741" w:type="dxa"/>
            <w:noWrap/>
            <w:vAlign w:val="bottom"/>
            <w:hideMark/>
          </w:tcPr>
          <w:p w14:paraId="0CA3D591"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0,4</w:t>
            </w:r>
          </w:p>
        </w:tc>
        <w:tc>
          <w:tcPr>
            <w:tcW w:w="1087" w:type="dxa"/>
            <w:noWrap/>
            <w:vAlign w:val="bottom"/>
            <w:hideMark/>
          </w:tcPr>
          <w:p w14:paraId="0444C138"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13,5</w:t>
            </w:r>
          </w:p>
        </w:tc>
        <w:tc>
          <w:tcPr>
            <w:tcW w:w="741" w:type="dxa"/>
            <w:noWrap/>
            <w:vAlign w:val="bottom"/>
            <w:hideMark/>
          </w:tcPr>
          <w:p w14:paraId="5CB534E5"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0,2</w:t>
            </w:r>
          </w:p>
        </w:tc>
      </w:tr>
      <w:tr w:rsidR="001A2C4E" w:rsidRPr="001A2C4E" w14:paraId="362CDD6D"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590E79A5"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Ослобађање од плаћања ПДВ за све донаторе</w:t>
            </w:r>
          </w:p>
        </w:tc>
        <w:tc>
          <w:tcPr>
            <w:tcW w:w="1087" w:type="dxa"/>
            <w:noWrap/>
            <w:vAlign w:val="bottom"/>
            <w:hideMark/>
          </w:tcPr>
          <w:p w14:paraId="1B5DA3E8"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741" w:type="dxa"/>
            <w:noWrap/>
            <w:vAlign w:val="bottom"/>
            <w:hideMark/>
          </w:tcPr>
          <w:p w14:paraId="7265C382"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1087" w:type="dxa"/>
            <w:noWrap/>
            <w:vAlign w:val="bottom"/>
            <w:hideMark/>
          </w:tcPr>
          <w:p w14:paraId="450A5653"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741" w:type="dxa"/>
            <w:noWrap/>
            <w:vAlign w:val="bottom"/>
            <w:hideMark/>
          </w:tcPr>
          <w:p w14:paraId="389E90FC"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r>
      <w:tr w:rsidR="001A2C4E" w:rsidRPr="001A2C4E" w14:paraId="4741C604"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72377C2E"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Укупно</w:t>
            </w:r>
          </w:p>
        </w:tc>
        <w:tc>
          <w:tcPr>
            <w:tcW w:w="1087" w:type="dxa"/>
            <w:noWrap/>
            <w:vAlign w:val="bottom"/>
            <w:hideMark/>
          </w:tcPr>
          <w:p w14:paraId="55A3EBE4"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189,0</w:t>
            </w:r>
          </w:p>
        </w:tc>
        <w:tc>
          <w:tcPr>
            <w:tcW w:w="741" w:type="dxa"/>
            <w:noWrap/>
            <w:vAlign w:val="bottom"/>
            <w:hideMark/>
          </w:tcPr>
          <w:p w14:paraId="0C9D7B59"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3,4</w:t>
            </w:r>
          </w:p>
        </w:tc>
        <w:tc>
          <w:tcPr>
            <w:tcW w:w="1087" w:type="dxa"/>
            <w:noWrap/>
            <w:vAlign w:val="bottom"/>
            <w:hideMark/>
          </w:tcPr>
          <w:p w14:paraId="1091BFEE"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110,8</w:t>
            </w:r>
          </w:p>
        </w:tc>
        <w:tc>
          <w:tcPr>
            <w:tcW w:w="741" w:type="dxa"/>
            <w:noWrap/>
            <w:vAlign w:val="bottom"/>
            <w:hideMark/>
          </w:tcPr>
          <w:p w14:paraId="427CC296"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2,0</w:t>
            </w:r>
          </w:p>
        </w:tc>
      </w:tr>
      <w:tr w:rsidR="001A2C4E" w:rsidRPr="001A2C4E" w14:paraId="290EED67"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415652E8"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Директна подршка приватном сектору</w:t>
            </w:r>
          </w:p>
        </w:tc>
        <w:tc>
          <w:tcPr>
            <w:tcW w:w="1087" w:type="dxa"/>
            <w:noWrap/>
            <w:vAlign w:val="bottom"/>
            <w:hideMark/>
          </w:tcPr>
          <w:p w14:paraId="27B764C0"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41A0E4C1"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1087" w:type="dxa"/>
            <w:noWrap/>
            <w:vAlign w:val="bottom"/>
            <w:hideMark/>
          </w:tcPr>
          <w:p w14:paraId="54749322"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173D6315"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r>
      <w:tr w:rsidR="001A2C4E" w:rsidRPr="001A2C4E" w14:paraId="5613C746"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3CB65AEA"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Директна подршка предузетницима који плаћају паушални порез и предузетницима који плаћају порез на стварне приходе, микро, малим и средњим предузећима у приватном сектору - три месеца исплата нето минималне зараде и још два додатна месеца исплата 60% нето минималне зараде</w:t>
            </w:r>
          </w:p>
        </w:tc>
        <w:tc>
          <w:tcPr>
            <w:tcW w:w="1087" w:type="dxa"/>
            <w:noWrap/>
            <w:vAlign w:val="bottom"/>
            <w:hideMark/>
          </w:tcPr>
          <w:p w14:paraId="3ACA9C53"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128,8</w:t>
            </w:r>
          </w:p>
        </w:tc>
        <w:tc>
          <w:tcPr>
            <w:tcW w:w="741" w:type="dxa"/>
            <w:noWrap/>
            <w:vAlign w:val="bottom"/>
            <w:hideMark/>
          </w:tcPr>
          <w:p w14:paraId="09DBE36A"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2,3</w:t>
            </w:r>
          </w:p>
        </w:tc>
        <w:tc>
          <w:tcPr>
            <w:tcW w:w="1087" w:type="dxa"/>
            <w:noWrap/>
            <w:vAlign w:val="bottom"/>
            <w:hideMark/>
          </w:tcPr>
          <w:p w14:paraId="53B00304"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130,1</w:t>
            </w:r>
          </w:p>
        </w:tc>
        <w:tc>
          <w:tcPr>
            <w:tcW w:w="741" w:type="dxa"/>
            <w:noWrap/>
            <w:vAlign w:val="bottom"/>
            <w:hideMark/>
          </w:tcPr>
          <w:p w14:paraId="2270A26C"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2,4</w:t>
            </w:r>
          </w:p>
        </w:tc>
      </w:tr>
      <w:tr w:rsidR="001A2C4E" w:rsidRPr="001A2C4E" w14:paraId="7A102BDF"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4FD0B18E"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Директна подршка великим приватним компанијама - подршка у износу од 50% нето минималне зараде (за време ванредног стања) запосленима који су добили решење о престанку рада (на основу чл. 116 и 117 Закона о раду).</w:t>
            </w:r>
          </w:p>
        </w:tc>
        <w:tc>
          <w:tcPr>
            <w:tcW w:w="1087" w:type="dxa"/>
            <w:noWrap/>
            <w:vAlign w:val="bottom"/>
            <w:hideMark/>
          </w:tcPr>
          <w:p w14:paraId="1438685C"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4,5</w:t>
            </w:r>
          </w:p>
        </w:tc>
        <w:tc>
          <w:tcPr>
            <w:tcW w:w="741" w:type="dxa"/>
            <w:noWrap/>
            <w:vAlign w:val="bottom"/>
            <w:hideMark/>
          </w:tcPr>
          <w:p w14:paraId="530847B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0,1</w:t>
            </w:r>
          </w:p>
        </w:tc>
        <w:tc>
          <w:tcPr>
            <w:tcW w:w="1087" w:type="dxa"/>
            <w:noWrap/>
            <w:vAlign w:val="bottom"/>
            <w:hideMark/>
          </w:tcPr>
          <w:p w14:paraId="7FB5384F"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w:t>
            </w:r>
          </w:p>
        </w:tc>
        <w:tc>
          <w:tcPr>
            <w:tcW w:w="741" w:type="dxa"/>
            <w:noWrap/>
            <w:vAlign w:val="bottom"/>
            <w:hideMark/>
          </w:tcPr>
          <w:p w14:paraId="663E2B4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0,0</w:t>
            </w:r>
          </w:p>
        </w:tc>
      </w:tr>
      <w:tr w:rsidR="001A2C4E" w:rsidRPr="001A2C4E" w14:paraId="556951F0"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596FF05D" w14:textId="3DF5D2EB"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Директна подршка хотелијерском сектору - 350 € по кревету, 150 € по соби</w:t>
            </w:r>
            <w:r w:rsidR="000C08A1" w:rsidRPr="001A2C4E">
              <w:rPr>
                <w:rFonts w:eastAsia="MS PGothic" w:cstheme="minorHAnsi"/>
                <w:b w:val="0"/>
                <w:bCs w:val="0"/>
                <w:color w:val="002060"/>
                <w:sz w:val="18"/>
                <w:szCs w:val="18"/>
                <w:lang w:val="sr-Cyrl-RS" w:eastAsia="ja-JP"/>
              </w:rPr>
              <w:t>, у динарској противвредности прерачунато по званичном средњем курсу НБС</w:t>
            </w:r>
          </w:p>
        </w:tc>
        <w:tc>
          <w:tcPr>
            <w:tcW w:w="1087" w:type="dxa"/>
            <w:noWrap/>
            <w:vAlign w:val="bottom"/>
            <w:hideMark/>
          </w:tcPr>
          <w:p w14:paraId="3664FE6C"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2,0</w:t>
            </w:r>
          </w:p>
        </w:tc>
        <w:tc>
          <w:tcPr>
            <w:tcW w:w="741" w:type="dxa"/>
            <w:noWrap/>
            <w:vAlign w:val="bottom"/>
            <w:hideMark/>
          </w:tcPr>
          <w:p w14:paraId="5B813885"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0,0</w:t>
            </w:r>
          </w:p>
        </w:tc>
        <w:tc>
          <w:tcPr>
            <w:tcW w:w="1087" w:type="dxa"/>
            <w:noWrap/>
            <w:vAlign w:val="bottom"/>
            <w:hideMark/>
          </w:tcPr>
          <w:p w14:paraId="07622481"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1,2</w:t>
            </w:r>
          </w:p>
        </w:tc>
        <w:tc>
          <w:tcPr>
            <w:tcW w:w="741" w:type="dxa"/>
            <w:noWrap/>
            <w:vAlign w:val="bottom"/>
            <w:hideMark/>
          </w:tcPr>
          <w:p w14:paraId="5B1F28B3"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0,0</w:t>
            </w:r>
          </w:p>
        </w:tc>
      </w:tr>
      <w:tr w:rsidR="001A2C4E" w:rsidRPr="001A2C4E" w14:paraId="68D6CDDA"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44794824"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Укупно</w:t>
            </w:r>
          </w:p>
        </w:tc>
        <w:tc>
          <w:tcPr>
            <w:tcW w:w="1087" w:type="dxa"/>
            <w:noWrap/>
            <w:vAlign w:val="bottom"/>
            <w:hideMark/>
          </w:tcPr>
          <w:p w14:paraId="7BD172C1"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135,3</w:t>
            </w:r>
          </w:p>
        </w:tc>
        <w:tc>
          <w:tcPr>
            <w:tcW w:w="741" w:type="dxa"/>
            <w:noWrap/>
            <w:vAlign w:val="bottom"/>
            <w:hideMark/>
          </w:tcPr>
          <w:p w14:paraId="2D2C429C"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2,4</w:t>
            </w:r>
          </w:p>
        </w:tc>
        <w:tc>
          <w:tcPr>
            <w:tcW w:w="1087" w:type="dxa"/>
            <w:noWrap/>
            <w:vAlign w:val="bottom"/>
            <w:hideMark/>
          </w:tcPr>
          <w:p w14:paraId="1604351D"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132,9</w:t>
            </w:r>
          </w:p>
        </w:tc>
        <w:tc>
          <w:tcPr>
            <w:tcW w:w="741" w:type="dxa"/>
            <w:noWrap/>
            <w:vAlign w:val="bottom"/>
            <w:hideMark/>
          </w:tcPr>
          <w:p w14:paraId="3A76563A"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2,4</w:t>
            </w:r>
          </w:p>
        </w:tc>
      </w:tr>
      <w:tr w:rsidR="001A2C4E" w:rsidRPr="001A2C4E" w14:paraId="34708132"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13A41BC9"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Мере за очување ликвидности приватног сектора</w:t>
            </w:r>
          </w:p>
        </w:tc>
        <w:tc>
          <w:tcPr>
            <w:tcW w:w="1087" w:type="dxa"/>
            <w:noWrap/>
            <w:vAlign w:val="bottom"/>
            <w:hideMark/>
          </w:tcPr>
          <w:p w14:paraId="19CA9D9A"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0D0CDD89"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1087" w:type="dxa"/>
            <w:noWrap/>
            <w:vAlign w:val="bottom"/>
            <w:hideMark/>
          </w:tcPr>
          <w:p w14:paraId="419B9A46"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097A508A"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r>
      <w:tr w:rsidR="001A2C4E" w:rsidRPr="001A2C4E" w14:paraId="7E05009B"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5B192471"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Програм финансијске подршке током кризе COVID-19 преко Фонда за развој Републике Србије</w:t>
            </w:r>
          </w:p>
        </w:tc>
        <w:tc>
          <w:tcPr>
            <w:tcW w:w="1087" w:type="dxa"/>
            <w:noWrap/>
            <w:vAlign w:val="bottom"/>
            <w:hideMark/>
          </w:tcPr>
          <w:p w14:paraId="6E97F59D"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24,0</w:t>
            </w:r>
          </w:p>
        </w:tc>
        <w:tc>
          <w:tcPr>
            <w:tcW w:w="741" w:type="dxa"/>
            <w:noWrap/>
            <w:vAlign w:val="bottom"/>
            <w:hideMark/>
          </w:tcPr>
          <w:p w14:paraId="56B67DD2"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0,4</w:t>
            </w:r>
          </w:p>
        </w:tc>
        <w:tc>
          <w:tcPr>
            <w:tcW w:w="1087" w:type="dxa"/>
            <w:noWrap/>
            <w:vAlign w:val="bottom"/>
            <w:hideMark/>
          </w:tcPr>
          <w:p w14:paraId="3205CFCF"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14,6</w:t>
            </w:r>
          </w:p>
        </w:tc>
        <w:tc>
          <w:tcPr>
            <w:tcW w:w="741" w:type="dxa"/>
            <w:noWrap/>
            <w:vAlign w:val="bottom"/>
            <w:hideMark/>
          </w:tcPr>
          <w:p w14:paraId="24020EF8"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0,3</w:t>
            </w:r>
          </w:p>
        </w:tc>
      </w:tr>
      <w:tr w:rsidR="001A2C4E" w:rsidRPr="001A2C4E" w14:paraId="67B6F73C"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20F52336"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Гарантне шеме за подршку економији током кризе COVID-19</w:t>
            </w:r>
          </w:p>
        </w:tc>
        <w:tc>
          <w:tcPr>
            <w:tcW w:w="1087" w:type="dxa"/>
            <w:noWrap/>
            <w:vAlign w:val="bottom"/>
            <w:hideMark/>
          </w:tcPr>
          <w:p w14:paraId="77548D7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240,0</w:t>
            </w:r>
          </w:p>
        </w:tc>
        <w:tc>
          <w:tcPr>
            <w:tcW w:w="741" w:type="dxa"/>
            <w:noWrap/>
            <w:vAlign w:val="bottom"/>
            <w:hideMark/>
          </w:tcPr>
          <w:p w14:paraId="01C490BD"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4,4</w:t>
            </w:r>
          </w:p>
        </w:tc>
        <w:tc>
          <w:tcPr>
            <w:tcW w:w="1087" w:type="dxa"/>
            <w:noWrap/>
            <w:vAlign w:val="bottom"/>
            <w:hideMark/>
          </w:tcPr>
          <w:p w14:paraId="6CF1493F"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145,1</w:t>
            </w:r>
          </w:p>
        </w:tc>
        <w:tc>
          <w:tcPr>
            <w:tcW w:w="741" w:type="dxa"/>
            <w:noWrap/>
            <w:vAlign w:val="bottom"/>
            <w:hideMark/>
          </w:tcPr>
          <w:p w14:paraId="7F93E4A1"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2,6</w:t>
            </w:r>
          </w:p>
        </w:tc>
      </w:tr>
      <w:tr w:rsidR="001A2C4E" w:rsidRPr="001A2C4E" w14:paraId="4256C1E0"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7137B7A6"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Укупно</w:t>
            </w:r>
          </w:p>
        </w:tc>
        <w:tc>
          <w:tcPr>
            <w:tcW w:w="1087" w:type="dxa"/>
            <w:noWrap/>
            <w:vAlign w:val="bottom"/>
            <w:hideMark/>
          </w:tcPr>
          <w:p w14:paraId="018D4901"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264,0</w:t>
            </w:r>
          </w:p>
        </w:tc>
        <w:tc>
          <w:tcPr>
            <w:tcW w:w="741" w:type="dxa"/>
            <w:noWrap/>
            <w:vAlign w:val="bottom"/>
            <w:hideMark/>
          </w:tcPr>
          <w:p w14:paraId="24365BD8"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4,8</w:t>
            </w:r>
          </w:p>
        </w:tc>
        <w:tc>
          <w:tcPr>
            <w:tcW w:w="1087" w:type="dxa"/>
            <w:noWrap/>
            <w:vAlign w:val="bottom"/>
            <w:hideMark/>
          </w:tcPr>
          <w:p w14:paraId="546E34F3"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159,7</w:t>
            </w:r>
          </w:p>
        </w:tc>
        <w:tc>
          <w:tcPr>
            <w:tcW w:w="741" w:type="dxa"/>
            <w:noWrap/>
            <w:vAlign w:val="bottom"/>
            <w:hideMark/>
          </w:tcPr>
          <w:p w14:paraId="22F23E8F"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2,9</w:t>
            </w:r>
          </w:p>
        </w:tc>
      </w:tr>
      <w:tr w:rsidR="001A2C4E" w:rsidRPr="001A2C4E" w14:paraId="0BD9322E"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1558849F"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Остале мере</w:t>
            </w:r>
          </w:p>
        </w:tc>
        <w:tc>
          <w:tcPr>
            <w:tcW w:w="1087" w:type="dxa"/>
            <w:noWrap/>
            <w:vAlign w:val="bottom"/>
            <w:hideMark/>
          </w:tcPr>
          <w:p w14:paraId="7FE47DD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7BBD404D"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1087" w:type="dxa"/>
            <w:noWrap/>
            <w:vAlign w:val="bottom"/>
            <w:hideMark/>
          </w:tcPr>
          <w:p w14:paraId="2658D305"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c>
          <w:tcPr>
            <w:tcW w:w="741" w:type="dxa"/>
            <w:noWrap/>
            <w:vAlign w:val="bottom"/>
            <w:hideMark/>
          </w:tcPr>
          <w:p w14:paraId="38A422D6"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 </w:t>
            </w:r>
          </w:p>
        </w:tc>
      </w:tr>
      <w:tr w:rsidR="001A2C4E" w:rsidRPr="001A2C4E" w14:paraId="38FE7BDE"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2666B84C"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 xml:space="preserve">Мораторијум на дивиденде до краја године, искључујући јавна предузећа и губитак прихода који произлази из дивиденди </w:t>
            </w:r>
          </w:p>
        </w:tc>
        <w:tc>
          <w:tcPr>
            <w:tcW w:w="1087" w:type="dxa"/>
            <w:noWrap/>
            <w:vAlign w:val="bottom"/>
            <w:hideMark/>
          </w:tcPr>
          <w:p w14:paraId="4DB90E2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16,0</w:t>
            </w:r>
          </w:p>
        </w:tc>
        <w:tc>
          <w:tcPr>
            <w:tcW w:w="741" w:type="dxa"/>
            <w:noWrap/>
            <w:vAlign w:val="bottom"/>
            <w:hideMark/>
          </w:tcPr>
          <w:p w14:paraId="4F61DAF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0,3</w:t>
            </w:r>
          </w:p>
        </w:tc>
        <w:tc>
          <w:tcPr>
            <w:tcW w:w="1087" w:type="dxa"/>
            <w:noWrap/>
            <w:vAlign w:val="bottom"/>
            <w:hideMark/>
          </w:tcPr>
          <w:p w14:paraId="781B2BC5"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741" w:type="dxa"/>
            <w:noWrap/>
            <w:vAlign w:val="bottom"/>
            <w:hideMark/>
          </w:tcPr>
          <w:p w14:paraId="456B1B2E"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r>
      <w:tr w:rsidR="001A2C4E" w:rsidRPr="001A2C4E" w14:paraId="7ED1468F"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hideMark/>
          </w:tcPr>
          <w:p w14:paraId="15E2CA6B" w14:textId="77777777" w:rsidR="001901FC" w:rsidRPr="001A2C4E" w:rsidRDefault="001901FC"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Мере повећања зарада и друга директна новчана помоћ (10% повећање плата здравствених радника, директна новчана помоћ од 4.000 РСД свим пензионерима, подршка пољопривредним произвођачима)</w:t>
            </w:r>
          </w:p>
        </w:tc>
        <w:tc>
          <w:tcPr>
            <w:tcW w:w="1087" w:type="dxa"/>
            <w:noWrap/>
            <w:vAlign w:val="bottom"/>
            <w:hideMark/>
          </w:tcPr>
          <w:p w14:paraId="387C2B63"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16,0</w:t>
            </w:r>
          </w:p>
        </w:tc>
        <w:tc>
          <w:tcPr>
            <w:tcW w:w="741" w:type="dxa"/>
            <w:noWrap/>
            <w:vAlign w:val="bottom"/>
            <w:hideMark/>
          </w:tcPr>
          <w:p w14:paraId="0E993781"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0,3</w:t>
            </w:r>
          </w:p>
        </w:tc>
        <w:tc>
          <w:tcPr>
            <w:tcW w:w="1087" w:type="dxa"/>
            <w:noWrap/>
            <w:vAlign w:val="bottom"/>
            <w:hideMark/>
          </w:tcPr>
          <w:p w14:paraId="26F30EB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16,0</w:t>
            </w:r>
          </w:p>
        </w:tc>
        <w:tc>
          <w:tcPr>
            <w:tcW w:w="741" w:type="dxa"/>
            <w:noWrap/>
            <w:vAlign w:val="bottom"/>
            <w:hideMark/>
          </w:tcPr>
          <w:p w14:paraId="5588DE9E"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0,3</w:t>
            </w:r>
          </w:p>
        </w:tc>
      </w:tr>
      <w:tr w:rsidR="001A2C4E" w:rsidRPr="001A2C4E" w14:paraId="2118B769"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3D8CE31F" w14:textId="78BBAC20" w:rsidR="001901FC" w:rsidRPr="001A2C4E" w:rsidRDefault="00AC64E3" w:rsidP="00FE1A26">
            <w:pPr>
              <w:spacing w:line="276" w:lineRule="auto"/>
              <w:rPr>
                <w:rFonts w:eastAsia="MS PGothic" w:cstheme="minorHAnsi"/>
                <w:b w:val="0"/>
                <w:bCs w:val="0"/>
                <w:color w:val="002060"/>
                <w:sz w:val="18"/>
                <w:szCs w:val="18"/>
                <w:lang w:val="sr-Cyrl-RS" w:eastAsia="ja-JP"/>
              </w:rPr>
            </w:pPr>
            <w:r w:rsidRPr="001A2C4E">
              <w:rPr>
                <w:rFonts w:eastAsia="MS PGothic" w:cstheme="minorHAnsi"/>
                <w:b w:val="0"/>
                <w:bCs w:val="0"/>
                <w:color w:val="002060"/>
                <w:sz w:val="18"/>
                <w:szCs w:val="18"/>
                <w:lang w:val="sr-Cyrl-RS" w:eastAsia="ja-JP"/>
              </w:rPr>
              <w:t>Фискални подстицај - исплата 100</w:t>
            </w:r>
            <w:r w:rsidRPr="001A2C4E">
              <w:rPr>
                <w:rFonts w:eastAsia="MS PGothic" w:cstheme="minorHAnsi"/>
                <w:b w:val="0"/>
                <w:bCs w:val="0"/>
                <w:color w:val="002060"/>
                <w:sz w:val="18"/>
                <w:szCs w:val="18"/>
                <w:lang w:val="sr-Latn-RS" w:eastAsia="ja-JP"/>
              </w:rPr>
              <w:t xml:space="preserve"> EUR</w:t>
            </w:r>
            <w:r w:rsidR="00E91C21" w:rsidRPr="001A2C4E">
              <w:rPr>
                <w:rFonts w:eastAsia="MS PGothic" w:cstheme="minorHAnsi"/>
                <w:b w:val="0"/>
                <w:bCs w:val="0"/>
                <w:color w:val="002060"/>
                <w:sz w:val="18"/>
                <w:szCs w:val="18"/>
                <w:lang w:val="sr-Cyrl-RS" w:eastAsia="ja-JP"/>
              </w:rPr>
              <w:t xml:space="preserve"> свим пунолетним грађанима</w:t>
            </w:r>
          </w:p>
        </w:tc>
        <w:tc>
          <w:tcPr>
            <w:tcW w:w="1087" w:type="dxa"/>
            <w:noWrap/>
            <w:vAlign w:val="bottom"/>
            <w:hideMark/>
          </w:tcPr>
          <w:p w14:paraId="60F1E9D0"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70,0</w:t>
            </w:r>
          </w:p>
        </w:tc>
        <w:tc>
          <w:tcPr>
            <w:tcW w:w="741" w:type="dxa"/>
            <w:noWrap/>
            <w:vAlign w:val="bottom"/>
            <w:hideMark/>
          </w:tcPr>
          <w:p w14:paraId="3BA3AA54"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w:t>
            </w:r>
          </w:p>
        </w:tc>
        <w:tc>
          <w:tcPr>
            <w:tcW w:w="1087" w:type="dxa"/>
            <w:noWrap/>
            <w:vAlign w:val="bottom"/>
            <w:hideMark/>
          </w:tcPr>
          <w:p w14:paraId="10CA2339"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72,0</w:t>
            </w:r>
          </w:p>
        </w:tc>
        <w:tc>
          <w:tcPr>
            <w:tcW w:w="741" w:type="dxa"/>
            <w:noWrap/>
            <w:vAlign w:val="bottom"/>
            <w:hideMark/>
          </w:tcPr>
          <w:p w14:paraId="35B5F8DB"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1,3</w:t>
            </w:r>
          </w:p>
        </w:tc>
      </w:tr>
      <w:tr w:rsidR="001A2C4E" w:rsidRPr="001A2C4E" w14:paraId="6506E47E"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4C41066B"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Укупно</w:t>
            </w:r>
          </w:p>
        </w:tc>
        <w:tc>
          <w:tcPr>
            <w:tcW w:w="1087" w:type="dxa"/>
            <w:noWrap/>
            <w:vAlign w:val="bottom"/>
            <w:hideMark/>
          </w:tcPr>
          <w:p w14:paraId="75A01773"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102,0</w:t>
            </w:r>
          </w:p>
        </w:tc>
        <w:tc>
          <w:tcPr>
            <w:tcW w:w="741" w:type="dxa"/>
            <w:noWrap/>
            <w:vAlign w:val="bottom"/>
            <w:hideMark/>
          </w:tcPr>
          <w:p w14:paraId="19B09C27"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1,9</w:t>
            </w:r>
          </w:p>
        </w:tc>
        <w:tc>
          <w:tcPr>
            <w:tcW w:w="1087" w:type="dxa"/>
            <w:noWrap/>
            <w:vAlign w:val="bottom"/>
            <w:hideMark/>
          </w:tcPr>
          <w:p w14:paraId="276343EF"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88,0</w:t>
            </w:r>
          </w:p>
        </w:tc>
        <w:tc>
          <w:tcPr>
            <w:tcW w:w="741" w:type="dxa"/>
            <w:noWrap/>
            <w:vAlign w:val="bottom"/>
            <w:hideMark/>
          </w:tcPr>
          <w:p w14:paraId="2631F168"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1,6</w:t>
            </w:r>
          </w:p>
        </w:tc>
      </w:tr>
      <w:tr w:rsidR="001A2C4E" w:rsidRPr="001A2C4E" w14:paraId="59443209"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54789B13"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Процена утицаја фискалних мера</w:t>
            </w:r>
          </w:p>
        </w:tc>
        <w:tc>
          <w:tcPr>
            <w:tcW w:w="1087" w:type="dxa"/>
            <w:noWrap/>
            <w:vAlign w:val="bottom"/>
            <w:hideMark/>
          </w:tcPr>
          <w:p w14:paraId="31E217EC"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450,3</w:t>
            </w:r>
          </w:p>
        </w:tc>
        <w:tc>
          <w:tcPr>
            <w:tcW w:w="741" w:type="dxa"/>
            <w:noWrap/>
            <w:vAlign w:val="bottom"/>
            <w:hideMark/>
          </w:tcPr>
          <w:p w14:paraId="49BC816A"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8,1</w:t>
            </w:r>
          </w:p>
        </w:tc>
        <w:tc>
          <w:tcPr>
            <w:tcW w:w="1087" w:type="dxa"/>
            <w:noWrap/>
            <w:vAlign w:val="bottom"/>
            <w:hideMark/>
          </w:tcPr>
          <w:p w14:paraId="5FBDA0B0"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346,3</w:t>
            </w:r>
          </w:p>
        </w:tc>
        <w:tc>
          <w:tcPr>
            <w:tcW w:w="741" w:type="dxa"/>
            <w:noWrap/>
            <w:vAlign w:val="bottom"/>
            <w:hideMark/>
          </w:tcPr>
          <w:p w14:paraId="08CA7055"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6,3</w:t>
            </w:r>
          </w:p>
        </w:tc>
      </w:tr>
      <w:tr w:rsidR="001A2C4E" w:rsidRPr="001A2C4E" w14:paraId="082C4596"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28407636"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Укупан пакет мера</w:t>
            </w:r>
          </w:p>
        </w:tc>
        <w:tc>
          <w:tcPr>
            <w:tcW w:w="1087" w:type="dxa"/>
            <w:noWrap/>
            <w:vAlign w:val="bottom"/>
            <w:hideMark/>
          </w:tcPr>
          <w:p w14:paraId="4C03C185"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690,3</w:t>
            </w:r>
          </w:p>
        </w:tc>
        <w:tc>
          <w:tcPr>
            <w:tcW w:w="741" w:type="dxa"/>
            <w:noWrap/>
            <w:vAlign w:val="bottom"/>
            <w:hideMark/>
          </w:tcPr>
          <w:p w14:paraId="4723E53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12,5</w:t>
            </w:r>
          </w:p>
        </w:tc>
        <w:tc>
          <w:tcPr>
            <w:tcW w:w="1087" w:type="dxa"/>
            <w:noWrap/>
            <w:vAlign w:val="bottom"/>
            <w:hideMark/>
          </w:tcPr>
          <w:p w14:paraId="471DE113"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491,4</w:t>
            </w:r>
          </w:p>
        </w:tc>
        <w:tc>
          <w:tcPr>
            <w:tcW w:w="741" w:type="dxa"/>
            <w:noWrap/>
            <w:vAlign w:val="bottom"/>
            <w:hideMark/>
          </w:tcPr>
          <w:p w14:paraId="60506B2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8,9</w:t>
            </w:r>
          </w:p>
        </w:tc>
      </w:tr>
      <w:tr w:rsidR="001A2C4E" w:rsidRPr="001A2C4E" w14:paraId="7D48C5AE"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257653BA"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Остали трошкови везани за COVID-19 (медицинска опрема и лекови)</w:t>
            </w:r>
          </w:p>
        </w:tc>
        <w:tc>
          <w:tcPr>
            <w:tcW w:w="1087" w:type="dxa"/>
            <w:noWrap/>
            <w:vAlign w:val="bottom"/>
            <w:hideMark/>
          </w:tcPr>
          <w:p w14:paraId="4776BDF1"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741" w:type="dxa"/>
            <w:noWrap/>
            <w:vAlign w:val="bottom"/>
            <w:hideMark/>
          </w:tcPr>
          <w:p w14:paraId="3161A94F"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w:t>
            </w:r>
          </w:p>
        </w:tc>
        <w:tc>
          <w:tcPr>
            <w:tcW w:w="1087" w:type="dxa"/>
            <w:noWrap/>
            <w:vAlign w:val="bottom"/>
            <w:hideMark/>
          </w:tcPr>
          <w:p w14:paraId="0AA8FE9D"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60</w:t>
            </w:r>
          </w:p>
        </w:tc>
        <w:tc>
          <w:tcPr>
            <w:tcW w:w="741" w:type="dxa"/>
            <w:noWrap/>
            <w:vAlign w:val="bottom"/>
            <w:hideMark/>
          </w:tcPr>
          <w:p w14:paraId="103C8862"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color w:val="002060"/>
                <w:sz w:val="18"/>
                <w:szCs w:val="18"/>
                <w:lang w:val="sr-Cyrl-RS" w:eastAsia="ja-JP"/>
              </w:rPr>
            </w:pPr>
            <w:r w:rsidRPr="001A2C4E">
              <w:rPr>
                <w:rFonts w:eastAsia="MS PGothic" w:cstheme="minorHAnsi"/>
                <w:color w:val="002060"/>
                <w:sz w:val="18"/>
                <w:szCs w:val="18"/>
                <w:lang w:val="sr-Cyrl-RS" w:eastAsia="ja-JP"/>
              </w:rPr>
              <w:t>1,1</w:t>
            </w:r>
          </w:p>
        </w:tc>
      </w:tr>
      <w:tr w:rsidR="001A2C4E" w:rsidRPr="001A2C4E" w14:paraId="710B1117" w14:textId="77777777" w:rsidTr="00FE1A26">
        <w:trPr>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hideMark/>
          </w:tcPr>
          <w:p w14:paraId="6BD4993F" w14:textId="77777777" w:rsidR="001901FC" w:rsidRPr="001A2C4E" w:rsidRDefault="001901FC" w:rsidP="00FE1A26">
            <w:pPr>
              <w:spacing w:line="276" w:lineRule="auto"/>
              <w:rPr>
                <w:rFonts w:eastAsia="MS PGothic" w:cstheme="minorHAnsi"/>
                <w:bCs w:val="0"/>
                <w:color w:val="002060"/>
                <w:sz w:val="18"/>
                <w:szCs w:val="18"/>
                <w:lang w:val="sr-Cyrl-RS" w:eastAsia="ja-JP"/>
              </w:rPr>
            </w:pPr>
            <w:r w:rsidRPr="001A2C4E">
              <w:rPr>
                <w:rFonts w:eastAsia="MS PGothic" w:cstheme="minorHAnsi"/>
                <w:bCs w:val="0"/>
                <w:color w:val="002060"/>
                <w:sz w:val="18"/>
                <w:szCs w:val="18"/>
                <w:lang w:val="sr-Cyrl-RS" w:eastAsia="ja-JP"/>
              </w:rPr>
              <w:t>Укупни трошкови везани за COVID-19 закључно са 30.09.2020.</w:t>
            </w:r>
          </w:p>
        </w:tc>
        <w:tc>
          <w:tcPr>
            <w:tcW w:w="1087" w:type="dxa"/>
            <w:noWrap/>
            <w:vAlign w:val="bottom"/>
            <w:hideMark/>
          </w:tcPr>
          <w:p w14:paraId="5607FB99"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bCs/>
                <w:color w:val="002060"/>
                <w:sz w:val="18"/>
                <w:szCs w:val="18"/>
                <w:lang w:val="sr-Cyrl-RS" w:eastAsia="ja-JP"/>
              </w:rPr>
            </w:pPr>
            <w:r w:rsidRPr="001A2C4E">
              <w:rPr>
                <w:rFonts w:eastAsia="MS PGothic" w:cstheme="minorHAnsi"/>
                <w:b/>
                <w:bCs/>
                <w:color w:val="002060"/>
                <w:sz w:val="18"/>
                <w:szCs w:val="18"/>
                <w:lang w:val="sr-Cyrl-RS" w:eastAsia="ja-JP"/>
              </w:rPr>
              <w:t>690,3</w:t>
            </w:r>
          </w:p>
        </w:tc>
        <w:tc>
          <w:tcPr>
            <w:tcW w:w="741" w:type="dxa"/>
            <w:noWrap/>
            <w:vAlign w:val="bottom"/>
            <w:hideMark/>
          </w:tcPr>
          <w:p w14:paraId="0B4C0436"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bCs/>
                <w:color w:val="002060"/>
                <w:sz w:val="18"/>
                <w:szCs w:val="18"/>
                <w:lang w:val="sr-Cyrl-RS" w:eastAsia="ja-JP"/>
              </w:rPr>
            </w:pPr>
            <w:r w:rsidRPr="001A2C4E">
              <w:rPr>
                <w:rFonts w:eastAsia="MS PGothic" w:cstheme="minorHAnsi"/>
                <w:b/>
                <w:bCs/>
                <w:color w:val="002060"/>
                <w:sz w:val="18"/>
                <w:szCs w:val="18"/>
                <w:lang w:val="sr-Cyrl-RS" w:eastAsia="ja-JP"/>
              </w:rPr>
              <w:t>12,5</w:t>
            </w:r>
          </w:p>
        </w:tc>
        <w:tc>
          <w:tcPr>
            <w:tcW w:w="1087" w:type="dxa"/>
            <w:noWrap/>
            <w:vAlign w:val="bottom"/>
            <w:hideMark/>
          </w:tcPr>
          <w:p w14:paraId="7E4A471B"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bCs/>
                <w:color w:val="002060"/>
                <w:sz w:val="18"/>
                <w:szCs w:val="18"/>
                <w:lang w:val="sr-Cyrl-RS" w:eastAsia="ja-JP"/>
              </w:rPr>
            </w:pPr>
            <w:r w:rsidRPr="001A2C4E">
              <w:rPr>
                <w:rFonts w:eastAsia="MS PGothic" w:cstheme="minorHAnsi"/>
                <w:b/>
                <w:bCs/>
                <w:color w:val="002060"/>
                <w:sz w:val="18"/>
                <w:szCs w:val="18"/>
                <w:lang w:val="sr-Cyrl-RS" w:eastAsia="ja-JP"/>
              </w:rPr>
              <w:t>551,4</w:t>
            </w:r>
          </w:p>
        </w:tc>
        <w:tc>
          <w:tcPr>
            <w:tcW w:w="741" w:type="dxa"/>
            <w:noWrap/>
            <w:vAlign w:val="bottom"/>
            <w:hideMark/>
          </w:tcPr>
          <w:p w14:paraId="0296DF8F" w14:textId="77777777" w:rsidR="001901FC" w:rsidRPr="001A2C4E" w:rsidRDefault="001901FC" w:rsidP="00FE1A26">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MS PGothic" w:cstheme="minorHAnsi"/>
                <w:bCs/>
                <w:color w:val="002060"/>
                <w:sz w:val="18"/>
                <w:szCs w:val="18"/>
                <w:lang w:val="sr-Cyrl-RS" w:eastAsia="ja-JP"/>
              </w:rPr>
            </w:pPr>
            <w:r w:rsidRPr="001A2C4E">
              <w:rPr>
                <w:rFonts w:eastAsia="MS PGothic" w:cstheme="minorHAnsi"/>
                <w:b/>
                <w:bCs/>
                <w:color w:val="002060"/>
                <w:sz w:val="18"/>
                <w:szCs w:val="18"/>
                <w:lang w:val="sr-Cyrl-RS" w:eastAsia="ja-JP"/>
              </w:rPr>
              <w:t>10,0</w:t>
            </w:r>
          </w:p>
        </w:tc>
      </w:tr>
      <w:tr w:rsidR="001A2C4E" w:rsidRPr="001A2C4E" w14:paraId="57497079" w14:textId="77777777" w:rsidTr="00FE1A26">
        <w:trPr>
          <w:cnfStyle w:val="000000100000" w:firstRow="0" w:lastRow="0" w:firstColumn="0" w:lastColumn="0" w:oddVBand="0" w:evenVBand="0" w:oddHBand="1" w:evenHBand="0" w:firstRowFirstColumn="0" w:firstRowLastColumn="0" w:lastRowFirstColumn="0" w:lastRowLastColumn="0"/>
          <w:trHeight w:val="22"/>
          <w:jc w:val="center"/>
        </w:trPr>
        <w:tc>
          <w:tcPr>
            <w:cnfStyle w:val="001000000000" w:firstRow="0" w:lastRow="0" w:firstColumn="1" w:lastColumn="0" w:oddVBand="0" w:evenVBand="0" w:oddHBand="0" w:evenHBand="0" w:firstRowFirstColumn="0" w:firstRowLastColumn="0" w:lastRowFirstColumn="0" w:lastRowLastColumn="0"/>
            <w:tcW w:w="7355" w:type="dxa"/>
            <w:noWrap/>
          </w:tcPr>
          <w:p w14:paraId="509B9CA3" w14:textId="77777777" w:rsidR="001901FC" w:rsidRPr="001A2C4E" w:rsidRDefault="001901FC" w:rsidP="00FE1A26">
            <w:pPr>
              <w:spacing w:line="276" w:lineRule="auto"/>
              <w:rPr>
                <w:rFonts w:eastAsia="MS PGothic" w:cstheme="minorHAnsi"/>
                <w:bCs w:val="0"/>
                <w:color w:val="002060"/>
                <w:szCs w:val="20"/>
                <w:lang w:val="sr-Cyrl-RS" w:eastAsia="ja-JP"/>
              </w:rPr>
            </w:pPr>
          </w:p>
        </w:tc>
        <w:tc>
          <w:tcPr>
            <w:tcW w:w="1087" w:type="dxa"/>
            <w:noWrap/>
            <w:vAlign w:val="bottom"/>
          </w:tcPr>
          <w:p w14:paraId="7CD4FEBD"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b/>
                <w:bCs/>
                <w:color w:val="002060"/>
                <w:szCs w:val="20"/>
                <w:lang w:val="sr-Cyrl-RS" w:eastAsia="ja-JP"/>
              </w:rPr>
            </w:pPr>
          </w:p>
        </w:tc>
        <w:tc>
          <w:tcPr>
            <w:tcW w:w="741" w:type="dxa"/>
            <w:noWrap/>
            <w:vAlign w:val="bottom"/>
          </w:tcPr>
          <w:p w14:paraId="123D9D96"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b/>
                <w:bCs/>
                <w:color w:val="002060"/>
                <w:szCs w:val="20"/>
                <w:lang w:val="sr-Cyrl-RS" w:eastAsia="ja-JP"/>
              </w:rPr>
            </w:pPr>
          </w:p>
        </w:tc>
        <w:tc>
          <w:tcPr>
            <w:tcW w:w="1087" w:type="dxa"/>
            <w:noWrap/>
            <w:vAlign w:val="bottom"/>
          </w:tcPr>
          <w:p w14:paraId="60D33FF5"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b/>
                <w:bCs/>
                <w:color w:val="002060"/>
                <w:szCs w:val="20"/>
                <w:lang w:val="sr-Cyrl-RS" w:eastAsia="ja-JP"/>
              </w:rPr>
            </w:pPr>
          </w:p>
        </w:tc>
        <w:tc>
          <w:tcPr>
            <w:tcW w:w="741" w:type="dxa"/>
            <w:noWrap/>
            <w:vAlign w:val="bottom"/>
          </w:tcPr>
          <w:p w14:paraId="23498A40" w14:textId="77777777" w:rsidR="001901FC" w:rsidRPr="001A2C4E" w:rsidRDefault="001901FC" w:rsidP="00FE1A26">
            <w:pPr>
              <w:spacing w:line="276" w:lineRule="auto"/>
              <w:jc w:val="center"/>
              <w:cnfStyle w:val="000000100000" w:firstRow="0" w:lastRow="0" w:firstColumn="0" w:lastColumn="0" w:oddVBand="0" w:evenVBand="0" w:oddHBand="1" w:evenHBand="0" w:firstRowFirstColumn="0" w:firstRowLastColumn="0" w:lastRowFirstColumn="0" w:lastRowLastColumn="0"/>
              <w:rPr>
                <w:rFonts w:eastAsia="MS PGothic" w:cstheme="minorHAnsi"/>
                <w:b/>
                <w:bCs/>
                <w:color w:val="002060"/>
                <w:szCs w:val="20"/>
                <w:lang w:val="sr-Cyrl-RS" w:eastAsia="ja-JP"/>
              </w:rPr>
            </w:pPr>
          </w:p>
        </w:tc>
      </w:tr>
    </w:tbl>
    <w:p w14:paraId="376CA6C7" w14:textId="77777777" w:rsidR="001901FC" w:rsidRPr="00EA3D8C" w:rsidRDefault="001901FC" w:rsidP="00FE1A26">
      <w:pPr>
        <w:spacing w:after="120" w:line="276" w:lineRule="auto"/>
        <w:rPr>
          <w:rFonts w:ascii="Times New Roman" w:hAnsi="Times New Roman" w:cs="Times New Roman"/>
          <w:sz w:val="24"/>
          <w:szCs w:val="24"/>
          <w:lang w:val="sr-Cyrl-RS"/>
        </w:rPr>
      </w:pPr>
      <w:r w:rsidRPr="00EA3D8C">
        <w:rPr>
          <w:rFonts w:ascii="Times New Roman" w:hAnsi="Times New Roman" w:cs="Times New Roman"/>
          <w:sz w:val="24"/>
          <w:szCs w:val="24"/>
          <w:lang w:val="sr-Cyrl-RS"/>
        </w:rPr>
        <w:fldChar w:fldCharType="end"/>
      </w:r>
    </w:p>
    <w:p w14:paraId="5E46EB72" w14:textId="77777777" w:rsidR="001901FC" w:rsidRPr="00EA3D8C" w:rsidRDefault="001901FC" w:rsidP="00FE1A26">
      <w:pPr>
        <w:spacing w:after="120" w:line="276" w:lineRule="auto"/>
        <w:rPr>
          <w:rFonts w:ascii="Palatino Linotype" w:hAnsi="Palatino Linotype"/>
          <w:b/>
          <w:sz w:val="24"/>
          <w:szCs w:val="24"/>
          <w:lang w:val="sr-Cyrl-RS"/>
        </w:rPr>
        <w:sectPr w:rsidR="001901FC" w:rsidRPr="00EA3D8C" w:rsidSect="00AE40EB">
          <w:type w:val="continuous"/>
          <w:pgSz w:w="12240" w:h="15840" w:code="1"/>
          <w:pgMar w:top="1440" w:right="1440" w:bottom="1440" w:left="1440" w:header="720" w:footer="720" w:gutter="0"/>
          <w:cols w:space="720"/>
          <w:docGrid w:linePitch="360"/>
        </w:sectPr>
      </w:pPr>
    </w:p>
    <w:p w14:paraId="4C24E684" w14:textId="77777777" w:rsidR="005E54B2" w:rsidRPr="00EA3D8C" w:rsidRDefault="005E54B2" w:rsidP="00FE1A26">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lastRenderedPageBreak/>
        <w:br w:type="page"/>
      </w:r>
    </w:p>
    <w:p w14:paraId="61C3555F" w14:textId="46BE8A78"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lastRenderedPageBreak/>
        <w:t xml:space="preserve">Начелно утицај пандемије </w:t>
      </w:r>
      <w:r w:rsidR="007451D1" w:rsidRPr="007451D1">
        <w:rPr>
          <w:rFonts w:eastAsia="MS PGothic" w:cstheme="minorHAnsi"/>
          <w:szCs w:val="20"/>
          <w:lang w:val="sr-Cyrl-RS" w:eastAsia="ja-JP"/>
        </w:rPr>
        <w:t>COVID</w:t>
      </w:r>
      <w:r w:rsidRPr="00EA3D8C">
        <w:rPr>
          <w:rFonts w:eastAsia="MS PGothic" w:cstheme="minorHAnsi"/>
          <w:szCs w:val="20"/>
          <w:lang w:val="sr-Cyrl-RS" w:eastAsia="ja-JP"/>
        </w:rPr>
        <w:t>-19 на кретање фискалног резултата може се поделити у неколико категорија:</w:t>
      </w:r>
    </w:p>
    <w:p w14:paraId="1DAEF900" w14:textId="77777777" w:rsidR="001901FC" w:rsidRPr="00EA3D8C" w:rsidRDefault="001901FC" w:rsidP="0084203C">
      <w:pPr>
        <w:pStyle w:val="ListParagraph"/>
        <w:numPr>
          <w:ilvl w:val="0"/>
          <w:numId w:val="43"/>
        </w:numPr>
        <w:ind w:left="340" w:hanging="170"/>
        <w:rPr>
          <w:rFonts w:eastAsia="MS PGothic" w:cstheme="minorHAnsi"/>
          <w:szCs w:val="20"/>
          <w:lang w:val="sr-Cyrl-RS" w:eastAsia="ja-JP"/>
        </w:rPr>
      </w:pPr>
      <w:r w:rsidRPr="00EA3D8C">
        <w:rPr>
          <w:rFonts w:eastAsia="MS PGothic" w:cstheme="minorHAnsi"/>
          <w:szCs w:val="20"/>
          <w:lang w:val="sr-Cyrl-RS" w:eastAsia="ja-JP"/>
        </w:rPr>
        <w:t>утицај на пад прихода путем аутоматских стабилизатора изазван падом БДП;</w:t>
      </w:r>
    </w:p>
    <w:p w14:paraId="5C934685" w14:textId="77777777" w:rsidR="001901FC" w:rsidRPr="00EA3D8C" w:rsidRDefault="001901FC" w:rsidP="0084203C">
      <w:pPr>
        <w:pStyle w:val="ListParagraph"/>
        <w:numPr>
          <w:ilvl w:val="0"/>
          <w:numId w:val="43"/>
        </w:numPr>
        <w:ind w:left="340" w:hanging="170"/>
        <w:rPr>
          <w:rFonts w:eastAsia="MS PGothic" w:cstheme="minorHAnsi"/>
          <w:szCs w:val="20"/>
          <w:lang w:val="sr-Cyrl-RS" w:eastAsia="ja-JP"/>
        </w:rPr>
      </w:pPr>
      <w:r w:rsidRPr="00EA3D8C">
        <w:rPr>
          <w:rFonts w:eastAsia="MS PGothic" w:cstheme="minorHAnsi"/>
          <w:szCs w:val="20"/>
          <w:lang w:val="sr-Cyrl-RS" w:eastAsia="ja-JP"/>
        </w:rPr>
        <w:t>додатни пад прихода изазван мерама епидемиолошке заштите становништва. Ово се огледа у ограничењу кретања, немогућности конзумирања одређених услуга, обављању административних послова у одређеном периоду, паду транзитних и туристичких прихода;</w:t>
      </w:r>
    </w:p>
    <w:p w14:paraId="19054E23" w14:textId="77777777" w:rsidR="001901FC" w:rsidRPr="00EA3D8C" w:rsidRDefault="001901FC" w:rsidP="0084203C">
      <w:pPr>
        <w:pStyle w:val="ListParagraph"/>
        <w:numPr>
          <w:ilvl w:val="0"/>
          <w:numId w:val="43"/>
        </w:numPr>
        <w:ind w:left="340" w:hanging="170"/>
        <w:rPr>
          <w:rFonts w:eastAsia="MS PGothic" w:cstheme="minorHAnsi"/>
          <w:szCs w:val="20"/>
          <w:lang w:val="sr-Cyrl-RS" w:eastAsia="ja-JP"/>
        </w:rPr>
      </w:pPr>
      <w:r w:rsidRPr="00EA3D8C">
        <w:rPr>
          <w:rFonts w:eastAsia="MS PGothic" w:cstheme="minorHAnsi"/>
          <w:szCs w:val="20"/>
          <w:lang w:val="sr-Cyrl-RS" w:eastAsia="ja-JP"/>
        </w:rPr>
        <w:t>повећање расхода за додатну здравствену и епидемиолошку заштиту становништва, у шта спада и изградња додатних здравствених капацитета и набавка опреме;</w:t>
      </w:r>
    </w:p>
    <w:p w14:paraId="7B9344D1" w14:textId="77777777" w:rsidR="001901FC" w:rsidRPr="00EA3D8C" w:rsidRDefault="001901FC" w:rsidP="0084203C">
      <w:pPr>
        <w:pStyle w:val="ListParagraph"/>
        <w:numPr>
          <w:ilvl w:val="0"/>
          <w:numId w:val="43"/>
        </w:numPr>
        <w:ind w:left="340" w:hanging="170"/>
        <w:rPr>
          <w:rFonts w:eastAsia="MS PGothic" w:cstheme="minorHAnsi"/>
          <w:szCs w:val="20"/>
          <w:lang w:val="sr-Cyrl-RS" w:eastAsia="ja-JP"/>
        </w:rPr>
      </w:pPr>
      <w:r w:rsidRPr="00EA3D8C">
        <w:rPr>
          <w:rFonts w:eastAsia="MS PGothic" w:cstheme="minorHAnsi"/>
          <w:szCs w:val="20"/>
          <w:lang w:val="sr-Cyrl-RS" w:eastAsia="ja-JP"/>
        </w:rPr>
        <w:t>губици на приходима и повећани расходи за спровођење економског пакета мера помоћи привреди и становништву.</w:t>
      </w:r>
    </w:p>
    <w:p w14:paraId="5BC3F74A" w14:textId="662E8627"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Током априла усвојен је први ребаланс буџета за 2020. годину. Овај ребаланс омогућио је операционализацију Програма економских мера, неометано финансирање борбе за очување здравља и живота људи и умањење негативних економских последица пандемије по привреду и грађане. Приходна страна буџета промењена је узимајући у обзир нове пројекције економских кретања, као и процењене ефекте усвојених фискалних мера. Утврђене су измене у обиму и структури јавне потрошње, како би се она додатно прилагодила новим економским окол</w:t>
      </w:r>
      <w:r w:rsidR="00792EA4">
        <w:rPr>
          <w:rFonts w:eastAsia="MS PGothic" w:cstheme="minorHAnsi"/>
          <w:szCs w:val="20"/>
          <w:lang w:val="sr-Cyrl-RS" w:eastAsia="ja-JP"/>
        </w:rPr>
        <w:t>ностима, усвојеним мерама</w:t>
      </w:r>
      <w:r w:rsidRPr="00EA3D8C">
        <w:rPr>
          <w:rFonts w:eastAsia="MS PGothic" w:cstheme="minorHAnsi"/>
          <w:szCs w:val="20"/>
          <w:lang w:val="sr-Cyrl-RS" w:eastAsia="ja-JP"/>
        </w:rPr>
        <w:t xml:space="preserve"> и потребама неометаног и довољног финансирања здравственог система земље околностима изазваним пандемијом. Овим ребалансом дефицит буџета опште државе планиран је у нивоу од 7,2% БДП.</w:t>
      </w:r>
    </w:p>
    <w:p w14:paraId="07F2CB58" w14:textId="77777777"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Процењени приходи опште државе ревидирани су тада наниже за 230 млрд динара, а расходи увећани за око 136 млрд динара. Услед велике неизвесности у погледу епидемиолошких и економских кретања очекивана је била још једна ревизија буџета до краја године.</w:t>
      </w:r>
    </w:p>
    <w:p w14:paraId="086FB34F" w14:textId="24FEAAE1"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lastRenderedPageBreak/>
        <w:t xml:space="preserve">У новембру 2020. године Влада </w:t>
      </w:r>
      <w:r w:rsidR="00D87123" w:rsidRPr="00EA3D8C">
        <w:rPr>
          <w:rFonts w:eastAsia="MS PGothic" w:cstheme="minorHAnsi"/>
          <w:szCs w:val="20"/>
          <w:lang w:val="sr-Cyrl-RS" w:eastAsia="ja-JP"/>
        </w:rPr>
        <w:t xml:space="preserve">је </w:t>
      </w:r>
      <w:r w:rsidRPr="00EA3D8C">
        <w:rPr>
          <w:rFonts w:eastAsia="MS PGothic" w:cstheme="minorHAnsi"/>
          <w:szCs w:val="20"/>
          <w:lang w:val="sr-Cyrl-RS" w:eastAsia="ja-JP"/>
        </w:rPr>
        <w:t>утврдила предлог другог ребаланса буџета којим је, у односу на претходни, процена прихода опште државе повећана за 113 млрд динара, док је повећање на страни расхода износило око 210 млрд динара. Предвиђен је фискални деф</w:t>
      </w:r>
      <w:r w:rsidR="004B56B4">
        <w:rPr>
          <w:rFonts w:eastAsia="MS PGothic" w:cstheme="minorHAnsi"/>
          <w:szCs w:val="20"/>
          <w:lang w:val="sr-Cyrl-RS" w:eastAsia="ja-JP"/>
        </w:rPr>
        <w:t>и</w:t>
      </w:r>
      <w:r w:rsidRPr="00EA3D8C">
        <w:rPr>
          <w:rFonts w:eastAsia="MS PGothic" w:cstheme="minorHAnsi"/>
          <w:szCs w:val="20"/>
          <w:lang w:val="sr-Cyrl-RS" w:eastAsia="ja-JP"/>
        </w:rPr>
        <w:t>цит опште државе од 492,3 млрд динара (8,9% БДП). Најважнији разлози за ревизију процене прихода, расхода и резултата у односу на претходни ребаланс су:</w:t>
      </w:r>
    </w:p>
    <w:p w14:paraId="403E83FD"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краћи и блажи ефекти деловања најтежих епидемиолошких мера (забрана кретања и обављања одређених активности) и брже успостављање унутрашњих и, у одређеном обиму, међународних економских токова;</w:t>
      </w:r>
    </w:p>
    <w:p w14:paraId="395A53C8"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блажи пад укупне привредне активности у односу на предвиђен, са значајнијим изменама у структури БДП;</w:t>
      </w:r>
    </w:p>
    <w:p w14:paraId="594CF573"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продужено деловање пандемије на економска кретања на међународном нивоу у односу на првобитно предвиђене;</w:t>
      </w:r>
    </w:p>
    <w:p w14:paraId="787115CA"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изостанак транзитног саобраћаја и драстичан пад броја иностраних туриста;</w:t>
      </w:r>
    </w:p>
    <w:p w14:paraId="255DDE7F"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конзервативно планирање одређених категорија пореских прихода (порез на добит и порези на дивиденде) и уплата првобитно непланираних непореских прихода;</w:t>
      </w:r>
    </w:p>
    <w:p w14:paraId="1D2D6835"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опрезан приступ у процени коришћења програма економске помоћи од стране привредних субјеката;</w:t>
      </w:r>
    </w:p>
    <w:p w14:paraId="72038A53"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 xml:space="preserve"> позитиван утицај дела програма економских мера на кретања на тржишту рада;</w:t>
      </w:r>
    </w:p>
    <w:p w14:paraId="0CDE8086"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додатни пакет мера економске помоћи у виду одлагања пореских обавеза и директне помоћи компанијама;</w:t>
      </w:r>
    </w:p>
    <w:p w14:paraId="4EF55D96" w14:textId="77777777"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додатни расходи за спровођење мера здравствене заштите и у оквиру набавке роба и услуга и капиталних улагања;</w:t>
      </w:r>
    </w:p>
    <w:p w14:paraId="074CEAE4" w14:textId="6DC2BCAC" w:rsidR="001901FC" w:rsidRPr="00EA3D8C" w:rsidRDefault="001901FC" w:rsidP="0084203C">
      <w:pPr>
        <w:pStyle w:val="ListParagraph"/>
        <w:numPr>
          <w:ilvl w:val="0"/>
          <w:numId w:val="44"/>
        </w:numPr>
        <w:ind w:left="454" w:hanging="227"/>
        <w:rPr>
          <w:rFonts w:eastAsia="MS PGothic" w:cstheme="minorHAnsi"/>
          <w:szCs w:val="20"/>
          <w:lang w:val="sr-Cyrl-RS" w:eastAsia="ja-JP"/>
        </w:rPr>
      </w:pPr>
      <w:r w:rsidRPr="00EA3D8C">
        <w:rPr>
          <w:rFonts w:eastAsia="MS PGothic" w:cstheme="minorHAnsi"/>
          <w:szCs w:val="20"/>
          <w:lang w:val="sr-Cyrl-RS" w:eastAsia="ja-JP"/>
        </w:rPr>
        <w:t>повећање улагања у путну инфраструктуру и убрзање извршења капиталних улагања.</w:t>
      </w:r>
    </w:p>
    <w:p w14:paraId="2CDBE148" w14:textId="77777777" w:rsidR="001901FC" w:rsidRPr="00EA3D8C" w:rsidRDefault="001901FC" w:rsidP="00FE1A26">
      <w:pPr>
        <w:spacing w:after="120" w:line="276" w:lineRule="auto"/>
        <w:rPr>
          <w:rFonts w:eastAsia="MS PGothic" w:cstheme="minorHAnsi"/>
          <w:szCs w:val="20"/>
          <w:highlight w:val="yellow"/>
          <w:lang w:val="sr-Cyrl-RS" w:eastAsia="ja-JP"/>
        </w:rPr>
        <w:sectPr w:rsidR="001901FC" w:rsidRPr="00EA3D8C" w:rsidSect="00AE40EB">
          <w:type w:val="continuous"/>
          <w:pgSz w:w="12240" w:h="15840" w:code="1"/>
          <w:pgMar w:top="1440" w:right="1440" w:bottom="1440" w:left="1440" w:header="720" w:footer="720" w:gutter="0"/>
          <w:cols w:num="2" w:space="720"/>
          <w:docGrid w:linePitch="360"/>
        </w:sectPr>
      </w:pPr>
    </w:p>
    <w:p w14:paraId="7DAF4BDF" w14:textId="77777777" w:rsidR="00B25928" w:rsidRPr="00EA3D8C" w:rsidRDefault="00B25928" w:rsidP="00B25928">
      <w:pPr>
        <w:spacing w:line="240" w:lineRule="auto"/>
        <w:rPr>
          <w:rFonts w:eastAsia="MS PGothic" w:cstheme="minorHAnsi"/>
          <w:b/>
          <w:color w:val="002060"/>
          <w:szCs w:val="20"/>
          <w:lang w:val="sr-Cyrl-RS" w:eastAsia="ja-JP"/>
        </w:rPr>
      </w:pPr>
    </w:p>
    <w:p w14:paraId="65166E31" w14:textId="77777777" w:rsidR="0084203C" w:rsidRDefault="0084203C">
      <w:pPr>
        <w:jc w:val="left"/>
        <w:rPr>
          <w:rFonts w:eastAsia="MS PGothic" w:cstheme="minorHAnsi"/>
          <w:b/>
          <w:color w:val="002060"/>
          <w:szCs w:val="20"/>
          <w:lang w:val="sr-Cyrl-RS" w:eastAsia="ja-JP"/>
        </w:rPr>
      </w:pPr>
      <w:r>
        <w:rPr>
          <w:rFonts w:eastAsia="MS PGothic" w:cstheme="minorHAnsi"/>
          <w:b/>
          <w:color w:val="002060"/>
          <w:szCs w:val="20"/>
          <w:lang w:val="sr-Cyrl-RS" w:eastAsia="ja-JP"/>
        </w:rPr>
        <w:br w:type="page"/>
      </w:r>
    </w:p>
    <w:p w14:paraId="0E00C02E" w14:textId="6F13C917" w:rsidR="001901FC" w:rsidRPr="00EA3D8C" w:rsidRDefault="00EC4017" w:rsidP="00B25928">
      <w:pPr>
        <w:spacing w:line="240"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6</w:t>
      </w:r>
      <w:r w:rsidR="001901FC" w:rsidRPr="00EA3D8C">
        <w:rPr>
          <w:rFonts w:eastAsia="MS PGothic" w:cstheme="minorHAnsi"/>
          <w:b/>
          <w:color w:val="002060"/>
          <w:szCs w:val="20"/>
          <w:lang w:val="sr-Cyrl-RS" w:eastAsia="ja-JP"/>
        </w:rPr>
        <w:t>. Приходи, расходи и резултат сектора државе у 2020 години, у млрд динара</w:t>
      </w:r>
    </w:p>
    <w:tbl>
      <w:tblPr>
        <w:tblW w:w="5074" w:type="pct"/>
        <w:jc w:val="center"/>
        <w:tblLook w:val="04A0" w:firstRow="1" w:lastRow="0" w:firstColumn="1" w:lastColumn="0" w:noHBand="0" w:noVBand="1"/>
      </w:tblPr>
      <w:tblGrid>
        <w:gridCol w:w="2412"/>
        <w:gridCol w:w="1181"/>
        <w:gridCol w:w="1182"/>
        <w:gridCol w:w="1182"/>
        <w:gridCol w:w="1182"/>
        <w:gridCol w:w="1182"/>
        <w:gridCol w:w="1178"/>
      </w:tblGrid>
      <w:tr w:rsidR="001940DA" w:rsidRPr="001940DA" w14:paraId="7C3456E0" w14:textId="77777777" w:rsidTr="000662DC">
        <w:trPr>
          <w:trHeight w:val="479"/>
          <w:tblHeader/>
          <w:jc w:val="center"/>
        </w:trPr>
        <w:tc>
          <w:tcPr>
            <w:tcW w:w="1270" w:type="pct"/>
            <w:tcBorders>
              <w:top w:val="single" w:sz="4" w:space="0" w:color="002060"/>
            </w:tcBorders>
            <w:shd w:val="clear" w:color="auto" w:fill="auto"/>
            <w:noWrap/>
            <w:vAlign w:val="center"/>
            <w:hideMark/>
          </w:tcPr>
          <w:p w14:paraId="4DD94B00" w14:textId="77777777" w:rsidR="001901FC" w:rsidRPr="001940DA" w:rsidRDefault="001901FC" w:rsidP="00FE1A26">
            <w:pPr>
              <w:spacing w:after="0" w:line="240" w:lineRule="auto"/>
              <w:jc w:val="center"/>
              <w:rPr>
                <w:rFonts w:eastAsia="Times New Roman" w:cstheme="minorHAnsi"/>
                <w:bCs/>
                <w:color w:val="002060"/>
                <w:sz w:val="18"/>
                <w:szCs w:val="18"/>
                <w:lang w:val="sr-Cyrl-RS" w:eastAsia="sr-Cyrl-RS"/>
              </w:rPr>
            </w:pPr>
            <w:r w:rsidRPr="001940DA">
              <w:rPr>
                <w:rFonts w:eastAsia="Times New Roman" w:cstheme="minorHAnsi"/>
                <w:bCs/>
                <w:color w:val="002060"/>
                <w:sz w:val="18"/>
                <w:szCs w:val="18"/>
                <w:lang w:val="sr-Cyrl-RS" w:eastAsia="sr-Cyrl-RS"/>
              </w:rPr>
              <w:t> </w:t>
            </w:r>
          </w:p>
        </w:tc>
        <w:tc>
          <w:tcPr>
            <w:tcW w:w="622" w:type="pct"/>
            <w:tcBorders>
              <w:top w:val="single" w:sz="4" w:space="0" w:color="002060"/>
              <w:bottom w:val="single" w:sz="4" w:space="0" w:color="002060"/>
            </w:tcBorders>
            <w:shd w:val="clear" w:color="auto" w:fill="auto"/>
            <w:vAlign w:val="center"/>
            <w:hideMark/>
          </w:tcPr>
          <w:p w14:paraId="241F11DF"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буџет 2020</w:t>
            </w:r>
          </w:p>
        </w:tc>
        <w:tc>
          <w:tcPr>
            <w:tcW w:w="622" w:type="pct"/>
            <w:tcBorders>
              <w:top w:val="single" w:sz="4" w:space="0" w:color="002060"/>
              <w:bottom w:val="single" w:sz="4" w:space="0" w:color="002060"/>
            </w:tcBorders>
            <w:vAlign w:val="center"/>
          </w:tcPr>
          <w:p w14:paraId="56FD6DCE"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процена април 2020</w:t>
            </w:r>
          </w:p>
        </w:tc>
        <w:tc>
          <w:tcPr>
            <w:tcW w:w="622" w:type="pct"/>
            <w:tcBorders>
              <w:top w:val="single" w:sz="4" w:space="0" w:color="002060"/>
              <w:bottom w:val="single" w:sz="4" w:space="0" w:color="002060"/>
            </w:tcBorders>
            <w:shd w:val="clear" w:color="auto" w:fill="auto"/>
            <w:vAlign w:val="center"/>
            <w:hideMark/>
          </w:tcPr>
          <w:p w14:paraId="536A50DA"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нова процена 2020</w:t>
            </w:r>
          </w:p>
        </w:tc>
        <w:tc>
          <w:tcPr>
            <w:tcW w:w="622" w:type="pct"/>
            <w:tcBorders>
              <w:top w:val="single" w:sz="4" w:space="0" w:color="002060"/>
              <w:bottom w:val="single" w:sz="4" w:space="0" w:color="002060"/>
            </w:tcBorders>
            <w:shd w:val="clear" w:color="auto" w:fill="auto"/>
            <w:vAlign w:val="center"/>
            <w:hideMark/>
          </w:tcPr>
          <w:p w14:paraId="30AC8CF1"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Разлика нов/буџет</w:t>
            </w:r>
          </w:p>
        </w:tc>
        <w:tc>
          <w:tcPr>
            <w:tcW w:w="622" w:type="pct"/>
            <w:tcBorders>
              <w:top w:val="single" w:sz="4" w:space="0" w:color="002060"/>
              <w:bottom w:val="single" w:sz="4" w:space="0" w:color="002060"/>
            </w:tcBorders>
            <w:shd w:val="clear" w:color="auto" w:fill="auto"/>
            <w:vAlign w:val="center"/>
            <w:hideMark/>
          </w:tcPr>
          <w:p w14:paraId="66A7D9E8"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 промена</w:t>
            </w:r>
          </w:p>
        </w:tc>
        <w:tc>
          <w:tcPr>
            <w:tcW w:w="622" w:type="pct"/>
            <w:tcBorders>
              <w:top w:val="single" w:sz="4" w:space="0" w:color="002060"/>
              <w:bottom w:val="single" w:sz="4" w:space="0" w:color="002060"/>
            </w:tcBorders>
            <w:shd w:val="clear" w:color="auto" w:fill="auto"/>
            <w:vAlign w:val="center"/>
            <w:hideMark/>
          </w:tcPr>
          <w:p w14:paraId="505F89BF" w14:textId="77777777" w:rsidR="001901FC" w:rsidRPr="001940DA" w:rsidRDefault="001901FC" w:rsidP="00FE1A26">
            <w:pPr>
              <w:spacing w:after="0" w:line="240" w:lineRule="auto"/>
              <w:jc w:val="center"/>
              <w:rPr>
                <w:rFonts w:cstheme="minorHAnsi"/>
                <w:color w:val="002060"/>
                <w:sz w:val="16"/>
                <w:szCs w:val="16"/>
                <w:lang w:val="sr-Cyrl-RS"/>
              </w:rPr>
            </w:pPr>
            <w:r w:rsidRPr="001940DA">
              <w:rPr>
                <w:color w:val="002060"/>
                <w:sz w:val="16"/>
                <w:szCs w:val="16"/>
                <w:lang w:val="sr-Cyrl-RS"/>
              </w:rPr>
              <w:t>2020 нова пр. % БДП</w:t>
            </w:r>
          </w:p>
        </w:tc>
      </w:tr>
      <w:tr w:rsidR="001940DA" w:rsidRPr="001940DA" w14:paraId="5A6F2D73" w14:textId="77777777" w:rsidTr="000662DC">
        <w:trPr>
          <w:trHeight w:val="238"/>
          <w:jc w:val="center"/>
        </w:trPr>
        <w:tc>
          <w:tcPr>
            <w:tcW w:w="1270" w:type="pct"/>
            <w:shd w:val="clear" w:color="auto" w:fill="E7E6E6" w:themeFill="background2"/>
            <w:noWrap/>
            <w:vAlign w:val="center"/>
            <w:hideMark/>
          </w:tcPr>
          <w:p w14:paraId="7EF5BE31"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ЈАВНИ ПРИХОДИ</w:t>
            </w:r>
          </w:p>
        </w:tc>
        <w:tc>
          <w:tcPr>
            <w:tcW w:w="622" w:type="pct"/>
            <w:tcBorders>
              <w:top w:val="single" w:sz="4" w:space="0" w:color="002060"/>
            </w:tcBorders>
            <w:shd w:val="clear" w:color="auto" w:fill="E7E6E6" w:themeFill="background2"/>
            <w:hideMark/>
          </w:tcPr>
          <w:p w14:paraId="348E5084"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2.340,8</w:t>
            </w:r>
          </w:p>
        </w:tc>
        <w:tc>
          <w:tcPr>
            <w:tcW w:w="622" w:type="pct"/>
            <w:tcBorders>
              <w:top w:val="single" w:sz="4" w:space="0" w:color="002060"/>
            </w:tcBorders>
            <w:shd w:val="clear" w:color="auto" w:fill="E7E6E6" w:themeFill="background2"/>
          </w:tcPr>
          <w:p w14:paraId="52B3B563"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2.110,7</w:t>
            </w:r>
          </w:p>
        </w:tc>
        <w:tc>
          <w:tcPr>
            <w:tcW w:w="622" w:type="pct"/>
            <w:tcBorders>
              <w:top w:val="single" w:sz="4" w:space="0" w:color="002060"/>
            </w:tcBorders>
            <w:shd w:val="clear" w:color="auto" w:fill="E7E6E6" w:themeFill="background2"/>
            <w:noWrap/>
            <w:hideMark/>
          </w:tcPr>
          <w:p w14:paraId="53428436"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2.223,5</w:t>
            </w:r>
          </w:p>
        </w:tc>
        <w:tc>
          <w:tcPr>
            <w:tcW w:w="622" w:type="pct"/>
            <w:tcBorders>
              <w:top w:val="single" w:sz="4" w:space="0" w:color="002060"/>
            </w:tcBorders>
            <w:shd w:val="clear" w:color="auto" w:fill="E7E6E6" w:themeFill="background2"/>
            <w:hideMark/>
          </w:tcPr>
          <w:p w14:paraId="39D6DF03"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-117,3</w:t>
            </w:r>
          </w:p>
        </w:tc>
        <w:tc>
          <w:tcPr>
            <w:tcW w:w="622" w:type="pct"/>
            <w:tcBorders>
              <w:top w:val="single" w:sz="4" w:space="0" w:color="002060"/>
            </w:tcBorders>
            <w:shd w:val="clear" w:color="auto" w:fill="E7E6E6" w:themeFill="background2"/>
            <w:hideMark/>
          </w:tcPr>
          <w:p w14:paraId="0336564D"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-5,0</w:t>
            </w:r>
          </w:p>
        </w:tc>
        <w:tc>
          <w:tcPr>
            <w:tcW w:w="622" w:type="pct"/>
            <w:tcBorders>
              <w:top w:val="single" w:sz="4" w:space="0" w:color="002060"/>
            </w:tcBorders>
            <w:shd w:val="clear" w:color="auto" w:fill="E7E6E6" w:themeFill="background2"/>
            <w:noWrap/>
            <w:hideMark/>
          </w:tcPr>
          <w:p w14:paraId="56998424"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40,3</w:t>
            </w:r>
          </w:p>
        </w:tc>
      </w:tr>
      <w:tr w:rsidR="001940DA" w:rsidRPr="001940DA" w14:paraId="23582D47" w14:textId="77777777" w:rsidTr="000662DC">
        <w:trPr>
          <w:trHeight w:val="228"/>
          <w:jc w:val="center"/>
        </w:trPr>
        <w:tc>
          <w:tcPr>
            <w:tcW w:w="1270" w:type="pct"/>
            <w:shd w:val="clear" w:color="auto" w:fill="auto"/>
            <w:noWrap/>
            <w:vAlign w:val="center"/>
            <w:hideMark/>
          </w:tcPr>
          <w:p w14:paraId="762F737C"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Текући приходи</w:t>
            </w:r>
          </w:p>
        </w:tc>
        <w:tc>
          <w:tcPr>
            <w:tcW w:w="622" w:type="pct"/>
            <w:shd w:val="clear" w:color="auto" w:fill="auto"/>
            <w:hideMark/>
          </w:tcPr>
          <w:p w14:paraId="156E4CAB"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2.324,3</w:t>
            </w:r>
          </w:p>
        </w:tc>
        <w:tc>
          <w:tcPr>
            <w:tcW w:w="622" w:type="pct"/>
          </w:tcPr>
          <w:p w14:paraId="437FEFE6"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2.094,2</w:t>
            </w:r>
          </w:p>
        </w:tc>
        <w:tc>
          <w:tcPr>
            <w:tcW w:w="622" w:type="pct"/>
            <w:shd w:val="clear" w:color="auto" w:fill="auto"/>
            <w:noWrap/>
            <w:hideMark/>
          </w:tcPr>
          <w:p w14:paraId="1E2311BD"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2.207,5</w:t>
            </w:r>
          </w:p>
        </w:tc>
        <w:tc>
          <w:tcPr>
            <w:tcW w:w="622" w:type="pct"/>
            <w:shd w:val="clear" w:color="auto" w:fill="auto"/>
            <w:hideMark/>
          </w:tcPr>
          <w:p w14:paraId="426C4891"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-116,8</w:t>
            </w:r>
          </w:p>
        </w:tc>
        <w:tc>
          <w:tcPr>
            <w:tcW w:w="622" w:type="pct"/>
            <w:shd w:val="clear" w:color="auto" w:fill="auto"/>
            <w:hideMark/>
          </w:tcPr>
          <w:p w14:paraId="4F28B266"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-5,0</w:t>
            </w:r>
          </w:p>
        </w:tc>
        <w:tc>
          <w:tcPr>
            <w:tcW w:w="622" w:type="pct"/>
            <w:shd w:val="clear" w:color="auto" w:fill="auto"/>
            <w:noWrap/>
            <w:hideMark/>
          </w:tcPr>
          <w:p w14:paraId="6750D715"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40,0</w:t>
            </w:r>
          </w:p>
        </w:tc>
      </w:tr>
      <w:tr w:rsidR="001940DA" w:rsidRPr="001940DA" w14:paraId="1D95F927" w14:textId="77777777" w:rsidTr="000662DC">
        <w:trPr>
          <w:trHeight w:val="228"/>
          <w:jc w:val="center"/>
        </w:trPr>
        <w:tc>
          <w:tcPr>
            <w:tcW w:w="1270" w:type="pct"/>
            <w:shd w:val="clear" w:color="auto" w:fill="auto"/>
            <w:noWrap/>
            <w:vAlign w:val="center"/>
            <w:hideMark/>
          </w:tcPr>
          <w:p w14:paraId="08CDBECF"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Порески приходи</w:t>
            </w:r>
          </w:p>
        </w:tc>
        <w:tc>
          <w:tcPr>
            <w:tcW w:w="622" w:type="pct"/>
            <w:shd w:val="clear" w:color="auto" w:fill="auto"/>
            <w:hideMark/>
          </w:tcPr>
          <w:p w14:paraId="581DBFA6"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2.084,5</w:t>
            </w:r>
          </w:p>
        </w:tc>
        <w:tc>
          <w:tcPr>
            <w:tcW w:w="622" w:type="pct"/>
          </w:tcPr>
          <w:p w14:paraId="084E22D8"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1.867,8</w:t>
            </w:r>
          </w:p>
        </w:tc>
        <w:tc>
          <w:tcPr>
            <w:tcW w:w="622" w:type="pct"/>
            <w:shd w:val="clear" w:color="auto" w:fill="auto"/>
            <w:hideMark/>
          </w:tcPr>
          <w:p w14:paraId="389B5C49"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1.962,3</w:t>
            </w:r>
          </w:p>
        </w:tc>
        <w:tc>
          <w:tcPr>
            <w:tcW w:w="622" w:type="pct"/>
            <w:shd w:val="clear" w:color="auto" w:fill="auto"/>
            <w:hideMark/>
          </w:tcPr>
          <w:p w14:paraId="3B302F9E"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-122,2</w:t>
            </w:r>
          </w:p>
        </w:tc>
        <w:tc>
          <w:tcPr>
            <w:tcW w:w="622" w:type="pct"/>
            <w:shd w:val="clear" w:color="auto" w:fill="auto"/>
            <w:hideMark/>
          </w:tcPr>
          <w:p w14:paraId="429F84BC"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-5,9</w:t>
            </w:r>
          </w:p>
        </w:tc>
        <w:tc>
          <w:tcPr>
            <w:tcW w:w="622" w:type="pct"/>
            <w:shd w:val="clear" w:color="auto" w:fill="auto"/>
            <w:noWrap/>
            <w:hideMark/>
          </w:tcPr>
          <w:p w14:paraId="7CB3ECF2"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35,6</w:t>
            </w:r>
          </w:p>
        </w:tc>
      </w:tr>
      <w:tr w:rsidR="001940DA" w:rsidRPr="001940DA" w14:paraId="08E8DD50" w14:textId="77777777" w:rsidTr="000662DC">
        <w:trPr>
          <w:trHeight w:val="228"/>
          <w:jc w:val="center"/>
        </w:trPr>
        <w:tc>
          <w:tcPr>
            <w:tcW w:w="1270" w:type="pct"/>
            <w:shd w:val="clear" w:color="auto" w:fill="auto"/>
            <w:noWrap/>
            <w:vAlign w:val="center"/>
            <w:hideMark/>
          </w:tcPr>
          <w:p w14:paraId="1D83FCC0"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Порез на доходак грађана</w:t>
            </w:r>
          </w:p>
        </w:tc>
        <w:tc>
          <w:tcPr>
            <w:tcW w:w="622" w:type="pct"/>
            <w:shd w:val="clear" w:color="auto" w:fill="auto"/>
            <w:hideMark/>
          </w:tcPr>
          <w:p w14:paraId="6B841256"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215,8</w:t>
            </w:r>
          </w:p>
        </w:tc>
        <w:tc>
          <w:tcPr>
            <w:tcW w:w="622" w:type="pct"/>
          </w:tcPr>
          <w:p w14:paraId="44C05D1C"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180,0</w:t>
            </w:r>
          </w:p>
        </w:tc>
        <w:tc>
          <w:tcPr>
            <w:tcW w:w="622" w:type="pct"/>
            <w:shd w:val="clear" w:color="auto" w:fill="auto"/>
            <w:noWrap/>
            <w:hideMark/>
          </w:tcPr>
          <w:p w14:paraId="22C0DC5B"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202,1</w:t>
            </w:r>
          </w:p>
        </w:tc>
        <w:tc>
          <w:tcPr>
            <w:tcW w:w="622" w:type="pct"/>
            <w:shd w:val="clear" w:color="auto" w:fill="auto"/>
            <w:hideMark/>
          </w:tcPr>
          <w:p w14:paraId="5BD25916"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-13,7</w:t>
            </w:r>
          </w:p>
        </w:tc>
        <w:tc>
          <w:tcPr>
            <w:tcW w:w="622" w:type="pct"/>
            <w:shd w:val="clear" w:color="auto" w:fill="auto"/>
            <w:hideMark/>
          </w:tcPr>
          <w:p w14:paraId="2FB08C84"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-6,3</w:t>
            </w:r>
          </w:p>
        </w:tc>
        <w:tc>
          <w:tcPr>
            <w:tcW w:w="622" w:type="pct"/>
            <w:shd w:val="clear" w:color="auto" w:fill="auto"/>
            <w:noWrap/>
            <w:hideMark/>
          </w:tcPr>
          <w:p w14:paraId="230B7088"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3,7</w:t>
            </w:r>
          </w:p>
        </w:tc>
      </w:tr>
      <w:tr w:rsidR="001940DA" w:rsidRPr="001940DA" w14:paraId="48B838DA" w14:textId="77777777" w:rsidTr="000662DC">
        <w:trPr>
          <w:trHeight w:val="228"/>
          <w:jc w:val="center"/>
        </w:trPr>
        <w:tc>
          <w:tcPr>
            <w:tcW w:w="1270" w:type="pct"/>
            <w:shd w:val="clear" w:color="auto" w:fill="auto"/>
            <w:noWrap/>
            <w:vAlign w:val="center"/>
            <w:hideMark/>
          </w:tcPr>
          <w:p w14:paraId="687EF99C"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Порез на добит правних лица</w:t>
            </w:r>
          </w:p>
        </w:tc>
        <w:tc>
          <w:tcPr>
            <w:tcW w:w="622" w:type="pct"/>
            <w:shd w:val="clear" w:color="auto" w:fill="auto"/>
            <w:hideMark/>
          </w:tcPr>
          <w:p w14:paraId="6A3AD4AC"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114,4</w:t>
            </w:r>
          </w:p>
        </w:tc>
        <w:tc>
          <w:tcPr>
            <w:tcW w:w="622" w:type="pct"/>
          </w:tcPr>
          <w:p w14:paraId="6DFDC61D"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98,6</w:t>
            </w:r>
          </w:p>
        </w:tc>
        <w:tc>
          <w:tcPr>
            <w:tcW w:w="622" w:type="pct"/>
            <w:shd w:val="clear" w:color="auto" w:fill="auto"/>
            <w:noWrap/>
            <w:hideMark/>
          </w:tcPr>
          <w:p w14:paraId="3BA63B80"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122,3</w:t>
            </w:r>
          </w:p>
        </w:tc>
        <w:tc>
          <w:tcPr>
            <w:tcW w:w="622" w:type="pct"/>
            <w:shd w:val="clear" w:color="auto" w:fill="auto"/>
            <w:hideMark/>
          </w:tcPr>
          <w:p w14:paraId="734565CE"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7,9</w:t>
            </w:r>
          </w:p>
        </w:tc>
        <w:tc>
          <w:tcPr>
            <w:tcW w:w="622" w:type="pct"/>
            <w:shd w:val="clear" w:color="auto" w:fill="auto"/>
            <w:hideMark/>
          </w:tcPr>
          <w:p w14:paraId="485F748A"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6,9</w:t>
            </w:r>
          </w:p>
        </w:tc>
        <w:tc>
          <w:tcPr>
            <w:tcW w:w="622" w:type="pct"/>
            <w:shd w:val="clear" w:color="auto" w:fill="auto"/>
            <w:noWrap/>
            <w:hideMark/>
          </w:tcPr>
          <w:p w14:paraId="1106B0C5"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2,2</w:t>
            </w:r>
          </w:p>
        </w:tc>
      </w:tr>
      <w:tr w:rsidR="001940DA" w:rsidRPr="001940DA" w14:paraId="3AE243C2" w14:textId="77777777" w:rsidTr="000662DC">
        <w:trPr>
          <w:trHeight w:val="228"/>
          <w:jc w:val="center"/>
        </w:trPr>
        <w:tc>
          <w:tcPr>
            <w:tcW w:w="1270" w:type="pct"/>
            <w:shd w:val="clear" w:color="auto" w:fill="auto"/>
            <w:noWrap/>
            <w:vAlign w:val="center"/>
            <w:hideMark/>
          </w:tcPr>
          <w:p w14:paraId="5E69E161" w14:textId="4EA3D300" w:rsidR="001901FC" w:rsidRPr="001940DA" w:rsidRDefault="00792EA4"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ПДВ</w:t>
            </w:r>
          </w:p>
        </w:tc>
        <w:tc>
          <w:tcPr>
            <w:tcW w:w="622" w:type="pct"/>
            <w:shd w:val="clear" w:color="auto" w:fill="auto"/>
            <w:hideMark/>
          </w:tcPr>
          <w:p w14:paraId="1EF82C71"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582,0</w:t>
            </w:r>
          </w:p>
        </w:tc>
        <w:tc>
          <w:tcPr>
            <w:tcW w:w="622" w:type="pct"/>
          </w:tcPr>
          <w:p w14:paraId="31CDBB9A"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565,8</w:t>
            </w:r>
          </w:p>
        </w:tc>
        <w:tc>
          <w:tcPr>
            <w:tcW w:w="622" w:type="pct"/>
            <w:shd w:val="clear" w:color="auto" w:fill="auto"/>
            <w:noWrap/>
            <w:hideMark/>
          </w:tcPr>
          <w:p w14:paraId="3CA2C089"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547,5</w:t>
            </w:r>
          </w:p>
        </w:tc>
        <w:tc>
          <w:tcPr>
            <w:tcW w:w="622" w:type="pct"/>
            <w:shd w:val="clear" w:color="auto" w:fill="auto"/>
            <w:hideMark/>
          </w:tcPr>
          <w:p w14:paraId="4AC12D72"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-34,5</w:t>
            </w:r>
          </w:p>
        </w:tc>
        <w:tc>
          <w:tcPr>
            <w:tcW w:w="622" w:type="pct"/>
            <w:shd w:val="clear" w:color="auto" w:fill="auto"/>
            <w:hideMark/>
          </w:tcPr>
          <w:p w14:paraId="6FF95AE8"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-5,9</w:t>
            </w:r>
          </w:p>
        </w:tc>
        <w:tc>
          <w:tcPr>
            <w:tcW w:w="622" w:type="pct"/>
            <w:shd w:val="clear" w:color="auto" w:fill="auto"/>
            <w:noWrap/>
            <w:hideMark/>
          </w:tcPr>
          <w:p w14:paraId="4C217715"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9,9</w:t>
            </w:r>
          </w:p>
        </w:tc>
      </w:tr>
      <w:tr w:rsidR="001940DA" w:rsidRPr="001940DA" w14:paraId="005E18D4" w14:textId="77777777" w:rsidTr="000662DC">
        <w:trPr>
          <w:trHeight w:val="228"/>
          <w:jc w:val="center"/>
        </w:trPr>
        <w:tc>
          <w:tcPr>
            <w:tcW w:w="1270" w:type="pct"/>
            <w:shd w:val="clear" w:color="auto" w:fill="auto"/>
            <w:noWrap/>
            <w:vAlign w:val="center"/>
            <w:hideMark/>
          </w:tcPr>
          <w:p w14:paraId="154E4F3B"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Акцизе</w:t>
            </w:r>
          </w:p>
        </w:tc>
        <w:tc>
          <w:tcPr>
            <w:tcW w:w="622" w:type="pct"/>
            <w:shd w:val="clear" w:color="auto" w:fill="auto"/>
            <w:hideMark/>
          </w:tcPr>
          <w:p w14:paraId="78425788"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311,1</w:t>
            </w:r>
          </w:p>
        </w:tc>
        <w:tc>
          <w:tcPr>
            <w:tcW w:w="622" w:type="pct"/>
          </w:tcPr>
          <w:p w14:paraId="2424F917"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296,1</w:t>
            </w:r>
          </w:p>
        </w:tc>
        <w:tc>
          <w:tcPr>
            <w:tcW w:w="622" w:type="pct"/>
            <w:shd w:val="clear" w:color="auto" w:fill="auto"/>
            <w:noWrap/>
            <w:hideMark/>
          </w:tcPr>
          <w:p w14:paraId="3974A46C"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299,7</w:t>
            </w:r>
          </w:p>
        </w:tc>
        <w:tc>
          <w:tcPr>
            <w:tcW w:w="622" w:type="pct"/>
            <w:shd w:val="clear" w:color="auto" w:fill="auto"/>
            <w:hideMark/>
          </w:tcPr>
          <w:p w14:paraId="4AD49E7F"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-11,4</w:t>
            </w:r>
          </w:p>
        </w:tc>
        <w:tc>
          <w:tcPr>
            <w:tcW w:w="622" w:type="pct"/>
            <w:shd w:val="clear" w:color="auto" w:fill="auto"/>
            <w:hideMark/>
          </w:tcPr>
          <w:p w14:paraId="59D1511E"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-3,7</w:t>
            </w:r>
          </w:p>
        </w:tc>
        <w:tc>
          <w:tcPr>
            <w:tcW w:w="622" w:type="pct"/>
            <w:shd w:val="clear" w:color="auto" w:fill="auto"/>
            <w:noWrap/>
            <w:hideMark/>
          </w:tcPr>
          <w:p w14:paraId="4E21C3B7"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5,4</w:t>
            </w:r>
          </w:p>
        </w:tc>
      </w:tr>
      <w:tr w:rsidR="001940DA" w:rsidRPr="001940DA" w14:paraId="4866B729" w14:textId="77777777" w:rsidTr="000662DC">
        <w:trPr>
          <w:trHeight w:val="228"/>
          <w:jc w:val="center"/>
        </w:trPr>
        <w:tc>
          <w:tcPr>
            <w:tcW w:w="1270" w:type="pct"/>
            <w:shd w:val="clear" w:color="auto" w:fill="auto"/>
            <w:noWrap/>
            <w:vAlign w:val="center"/>
            <w:hideMark/>
          </w:tcPr>
          <w:p w14:paraId="34EB2C39"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Царине</w:t>
            </w:r>
          </w:p>
        </w:tc>
        <w:tc>
          <w:tcPr>
            <w:tcW w:w="622" w:type="pct"/>
            <w:shd w:val="clear" w:color="auto" w:fill="auto"/>
            <w:hideMark/>
          </w:tcPr>
          <w:p w14:paraId="3D0C4AD2"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52,0</w:t>
            </w:r>
          </w:p>
        </w:tc>
        <w:tc>
          <w:tcPr>
            <w:tcW w:w="622" w:type="pct"/>
          </w:tcPr>
          <w:p w14:paraId="1B9F206D"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44,4</w:t>
            </w:r>
          </w:p>
        </w:tc>
        <w:tc>
          <w:tcPr>
            <w:tcW w:w="622" w:type="pct"/>
            <w:shd w:val="clear" w:color="auto" w:fill="auto"/>
            <w:noWrap/>
            <w:hideMark/>
          </w:tcPr>
          <w:p w14:paraId="42ABA9AC"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51,0</w:t>
            </w:r>
          </w:p>
        </w:tc>
        <w:tc>
          <w:tcPr>
            <w:tcW w:w="622" w:type="pct"/>
            <w:shd w:val="clear" w:color="auto" w:fill="auto"/>
            <w:hideMark/>
          </w:tcPr>
          <w:p w14:paraId="4E990E8A"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-1,0</w:t>
            </w:r>
          </w:p>
        </w:tc>
        <w:tc>
          <w:tcPr>
            <w:tcW w:w="622" w:type="pct"/>
            <w:shd w:val="clear" w:color="auto" w:fill="auto"/>
            <w:hideMark/>
          </w:tcPr>
          <w:p w14:paraId="60CFA2EA"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-1,9</w:t>
            </w:r>
          </w:p>
        </w:tc>
        <w:tc>
          <w:tcPr>
            <w:tcW w:w="622" w:type="pct"/>
            <w:shd w:val="clear" w:color="auto" w:fill="auto"/>
            <w:noWrap/>
            <w:hideMark/>
          </w:tcPr>
          <w:p w14:paraId="18A9E299"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0,9</w:t>
            </w:r>
          </w:p>
        </w:tc>
      </w:tr>
      <w:tr w:rsidR="001940DA" w:rsidRPr="001940DA" w14:paraId="0AD36360" w14:textId="77777777" w:rsidTr="000662DC">
        <w:trPr>
          <w:trHeight w:val="228"/>
          <w:jc w:val="center"/>
        </w:trPr>
        <w:tc>
          <w:tcPr>
            <w:tcW w:w="1270" w:type="pct"/>
            <w:shd w:val="clear" w:color="auto" w:fill="auto"/>
            <w:noWrap/>
            <w:vAlign w:val="center"/>
            <w:hideMark/>
          </w:tcPr>
          <w:p w14:paraId="278D86D9"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Остали порески приходи</w:t>
            </w:r>
          </w:p>
        </w:tc>
        <w:tc>
          <w:tcPr>
            <w:tcW w:w="622" w:type="pct"/>
            <w:shd w:val="clear" w:color="auto" w:fill="auto"/>
            <w:hideMark/>
          </w:tcPr>
          <w:p w14:paraId="7B7AFC55"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84,0</w:t>
            </w:r>
          </w:p>
        </w:tc>
        <w:tc>
          <w:tcPr>
            <w:tcW w:w="622" w:type="pct"/>
          </w:tcPr>
          <w:p w14:paraId="382F505A"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82,8</w:t>
            </w:r>
          </w:p>
        </w:tc>
        <w:tc>
          <w:tcPr>
            <w:tcW w:w="622" w:type="pct"/>
            <w:shd w:val="clear" w:color="auto" w:fill="auto"/>
            <w:noWrap/>
            <w:hideMark/>
          </w:tcPr>
          <w:p w14:paraId="0A2A4FC2"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79,6</w:t>
            </w:r>
          </w:p>
        </w:tc>
        <w:tc>
          <w:tcPr>
            <w:tcW w:w="622" w:type="pct"/>
            <w:shd w:val="clear" w:color="auto" w:fill="auto"/>
            <w:hideMark/>
          </w:tcPr>
          <w:p w14:paraId="14428EC2"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-4,4</w:t>
            </w:r>
          </w:p>
        </w:tc>
        <w:tc>
          <w:tcPr>
            <w:tcW w:w="622" w:type="pct"/>
            <w:shd w:val="clear" w:color="auto" w:fill="auto"/>
            <w:hideMark/>
          </w:tcPr>
          <w:p w14:paraId="586B74AD"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-5,2</w:t>
            </w:r>
          </w:p>
        </w:tc>
        <w:tc>
          <w:tcPr>
            <w:tcW w:w="622" w:type="pct"/>
            <w:shd w:val="clear" w:color="auto" w:fill="auto"/>
            <w:noWrap/>
            <w:hideMark/>
          </w:tcPr>
          <w:p w14:paraId="2D6806A3"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1,4</w:t>
            </w:r>
          </w:p>
        </w:tc>
      </w:tr>
      <w:tr w:rsidR="001940DA" w:rsidRPr="001940DA" w14:paraId="160559F2" w14:textId="77777777" w:rsidTr="000662DC">
        <w:trPr>
          <w:trHeight w:val="228"/>
          <w:jc w:val="center"/>
        </w:trPr>
        <w:tc>
          <w:tcPr>
            <w:tcW w:w="1270" w:type="pct"/>
            <w:shd w:val="clear" w:color="auto" w:fill="auto"/>
            <w:noWrap/>
            <w:vAlign w:val="center"/>
            <w:hideMark/>
          </w:tcPr>
          <w:p w14:paraId="6A980A47"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Доприноси</w:t>
            </w:r>
          </w:p>
        </w:tc>
        <w:tc>
          <w:tcPr>
            <w:tcW w:w="622" w:type="pct"/>
            <w:shd w:val="clear" w:color="auto" w:fill="auto"/>
            <w:hideMark/>
          </w:tcPr>
          <w:p w14:paraId="65CF2CAB"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725,2</w:t>
            </w:r>
          </w:p>
        </w:tc>
        <w:tc>
          <w:tcPr>
            <w:tcW w:w="622" w:type="pct"/>
          </w:tcPr>
          <w:p w14:paraId="57F18505"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600,0</w:t>
            </w:r>
          </w:p>
        </w:tc>
        <w:tc>
          <w:tcPr>
            <w:tcW w:w="622" w:type="pct"/>
            <w:shd w:val="clear" w:color="auto" w:fill="auto"/>
            <w:noWrap/>
            <w:hideMark/>
          </w:tcPr>
          <w:p w14:paraId="6788F60B"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660,0</w:t>
            </w:r>
          </w:p>
        </w:tc>
        <w:tc>
          <w:tcPr>
            <w:tcW w:w="622" w:type="pct"/>
            <w:shd w:val="clear" w:color="auto" w:fill="auto"/>
            <w:hideMark/>
          </w:tcPr>
          <w:p w14:paraId="0C53ED0D"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-65,2</w:t>
            </w:r>
          </w:p>
        </w:tc>
        <w:tc>
          <w:tcPr>
            <w:tcW w:w="622" w:type="pct"/>
            <w:shd w:val="clear" w:color="auto" w:fill="auto"/>
            <w:hideMark/>
          </w:tcPr>
          <w:p w14:paraId="0AB9B22A"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-9,0</w:t>
            </w:r>
          </w:p>
        </w:tc>
        <w:tc>
          <w:tcPr>
            <w:tcW w:w="622" w:type="pct"/>
            <w:shd w:val="clear" w:color="auto" w:fill="auto"/>
            <w:noWrap/>
            <w:hideMark/>
          </w:tcPr>
          <w:p w14:paraId="10F4AFB5"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12,0</w:t>
            </w:r>
          </w:p>
        </w:tc>
      </w:tr>
      <w:tr w:rsidR="001940DA" w:rsidRPr="001940DA" w14:paraId="463E749E" w14:textId="77777777" w:rsidTr="000662DC">
        <w:trPr>
          <w:trHeight w:val="228"/>
          <w:jc w:val="center"/>
        </w:trPr>
        <w:tc>
          <w:tcPr>
            <w:tcW w:w="1270" w:type="pct"/>
            <w:shd w:val="clear" w:color="auto" w:fill="auto"/>
            <w:noWrap/>
            <w:vAlign w:val="center"/>
            <w:hideMark/>
          </w:tcPr>
          <w:p w14:paraId="66584C50"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Непорески приходи</w:t>
            </w:r>
          </w:p>
        </w:tc>
        <w:tc>
          <w:tcPr>
            <w:tcW w:w="622" w:type="pct"/>
            <w:shd w:val="clear" w:color="auto" w:fill="auto"/>
            <w:hideMark/>
          </w:tcPr>
          <w:p w14:paraId="64748A21"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239,8</w:t>
            </w:r>
          </w:p>
        </w:tc>
        <w:tc>
          <w:tcPr>
            <w:tcW w:w="622" w:type="pct"/>
          </w:tcPr>
          <w:p w14:paraId="65E3F17F"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226,4</w:t>
            </w:r>
          </w:p>
        </w:tc>
        <w:tc>
          <w:tcPr>
            <w:tcW w:w="622" w:type="pct"/>
            <w:shd w:val="clear" w:color="auto" w:fill="auto"/>
            <w:noWrap/>
            <w:hideMark/>
          </w:tcPr>
          <w:p w14:paraId="74B48959"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245,2</w:t>
            </w:r>
          </w:p>
        </w:tc>
        <w:tc>
          <w:tcPr>
            <w:tcW w:w="622" w:type="pct"/>
            <w:shd w:val="clear" w:color="auto" w:fill="auto"/>
            <w:hideMark/>
          </w:tcPr>
          <w:p w14:paraId="4D0610F8"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5,4</w:t>
            </w:r>
          </w:p>
        </w:tc>
        <w:tc>
          <w:tcPr>
            <w:tcW w:w="622" w:type="pct"/>
            <w:shd w:val="clear" w:color="auto" w:fill="auto"/>
            <w:hideMark/>
          </w:tcPr>
          <w:p w14:paraId="7CC5DAD3"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2,3</w:t>
            </w:r>
          </w:p>
        </w:tc>
        <w:tc>
          <w:tcPr>
            <w:tcW w:w="622" w:type="pct"/>
            <w:shd w:val="clear" w:color="auto" w:fill="auto"/>
            <w:noWrap/>
            <w:hideMark/>
          </w:tcPr>
          <w:p w14:paraId="4D68BD99"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4,4</w:t>
            </w:r>
          </w:p>
        </w:tc>
      </w:tr>
      <w:tr w:rsidR="001940DA" w:rsidRPr="001940DA" w14:paraId="399E76FD" w14:textId="77777777" w:rsidTr="000662DC">
        <w:trPr>
          <w:trHeight w:val="228"/>
          <w:jc w:val="center"/>
        </w:trPr>
        <w:tc>
          <w:tcPr>
            <w:tcW w:w="1270" w:type="pct"/>
            <w:shd w:val="clear" w:color="auto" w:fill="auto"/>
            <w:noWrap/>
            <w:vAlign w:val="center"/>
            <w:hideMark/>
          </w:tcPr>
          <w:p w14:paraId="650CA9A9"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Донације</w:t>
            </w:r>
          </w:p>
        </w:tc>
        <w:tc>
          <w:tcPr>
            <w:tcW w:w="622" w:type="pct"/>
            <w:shd w:val="clear" w:color="auto" w:fill="auto"/>
            <w:hideMark/>
          </w:tcPr>
          <w:p w14:paraId="31D5B78D"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16,5</w:t>
            </w:r>
          </w:p>
        </w:tc>
        <w:tc>
          <w:tcPr>
            <w:tcW w:w="622" w:type="pct"/>
          </w:tcPr>
          <w:p w14:paraId="6EEF5910"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16,5</w:t>
            </w:r>
          </w:p>
        </w:tc>
        <w:tc>
          <w:tcPr>
            <w:tcW w:w="622" w:type="pct"/>
            <w:shd w:val="clear" w:color="auto" w:fill="auto"/>
            <w:noWrap/>
            <w:hideMark/>
          </w:tcPr>
          <w:p w14:paraId="6F38A788"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16,0</w:t>
            </w:r>
          </w:p>
        </w:tc>
        <w:tc>
          <w:tcPr>
            <w:tcW w:w="622" w:type="pct"/>
            <w:shd w:val="clear" w:color="auto" w:fill="auto"/>
            <w:hideMark/>
          </w:tcPr>
          <w:p w14:paraId="6B7FFBD3"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-0,5</w:t>
            </w:r>
          </w:p>
        </w:tc>
        <w:tc>
          <w:tcPr>
            <w:tcW w:w="622" w:type="pct"/>
            <w:shd w:val="clear" w:color="auto" w:fill="auto"/>
            <w:hideMark/>
          </w:tcPr>
          <w:p w14:paraId="27ECAB64"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-3,0</w:t>
            </w:r>
          </w:p>
        </w:tc>
        <w:tc>
          <w:tcPr>
            <w:tcW w:w="622" w:type="pct"/>
            <w:shd w:val="clear" w:color="auto" w:fill="auto"/>
            <w:noWrap/>
            <w:hideMark/>
          </w:tcPr>
          <w:p w14:paraId="3D77D7CC"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0,3</w:t>
            </w:r>
          </w:p>
        </w:tc>
      </w:tr>
      <w:tr w:rsidR="001940DA" w:rsidRPr="001940DA" w14:paraId="7ECA7862" w14:textId="77777777" w:rsidTr="000662DC">
        <w:trPr>
          <w:trHeight w:val="228"/>
          <w:jc w:val="center"/>
        </w:trPr>
        <w:tc>
          <w:tcPr>
            <w:tcW w:w="1270" w:type="pct"/>
            <w:shd w:val="clear" w:color="auto" w:fill="E7E6E6" w:themeFill="background2"/>
            <w:noWrap/>
            <w:vAlign w:val="center"/>
            <w:hideMark/>
          </w:tcPr>
          <w:p w14:paraId="0F47A580"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ЈАВНИ РАСХОДИ</w:t>
            </w:r>
          </w:p>
        </w:tc>
        <w:tc>
          <w:tcPr>
            <w:tcW w:w="622" w:type="pct"/>
            <w:shd w:val="clear" w:color="auto" w:fill="E7E6E6" w:themeFill="background2"/>
            <w:hideMark/>
          </w:tcPr>
          <w:p w14:paraId="4AA4CDF5"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2.369,8</w:t>
            </w:r>
          </w:p>
        </w:tc>
        <w:tc>
          <w:tcPr>
            <w:tcW w:w="622" w:type="pct"/>
            <w:shd w:val="clear" w:color="auto" w:fill="E7E6E6" w:themeFill="background2"/>
          </w:tcPr>
          <w:p w14:paraId="2F7DFB29"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2.505,5</w:t>
            </w:r>
          </w:p>
        </w:tc>
        <w:tc>
          <w:tcPr>
            <w:tcW w:w="622" w:type="pct"/>
            <w:shd w:val="clear" w:color="auto" w:fill="E7E6E6" w:themeFill="background2"/>
            <w:noWrap/>
            <w:hideMark/>
          </w:tcPr>
          <w:p w14:paraId="0F190E7E"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2.715,8</w:t>
            </w:r>
          </w:p>
        </w:tc>
        <w:tc>
          <w:tcPr>
            <w:tcW w:w="622" w:type="pct"/>
            <w:shd w:val="clear" w:color="auto" w:fill="E7E6E6" w:themeFill="background2"/>
            <w:hideMark/>
          </w:tcPr>
          <w:p w14:paraId="4F4DACE6"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346,0</w:t>
            </w:r>
          </w:p>
        </w:tc>
        <w:tc>
          <w:tcPr>
            <w:tcW w:w="622" w:type="pct"/>
            <w:shd w:val="clear" w:color="auto" w:fill="E7E6E6" w:themeFill="background2"/>
            <w:hideMark/>
          </w:tcPr>
          <w:p w14:paraId="71EEC513"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14,6</w:t>
            </w:r>
          </w:p>
        </w:tc>
        <w:tc>
          <w:tcPr>
            <w:tcW w:w="622" w:type="pct"/>
            <w:shd w:val="clear" w:color="auto" w:fill="E7E6E6" w:themeFill="background2"/>
            <w:noWrap/>
            <w:hideMark/>
          </w:tcPr>
          <w:p w14:paraId="700B5BB7"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49,2</w:t>
            </w:r>
          </w:p>
        </w:tc>
      </w:tr>
      <w:tr w:rsidR="001940DA" w:rsidRPr="001940DA" w14:paraId="09331FF8" w14:textId="77777777" w:rsidTr="000662DC">
        <w:trPr>
          <w:trHeight w:val="228"/>
          <w:jc w:val="center"/>
        </w:trPr>
        <w:tc>
          <w:tcPr>
            <w:tcW w:w="1270" w:type="pct"/>
            <w:shd w:val="clear" w:color="auto" w:fill="auto"/>
            <w:noWrap/>
            <w:vAlign w:val="center"/>
            <w:hideMark/>
          </w:tcPr>
          <w:p w14:paraId="38794003"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Текући расходи</w:t>
            </w:r>
          </w:p>
        </w:tc>
        <w:tc>
          <w:tcPr>
            <w:tcW w:w="622" w:type="pct"/>
            <w:shd w:val="clear" w:color="auto" w:fill="auto"/>
            <w:hideMark/>
          </w:tcPr>
          <w:p w14:paraId="1E998909"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2.090,0</w:t>
            </w:r>
          </w:p>
        </w:tc>
        <w:tc>
          <w:tcPr>
            <w:tcW w:w="622" w:type="pct"/>
          </w:tcPr>
          <w:p w14:paraId="032ADEDD"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2.262,1</w:t>
            </w:r>
          </w:p>
        </w:tc>
        <w:tc>
          <w:tcPr>
            <w:tcW w:w="622" w:type="pct"/>
            <w:shd w:val="clear" w:color="auto" w:fill="auto"/>
            <w:noWrap/>
            <w:hideMark/>
          </w:tcPr>
          <w:p w14:paraId="1EB4676E"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2.379,4</w:t>
            </w:r>
          </w:p>
        </w:tc>
        <w:tc>
          <w:tcPr>
            <w:tcW w:w="622" w:type="pct"/>
            <w:shd w:val="clear" w:color="auto" w:fill="auto"/>
            <w:hideMark/>
          </w:tcPr>
          <w:p w14:paraId="09F0A1B6"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289,4</w:t>
            </w:r>
          </w:p>
        </w:tc>
        <w:tc>
          <w:tcPr>
            <w:tcW w:w="622" w:type="pct"/>
            <w:shd w:val="clear" w:color="auto" w:fill="auto"/>
            <w:hideMark/>
          </w:tcPr>
          <w:p w14:paraId="6F7876D1"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13,8</w:t>
            </w:r>
          </w:p>
        </w:tc>
        <w:tc>
          <w:tcPr>
            <w:tcW w:w="622" w:type="pct"/>
            <w:shd w:val="clear" w:color="auto" w:fill="auto"/>
            <w:noWrap/>
            <w:hideMark/>
          </w:tcPr>
          <w:p w14:paraId="7B731680"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43,1</w:t>
            </w:r>
          </w:p>
        </w:tc>
      </w:tr>
      <w:tr w:rsidR="001940DA" w:rsidRPr="001940DA" w14:paraId="5F888C28" w14:textId="77777777" w:rsidTr="000662DC">
        <w:trPr>
          <w:trHeight w:val="228"/>
          <w:jc w:val="center"/>
        </w:trPr>
        <w:tc>
          <w:tcPr>
            <w:tcW w:w="1270" w:type="pct"/>
            <w:shd w:val="clear" w:color="auto" w:fill="auto"/>
            <w:noWrap/>
            <w:vAlign w:val="center"/>
            <w:hideMark/>
          </w:tcPr>
          <w:p w14:paraId="095E1D20"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Расходи за запослене</w:t>
            </w:r>
          </w:p>
        </w:tc>
        <w:tc>
          <w:tcPr>
            <w:tcW w:w="622" w:type="pct"/>
            <w:shd w:val="clear" w:color="auto" w:fill="auto"/>
            <w:hideMark/>
          </w:tcPr>
          <w:p w14:paraId="7A9018A8"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554,8</w:t>
            </w:r>
          </w:p>
        </w:tc>
        <w:tc>
          <w:tcPr>
            <w:tcW w:w="622" w:type="pct"/>
          </w:tcPr>
          <w:p w14:paraId="050EE28A"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565,2</w:t>
            </w:r>
          </w:p>
        </w:tc>
        <w:tc>
          <w:tcPr>
            <w:tcW w:w="622" w:type="pct"/>
            <w:shd w:val="clear" w:color="auto" w:fill="auto"/>
            <w:noWrap/>
            <w:hideMark/>
          </w:tcPr>
          <w:p w14:paraId="27158534"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575,9</w:t>
            </w:r>
          </w:p>
        </w:tc>
        <w:tc>
          <w:tcPr>
            <w:tcW w:w="622" w:type="pct"/>
            <w:shd w:val="clear" w:color="auto" w:fill="auto"/>
            <w:hideMark/>
          </w:tcPr>
          <w:p w14:paraId="7FA3D0C9"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21,1</w:t>
            </w:r>
          </w:p>
        </w:tc>
        <w:tc>
          <w:tcPr>
            <w:tcW w:w="622" w:type="pct"/>
            <w:shd w:val="clear" w:color="auto" w:fill="auto"/>
            <w:hideMark/>
          </w:tcPr>
          <w:p w14:paraId="4A8DB85D"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3,8</w:t>
            </w:r>
          </w:p>
        </w:tc>
        <w:tc>
          <w:tcPr>
            <w:tcW w:w="622" w:type="pct"/>
            <w:shd w:val="clear" w:color="auto" w:fill="auto"/>
            <w:noWrap/>
            <w:hideMark/>
          </w:tcPr>
          <w:p w14:paraId="39E69FAD"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10,4</w:t>
            </w:r>
          </w:p>
        </w:tc>
      </w:tr>
      <w:tr w:rsidR="001940DA" w:rsidRPr="001940DA" w14:paraId="7785E554" w14:textId="77777777" w:rsidTr="000662DC">
        <w:trPr>
          <w:trHeight w:val="228"/>
          <w:jc w:val="center"/>
        </w:trPr>
        <w:tc>
          <w:tcPr>
            <w:tcW w:w="1270" w:type="pct"/>
            <w:shd w:val="clear" w:color="auto" w:fill="auto"/>
            <w:noWrap/>
            <w:vAlign w:val="center"/>
            <w:hideMark/>
          </w:tcPr>
          <w:p w14:paraId="1475D258"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Куповина робе и услуга</w:t>
            </w:r>
          </w:p>
        </w:tc>
        <w:tc>
          <w:tcPr>
            <w:tcW w:w="622" w:type="pct"/>
            <w:shd w:val="clear" w:color="auto" w:fill="auto"/>
            <w:hideMark/>
          </w:tcPr>
          <w:p w14:paraId="07133E75"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394,7</w:t>
            </w:r>
          </w:p>
        </w:tc>
        <w:tc>
          <w:tcPr>
            <w:tcW w:w="622" w:type="pct"/>
          </w:tcPr>
          <w:p w14:paraId="084FC2BC"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412,2</w:t>
            </w:r>
          </w:p>
        </w:tc>
        <w:tc>
          <w:tcPr>
            <w:tcW w:w="622" w:type="pct"/>
            <w:shd w:val="clear" w:color="auto" w:fill="auto"/>
            <w:noWrap/>
            <w:hideMark/>
          </w:tcPr>
          <w:p w14:paraId="76EE4A8F"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453,6</w:t>
            </w:r>
          </w:p>
        </w:tc>
        <w:tc>
          <w:tcPr>
            <w:tcW w:w="622" w:type="pct"/>
            <w:shd w:val="clear" w:color="auto" w:fill="auto"/>
            <w:hideMark/>
          </w:tcPr>
          <w:p w14:paraId="2EAF4CDB"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58,9</w:t>
            </w:r>
          </w:p>
        </w:tc>
        <w:tc>
          <w:tcPr>
            <w:tcW w:w="622" w:type="pct"/>
            <w:shd w:val="clear" w:color="auto" w:fill="auto"/>
            <w:hideMark/>
          </w:tcPr>
          <w:p w14:paraId="16243F9C"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14,9</w:t>
            </w:r>
          </w:p>
        </w:tc>
        <w:tc>
          <w:tcPr>
            <w:tcW w:w="622" w:type="pct"/>
            <w:shd w:val="clear" w:color="auto" w:fill="auto"/>
            <w:noWrap/>
            <w:hideMark/>
          </w:tcPr>
          <w:p w14:paraId="07A8F32E"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8,2</w:t>
            </w:r>
          </w:p>
        </w:tc>
      </w:tr>
      <w:tr w:rsidR="001940DA" w:rsidRPr="001940DA" w14:paraId="42FE3D09" w14:textId="77777777" w:rsidTr="000662DC">
        <w:trPr>
          <w:trHeight w:val="228"/>
          <w:jc w:val="center"/>
        </w:trPr>
        <w:tc>
          <w:tcPr>
            <w:tcW w:w="1270" w:type="pct"/>
            <w:shd w:val="clear" w:color="auto" w:fill="auto"/>
            <w:noWrap/>
            <w:vAlign w:val="center"/>
            <w:hideMark/>
          </w:tcPr>
          <w:p w14:paraId="66BBBB81"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Отплата камата</w:t>
            </w:r>
          </w:p>
        </w:tc>
        <w:tc>
          <w:tcPr>
            <w:tcW w:w="622" w:type="pct"/>
            <w:shd w:val="clear" w:color="auto" w:fill="auto"/>
            <w:hideMark/>
          </w:tcPr>
          <w:p w14:paraId="4B152498"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113,6</w:t>
            </w:r>
          </w:p>
        </w:tc>
        <w:tc>
          <w:tcPr>
            <w:tcW w:w="622" w:type="pct"/>
          </w:tcPr>
          <w:p w14:paraId="0529C82B"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109,1</w:t>
            </w:r>
          </w:p>
        </w:tc>
        <w:tc>
          <w:tcPr>
            <w:tcW w:w="622" w:type="pct"/>
            <w:shd w:val="clear" w:color="auto" w:fill="auto"/>
            <w:noWrap/>
            <w:hideMark/>
          </w:tcPr>
          <w:p w14:paraId="2EF0D125"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110,5</w:t>
            </w:r>
          </w:p>
        </w:tc>
        <w:tc>
          <w:tcPr>
            <w:tcW w:w="622" w:type="pct"/>
            <w:shd w:val="clear" w:color="auto" w:fill="auto"/>
            <w:hideMark/>
          </w:tcPr>
          <w:p w14:paraId="679442C5"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-3,1</w:t>
            </w:r>
          </w:p>
        </w:tc>
        <w:tc>
          <w:tcPr>
            <w:tcW w:w="622" w:type="pct"/>
            <w:shd w:val="clear" w:color="auto" w:fill="auto"/>
            <w:hideMark/>
          </w:tcPr>
          <w:p w14:paraId="3DD26099"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-2,7</w:t>
            </w:r>
          </w:p>
        </w:tc>
        <w:tc>
          <w:tcPr>
            <w:tcW w:w="622" w:type="pct"/>
            <w:shd w:val="clear" w:color="auto" w:fill="auto"/>
            <w:noWrap/>
            <w:hideMark/>
          </w:tcPr>
          <w:p w14:paraId="4AD0B00A"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2,0</w:t>
            </w:r>
          </w:p>
        </w:tc>
      </w:tr>
      <w:tr w:rsidR="001940DA" w:rsidRPr="001940DA" w14:paraId="03C90F16" w14:textId="77777777" w:rsidTr="000662DC">
        <w:trPr>
          <w:trHeight w:val="228"/>
          <w:jc w:val="center"/>
        </w:trPr>
        <w:tc>
          <w:tcPr>
            <w:tcW w:w="1270" w:type="pct"/>
            <w:shd w:val="clear" w:color="auto" w:fill="auto"/>
            <w:noWrap/>
            <w:vAlign w:val="center"/>
            <w:hideMark/>
          </w:tcPr>
          <w:p w14:paraId="2E784E19"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Субвенције</w:t>
            </w:r>
          </w:p>
        </w:tc>
        <w:tc>
          <w:tcPr>
            <w:tcW w:w="622" w:type="pct"/>
            <w:shd w:val="clear" w:color="auto" w:fill="auto"/>
            <w:hideMark/>
          </w:tcPr>
          <w:p w14:paraId="5858E807"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114,2</w:t>
            </w:r>
          </w:p>
        </w:tc>
        <w:tc>
          <w:tcPr>
            <w:tcW w:w="622" w:type="pct"/>
          </w:tcPr>
          <w:p w14:paraId="65CA314D"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206,3</w:t>
            </w:r>
          </w:p>
        </w:tc>
        <w:tc>
          <w:tcPr>
            <w:tcW w:w="622" w:type="pct"/>
            <w:shd w:val="clear" w:color="auto" w:fill="auto"/>
            <w:noWrap/>
            <w:hideMark/>
          </w:tcPr>
          <w:p w14:paraId="18D2523B"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258,3</w:t>
            </w:r>
          </w:p>
        </w:tc>
        <w:tc>
          <w:tcPr>
            <w:tcW w:w="622" w:type="pct"/>
            <w:shd w:val="clear" w:color="auto" w:fill="auto"/>
            <w:hideMark/>
          </w:tcPr>
          <w:p w14:paraId="57A9738E"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144,1</w:t>
            </w:r>
          </w:p>
        </w:tc>
        <w:tc>
          <w:tcPr>
            <w:tcW w:w="622" w:type="pct"/>
            <w:shd w:val="clear" w:color="auto" w:fill="auto"/>
            <w:hideMark/>
          </w:tcPr>
          <w:p w14:paraId="1AC2EB6D"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126,2</w:t>
            </w:r>
          </w:p>
        </w:tc>
        <w:tc>
          <w:tcPr>
            <w:tcW w:w="622" w:type="pct"/>
            <w:shd w:val="clear" w:color="auto" w:fill="auto"/>
            <w:noWrap/>
            <w:hideMark/>
          </w:tcPr>
          <w:p w14:paraId="42CE6A19"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4,7</w:t>
            </w:r>
          </w:p>
        </w:tc>
      </w:tr>
      <w:tr w:rsidR="001940DA" w:rsidRPr="001940DA" w14:paraId="64F1FECA" w14:textId="77777777" w:rsidTr="000662DC">
        <w:trPr>
          <w:trHeight w:val="228"/>
          <w:jc w:val="center"/>
        </w:trPr>
        <w:tc>
          <w:tcPr>
            <w:tcW w:w="1270" w:type="pct"/>
            <w:shd w:val="clear" w:color="auto" w:fill="auto"/>
            <w:noWrap/>
            <w:vAlign w:val="center"/>
            <w:hideMark/>
          </w:tcPr>
          <w:p w14:paraId="535475D7"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Социјална помоћ и трансфери</w:t>
            </w:r>
          </w:p>
        </w:tc>
        <w:tc>
          <w:tcPr>
            <w:tcW w:w="622" w:type="pct"/>
            <w:shd w:val="clear" w:color="auto" w:fill="auto"/>
            <w:hideMark/>
          </w:tcPr>
          <w:p w14:paraId="6A399172"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824,8</w:t>
            </w:r>
          </w:p>
        </w:tc>
        <w:tc>
          <w:tcPr>
            <w:tcW w:w="622" w:type="pct"/>
          </w:tcPr>
          <w:p w14:paraId="3D8DA22C"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827,3</w:t>
            </w:r>
          </w:p>
        </w:tc>
        <w:tc>
          <w:tcPr>
            <w:tcW w:w="622" w:type="pct"/>
            <w:shd w:val="clear" w:color="auto" w:fill="auto"/>
            <w:noWrap/>
            <w:hideMark/>
          </w:tcPr>
          <w:p w14:paraId="7D935111"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814,1</w:t>
            </w:r>
          </w:p>
        </w:tc>
        <w:tc>
          <w:tcPr>
            <w:tcW w:w="622" w:type="pct"/>
            <w:shd w:val="clear" w:color="auto" w:fill="auto"/>
            <w:hideMark/>
          </w:tcPr>
          <w:p w14:paraId="1799E646"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-10,7</w:t>
            </w:r>
          </w:p>
        </w:tc>
        <w:tc>
          <w:tcPr>
            <w:tcW w:w="622" w:type="pct"/>
            <w:shd w:val="clear" w:color="auto" w:fill="auto"/>
            <w:hideMark/>
          </w:tcPr>
          <w:p w14:paraId="0623D0E4"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-1,3</w:t>
            </w:r>
          </w:p>
        </w:tc>
        <w:tc>
          <w:tcPr>
            <w:tcW w:w="622" w:type="pct"/>
            <w:shd w:val="clear" w:color="auto" w:fill="auto"/>
            <w:noWrap/>
            <w:hideMark/>
          </w:tcPr>
          <w:p w14:paraId="27117CEB"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14,8</w:t>
            </w:r>
          </w:p>
        </w:tc>
      </w:tr>
      <w:tr w:rsidR="001940DA" w:rsidRPr="001940DA" w14:paraId="41664178" w14:textId="77777777" w:rsidTr="000662DC">
        <w:trPr>
          <w:trHeight w:val="228"/>
          <w:jc w:val="center"/>
        </w:trPr>
        <w:tc>
          <w:tcPr>
            <w:tcW w:w="1270" w:type="pct"/>
            <w:shd w:val="clear" w:color="auto" w:fill="auto"/>
            <w:noWrap/>
            <w:vAlign w:val="center"/>
            <w:hideMark/>
          </w:tcPr>
          <w:p w14:paraId="32C866CC"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од чега пензије</w:t>
            </w:r>
          </w:p>
        </w:tc>
        <w:tc>
          <w:tcPr>
            <w:tcW w:w="622" w:type="pct"/>
            <w:shd w:val="clear" w:color="auto" w:fill="auto"/>
            <w:hideMark/>
          </w:tcPr>
          <w:p w14:paraId="4D1C6AAA"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594,2</w:t>
            </w:r>
          </w:p>
        </w:tc>
        <w:tc>
          <w:tcPr>
            <w:tcW w:w="622" w:type="pct"/>
          </w:tcPr>
          <w:p w14:paraId="5634CB55"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588,2</w:t>
            </w:r>
          </w:p>
        </w:tc>
        <w:tc>
          <w:tcPr>
            <w:tcW w:w="622" w:type="pct"/>
            <w:shd w:val="clear" w:color="auto" w:fill="auto"/>
            <w:noWrap/>
            <w:hideMark/>
          </w:tcPr>
          <w:p w14:paraId="426951F9"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586,2</w:t>
            </w:r>
          </w:p>
        </w:tc>
        <w:tc>
          <w:tcPr>
            <w:tcW w:w="622" w:type="pct"/>
            <w:shd w:val="clear" w:color="auto" w:fill="auto"/>
            <w:hideMark/>
          </w:tcPr>
          <w:p w14:paraId="5D7A8BFB"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-8,0</w:t>
            </w:r>
          </w:p>
        </w:tc>
        <w:tc>
          <w:tcPr>
            <w:tcW w:w="622" w:type="pct"/>
            <w:shd w:val="clear" w:color="auto" w:fill="auto"/>
            <w:hideMark/>
          </w:tcPr>
          <w:p w14:paraId="415903CF"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-1,3</w:t>
            </w:r>
          </w:p>
        </w:tc>
        <w:tc>
          <w:tcPr>
            <w:tcW w:w="622" w:type="pct"/>
            <w:shd w:val="clear" w:color="auto" w:fill="auto"/>
            <w:noWrap/>
            <w:hideMark/>
          </w:tcPr>
          <w:p w14:paraId="0EF3FE0F"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10,6</w:t>
            </w:r>
          </w:p>
        </w:tc>
      </w:tr>
      <w:tr w:rsidR="001940DA" w:rsidRPr="001940DA" w14:paraId="296C2EA2" w14:textId="77777777" w:rsidTr="000662DC">
        <w:trPr>
          <w:trHeight w:val="228"/>
          <w:jc w:val="center"/>
        </w:trPr>
        <w:tc>
          <w:tcPr>
            <w:tcW w:w="1270" w:type="pct"/>
            <w:shd w:val="clear" w:color="auto" w:fill="auto"/>
            <w:noWrap/>
            <w:vAlign w:val="center"/>
            <w:hideMark/>
          </w:tcPr>
          <w:p w14:paraId="0AEA5F08"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Остали текући расходи</w:t>
            </w:r>
          </w:p>
        </w:tc>
        <w:tc>
          <w:tcPr>
            <w:tcW w:w="622" w:type="pct"/>
            <w:shd w:val="clear" w:color="auto" w:fill="auto"/>
            <w:hideMark/>
          </w:tcPr>
          <w:p w14:paraId="5C4C5F7D"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87,8</w:t>
            </w:r>
          </w:p>
        </w:tc>
        <w:tc>
          <w:tcPr>
            <w:tcW w:w="622" w:type="pct"/>
          </w:tcPr>
          <w:p w14:paraId="78F83757"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142,0</w:t>
            </w:r>
          </w:p>
        </w:tc>
        <w:tc>
          <w:tcPr>
            <w:tcW w:w="622" w:type="pct"/>
            <w:shd w:val="clear" w:color="auto" w:fill="auto"/>
            <w:noWrap/>
            <w:hideMark/>
          </w:tcPr>
          <w:p w14:paraId="65700B40"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167,0</w:t>
            </w:r>
          </w:p>
        </w:tc>
        <w:tc>
          <w:tcPr>
            <w:tcW w:w="622" w:type="pct"/>
            <w:shd w:val="clear" w:color="auto" w:fill="auto"/>
            <w:hideMark/>
          </w:tcPr>
          <w:p w14:paraId="166C7FD4"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79,2</w:t>
            </w:r>
          </w:p>
        </w:tc>
        <w:tc>
          <w:tcPr>
            <w:tcW w:w="622" w:type="pct"/>
            <w:shd w:val="clear" w:color="auto" w:fill="auto"/>
            <w:hideMark/>
          </w:tcPr>
          <w:p w14:paraId="5B7098DE"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90,2</w:t>
            </w:r>
          </w:p>
        </w:tc>
        <w:tc>
          <w:tcPr>
            <w:tcW w:w="622" w:type="pct"/>
            <w:shd w:val="clear" w:color="auto" w:fill="auto"/>
            <w:noWrap/>
            <w:hideMark/>
          </w:tcPr>
          <w:p w14:paraId="09A566FA"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3,0</w:t>
            </w:r>
          </w:p>
        </w:tc>
      </w:tr>
      <w:tr w:rsidR="001940DA" w:rsidRPr="001940DA" w14:paraId="3F158ABF" w14:textId="77777777" w:rsidTr="000662DC">
        <w:trPr>
          <w:trHeight w:val="228"/>
          <w:jc w:val="center"/>
        </w:trPr>
        <w:tc>
          <w:tcPr>
            <w:tcW w:w="1270" w:type="pct"/>
            <w:shd w:val="clear" w:color="auto" w:fill="auto"/>
            <w:noWrap/>
            <w:vAlign w:val="center"/>
            <w:hideMark/>
          </w:tcPr>
          <w:p w14:paraId="3645BDF7"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Капитални расходи</w:t>
            </w:r>
          </w:p>
        </w:tc>
        <w:tc>
          <w:tcPr>
            <w:tcW w:w="622" w:type="pct"/>
            <w:shd w:val="clear" w:color="auto" w:fill="auto"/>
            <w:hideMark/>
          </w:tcPr>
          <w:p w14:paraId="2C9580A7"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260,0</w:t>
            </w:r>
          </w:p>
        </w:tc>
        <w:tc>
          <w:tcPr>
            <w:tcW w:w="622" w:type="pct"/>
          </w:tcPr>
          <w:p w14:paraId="7E754AED"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207,5</w:t>
            </w:r>
          </w:p>
        </w:tc>
        <w:tc>
          <w:tcPr>
            <w:tcW w:w="622" w:type="pct"/>
            <w:shd w:val="clear" w:color="auto" w:fill="auto"/>
            <w:noWrap/>
            <w:hideMark/>
          </w:tcPr>
          <w:p w14:paraId="74C85224"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286,7</w:t>
            </w:r>
          </w:p>
        </w:tc>
        <w:tc>
          <w:tcPr>
            <w:tcW w:w="622" w:type="pct"/>
            <w:shd w:val="clear" w:color="auto" w:fill="auto"/>
            <w:hideMark/>
          </w:tcPr>
          <w:p w14:paraId="44042C95"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26,7</w:t>
            </w:r>
          </w:p>
        </w:tc>
        <w:tc>
          <w:tcPr>
            <w:tcW w:w="622" w:type="pct"/>
            <w:shd w:val="clear" w:color="auto" w:fill="auto"/>
            <w:hideMark/>
          </w:tcPr>
          <w:p w14:paraId="6F2F338E"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10,3</w:t>
            </w:r>
          </w:p>
        </w:tc>
        <w:tc>
          <w:tcPr>
            <w:tcW w:w="622" w:type="pct"/>
            <w:shd w:val="clear" w:color="auto" w:fill="auto"/>
            <w:noWrap/>
            <w:hideMark/>
          </w:tcPr>
          <w:p w14:paraId="00D9D037"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5,2</w:t>
            </w:r>
          </w:p>
        </w:tc>
      </w:tr>
      <w:tr w:rsidR="001940DA" w:rsidRPr="001940DA" w14:paraId="48DF0D92" w14:textId="77777777" w:rsidTr="000662DC">
        <w:trPr>
          <w:trHeight w:val="228"/>
          <w:jc w:val="center"/>
        </w:trPr>
        <w:tc>
          <w:tcPr>
            <w:tcW w:w="1270" w:type="pct"/>
            <w:shd w:val="clear" w:color="auto" w:fill="auto"/>
            <w:noWrap/>
            <w:vAlign w:val="center"/>
            <w:hideMark/>
          </w:tcPr>
          <w:p w14:paraId="3878A724"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Нето буџетске позајмице</w:t>
            </w:r>
          </w:p>
        </w:tc>
        <w:tc>
          <w:tcPr>
            <w:tcW w:w="622" w:type="pct"/>
            <w:shd w:val="clear" w:color="auto" w:fill="auto"/>
            <w:hideMark/>
          </w:tcPr>
          <w:p w14:paraId="07B0E8A6"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13,1</w:t>
            </w:r>
          </w:p>
        </w:tc>
        <w:tc>
          <w:tcPr>
            <w:tcW w:w="622" w:type="pct"/>
          </w:tcPr>
          <w:p w14:paraId="28D9D03E"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27,1</w:t>
            </w:r>
          </w:p>
        </w:tc>
        <w:tc>
          <w:tcPr>
            <w:tcW w:w="622" w:type="pct"/>
            <w:shd w:val="clear" w:color="auto" w:fill="auto"/>
            <w:noWrap/>
            <w:hideMark/>
          </w:tcPr>
          <w:p w14:paraId="4716AD3F"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41,9</w:t>
            </w:r>
          </w:p>
        </w:tc>
        <w:tc>
          <w:tcPr>
            <w:tcW w:w="622" w:type="pct"/>
            <w:shd w:val="clear" w:color="auto" w:fill="auto"/>
            <w:hideMark/>
          </w:tcPr>
          <w:p w14:paraId="4C0111BE"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28,8</w:t>
            </w:r>
          </w:p>
        </w:tc>
        <w:tc>
          <w:tcPr>
            <w:tcW w:w="622" w:type="pct"/>
            <w:shd w:val="clear" w:color="auto" w:fill="auto"/>
            <w:hideMark/>
          </w:tcPr>
          <w:p w14:paraId="60128747"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219,8</w:t>
            </w:r>
          </w:p>
        </w:tc>
        <w:tc>
          <w:tcPr>
            <w:tcW w:w="622" w:type="pct"/>
            <w:shd w:val="clear" w:color="auto" w:fill="auto"/>
            <w:noWrap/>
            <w:hideMark/>
          </w:tcPr>
          <w:p w14:paraId="41DCA627"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0,8</w:t>
            </w:r>
          </w:p>
        </w:tc>
      </w:tr>
      <w:tr w:rsidR="001940DA" w:rsidRPr="001940DA" w14:paraId="62ABEF16" w14:textId="77777777" w:rsidTr="000662DC">
        <w:trPr>
          <w:trHeight w:val="228"/>
          <w:jc w:val="center"/>
        </w:trPr>
        <w:tc>
          <w:tcPr>
            <w:tcW w:w="1270" w:type="pct"/>
            <w:shd w:val="clear" w:color="auto" w:fill="auto"/>
            <w:noWrap/>
            <w:vAlign w:val="center"/>
            <w:hideMark/>
          </w:tcPr>
          <w:p w14:paraId="301866FE"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Активиране гаранције</w:t>
            </w:r>
          </w:p>
        </w:tc>
        <w:tc>
          <w:tcPr>
            <w:tcW w:w="622" w:type="pct"/>
            <w:shd w:val="clear" w:color="auto" w:fill="auto"/>
            <w:hideMark/>
          </w:tcPr>
          <w:p w14:paraId="3333E6A8"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6,7</w:t>
            </w:r>
          </w:p>
        </w:tc>
        <w:tc>
          <w:tcPr>
            <w:tcW w:w="622" w:type="pct"/>
          </w:tcPr>
          <w:p w14:paraId="69248056"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8,8</w:t>
            </w:r>
          </w:p>
        </w:tc>
        <w:tc>
          <w:tcPr>
            <w:tcW w:w="622" w:type="pct"/>
            <w:shd w:val="clear" w:color="auto" w:fill="auto"/>
            <w:noWrap/>
            <w:hideMark/>
          </w:tcPr>
          <w:p w14:paraId="385C641F"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7,8</w:t>
            </w:r>
          </w:p>
        </w:tc>
        <w:tc>
          <w:tcPr>
            <w:tcW w:w="622" w:type="pct"/>
            <w:shd w:val="clear" w:color="auto" w:fill="auto"/>
            <w:hideMark/>
          </w:tcPr>
          <w:p w14:paraId="4B79BCEC"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1,1</w:t>
            </w:r>
          </w:p>
        </w:tc>
        <w:tc>
          <w:tcPr>
            <w:tcW w:w="622" w:type="pct"/>
            <w:shd w:val="clear" w:color="auto" w:fill="auto"/>
            <w:hideMark/>
          </w:tcPr>
          <w:p w14:paraId="18518466"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16,4</w:t>
            </w:r>
          </w:p>
        </w:tc>
        <w:tc>
          <w:tcPr>
            <w:tcW w:w="622" w:type="pct"/>
            <w:shd w:val="clear" w:color="auto" w:fill="auto"/>
            <w:noWrap/>
            <w:hideMark/>
          </w:tcPr>
          <w:p w14:paraId="0A510EA8" w14:textId="77777777" w:rsidR="001901FC" w:rsidRPr="001940DA" w:rsidRDefault="001901FC" w:rsidP="00FE1A26">
            <w:pPr>
              <w:spacing w:after="0" w:line="240" w:lineRule="auto"/>
              <w:ind w:right="340"/>
              <w:jc w:val="right"/>
              <w:rPr>
                <w:color w:val="002060"/>
                <w:sz w:val="16"/>
                <w:szCs w:val="16"/>
                <w:lang w:val="sr-Cyrl-RS"/>
              </w:rPr>
            </w:pPr>
            <w:r w:rsidRPr="001940DA">
              <w:rPr>
                <w:color w:val="002060"/>
                <w:sz w:val="16"/>
                <w:szCs w:val="16"/>
                <w:lang w:val="sr-Cyrl-RS"/>
              </w:rPr>
              <w:t>0,1</w:t>
            </w:r>
          </w:p>
        </w:tc>
      </w:tr>
      <w:tr w:rsidR="001940DA" w:rsidRPr="001940DA" w14:paraId="2A402403" w14:textId="77777777" w:rsidTr="000662DC">
        <w:trPr>
          <w:trHeight w:val="228"/>
          <w:jc w:val="center"/>
        </w:trPr>
        <w:tc>
          <w:tcPr>
            <w:tcW w:w="1270" w:type="pct"/>
            <w:shd w:val="clear" w:color="auto" w:fill="E7E6E6" w:themeFill="background2"/>
            <w:noWrap/>
            <w:vAlign w:val="center"/>
            <w:hideMark/>
          </w:tcPr>
          <w:p w14:paraId="790017B3"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Резултат</w:t>
            </w:r>
          </w:p>
        </w:tc>
        <w:tc>
          <w:tcPr>
            <w:tcW w:w="622" w:type="pct"/>
            <w:shd w:val="clear" w:color="auto" w:fill="E7E6E6" w:themeFill="background2"/>
            <w:hideMark/>
          </w:tcPr>
          <w:p w14:paraId="139A1FC6"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-29,0</w:t>
            </w:r>
          </w:p>
        </w:tc>
        <w:tc>
          <w:tcPr>
            <w:tcW w:w="622" w:type="pct"/>
            <w:shd w:val="clear" w:color="auto" w:fill="E7E6E6" w:themeFill="background2"/>
          </w:tcPr>
          <w:p w14:paraId="1AC19838"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-394,8</w:t>
            </w:r>
          </w:p>
        </w:tc>
        <w:tc>
          <w:tcPr>
            <w:tcW w:w="622" w:type="pct"/>
            <w:shd w:val="clear" w:color="auto" w:fill="E7E6E6" w:themeFill="background2"/>
            <w:noWrap/>
            <w:hideMark/>
          </w:tcPr>
          <w:p w14:paraId="0FF9530B" w14:textId="77777777" w:rsidR="001901FC" w:rsidRPr="001940DA" w:rsidRDefault="001901FC" w:rsidP="002C675F">
            <w:pPr>
              <w:spacing w:after="0" w:line="240" w:lineRule="auto"/>
              <w:ind w:right="227"/>
              <w:jc w:val="right"/>
              <w:rPr>
                <w:rFonts w:cstheme="minorHAnsi"/>
                <w:color w:val="002060"/>
                <w:sz w:val="16"/>
                <w:szCs w:val="16"/>
                <w:lang w:val="sr-Cyrl-RS"/>
              </w:rPr>
            </w:pPr>
            <w:r w:rsidRPr="001940DA">
              <w:rPr>
                <w:color w:val="002060"/>
                <w:sz w:val="16"/>
                <w:szCs w:val="16"/>
                <w:lang w:val="sr-Cyrl-RS"/>
              </w:rPr>
              <w:t>-492,3</w:t>
            </w:r>
          </w:p>
        </w:tc>
        <w:tc>
          <w:tcPr>
            <w:tcW w:w="622" w:type="pct"/>
            <w:shd w:val="clear" w:color="auto" w:fill="E7E6E6" w:themeFill="background2"/>
            <w:hideMark/>
          </w:tcPr>
          <w:p w14:paraId="6AF39766" w14:textId="77777777" w:rsidR="001901FC" w:rsidRPr="001940DA" w:rsidRDefault="001901FC" w:rsidP="002C675F">
            <w:pPr>
              <w:spacing w:after="0" w:line="240" w:lineRule="auto"/>
              <w:ind w:right="284"/>
              <w:jc w:val="right"/>
              <w:rPr>
                <w:rFonts w:cstheme="minorHAnsi"/>
                <w:color w:val="002060"/>
                <w:sz w:val="16"/>
                <w:szCs w:val="16"/>
                <w:lang w:val="sr-Cyrl-RS"/>
              </w:rPr>
            </w:pPr>
            <w:r w:rsidRPr="001940DA">
              <w:rPr>
                <w:color w:val="002060"/>
                <w:sz w:val="16"/>
                <w:szCs w:val="16"/>
                <w:lang w:val="sr-Cyrl-RS"/>
              </w:rPr>
              <w:t>-463,4</w:t>
            </w:r>
          </w:p>
        </w:tc>
        <w:tc>
          <w:tcPr>
            <w:tcW w:w="622" w:type="pct"/>
            <w:shd w:val="clear" w:color="auto" w:fill="E7E6E6" w:themeFill="background2"/>
            <w:hideMark/>
          </w:tcPr>
          <w:p w14:paraId="1E040C0F" w14:textId="77777777" w:rsidR="001901FC" w:rsidRPr="001940DA" w:rsidRDefault="001901FC" w:rsidP="00FE1A26">
            <w:pPr>
              <w:spacing w:after="0" w:line="240" w:lineRule="auto"/>
              <w:ind w:right="340"/>
              <w:jc w:val="right"/>
              <w:rPr>
                <w:rFonts w:cstheme="minorHAnsi"/>
                <w:color w:val="002060"/>
                <w:sz w:val="16"/>
                <w:szCs w:val="16"/>
                <w:lang w:val="sr-Cyrl-RS"/>
              </w:rPr>
            </w:pPr>
          </w:p>
        </w:tc>
        <w:tc>
          <w:tcPr>
            <w:tcW w:w="622" w:type="pct"/>
            <w:shd w:val="clear" w:color="auto" w:fill="E7E6E6" w:themeFill="background2"/>
            <w:noWrap/>
            <w:hideMark/>
          </w:tcPr>
          <w:p w14:paraId="1C4F536C" w14:textId="77777777" w:rsidR="001901FC" w:rsidRPr="001940DA" w:rsidRDefault="001901FC" w:rsidP="00FE1A26">
            <w:pPr>
              <w:spacing w:after="0" w:line="240" w:lineRule="auto"/>
              <w:ind w:right="340"/>
              <w:jc w:val="right"/>
              <w:rPr>
                <w:rFonts w:cstheme="minorHAnsi"/>
                <w:color w:val="002060"/>
                <w:sz w:val="16"/>
                <w:szCs w:val="16"/>
                <w:lang w:val="sr-Cyrl-RS"/>
              </w:rPr>
            </w:pPr>
            <w:r w:rsidRPr="001940DA">
              <w:rPr>
                <w:color w:val="002060"/>
                <w:sz w:val="16"/>
                <w:szCs w:val="16"/>
                <w:lang w:val="sr-Cyrl-RS"/>
              </w:rPr>
              <w:t>-8,9</w:t>
            </w:r>
          </w:p>
        </w:tc>
      </w:tr>
      <w:tr w:rsidR="001940DA" w:rsidRPr="001940DA" w14:paraId="5A2782EC" w14:textId="77777777" w:rsidTr="000662DC">
        <w:trPr>
          <w:trHeight w:val="228"/>
          <w:jc w:val="center"/>
        </w:trPr>
        <w:tc>
          <w:tcPr>
            <w:tcW w:w="1270" w:type="pct"/>
            <w:tcBorders>
              <w:bottom w:val="single" w:sz="4" w:space="0" w:color="002060"/>
            </w:tcBorders>
            <w:shd w:val="clear" w:color="auto" w:fill="auto"/>
            <w:noWrap/>
            <w:vAlign w:val="center"/>
            <w:hideMark/>
          </w:tcPr>
          <w:p w14:paraId="79B24F64" w14:textId="77777777" w:rsidR="001901FC" w:rsidRPr="001940DA" w:rsidRDefault="001901FC" w:rsidP="00FE1A26">
            <w:pPr>
              <w:spacing w:after="0" w:line="240" w:lineRule="auto"/>
              <w:jc w:val="left"/>
              <w:rPr>
                <w:rFonts w:cstheme="minorHAnsi"/>
                <w:color w:val="002060"/>
                <w:sz w:val="16"/>
                <w:szCs w:val="16"/>
                <w:lang w:val="sr-Cyrl-RS"/>
              </w:rPr>
            </w:pPr>
            <w:r w:rsidRPr="001940DA">
              <w:rPr>
                <w:rFonts w:cstheme="minorHAnsi"/>
                <w:color w:val="002060"/>
                <w:sz w:val="16"/>
                <w:szCs w:val="16"/>
                <w:lang w:val="sr-Cyrl-RS"/>
              </w:rPr>
              <w:t>Резултат у % БДП</w:t>
            </w:r>
          </w:p>
        </w:tc>
        <w:tc>
          <w:tcPr>
            <w:tcW w:w="622" w:type="pct"/>
            <w:tcBorders>
              <w:bottom w:val="single" w:sz="4" w:space="0" w:color="002060"/>
            </w:tcBorders>
            <w:shd w:val="clear" w:color="auto" w:fill="auto"/>
            <w:hideMark/>
          </w:tcPr>
          <w:p w14:paraId="489CBA65"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-0,5</w:t>
            </w:r>
          </w:p>
        </w:tc>
        <w:tc>
          <w:tcPr>
            <w:tcW w:w="622" w:type="pct"/>
            <w:tcBorders>
              <w:bottom w:val="single" w:sz="4" w:space="0" w:color="002060"/>
            </w:tcBorders>
          </w:tcPr>
          <w:p w14:paraId="3FA79354"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-7,2</w:t>
            </w:r>
          </w:p>
        </w:tc>
        <w:tc>
          <w:tcPr>
            <w:tcW w:w="622" w:type="pct"/>
            <w:tcBorders>
              <w:bottom w:val="single" w:sz="4" w:space="0" w:color="002060"/>
            </w:tcBorders>
            <w:shd w:val="clear" w:color="auto" w:fill="auto"/>
            <w:hideMark/>
          </w:tcPr>
          <w:p w14:paraId="1ACBC0CE" w14:textId="77777777" w:rsidR="001901FC" w:rsidRPr="001940DA" w:rsidRDefault="001901FC" w:rsidP="002C675F">
            <w:pPr>
              <w:spacing w:after="0" w:line="240" w:lineRule="auto"/>
              <w:ind w:right="227"/>
              <w:jc w:val="right"/>
              <w:rPr>
                <w:color w:val="002060"/>
                <w:sz w:val="16"/>
                <w:szCs w:val="16"/>
                <w:lang w:val="sr-Cyrl-RS"/>
              </w:rPr>
            </w:pPr>
            <w:r w:rsidRPr="001940DA">
              <w:rPr>
                <w:color w:val="002060"/>
                <w:sz w:val="16"/>
                <w:szCs w:val="16"/>
                <w:lang w:val="sr-Cyrl-RS"/>
              </w:rPr>
              <w:t>-8,9</w:t>
            </w:r>
          </w:p>
        </w:tc>
        <w:tc>
          <w:tcPr>
            <w:tcW w:w="622" w:type="pct"/>
            <w:tcBorders>
              <w:bottom w:val="single" w:sz="4" w:space="0" w:color="002060"/>
            </w:tcBorders>
            <w:shd w:val="clear" w:color="auto" w:fill="auto"/>
            <w:hideMark/>
          </w:tcPr>
          <w:p w14:paraId="15B056A9" w14:textId="77777777" w:rsidR="001901FC" w:rsidRPr="001940DA" w:rsidRDefault="001901FC" w:rsidP="002C675F">
            <w:pPr>
              <w:spacing w:after="0" w:line="240" w:lineRule="auto"/>
              <w:ind w:right="284"/>
              <w:jc w:val="right"/>
              <w:rPr>
                <w:color w:val="002060"/>
                <w:sz w:val="16"/>
                <w:szCs w:val="16"/>
                <w:lang w:val="sr-Cyrl-RS"/>
              </w:rPr>
            </w:pPr>
            <w:r w:rsidRPr="001940DA">
              <w:rPr>
                <w:color w:val="002060"/>
                <w:sz w:val="16"/>
                <w:szCs w:val="16"/>
                <w:lang w:val="sr-Cyrl-RS"/>
              </w:rPr>
              <w:t>-8,4</w:t>
            </w:r>
          </w:p>
        </w:tc>
        <w:tc>
          <w:tcPr>
            <w:tcW w:w="622" w:type="pct"/>
            <w:tcBorders>
              <w:bottom w:val="single" w:sz="4" w:space="0" w:color="002060"/>
            </w:tcBorders>
            <w:shd w:val="clear" w:color="auto" w:fill="auto"/>
            <w:hideMark/>
          </w:tcPr>
          <w:p w14:paraId="28F9513C" w14:textId="77777777" w:rsidR="001901FC" w:rsidRPr="001940DA" w:rsidRDefault="001901FC" w:rsidP="00FE1A26">
            <w:pPr>
              <w:spacing w:after="0" w:line="240" w:lineRule="auto"/>
              <w:ind w:right="340"/>
              <w:jc w:val="right"/>
              <w:rPr>
                <w:rFonts w:cstheme="minorHAnsi"/>
                <w:color w:val="002060"/>
                <w:sz w:val="16"/>
                <w:szCs w:val="16"/>
                <w:lang w:val="sr-Cyrl-RS"/>
              </w:rPr>
            </w:pPr>
          </w:p>
        </w:tc>
        <w:tc>
          <w:tcPr>
            <w:tcW w:w="622" w:type="pct"/>
            <w:tcBorders>
              <w:bottom w:val="single" w:sz="4" w:space="0" w:color="002060"/>
            </w:tcBorders>
            <w:shd w:val="clear" w:color="auto" w:fill="auto"/>
            <w:hideMark/>
          </w:tcPr>
          <w:p w14:paraId="7FAE3B57" w14:textId="77777777" w:rsidR="001901FC" w:rsidRPr="001940DA" w:rsidRDefault="001901FC" w:rsidP="00FE1A26">
            <w:pPr>
              <w:spacing w:after="0" w:line="240" w:lineRule="auto"/>
              <w:ind w:right="340"/>
              <w:jc w:val="right"/>
              <w:rPr>
                <w:rFonts w:cstheme="minorHAnsi"/>
                <w:color w:val="002060"/>
                <w:sz w:val="16"/>
                <w:szCs w:val="16"/>
                <w:lang w:val="sr-Cyrl-RS"/>
              </w:rPr>
            </w:pPr>
          </w:p>
        </w:tc>
      </w:tr>
    </w:tbl>
    <w:p w14:paraId="38D67D90" w14:textId="2C8E7005" w:rsidR="001901FC" w:rsidRPr="00EA3D8C" w:rsidRDefault="005E54B2" w:rsidP="00821663">
      <w:pPr>
        <w:spacing w:after="0" w:line="240" w:lineRule="auto"/>
        <w:jc w:val="left"/>
        <w:rPr>
          <w:rFonts w:cstheme="minorHAnsi"/>
          <w:sz w:val="16"/>
          <w:szCs w:val="16"/>
          <w:lang w:val="sr-Cyrl-RS"/>
        </w:rPr>
        <w:sectPr w:rsidR="001901FC" w:rsidRPr="00EA3D8C" w:rsidSect="00AE40EB">
          <w:type w:val="continuous"/>
          <w:pgSz w:w="12240" w:h="15840" w:code="1"/>
          <w:pgMar w:top="1440" w:right="1440" w:bottom="1440" w:left="1440" w:header="720" w:footer="720" w:gutter="0"/>
          <w:cols w:space="720"/>
          <w:docGrid w:linePitch="360"/>
        </w:sectPr>
      </w:pPr>
      <w:r w:rsidRPr="00EA3D8C">
        <w:rPr>
          <w:rFonts w:eastAsia="Calibri" w:cstheme="minorHAnsi"/>
          <w:bCs/>
          <w:sz w:val="16"/>
          <w:szCs w:val="16"/>
          <w:lang w:val="sr-Cyrl-RS" w:eastAsia="ja-JP"/>
        </w:rPr>
        <w:t xml:space="preserve">Извор: </w:t>
      </w:r>
      <w:r w:rsidR="00742999" w:rsidRPr="00EA3D8C">
        <w:rPr>
          <w:rFonts w:cstheme="minorHAnsi"/>
          <w:sz w:val="16"/>
          <w:szCs w:val="16"/>
          <w:lang w:val="sr-Cyrl-RS"/>
        </w:rPr>
        <w:t>Министарство</w:t>
      </w:r>
      <w:r w:rsidR="00E255B2" w:rsidRPr="00EA3D8C">
        <w:rPr>
          <w:rFonts w:cstheme="minorHAnsi"/>
          <w:sz w:val="16"/>
          <w:szCs w:val="16"/>
          <w:lang w:val="sr-Cyrl-RS"/>
        </w:rPr>
        <w:t xml:space="preserve"> </w:t>
      </w:r>
      <w:r w:rsidR="001901FC" w:rsidRPr="00EA3D8C">
        <w:rPr>
          <w:rFonts w:cstheme="minorHAnsi"/>
          <w:sz w:val="16"/>
          <w:szCs w:val="16"/>
          <w:lang w:val="sr-Cyrl-RS"/>
        </w:rPr>
        <w:t>финансија</w:t>
      </w:r>
    </w:p>
    <w:p w14:paraId="179BD163" w14:textId="77777777" w:rsidR="001901FC" w:rsidRPr="00EA3D8C" w:rsidRDefault="001901FC" w:rsidP="00FE1A26">
      <w:pPr>
        <w:spacing w:after="0" w:line="276" w:lineRule="auto"/>
        <w:rPr>
          <w:rFonts w:eastAsia="MS PGothic" w:cstheme="minorHAnsi"/>
          <w:szCs w:val="20"/>
          <w:highlight w:val="yellow"/>
          <w:lang w:val="sr-Cyrl-RS" w:eastAsia="ja-JP"/>
        </w:rPr>
        <w:sectPr w:rsidR="001901FC" w:rsidRPr="00EA3D8C" w:rsidSect="00AE40EB">
          <w:type w:val="continuous"/>
          <w:pgSz w:w="12240" w:h="15840" w:code="1"/>
          <w:pgMar w:top="1440" w:right="1440" w:bottom="1440" w:left="1440" w:header="720" w:footer="720" w:gutter="0"/>
          <w:cols w:num="2" w:space="720"/>
          <w:docGrid w:linePitch="360"/>
        </w:sectPr>
      </w:pPr>
    </w:p>
    <w:p w14:paraId="0AF36BEB" w14:textId="77777777"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lastRenderedPageBreak/>
        <w:t>Иновирани фискални оквир за 2020. годину предвиђа фискални дефицит од 8,9% БДП. У односу на буџетом планирани фискални оквир процена прихода смањена је за 117 млрд динара. На страни расхода дошло је до повећања за 346 млрд динара, уз значајне промене у њиховој структури.</w:t>
      </w:r>
    </w:p>
    <w:p w14:paraId="377FC7C0" w14:textId="77777777" w:rsidR="001901FC" w:rsidRPr="00EA3D8C" w:rsidRDefault="001901FC" w:rsidP="0084203C">
      <w:pPr>
        <w:tabs>
          <w:tab w:val="left" w:pos="709"/>
        </w:tabs>
        <w:rPr>
          <w:rFonts w:eastAsia="MS PGothic" w:cstheme="minorHAnsi"/>
          <w:szCs w:val="20"/>
          <w:lang w:val="sr-Cyrl-RS" w:eastAsia="ja-JP"/>
        </w:rPr>
      </w:pPr>
      <w:r w:rsidRPr="00EA3D8C">
        <w:rPr>
          <w:rFonts w:eastAsia="MS PGothic" w:cstheme="minorHAnsi"/>
          <w:szCs w:val="20"/>
          <w:lang w:val="sr-Cyrl-RS" w:eastAsia="ja-JP"/>
        </w:rPr>
        <w:t>Приходна страна буџета опште државе у највећој мери је била погођена кретањем опште економске активности, мерама епидемиолошке природе, као и усвојеним мерама које се тичу одлагања пореских обавеза. Присутан је и одређени позитиван ефекат бољег остварења укупних прихода на крају 2019. године која служи као базна годину за пројекцију.</w:t>
      </w:r>
    </w:p>
    <w:p w14:paraId="3C1EDF20" w14:textId="1917A4A5"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Процена наплате </w:t>
      </w:r>
      <w:r w:rsidR="00792EA4">
        <w:rPr>
          <w:rFonts w:eastAsia="MS PGothic" w:cstheme="minorHAnsi"/>
          <w:szCs w:val="20"/>
          <w:lang w:val="sr-Cyrl-RS" w:eastAsia="ja-JP"/>
        </w:rPr>
        <w:t>ПДВ</w:t>
      </w:r>
      <w:r w:rsidRPr="00EA3D8C">
        <w:rPr>
          <w:rFonts w:eastAsia="MS PGothic" w:cstheme="minorHAnsi"/>
          <w:szCs w:val="20"/>
          <w:lang w:val="sr-Cyrl-RS" w:eastAsia="ja-JP"/>
        </w:rPr>
        <w:t xml:space="preserve"> умањена је 34,5 млрд </w:t>
      </w:r>
      <w:r w:rsidR="00AE096F">
        <w:rPr>
          <w:rFonts w:eastAsia="MS PGothic" w:cstheme="minorHAnsi"/>
          <w:szCs w:val="20"/>
          <w:lang w:val="sr-Cyrl-RS" w:eastAsia="ja-JP"/>
        </w:rPr>
        <w:t xml:space="preserve">динара </w:t>
      </w:r>
      <w:r w:rsidRPr="00EA3D8C">
        <w:rPr>
          <w:rFonts w:eastAsia="MS PGothic" w:cstheme="minorHAnsi"/>
          <w:szCs w:val="20"/>
          <w:lang w:val="sr-Cyrl-RS" w:eastAsia="ja-JP"/>
        </w:rPr>
        <w:t xml:space="preserve">због номиналног пада личне потрошње од почетка пандемије и пратећих негативних економских кретања. Иако је нормализовање економских токова започето раније од </w:t>
      </w:r>
      <w:r w:rsidRPr="00EA3D8C">
        <w:rPr>
          <w:rFonts w:eastAsia="MS PGothic" w:cstheme="minorHAnsi"/>
          <w:szCs w:val="20"/>
          <w:lang w:val="sr-Cyrl-RS" w:eastAsia="ja-JP"/>
        </w:rPr>
        <w:lastRenderedPageBreak/>
        <w:t>очекиваног, изостао је опоравак сектора услуга, делом и под утицајем смањеног прилива по основу туризма и транзита. Детаљнија анализа промета роба и услуга потврђује ове закључке. Наиме, пад укупног опорезованог промета у првих девет месеци 2020. године је износио око 1,5%, с тим што је промет у трговини на мало забележио раст, док је опорезован промет код осталих услужних делатности забележио пад. Иако расположиви доходак становништва није значајније умањен (осим у делу дознака), немогућност да се одређене врсте услуга конзумирају, као и опрезност становништва у неизвесним епидемиолошким условима, утицало је на пад личне потрошње.</w:t>
      </w:r>
    </w:p>
    <w:p w14:paraId="0762A851" w14:textId="77777777"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Приходи од акциза бележе смањење за 11,4 млрд динара у односу на оригинални буџет. Ова категорија прихода је, поред општег успоравања личне потрошње, у највећој мери била под утицајем мера ограничења кретања становништва </w:t>
      </w:r>
      <w:r w:rsidRPr="00EA3D8C">
        <w:rPr>
          <w:rFonts w:eastAsia="MS PGothic" w:cstheme="minorHAnsi"/>
          <w:szCs w:val="20"/>
          <w:lang w:val="sr-Cyrl-RS" w:eastAsia="ja-JP"/>
        </w:rPr>
        <w:lastRenderedPageBreak/>
        <w:t>и изостанка транзитног саобраћаја током летњих месеци. Стога највеће смањење бележе приходи од акциза на нафтне деривате. Прве процене губитака су биле веће, али се услед краћег трајања најтежих епидемиолошких мера то није остварило. Приходи од акциза на дуван су минимално снижени.</w:t>
      </w:r>
    </w:p>
    <w:p w14:paraId="6EDFEF29" w14:textId="31586F51"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Процена пореза на доходак грађана смањена је за 13,6 млрд динара. У оквиру ове категорије највећи део чини порез на зараде за који је програмом мера било предвиђено одлагање пореске обавезе у наредне две године. Према последњим расположивим подацима укупно је одложено око 15,2 </w:t>
      </w:r>
      <w:r w:rsidRPr="00742999">
        <w:rPr>
          <w:rFonts w:eastAsia="MS PGothic" w:cstheme="minorHAnsi"/>
          <w:szCs w:val="20"/>
          <w:lang w:val="sr-Cyrl-RS" w:eastAsia="ja-JP"/>
        </w:rPr>
        <w:t xml:space="preserve">млрд </w:t>
      </w:r>
      <w:r w:rsidR="00AE096F">
        <w:rPr>
          <w:rFonts w:eastAsia="MS PGothic" w:cstheme="minorHAnsi"/>
          <w:szCs w:val="20"/>
          <w:lang w:val="sr-Cyrl-RS" w:eastAsia="ja-JP"/>
        </w:rPr>
        <w:t xml:space="preserve">динара </w:t>
      </w:r>
      <w:r w:rsidRPr="00742999">
        <w:rPr>
          <w:rFonts w:eastAsia="MS PGothic" w:cstheme="minorHAnsi"/>
          <w:szCs w:val="20"/>
          <w:lang w:val="sr-Cyrl-RS" w:eastAsia="ja-JP"/>
        </w:rPr>
        <w:t xml:space="preserve">нето </w:t>
      </w:r>
      <w:r w:rsidRPr="00EA3D8C">
        <w:rPr>
          <w:rFonts w:eastAsia="MS PGothic" w:cstheme="minorHAnsi"/>
          <w:szCs w:val="20"/>
          <w:lang w:val="sr-Cyrl-RS" w:eastAsia="ja-JP"/>
        </w:rPr>
        <w:t>обавеза по овом основу. Слично објашњење се може применити и на кретање доприноса за социјално осигурање. Укупно нето одлагање уплате социјалних доприноса према последњим подацима износи 77,8 млрд динара. Може се очекивати да ће део пореских обвезника до краја године делимично извршити уплате својих одложених обавеза. Након периода у којима је постојала могућност одлагања обавеза, социјални доприноси бележе високе стопе раста (више него што је оригиналним буџетом планирано), у односу на претходну годину, што сведочи о позитивним ефектима пакета мера на очувању запослености. Када би се ефекти одлагања пореских обавезе искључили и на позицијама пореза на зараде и социјалних доприноса, може са закључити да би наплата ова два пореска облика значајно премашила вредности дате оригиналним пројекцијама. У оквиру осталих пореза на доходак бележи се значајно повећање уплата по основу годишњег пореза на доходак, пре свега услед знатно већег броја пореских пријава у односу на претходни период.</w:t>
      </w:r>
    </w:p>
    <w:p w14:paraId="1FE6D987" w14:textId="346B0203" w:rsidR="001901FC" w:rsidRPr="00EA3D8C" w:rsidRDefault="004C3E16" w:rsidP="0084203C">
      <w:pPr>
        <w:rPr>
          <w:rFonts w:eastAsia="MS PGothic" w:cstheme="minorHAnsi"/>
          <w:szCs w:val="20"/>
          <w:lang w:val="sr-Cyrl-RS" w:eastAsia="ja-JP"/>
        </w:rPr>
      </w:pPr>
      <w:r>
        <w:rPr>
          <w:rFonts w:eastAsia="MS PGothic" w:cstheme="minorHAnsi"/>
          <w:szCs w:val="20"/>
          <w:lang w:val="sr-Cyrl-RS" w:eastAsia="ja-JP"/>
        </w:rPr>
        <w:t>Порез на добит правних лица</w:t>
      </w:r>
      <w:r w:rsidR="001901FC" w:rsidRPr="00EA3D8C">
        <w:rPr>
          <w:rFonts w:eastAsia="MS PGothic" w:cstheme="minorHAnsi"/>
          <w:szCs w:val="20"/>
          <w:lang w:val="sr-Cyrl-RS" w:eastAsia="ja-JP"/>
        </w:rPr>
        <w:t xml:space="preserve"> је пореска категорија чија је процена ревидирана навише. Приликом </w:t>
      </w:r>
      <w:r w:rsidR="001901FC" w:rsidRPr="00EA3D8C">
        <w:rPr>
          <w:rFonts w:eastAsia="MS PGothic" w:cstheme="minorHAnsi"/>
          <w:szCs w:val="20"/>
          <w:lang w:val="sr-Cyrl-RS" w:eastAsia="ja-JP"/>
        </w:rPr>
        <w:lastRenderedPageBreak/>
        <w:t xml:space="preserve">израде буџета за 2020. </w:t>
      </w:r>
      <w:r w:rsidR="001901FC" w:rsidRPr="00EA3D8C">
        <w:rPr>
          <w:rFonts w:eastAsia="MS PGothic" w:cstheme="minorHAnsi"/>
          <w:spacing w:val="-2"/>
          <w:szCs w:val="20"/>
          <w:lang w:val="sr-Cyrl-RS" w:eastAsia="ja-JP"/>
        </w:rPr>
        <w:t>коришћена је претпоставка о умереном расту профитабилности привреде у Републици Србији, јер нису били познати коначни резултати пословања</w:t>
      </w:r>
      <w:r w:rsidR="001901FC" w:rsidRPr="00EA3D8C">
        <w:rPr>
          <w:rFonts w:eastAsia="MS PGothic" w:cstheme="minorHAnsi"/>
          <w:szCs w:val="20"/>
          <w:lang w:val="sr-Cyrl-RS" w:eastAsia="ja-JP"/>
        </w:rPr>
        <w:t>. Услед принципа опрезности иницијална буџетска процена била је благо потцењена.</w:t>
      </w:r>
    </w:p>
    <w:p w14:paraId="34938F89" w14:textId="73150163" w:rsidR="00CC2B43" w:rsidRPr="00EA3D8C" w:rsidRDefault="001901FC" w:rsidP="0084203C">
      <w:pPr>
        <w:tabs>
          <w:tab w:val="left" w:pos="709"/>
        </w:tabs>
        <w:rPr>
          <w:rFonts w:eastAsia="MS PGothic" w:cstheme="minorHAnsi"/>
          <w:szCs w:val="20"/>
          <w:lang w:val="sr-Cyrl-RS" w:eastAsia="ja-JP"/>
        </w:rPr>
        <w:sectPr w:rsidR="00CC2B43" w:rsidRPr="00EA3D8C"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zCs w:val="20"/>
          <w:lang w:val="sr-Cyrl-RS" w:eastAsia="ja-JP"/>
        </w:rPr>
        <w:t>Процена укупних непореских прихода повећана је у односу на оригинални буџет за 5,4 млрд динара. Непорески приходи су хетерогена категорија прихода са различитим кретањима по појединачним облицима. Редовни непорески приходи су различите таксе, накнаде, казне, приходи органа и организација и сви остали приходи који се остварују у</w:t>
      </w:r>
      <w:r w:rsidR="004C3E16">
        <w:rPr>
          <w:rFonts w:eastAsia="MS PGothic" w:cstheme="minorHAnsi"/>
          <w:szCs w:val="20"/>
          <w:lang w:val="sr-Cyrl-RS" w:eastAsia="ja-JP"/>
        </w:rPr>
        <w:t>стаљеном динамиком током године</w:t>
      </w:r>
      <w:r w:rsidRPr="00EA3D8C">
        <w:rPr>
          <w:rFonts w:eastAsia="MS PGothic" w:cstheme="minorHAnsi"/>
          <w:szCs w:val="20"/>
          <w:lang w:val="sr-Cyrl-RS" w:eastAsia="ja-JP"/>
        </w:rPr>
        <w:t xml:space="preserve"> у приближно сличним износима на месечном нивоу уз одређене сезонске варијације. Ванредне непореске приходе чине уплате добити јавних предузећа и агенција, дивиденде буџета, приходи по основу наплаћених потраживања </w:t>
      </w:r>
      <w:r w:rsidR="00662A2F">
        <w:rPr>
          <w:rFonts w:eastAsia="MS PGothic" w:cstheme="minorHAnsi"/>
          <w:szCs w:val="20"/>
          <w:lang w:val="sr-Cyrl-RS" w:eastAsia="ja-JP"/>
        </w:rPr>
        <w:t>АОД</w:t>
      </w:r>
      <w:r w:rsidRPr="00EA3D8C">
        <w:rPr>
          <w:rFonts w:eastAsia="MS PGothic" w:cstheme="minorHAnsi"/>
          <w:szCs w:val="20"/>
          <w:lang w:val="sr-Cyrl-RS" w:eastAsia="ja-JP"/>
        </w:rPr>
        <w:t>, емисионе премије, итд. Редовни непорески приходи били су значајно погођени економском и епидемиолошком ситуацијом у земљи. Посебан пример за то представљају приходи од путарина. Заустављање појединих економских активности, као и немогућност да се одређени правни и административни послови одвијају, највише је утицало на смањење прихода по основу судских и административних такси, прихода органа и организација и прихода од накнада. Услед смањења активности био је присутан и пад наплате по основу казни. Ипак, након повољнијих епидемиолошких услова, краћег трајања ванредног стања и брже нормализације активности, пад ове категорије прихода је успорен. Ванредни непорески приходи кориговани су навише због уплате претходно непланираних износа добити које припадају буџету Републике као и осталих облика ванредних прихода (НБС, Комерцијална банка, Агенција за безбедност саобраћаја, Агенција за лекове и др.).</w:t>
      </w:r>
    </w:p>
    <w:p w14:paraId="7633DD97" w14:textId="1CACEB9C" w:rsidR="001901FC" w:rsidRDefault="001901FC" w:rsidP="00FE1A26">
      <w:pPr>
        <w:tabs>
          <w:tab w:val="left" w:pos="709"/>
        </w:tabs>
        <w:spacing w:after="120" w:line="276" w:lineRule="auto"/>
        <w:rPr>
          <w:rFonts w:eastAsia="MS PGothic" w:cstheme="minorHAnsi"/>
          <w:szCs w:val="20"/>
          <w:lang w:val="sr-Cyrl-RS" w:eastAsia="ja-JP"/>
        </w:rPr>
      </w:pPr>
    </w:p>
    <w:p w14:paraId="30D78AD4" w14:textId="287ECD3A" w:rsidR="0084203C" w:rsidRDefault="0084203C" w:rsidP="00FE1A26">
      <w:pPr>
        <w:tabs>
          <w:tab w:val="left" w:pos="709"/>
        </w:tabs>
        <w:spacing w:after="120" w:line="276" w:lineRule="auto"/>
        <w:rPr>
          <w:rFonts w:eastAsia="MS PGothic" w:cstheme="minorHAnsi"/>
          <w:szCs w:val="20"/>
          <w:lang w:val="sr-Cyrl-RS" w:eastAsia="ja-JP"/>
        </w:rPr>
      </w:pPr>
    </w:p>
    <w:p w14:paraId="447C390F" w14:textId="77777777" w:rsidR="001A0449" w:rsidRDefault="001A0449">
      <w:pPr>
        <w:jc w:val="left"/>
        <w:rPr>
          <w:rFonts w:cstheme="minorHAnsi"/>
          <w:b/>
          <w:color w:val="002060"/>
          <w:lang w:val="sr-Cyrl-RS"/>
        </w:rPr>
      </w:pPr>
      <w:r>
        <w:rPr>
          <w:rFonts w:cstheme="minorHAnsi"/>
          <w:b/>
          <w:color w:val="002060"/>
          <w:lang w:val="sr-Cyrl-RS"/>
        </w:rPr>
        <w:br w:type="page"/>
      </w:r>
    </w:p>
    <w:p w14:paraId="7E930978" w14:textId="2A561BFB" w:rsidR="001901FC" w:rsidRPr="00EA3D8C" w:rsidRDefault="001901FC" w:rsidP="001A0449">
      <w:pPr>
        <w:spacing w:after="40"/>
        <w:jc w:val="center"/>
        <w:rPr>
          <w:rFonts w:cstheme="minorHAnsi"/>
          <w:b/>
          <w:color w:val="002060"/>
          <w:lang w:val="sr-Cyrl-RS"/>
        </w:rPr>
      </w:pPr>
      <w:r w:rsidRPr="00EA3D8C">
        <w:rPr>
          <w:rFonts w:cstheme="minorHAnsi"/>
          <w:b/>
          <w:color w:val="002060"/>
          <w:lang w:val="sr-Cyrl-RS"/>
        </w:rPr>
        <w:lastRenderedPageBreak/>
        <w:t>Допринос појединачних фактора корекцији фискалног резултата у односу на план за 2020. годину, % БДП</w:t>
      </w:r>
    </w:p>
    <w:p w14:paraId="69DF370E" w14:textId="77777777" w:rsidR="001901FC" w:rsidRPr="00EA3D8C" w:rsidRDefault="001901FC" w:rsidP="00FE1A26">
      <w:pPr>
        <w:spacing w:after="240"/>
        <w:rPr>
          <w:rFonts w:eastAsia="MS PGothic" w:cstheme="minorHAnsi"/>
          <w:szCs w:val="20"/>
          <w:lang w:val="sr-Cyrl-RS" w:eastAsia="ja-JP"/>
        </w:rPr>
      </w:pPr>
      <w:r w:rsidRPr="00EA3D8C">
        <w:rPr>
          <w:rFonts w:eastAsia="MS PGothic" w:cstheme="minorHAnsi"/>
          <w:noProof/>
          <w:szCs w:val="20"/>
        </w:rPr>
        <w:drawing>
          <wp:inline distT="0" distB="0" distL="0" distR="0" wp14:anchorId="42291A09" wp14:editId="384ECFC3">
            <wp:extent cx="2961564" cy="284223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969111" cy="2849475"/>
                    </a:xfrm>
                    <a:prstGeom prst="rect">
                      <a:avLst/>
                    </a:prstGeom>
                    <a:noFill/>
                  </pic:spPr>
                </pic:pic>
              </a:graphicData>
            </a:graphic>
          </wp:inline>
        </w:drawing>
      </w:r>
    </w:p>
    <w:p w14:paraId="334FF4AB" w14:textId="77777777" w:rsidR="001901FC" w:rsidRPr="00EA3D8C" w:rsidRDefault="001901FC" w:rsidP="0084203C">
      <w:pPr>
        <w:widowControl w:val="0"/>
        <w:rPr>
          <w:rFonts w:eastAsia="MS PGothic" w:cstheme="minorHAnsi"/>
          <w:szCs w:val="20"/>
          <w:lang w:val="sr-Cyrl-RS" w:eastAsia="ja-JP"/>
        </w:rPr>
      </w:pPr>
      <w:r w:rsidRPr="00EA3D8C">
        <w:rPr>
          <w:rFonts w:eastAsia="MS PGothic" w:cstheme="minorHAnsi"/>
          <w:spacing w:val="-4"/>
          <w:szCs w:val="20"/>
          <w:lang w:val="sr-Cyrl-RS" w:eastAsia="ja-JP"/>
        </w:rPr>
        <w:t xml:space="preserve">Процена расхода опште држaве повећана је за 346 млрд динара у односу на оригинални буџет. Највећи део овог повећања се односи на спровођење пакета за помоћ привреди и становништву. Остатак чине расходи везани за директну борбу против пандемије и побољшање здравствених капацитета земље. </w:t>
      </w:r>
      <w:r w:rsidRPr="00EA3D8C">
        <w:rPr>
          <w:rFonts w:eastAsia="MS PGothic" w:cstheme="minorHAnsi"/>
          <w:szCs w:val="20"/>
          <w:lang w:val="sr-Cyrl-RS" w:eastAsia="ja-JP"/>
        </w:rPr>
        <w:t>У периоду јануар–септембар, јавни расходи расту по стопи 21,7% у односу на исти период 2019. године, а до краја године очекује се да ће укупан раст расхода у некој мери успорити и достићи 18,3%.</w:t>
      </w:r>
    </w:p>
    <w:p w14:paraId="1D6A2322" w14:textId="0D73CF3A" w:rsidR="001901FC" w:rsidRPr="00EA3D8C" w:rsidRDefault="001901FC" w:rsidP="0084203C">
      <w:pPr>
        <w:rPr>
          <w:rFonts w:eastAsia="MS PGothic" w:cstheme="minorHAnsi"/>
          <w:spacing w:val="-4"/>
          <w:szCs w:val="20"/>
          <w:lang w:val="sr-Cyrl-RS" w:eastAsia="ja-JP"/>
        </w:rPr>
      </w:pPr>
      <w:r w:rsidRPr="00EA3D8C">
        <w:rPr>
          <w:rFonts w:eastAsia="MS PGothic" w:cstheme="minorHAnsi"/>
          <w:spacing w:val="-4"/>
          <w:szCs w:val="20"/>
          <w:lang w:val="sr-Cyrl-RS" w:eastAsia="ja-JP"/>
        </w:rPr>
        <w:t>Расходи за запослене повећани су за 21,1 млрд динара у односу на оригинално планиране. Највећи део овог раста резултат је повећања зарада у здравству за 10% од априла. Остатак се односи на повећање броја ангажованих људи у здравственом систему, повећаног ангажмана и броја радних сати у осталим секторима који су учествовали у контроли епидеми</w:t>
      </w:r>
      <w:r w:rsidR="00FB7FB1">
        <w:rPr>
          <w:rFonts w:eastAsia="MS PGothic" w:cstheme="minorHAnsi"/>
          <w:spacing w:val="-4"/>
          <w:szCs w:val="20"/>
          <w:lang w:val="sr-Cyrl-RS" w:eastAsia="ja-JP"/>
        </w:rPr>
        <w:t>о</w:t>
      </w:r>
      <w:r w:rsidRPr="00EA3D8C">
        <w:rPr>
          <w:rFonts w:eastAsia="MS PGothic" w:cstheme="minorHAnsi"/>
          <w:spacing w:val="-4"/>
          <w:szCs w:val="20"/>
          <w:lang w:val="sr-Cyrl-RS" w:eastAsia="ja-JP"/>
        </w:rPr>
        <w:t>лошке ситуације. Један део увећања је последица нешто већег извршења на крају 2019. године.</w:t>
      </w:r>
    </w:p>
    <w:p w14:paraId="0BD28F1E" w14:textId="1D4A5593" w:rsidR="001901FC" w:rsidRPr="00EA3D8C" w:rsidRDefault="001901FC" w:rsidP="0084203C">
      <w:pPr>
        <w:rPr>
          <w:rFonts w:eastAsia="MS PGothic" w:cstheme="minorHAnsi"/>
          <w:spacing w:val="-4"/>
          <w:szCs w:val="20"/>
          <w:lang w:val="sr-Cyrl-RS" w:eastAsia="ja-JP"/>
        </w:rPr>
      </w:pPr>
      <w:r w:rsidRPr="00EA3D8C">
        <w:rPr>
          <w:rFonts w:eastAsia="MS PGothic" w:cstheme="minorHAnsi"/>
          <w:spacing w:val="-4"/>
          <w:szCs w:val="20"/>
          <w:lang w:val="sr-Cyrl-RS" w:eastAsia="ja-JP"/>
        </w:rPr>
        <w:t>Расходи за робе и услуге су повећани у значајној мери и то за скоро 60 м</w:t>
      </w:r>
      <w:r w:rsidR="00AE096F">
        <w:rPr>
          <w:rFonts w:eastAsia="MS PGothic" w:cstheme="minorHAnsi"/>
          <w:spacing w:val="-4"/>
          <w:szCs w:val="20"/>
          <w:lang w:val="sr-Cyrl-RS" w:eastAsia="ja-JP"/>
        </w:rPr>
        <w:t xml:space="preserve">лрд </w:t>
      </w:r>
      <w:r w:rsidRPr="00EA3D8C">
        <w:rPr>
          <w:rFonts w:eastAsia="MS PGothic" w:cstheme="minorHAnsi"/>
          <w:spacing w:val="-4"/>
          <w:szCs w:val="20"/>
          <w:lang w:val="sr-Cyrl-RS" w:eastAsia="ja-JP"/>
        </w:rPr>
        <w:t>динара. Највећи део повећања одлази на повећање расходе за набавку медицинске опреме и средстава од стране РФЗО у износу од 47,5 млрд</w:t>
      </w:r>
      <w:r w:rsidR="00AE096F">
        <w:rPr>
          <w:rFonts w:eastAsia="MS PGothic" w:cstheme="minorHAnsi"/>
          <w:spacing w:val="-4"/>
          <w:szCs w:val="20"/>
          <w:lang w:val="sr-Cyrl-RS" w:eastAsia="ja-JP"/>
        </w:rPr>
        <w:t xml:space="preserve"> динара</w:t>
      </w:r>
      <w:r w:rsidRPr="00EA3D8C">
        <w:rPr>
          <w:rFonts w:eastAsia="MS PGothic" w:cstheme="minorHAnsi"/>
          <w:spacing w:val="-4"/>
          <w:szCs w:val="20"/>
          <w:lang w:val="sr-Cyrl-RS" w:eastAsia="ja-JP"/>
        </w:rPr>
        <w:t xml:space="preserve">, и повећање расхода за текуће одржавање путева код ЈП „Путеви Србије“ од </w:t>
      </w:r>
      <w:r w:rsidRPr="00EA3D8C">
        <w:rPr>
          <w:rFonts w:eastAsia="MS PGothic" w:cstheme="minorHAnsi"/>
          <w:spacing w:val="-4"/>
          <w:szCs w:val="20"/>
          <w:lang w:val="sr-Cyrl-RS" w:eastAsia="ja-JP"/>
        </w:rPr>
        <w:lastRenderedPageBreak/>
        <w:t>16,7 млрд динара. Код осталих нивоа власти дошло је до минималног смањења ове категорије расхода.</w:t>
      </w:r>
    </w:p>
    <w:p w14:paraId="27C93B7B" w14:textId="61F0D646" w:rsidR="001901FC" w:rsidRPr="00EA3D8C" w:rsidRDefault="00417419" w:rsidP="0084203C">
      <w:pPr>
        <w:rPr>
          <w:rFonts w:eastAsia="MS PGothic" w:cstheme="minorHAnsi"/>
          <w:szCs w:val="20"/>
          <w:lang w:val="sr-Cyrl-RS" w:eastAsia="ja-JP"/>
        </w:rPr>
      </w:pPr>
      <w:r w:rsidRPr="00EA3D8C">
        <w:rPr>
          <w:rFonts w:eastAsia="MS PGothic" w:cstheme="minorHAnsi"/>
          <w:spacing w:val="-4"/>
          <w:szCs w:val="20"/>
          <w:lang w:val="sr-Cyrl-RS" w:eastAsia="ja-JP"/>
        </w:rPr>
        <w:t>Субвенције</w:t>
      </w:r>
      <w:r w:rsidR="001901FC" w:rsidRPr="00EA3D8C">
        <w:rPr>
          <w:rFonts w:eastAsia="MS PGothic" w:cstheme="minorHAnsi"/>
          <w:spacing w:val="-4"/>
          <w:szCs w:val="20"/>
          <w:lang w:val="sr-Cyrl-RS" w:eastAsia="ja-JP"/>
        </w:rPr>
        <w:t xml:space="preserve"> су т</w:t>
      </w:r>
      <w:r w:rsidR="004437A3">
        <w:rPr>
          <w:rFonts w:eastAsia="MS PGothic" w:cstheme="minorHAnsi"/>
          <w:spacing w:val="-4"/>
          <w:szCs w:val="20"/>
          <w:lang w:val="sr-Cyrl-RS" w:eastAsia="ja-JP"/>
        </w:rPr>
        <w:t>акође значај</w:t>
      </w:r>
      <w:r w:rsidR="001901FC" w:rsidRPr="00EA3D8C">
        <w:rPr>
          <w:rFonts w:eastAsia="MS PGothic" w:cstheme="minorHAnsi"/>
          <w:spacing w:val="-4"/>
          <w:szCs w:val="20"/>
          <w:lang w:val="sr-Cyrl-RS" w:eastAsia="ja-JP"/>
        </w:rPr>
        <w:t xml:space="preserve">но повећане у односу на оригинални план и то за преко 144 млрд динара. Са ове категорије расхода извршена је исплата директне помоћи привредним друштвима и предузетницима за превазилажење кризе изазване пандемијом. </w:t>
      </w:r>
      <w:r w:rsidR="001901FC" w:rsidRPr="00EA3D8C">
        <w:rPr>
          <w:rFonts w:eastAsia="MS PGothic" w:cstheme="minorHAnsi"/>
          <w:szCs w:val="20"/>
          <w:lang w:val="sr-Cyrl-RS" w:eastAsia="ja-JP"/>
        </w:rPr>
        <w:t>Према последњим расположивим подацима, до краја септембра у ове сврхе, исплаћено је око 133 млрд динара, при чему је директну помоћ месечно користило у просеку око 237.000 послодаваца са преко милион запослених лица. Остатак повећања расхода за субвенције у највећој мери чини повећано субвенционисање у пољопривреди.</w:t>
      </w:r>
    </w:p>
    <w:p w14:paraId="6DFB9F65" w14:textId="49E36800" w:rsidR="001901FC" w:rsidRPr="00E55A7C" w:rsidRDefault="001901FC" w:rsidP="0084203C">
      <w:pPr>
        <w:rPr>
          <w:rFonts w:eastAsia="MS PGothic" w:cstheme="minorHAnsi"/>
          <w:spacing w:val="-2"/>
          <w:szCs w:val="20"/>
          <w:lang w:val="sr-Cyrl-RS" w:eastAsia="ja-JP"/>
        </w:rPr>
      </w:pPr>
      <w:r w:rsidRPr="00E55A7C">
        <w:rPr>
          <w:rFonts w:eastAsia="MS PGothic" w:cstheme="minorHAnsi"/>
          <w:spacing w:val="-2"/>
          <w:szCs w:val="20"/>
          <w:lang w:val="sr-Cyrl-RS" w:eastAsia="ja-JP"/>
        </w:rPr>
        <w:t>Расходи за социјалну заштиту нижи су за 10,7 млрд</w:t>
      </w:r>
      <w:r w:rsidR="00AE096F" w:rsidRPr="00E55A7C">
        <w:rPr>
          <w:rFonts w:eastAsia="MS PGothic" w:cstheme="minorHAnsi"/>
          <w:spacing w:val="-2"/>
          <w:szCs w:val="20"/>
          <w:lang w:val="sr-Cyrl-RS" w:eastAsia="ja-JP"/>
        </w:rPr>
        <w:t xml:space="preserve"> динара</w:t>
      </w:r>
      <w:r w:rsidRPr="00E55A7C">
        <w:rPr>
          <w:rFonts w:eastAsia="MS PGothic" w:cstheme="minorHAnsi"/>
          <w:spacing w:val="-2"/>
          <w:szCs w:val="20"/>
          <w:lang w:val="sr-Cyrl-RS" w:eastAsia="ja-JP"/>
        </w:rPr>
        <w:t xml:space="preserve"> у односу на оригинални план. Највећи део смањења односи се на ниже расходе за пензије од 8 млрд динара. Пензије у 2020. години индексиране су према „швајцарској формули“, чији параметри су били познати у току планирања расхода за пензије. Међутим, услед конзервативности у процесу планирања, претпостављен је одређен раст броја пензионера који се није реализовао током 2020. године. Расходи за пензије привремено благо повећавају учешће у БДП на 10,6%, као последица споријег раста номиналног БДП изазваног тренутном економском ситуацијом. Поред ових расхода дошло је и до мањег извршења појединих категорија социјалне заштите у односу на буџетски план.</w:t>
      </w:r>
    </w:p>
    <w:p w14:paraId="691ECAFE" w14:textId="1DD95198"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Остали текући расходи повећани су за 79,2 млрд динара у односу на оригинални план, првенствено због исплате директне новчане помоћи становништву (100 евра свим пунолетним грађанима</w:t>
      </w:r>
      <w:r w:rsidR="00E55A7C" w:rsidRPr="00E55A7C">
        <w:t xml:space="preserve"> </w:t>
      </w:r>
      <w:r w:rsidR="00E55A7C" w:rsidRPr="0055757E">
        <w:rPr>
          <w:rFonts w:eastAsia="MS PGothic" w:cstheme="minorHAnsi"/>
          <w:szCs w:val="20"/>
          <w:lang w:val="sr-Cyrl-RS" w:eastAsia="ja-JP"/>
        </w:rPr>
        <w:t>у динарској противвредности прерачунато по званичном средњем курсу НБС</w:t>
      </w:r>
      <w:r w:rsidRPr="0055757E">
        <w:rPr>
          <w:rFonts w:eastAsia="MS PGothic" w:cstheme="minorHAnsi"/>
          <w:szCs w:val="20"/>
          <w:lang w:val="sr-Cyrl-RS" w:eastAsia="ja-JP"/>
        </w:rPr>
        <w:t>)</w:t>
      </w:r>
      <w:r w:rsidRPr="00EA3D8C">
        <w:rPr>
          <w:rFonts w:eastAsia="MS PGothic" w:cstheme="minorHAnsi"/>
          <w:szCs w:val="20"/>
          <w:lang w:val="sr-Cyrl-RS" w:eastAsia="ja-JP"/>
        </w:rPr>
        <w:t xml:space="preserve"> у укупном износу од 72 млрд динара. Остатак повећања се односи на веће издвајање за исплату старе девизне штедње држављанима бивших југословенских република. У тренутку планирања ових средстава нису били окончани сви процеси одлучивања по поднетим пријавама потраживања, па је износ повећан у односу на првобитно планирани.</w:t>
      </w:r>
    </w:p>
    <w:p w14:paraId="5D5E624A" w14:textId="0206C64C" w:rsidR="001901FC" w:rsidRPr="00E55A7C" w:rsidRDefault="001901FC" w:rsidP="0084203C">
      <w:pPr>
        <w:rPr>
          <w:rFonts w:eastAsia="MS PGothic" w:cstheme="minorHAnsi"/>
          <w:spacing w:val="-2"/>
          <w:szCs w:val="20"/>
          <w:lang w:val="sr-Cyrl-RS" w:eastAsia="ja-JP"/>
        </w:rPr>
      </w:pPr>
      <w:r w:rsidRPr="00E55A7C">
        <w:rPr>
          <w:rFonts w:eastAsia="MS PGothic" w:cstheme="minorHAnsi"/>
          <w:spacing w:val="-2"/>
          <w:szCs w:val="20"/>
          <w:lang w:val="sr-Cyrl-RS" w:eastAsia="ja-JP"/>
        </w:rPr>
        <w:lastRenderedPageBreak/>
        <w:t>Позиција нето буџетских позајмица увећана је</w:t>
      </w:r>
      <w:r w:rsidR="004C3E16" w:rsidRPr="00E55A7C">
        <w:rPr>
          <w:rFonts w:eastAsia="MS PGothic" w:cstheme="minorHAnsi"/>
          <w:spacing w:val="-2"/>
          <w:szCs w:val="20"/>
          <w:lang w:val="sr-Cyrl-RS" w:eastAsia="ja-JP"/>
        </w:rPr>
        <w:t xml:space="preserve"> за</w:t>
      </w:r>
      <w:r w:rsidRPr="00E55A7C">
        <w:rPr>
          <w:rFonts w:eastAsia="MS PGothic" w:cstheme="minorHAnsi"/>
          <w:spacing w:val="-2"/>
          <w:szCs w:val="20"/>
          <w:lang w:val="sr-Cyrl-RS" w:eastAsia="ja-JP"/>
        </w:rPr>
        <w:t xml:space="preserve"> 28,8 млрд динара. У оквиру ове категорије расхода, извршен је пренос средстава за кредитну помоћ привреди преко Фонда за развој Републике Србије.</w:t>
      </w:r>
    </w:p>
    <w:p w14:paraId="08ED9FEE" w14:textId="14EF7224" w:rsidR="001901FC" w:rsidRPr="00EA3D8C" w:rsidRDefault="001901FC" w:rsidP="0084203C">
      <w:pPr>
        <w:rPr>
          <w:rFonts w:eastAsia="MS PGothic" w:cstheme="minorHAnsi"/>
          <w:szCs w:val="20"/>
          <w:lang w:val="sr-Cyrl-RS" w:eastAsia="ja-JP"/>
        </w:rPr>
      </w:pPr>
      <w:r w:rsidRPr="00EA3D8C">
        <w:rPr>
          <w:rFonts w:eastAsia="MS PGothic" w:cstheme="minorHAnsi"/>
          <w:szCs w:val="20"/>
          <w:lang w:val="sr-Cyrl-RS" w:eastAsia="ja-JP"/>
        </w:rPr>
        <w:t xml:space="preserve">Очекује се реализација јавних инвестиција у већем обиму од планираног за 26,7 млрд динара. Извршење капиталних расхода у периоду јануар–септембар 2020. године у односу на исти период претходне године веће је за 14,6%. Капитални расходи достижу, за сада рекордан, ниво од 5,2% БДП у 2020. години. Један део већег извршења је заснован на улагањима у нове здравствене капацитете, као и опрему која има дужи век експлоатације. Ови расходи су део укупних расхода за епидемиолошку заштиту становништва од </w:t>
      </w:r>
      <w:r w:rsidR="007451D1" w:rsidRPr="007451D1">
        <w:rPr>
          <w:rFonts w:eastAsia="MS PGothic" w:cstheme="minorHAnsi"/>
          <w:szCs w:val="20"/>
          <w:lang w:val="sr-Cyrl-RS" w:eastAsia="ja-JP"/>
        </w:rPr>
        <w:t>COVID</w:t>
      </w:r>
      <w:r w:rsidRPr="00EA3D8C">
        <w:rPr>
          <w:rFonts w:eastAsia="MS PGothic" w:cstheme="minorHAnsi"/>
          <w:szCs w:val="20"/>
          <w:lang w:val="sr-Cyrl-RS" w:eastAsia="ja-JP"/>
        </w:rPr>
        <w:t xml:space="preserve">-19, као и побољшање система здравствене заштите у будућности. Значајно је и то што долази до повећања издвајања у нове и постојеће инфраструктурне пројекте, пре свега у </w:t>
      </w:r>
      <w:r w:rsidRPr="00EA3D8C">
        <w:rPr>
          <w:rFonts w:eastAsia="MS PGothic" w:cstheme="minorHAnsi"/>
          <w:szCs w:val="20"/>
          <w:lang w:val="sr-Cyrl-RS" w:eastAsia="ja-JP"/>
        </w:rPr>
        <w:lastRenderedPageBreak/>
        <w:t>путну и железничку инфраструктуру. На овај начин се у одређеној мери, путем раста инвестиционих улагања, позитивно делује на текуће кретање БДП, али се и стварају предуслови за убрзање његовог раста у будућности. У ранијим кризним периодима најчешће је долазило до смањења капиталних расхода, међутим то сада није био случај, што представља квалитативну позитивну промену у управљању јавним финансијама.</w:t>
      </w:r>
    </w:p>
    <w:p w14:paraId="1F1D2848" w14:textId="577C8D94" w:rsidR="001901FC" w:rsidRPr="00EA3D8C" w:rsidRDefault="001901FC" w:rsidP="0084203C">
      <w:pPr>
        <w:rPr>
          <w:rFonts w:eastAsia="MS PGothic" w:cstheme="minorHAnsi"/>
          <w:szCs w:val="20"/>
          <w:lang w:val="sr-Cyrl-RS" w:eastAsia="ja-JP"/>
        </w:rPr>
        <w:sectPr w:rsidR="001901FC" w:rsidRPr="00EA3D8C"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zCs w:val="20"/>
          <w:lang w:val="sr-Cyrl-RS" w:eastAsia="ja-JP"/>
        </w:rPr>
        <w:t>Процењени фискални дефицит од 8,9%</w:t>
      </w:r>
      <w:r w:rsidR="004C3E16">
        <w:rPr>
          <w:rFonts w:eastAsia="MS PGothic" w:cstheme="minorHAnsi"/>
          <w:szCs w:val="20"/>
          <w:lang w:val="sr-Cyrl-RS" w:eastAsia="ja-JP"/>
        </w:rPr>
        <w:t xml:space="preserve"> </w:t>
      </w:r>
      <w:r w:rsidRPr="00EA3D8C">
        <w:rPr>
          <w:rFonts w:eastAsia="MS PGothic" w:cstheme="minorHAnsi"/>
          <w:szCs w:val="20"/>
          <w:lang w:val="sr-Cyrl-RS" w:eastAsia="ja-JP"/>
        </w:rPr>
        <w:t>БДП је значајан, међутим упоредив је са резултатима који ће бити остварени у земљама ЕУ и региона. Са друге стране у анализи структурне фискалне позиције, закључује се да она није значајније нарушена. И на приходној и на расходној страни идентификовано је око 7%</w:t>
      </w:r>
      <w:r w:rsidR="004C3E16">
        <w:rPr>
          <w:rFonts w:eastAsia="MS PGothic" w:cstheme="minorHAnsi"/>
          <w:szCs w:val="20"/>
          <w:lang w:val="sr-Cyrl-RS" w:eastAsia="ja-JP"/>
        </w:rPr>
        <w:t xml:space="preserve"> </w:t>
      </w:r>
      <w:r w:rsidRPr="00EA3D8C">
        <w:rPr>
          <w:rFonts w:eastAsia="MS PGothic" w:cstheme="minorHAnsi"/>
          <w:szCs w:val="20"/>
          <w:lang w:val="sr-Cyrl-RS" w:eastAsia="ja-JP"/>
        </w:rPr>
        <w:t>БДП једнократних ефеката, који у случају реализације претпоставки из основног макроекономског сценарија неће бити поново реализован.</w:t>
      </w:r>
    </w:p>
    <w:p w14:paraId="3C9F1C30" w14:textId="30B28487" w:rsidR="001901FC" w:rsidRPr="00EA3D8C" w:rsidRDefault="00EC4017" w:rsidP="00FE1A26">
      <w:pPr>
        <w:spacing w:before="240"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7</w:t>
      </w:r>
      <w:r w:rsidR="001901FC" w:rsidRPr="00EA3D8C">
        <w:rPr>
          <w:rFonts w:eastAsia="MS PGothic" w:cstheme="minorHAnsi"/>
          <w:b/>
          <w:color w:val="002060"/>
          <w:szCs w:val="20"/>
          <w:lang w:val="sr-Cyrl-RS" w:eastAsia="ja-JP"/>
        </w:rPr>
        <w:t>. Приходи, расходи и резултат сектора државе, јануар–септембар, у млрд динара</w:t>
      </w:r>
    </w:p>
    <w:tbl>
      <w:tblPr>
        <w:tblW w:w="5000" w:type="pct"/>
        <w:jc w:val="right"/>
        <w:tblLook w:val="04A0" w:firstRow="1" w:lastRow="0" w:firstColumn="1" w:lastColumn="0" w:noHBand="0" w:noVBand="1"/>
      </w:tblPr>
      <w:tblGrid>
        <w:gridCol w:w="3554"/>
        <w:gridCol w:w="1451"/>
        <w:gridCol w:w="1453"/>
        <w:gridCol w:w="1451"/>
        <w:gridCol w:w="1451"/>
      </w:tblGrid>
      <w:tr w:rsidR="001940DA" w:rsidRPr="001940DA" w14:paraId="087E2390" w14:textId="77777777" w:rsidTr="001940DA">
        <w:trPr>
          <w:trHeight w:val="20"/>
          <w:tblHeader/>
          <w:jc w:val="right"/>
        </w:trPr>
        <w:tc>
          <w:tcPr>
            <w:tcW w:w="1899" w:type="pct"/>
            <w:tcBorders>
              <w:top w:val="single" w:sz="4" w:space="0" w:color="002060"/>
            </w:tcBorders>
            <w:shd w:val="clear" w:color="auto" w:fill="auto"/>
            <w:noWrap/>
            <w:vAlign w:val="center"/>
            <w:hideMark/>
          </w:tcPr>
          <w:p w14:paraId="3F092299" w14:textId="77777777" w:rsidR="001901FC" w:rsidRPr="001940DA" w:rsidRDefault="001901FC" w:rsidP="00FE1A26">
            <w:pPr>
              <w:spacing w:after="0" w:line="240" w:lineRule="auto"/>
              <w:rPr>
                <w:rFonts w:cstheme="minorHAnsi"/>
                <w:color w:val="002060"/>
                <w:sz w:val="18"/>
                <w:szCs w:val="18"/>
                <w:lang w:val="sr-Cyrl-RS"/>
              </w:rPr>
            </w:pPr>
            <w:r w:rsidRPr="001940DA">
              <w:rPr>
                <w:rFonts w:eastAsia="MS PGothic" w:cstheme="minorHAnsi"/>
                <w:color w:val="002060"/>
                <w:szCs w:val="20"/>
                <w:lang w:val="sr-Cyrl-RS" w:eastAsia="ja-JP"/>
              </w:rPr>
              <w:tab/>
            </w:r>
          </w:p>
        </w:tc>
        <w:tc>
          <w:tcPr>
            <w:tcW w:w="775" w:type="pct"/>
            <w:tcBorders>
              <w:top w:val="single" w:sz="4" w:space="0" w:color="002060"/>
              <w:bottom w:val="single" w:sz="4" w:space="0" w:color="002060"/>
            </w:tcBorders>
            <w:shd w:val="clear" w:color="auto" w:fill="auto"/>
            <w:vAlign w:val="center"/>
            <w:hideMark/>
          </w:tcPr>
          <w:p w14:paraId="5C811428" w14:textId="77777777" w:rsidR="001901FC" w:rsidRPr="001940DA" w:rsidRDefault="001901FC" w:rsidP="00FE1A26">
            <w:pPr>
              <w:spacing w:after="0" w:line="240" w:lineRule="auto"/>
              <w:jc w:val="center"/>
              <w:rPr>
                <w:rFonts w:cstheme="minorHAnsi"/>
                <w:color w:val="002060"/>
                <w:sz w:val="18"/>
                <w:szCs w:val="18"/>
                <w:lang w:val="sr-Cyrl-RS"/>
              </w:rPr>
            </w:pPr>
            <w:r w:rsidRPr="001940DA">
              <w:rPr>
                <w:rFonts w:cstheme="minorHAnsi"/>
                <w:color w:val="002060"/>
                <w:sz w:val="18"/>
                <w:szCs w:val="18"/>
                <w:lang w:val="sr-Cyrl-RS"/>
              </w:rPr>
              <w:t>I–IX 2019</w:t>
            </w:r>
          </w:p>
        </w:tc>
        <w:tc>
          <w:tcPr>
            <w:tcW w:w="776" w:type="pct"/>
            <w:tcBorders>
              <w:top w:val="single" w:sz="4" w:space="0" w:color="002060"/>
              <w:bottom w:val="single" w:sz="4" w:space="0" w:color="002060"/>
            </w:tcBorders>
            <w:shd w:val="clear" w:color="auto" w:fill="auto"/>
            <w:vAlign w:val="center"/>
            <w:hideMark/>
          </w:tcPr>
          <w:p w14:paraId="5EEF34CC" w14:textId="77777777" w:rsidR="001901FC" w:rsidRPr="001940DA" w:rsidRDefault="001901FC" w:rsidP="00FE1A26">
            <w:pPr>
              <w:spacing w:after="0" w:line="240" w:lineRule="auto"/>
              <w:jc w:val="center"/>
              <w:rPr>
                <w:rFonts w:cstheme="minorHAnsi"/>
                <w:color w:val="002060"/>
                <w:sz w:val="18"/>
                <w:szCs w:val="18"/>
                <w:lang w:val="sr-Cyrl-RS"/>
              </w:rPr>
            </w:pPr>
            <w:r w:rsidRPr="001940DA">
              <w:rPr>
                <w:rFonts w:cstheme="minorHAnsi"/>
                <w:color w:val="002060"/>
                <w:sz w:val="18"/>
                <w:szCs w:val="18"/>
                <w:lang w:val="sr-Cyrl-RS"/>
              </w:rPr>
              <w:t>I–IX 2020</w:t>
            </w:r>
          </w:p>
        </w:tc>
        <w:tc>
          <w:tcPr>
            <w:tcW w:w="775" w:type="pct"/>
            <w:tcBorders>
              <w:top w:val="single" w:sz="4" w:space="0" w:color="002060"/>
              <w:bottom w:val="single" w:sz="4" w:space="0" w:color="002060"/>
            </w:tcBorders>
            <w:vAlign w:val="center"/>
          </w:tcPr>
          <w:p w14:paraId="19C95007" w14:textId="77777777" w:rsidR="001901FC" w:rsidRPr="001940DA" w:rsidRDefault="001901FC" w:rsidP="00FE1A26">
            <w:pPr>
              <w:spacing w:after="0" w:line="240" w:lineRule="auto"/>
              <w:jc w:val="center"/>
              <w:rPr>
                <w:rFonts w:cstheme="minorHAnsi"/>
                <w:color w:val="002060"/>
                <w:sz w:val="18"/>
                <w:szCs w:val="18"/>
                <w:lang w:val="sr-Cyrl-RS"/>
              </w:rPr>
            </w:pPr>
            <w:r w:rsidRPr="001940DA">
              <w:rPr>
                <w:rFonts w:cstheme="minorHAnsi"/>
                <w:color w:val="002060"/>
                <w:sz w:val="18"/>
                <w:szCs w:val="18"/>
                <w:lang w:val="sr-Cyrl-RS"/>
              </w:rPr>
              <w:t>I–IX стопа раста/пада %</w:t>
            </w:r>
          </w:p>
        </w:tc>
        <w:tc>
          <w:tcPr>
            <w:tcW w:w="776" w:type="pct"/>
            <w:tcBorders>
              <w:top w:val="single" w:sz="4" w:space="0" w:color="002060"/>
              <w:bottom w:val="single" w:sz="4" w:space="0" w:color="002060"/>
            </w:tcBorders>
            <w:shd w:val="clear" w:color="auto" w:fill="auto"/>
            <w:vAlign w:val="center"/>
            <w:hideMark/>
          </w:tcPr>
          <w:p w14:paraId="5B0FCED2" w14:textId="77777777" w:rsidR="001901FC" w:rsidRPr="001940DA" w:rsidRDefault="001901FC" w:rsidP="00FE1A26">
            <w:pPr>
              <w:spacing w:after="0" w:line="240" w:lineRule="auto"/>
              <w:jc w:val="center"/>
              <w:rPr>
                <w:rFonts w:cstheme="minorHAnsi"/>
                <w:color w:val="002060"/>
                <w:sz w:val="18"/>
                <w:szCs w:val="18"/>
                <w:lang w:val="sr-Cyrl-RS"/>
              </w:rPr>
            </w:pPr>
            <w:r w:rsidRPr="001940DA">
              <w:rPr>
                <w:rFonts w:cstheme="minorHAnsi"/>
                <w:color w:val="002060"/>
                <w:sz w:val="18"/>
                <w:szCs w:val="18"/>
                <w:lang w:val="sr-Cyrl-RS"/>
              </w:rPr>
              <w:t>2020/2019 стопа раста/пада у %</w:t>
            </w:r>
          </w:p>
        </w:tc>
      </w:tr>
      <w:tr w:rsidR="001940DA" w:rsidRPr="001940DA" w14:paraId="403963F0" w14:textId="77777777" w:rsidTr="001940DA">
        <w:trPr>
          <w:trHeight w:val="20"/>
          <w:tblHeader/>
          <w:jc w:val="right"/>
        </w:trPr>
        <w:tc>
          <w:tcPr>
            <w:tcW w:w="1899" w:type="pct"/>
            <w:shd w:val="clear" w:color="auto" w:fill="E7E6E6" w:themeFill="background2"/>
            <w:noWrap/>
            <w:vAlign w:val="center"/>
            <w:hideMark/>
          </w:tcPr>
          <w:p w14:paraId="6A26F38C"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ЈАВНИ ПРИХОДИ</w:t>
            </w:r>
          </w:p>
        </w:tc>
        <w:tc>
          <w:tcPr>
            <w:tcW w:w="775" w:type="pct"/>
            <w:tcBorders>
              <w:top w:val="single" w:sz="4" w:space="0" w:color="002060"/>
            </w:tcBorders>
            <w:shd w:val="clear" w:color="auto" w:fill="E7E6E6" w:themeFill="background2"/>
            <w:hideMark/>
          </w:tcPr>
          <w:p w14:paraId="735A307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1.646,4</w:t>
            </w:r>
          </w:p>
        </w:tc>
        <w:tc>
          <w:tcPr>
            <w:tcW w:w="776" w:type="pct"/>
            <w:tcBorders>
              <w:top w:val="single" w:sz="4" w:space="0" w:color="002060"/>
            </w:tcBorders>
            <w:shd w:val="clear" w:color="auto" w:fill="E7E6E6" w:themeFill="background2"/>
            <w:hideMark/>
          </w:tcPr>
          <w:p w14:paraId="6601AFE0"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1.599,6</w:t>
            </w:r>
          </w:p>
        </w:tc>
        <w:tc>
          <w:tcPr>
            <w:tcW w:w="775" w:type="pct"/>
            <w:tcBorders>
              <w:top w:val="single" w:sz="4" w:space="0" w:color="002060"/>
            </w:tcBorders>
            <w:shd w:val="clear" w:color="auto" w:fill="E7E6E6" w:themeFill="background2"/>
          </w:tcPr>
          <w:p w14:paraId="69C50734"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-2,8</w:t>
            </w:r>
          </w:p>
        </w:tc>
        <w:tc>
          <w:tcPr>
            <w:tcW w:w="776" w:type="pct"/>
            <w:tcBorders>
              <w:top w:val="single" w:sz="4" w:space="0" w:color="002060"/>
            </w:tcBorders>
            <w:shd w:val="clear" w:color="auto" w:fill="E7E6E6" w:themeFill="background2"/>
            <w:hideMark/>
          </w:tcPr>
          <w:p w14:paraId="46B24622"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-2,5</w:t>
            </w:r>
          </w:p>
        </w:tc>
      </w:tr>
      <w:tr w:rsidR="001940DA" w:rsidRPr="001940DA" w14:paraId="226414F5" w14:textId="77777777" w:rsidTr="001940DA">
        <w:trPr>
          <w:trHeight w:val="20"/>
          <w:tblHeader/>
          <w:jc w:val="right"/>
        </w:trPr>
        <w:tc>
          <w:tcPr>
            <w:tcW w:w="1899" w:type="pct"/>
            <w:shd w:val="clear" w:color="auto" w:fill="auto"/>
            <w:noWrap/>
            <w:vAlign w:val="center"/>
            <w:hideMark/>
          </w:tcPr>
          <w:p w14:paraId="74BBC301"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Текући приходи</w:t>
            </w:r>
          </w:p>
        </w:tc>
        <w:tc>
          <w:tcPr>
            <w:tcW w:w="775" w:type="pct"/>
            <w:shd w:val="clear" w:color="auto" w:fill="auto"/>
            <w:hideMark/>
          </w:tcPr>
          <w:p w14:paraId="6234EEE1"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1.639,0</w:t>
            </w:r>
          </w:p>
        </w:tc>
        <w:tc>
          <w:tcPr>
            <w:tcW w:w="776" w:type="pct"/>
            <w:shd w:val="clear" w:color="auto" w:fill="auto"/>
            <w:noWrap/>
            <w:hideMark/>
          </w:tcPr>
          <w:p w14:paraId="23BD0EC6"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1.591,6</w:t>
            </w:r>
          </w:p>
        </w:tc>
        <w:tc>
          <w:tcPr>
            <w:tcW w:w="775" w:type="pct"/>
          </w:tcPr>
          <w:p w14:paraId="26EC7E06"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-2,9</w:t>
            </w:r>
          </w:p>
        </w:tc>
        <w:tc>
          <w:tcPr>
            <w:tcW w:w="776" w:type="pct"/>
            <w:shd w:val="clear" w:color="auto" w:fill="auto"/>
            <w:hideMark/>
          </w:tcPr>
          <w:p w14:paraId="59AB7994"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-2,6</w:t>
            </w:r>
          </w:p>
        </w:tc>
      </w:tr>
      <w:tr w:rsidR="001940DA" w:rsidRPr="001940DA" w14:paraId="4D4C35FC" w14:textId="77777777" w:rsidTr="001940DA">
        <w:trPr>
          <w:trHeight w:val="20"/>
          <w:tblHeader/>
          <w:jc w:val="right"/>
        </w:trPr>
        <w:tc>
          <w:tcPr>
            <w:tcW w:w="1899" w:type="pct"/>
            <w:shd w:val="clear" w:color="auto" w:fill="auto"/>
            <w:noWrap/>
            <w:vAlign w:val="center"/>
            <w:hideMark/>
          </w:tcPr>
          <w:p w14:paraId="7484CDF2"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Порески приходи</w:t>
            </w:r>
          </w:p>
        </w:tc>
        <w:tc>
          <w:tcPr>
            <w:tcW w:w="775" w:type="pct"/>
            <w:shd w:val="clear" w:color="auto" w:fill="auto"/>
            <w:hideMark/>
          </w:tcPr>
          <w:p w14:paraId="25DDC00A"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1.454,2</w:t>
            </w:r>
          </w:p>
        </w:tc>
        <w:tc>
          <w:tcPr>
            <w:tcW w:w="776" w:type="pct"/>
            <w:shd w:val="clear" w:color="auto" w:fill="auto"/>
            <w:hideMark/>
          </w:tcPr>
          <w:p w14:paraId="471D14AD"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1.418,9</w:t>
            </w:r>
          </w:p>
        </w:tc>
        <w:tc>
          <w:tcPr>
            <w:tcW w:w="775" w:type="pct"/>
          </w:tcPr>
          <w:p w14:paraId="41AF10E8"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-2,4</w:t>
            </w:r>
          </w:p>
        </w:tc>
        <w:tc>
          <w:tcPr>
            <w:tcW w:w="776" w:type="pct"/>
            <w:shd w:val="clear" w:color="auto" w:fill="auto"/>
            <w:hideMark/>
          </w:tcPr>
          <w:p w14:paraId="742868DF"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-1,6</w:t>
            </w:r>
          </w:p>
        </w:tc>
      </w:tr>
      <w:tr w:rsidR="001940DA" w:rsidRPr="001940DA" w14:paraId="657E9708" w14:textId="77777777" w:rsidTr="001940DA">
        <w:trPr>
          <w:trHeight w:val="20"/>
          <w:tblHeader/>
          <w:jc w:val="right"/>
        </w:trPr>
        <w:tc>
          <w:tcPr>
            <w:tcW w:w="1899" w:type="pct"/>
            <w:shd w:val="clear" w:color="auto" w:fill="auto"/>
            <w:noWrap/>
            <w:vAlign w:val="center"/>
            <w:hideMark/>
          </w:tcPr>
          <w:p w14:paraId="7FBFF1DD"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Порез на доходак грађана</w:t>
            </w:r>
          </w:p>
        </w:tc>
        <w:tc>
          <w:tcPr>
            <w:tcW w:w="775" w:type="pct"/>
            <w:shd w:val="clear" w:color="auto" w:fill="auto"/>
            <w:hideMark/>
          </w:tcPr>
          <w:p w14:paraId="01AEAC04"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146,4</w:t>
            </w:r>
          </w:p>
        </w:tc>
        <w:tc>
          <w:tcPr>
            <w:tcW w:w="776" w:type="pct"/>
            <w:shd w:val="clear" w:color="auto" w:fill="auto"/>
            <w:hideMark/>
          </w:tcPr>
          <w:p w14:paraId="2509CB54"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143,8</w:t>
            </w:r>
          </w:p>
        </w:tc>
        <w:tc>
          <w:tcPr>
            <w:tcW w:w="775" w:type="pct"/>
          </w:tcPr>
          <w:p w14:paraId="03CA2000"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-1,8</w:t>
            </w:r>
          </w:p>
        </w:tc>
        <w:tc>
          <w:tcPr>
            <w:tcW w:w="776" w:type="pct"/>
            <w:shd w:val="clear" w:color="auto" w:fill="auto"/>
            <w:hideMark/>
          </w:tcPr>
          <w:p w14:paraId="7C3A593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-0,8</w:t>
            </w:r>
          </w:p>
        </w:tc>
      </w:tr>
      <w:tr w:rsidR="001940DA" w:rsidRPr="001940DA" w14:paraId="2D98F267" w14:textId="77777777" w:rsidTr="001940DA">
        <w:trPr>
          <w:trHeight w:val="20"/>
          <w:tblHeader/>
          <w:jc w:val="right"/>
        </w:trPr>
        <w:tc>
          <w:tcPr>
            <w:tcW w:w="1899" w:type="pct"/>
            <w:shd w:val="clear" w:color="auto" w:fill="auto"/>
            <w:noWrap/>
            <w:vAlign w:val="center"/>
            <w:hideMark/>
          </w:tcPr>
          <w:p w14:paraId="44750352"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Порез на добит правних лица</w:t>
            </w:r>
          </w:p>
        </w:tc>
        <w:tc>
          <w:tcPr>
            <w:tcW w:w="775" w:type="pct"/>
            <w:shd w:val="clear" w:color="auto" w:fill="auto"/>
            <w:hideMark/>
          </w:tcPr>
          <w:p w14:paraId="580D2C77"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102,7</w:t>
            </w:r>
          </w:p>
        </w:tc>
        <w:tc>
          <w:tcPr>
            <w:tcW w:w="776" w:type="pct"/>
            <w:shd w:val="clear" w:color="auto" w:fill="auto"/>
            <w:hideMark/>
          </w:tcPr>
          <w:p w14:paraId="0C6FBC9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95,8</w:t>
            </w:r>
          </w:p>
        </w:tc>
        <w:tc>
          <w:tcPr>
            <w:tcW w:w="775" w:type="pct"/>
          </w:tcPr>
          <w:p w14:paraId="35A344F3"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-6,7</w:t>
            </w:r>
          </w:p>
        </w:tc>
        <w:tc>
          <w:tcPr>
            <w:tcW w:w="776" w:type="pct"/>
            <w:shd w:val="clear" w:color="auto" w:fill="auto"/>
            <w:hideMark/>
          </w:tcPr>
          <w:p w14:paraId="5398F26C"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-3,5</w:t>
            </w:r>
          </w:p>
        </w:tc>
      </w:tr>
      <w:tr w:rsidR="001940DA" w:rsidRPr="001940DA" w14:paraId="7E6673B5" w14:textId="77777777" w:rsidTr="001940DA">
        <w:trPr>
          <w:trHeight w:val="20"/>
          <w:tblHeader/>
          <w:jc w:val="right"/>
        </w:trPr>
        <w:tc>
          <w:tcPr>
            <w:tcW w:w="1899" w:type="pct"/>
            <w:shd w:val="clear" w:color="auto" w:fill="auto"/>
            <w:noWrap/>
            <w:vAlign w:val="center"/>
            <w:hideMark/>
          </w:tcPr>
          <w:p w14:paraId="5F9812BD" w14:textId="46062963" w:rsidR="001901FC" w:rsidRPr="001940DA" w:rsidRDefault="00792EA4"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ПДВ</w:t>
            </w:r>
          </w:p>
        </w:tc>
        <w:tc>
          <w:tcPr>
            <w:tcW w:w="775" w:type="pct"/>
            <w:shd w:val="clear" w:color="auto" w:fill="auto"/>
            <w:hideMark/>
          </w:tcPr>
          <w:p w14:paraId="6813B4C6"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395,1</w:t>
            </w:r>
          </w:p>
        </w:tc>
        <w:tc>
          <w:tcPr>
            <w:tcW w:w="776" w:type="pct"/>
            <w:shd w:val="clear" w:color="auto" w:fill="auto"/>
            <w:hideMark/>
          </w:tcPr>
          <w:p w14:paraId="570B0125"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398,8</w:t>
            </w:r>
          </w:p>
        </w:tc>
        <w:tc>
          <w:tcPr>
            <w:tcW w:w="775" w:type="pct"/>
          </w:tcPr>
          <w:p w14:paraId="5C37D3E3"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0,9</w:t>
            </w:r>
          </w:p>
        </w:tc>
        <w:tc>
          <w:tcPr>
            <w:tcW w:w="776" w:type="pct"/>
            <w:shd w:val="clear" w:color="auto" w:fill="auto"/>
            <w:hideMark/>
          </w:tcPr>
          <w:p w14:paraId="64C8976F"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-0,6</w:t>
            </w:r>
          </w:p>
        </w:tc>
      </w:tr>
      <w:tr w:rsidR="001940DA" w:rsidRPr="001940DA" w14:paraId="1FFB5D70" w14:textId="77777777" w:rsidTr="001940DA">
        <w:trPr>
          <w:trHeight w:val="20"/>
          <w:tblHeader/>
          <w:jc w:val="right"/>
        </w:trPr>
        <w:tc>
          <w:tcPr>
            <w:tcW w:w="1899" w:type="pct"/>
            <w:shd w:val="clear" w:color="auto" w:fill="auto"/>
            <w:noWrap/>
            <w:vAlign w:val="center"/>
            <w:hideMark/>
          </w:tcPr>
          <w:p w14:paraId="3B71E6A8"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Акцизе</w:t>
            </w:r>
          </w:p>
        </w:tc>
        <w:tc>
          <w:tcPr>
            <w:tcW w:w="775" w:type="pct"/>
            <w:shd w:val="clear" w:color="auto" w:fill="auto"/>
            <w:hideMark/>
          </w:tcPr>
          <w:p w14:paraId="1BAA9745"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225,5</w:t>
            </w:r>
          </w:p>
        </w:tc>
        <w:tc>
          <w:tcPr>
            <w:tcW w:w="776" w:type="pct"/>
            <w:shd w:val="clear" w:color="auto" w:fill="auto"/>
            <w:hideMark/>
          </w:tcPr>
          <w:p w14:paraId="7A79FC8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221,8</w:t>
            </w:r>
          </w:p>
        </w:tc>
        <w:tc>
          <w:tcPr>
            <w:tcW w:w="775" w:type="pct"/>
          </w:tcPr>
          <w:p w14:paraId="34DA4F77"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-1,6</w:t>
            </w:r>
          </w:p>
        </w:tc>
        <w:tc>
          <w:tcPr>
            <w:tcW w:w="776" w:type="pct"/>
            <w:shd w:val="clear" w:color="auto" w:fill="auto"/>
            <w:hideMark/>
          </w:tcPr>
          <w:p w14:paraId="36276285"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-2,2</w:t>
            </w:r>
          </w:p>
        </w:tc>
      </w:tr>
      <w:tr w:rsidR="001940DA" w:rsidRPr="001940DA" w14:paraId="1FCCD46C" w14:textId="77777777" w:rsidTr="001940DA">
        <w:trPr>
          <w:trHeight w:val="20"/>
          <w:tblHeader/>
          <w:jc w:val="right"/>
        </w:trPr>
        <w:tc>
          <w:tcPr>
            <w:tcW w:w="1899" w:type="pct"/>
            <w:shd w:val="clear" w:color="auto" w:fill="auto"/>
            <w:noWrap/>
            <w:vAlign w:val="center"/>
            <w:hideMark/>
          </w:tcPr>
          <w:p w14:paraId="093C525B"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Царине</w:t>
            </w:r>
          </w:p>
        </w:tc>
        <w:tc>
          <w:tcPr>
            <w:tcW w:w="775" w:type="pct"/>
            <w:shd w:val="clear" w:color="auto" w:fill="auto"/>
            <w:hideMark/>
          </w:tcPr>
          <w:p w14:paraId="6A30172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34,3</w:t>
            </w:r>
          </w:p>
        </w:tc>
        <w:tc>
          <w:tcPr>
            <w:tcW w:w="776" w:type="pct"/>
            <w:shd w:val="clear" w:color="auto" w:fill="auto"/>
            <w:hideMark/>
          </w:tcPr>
          <w:p w14:paraId="51F5A99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37,3</w:t>
            </w:r>
          </w:p>
        </w:tc>
        <w:tc>
          <w:tcPr>
            <w:tcW w:w="775" w:type="pct"/>
          </w:tcPr>
          <w:p w14:paraId="5878891B"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8,9</w:t>
            </w:r>
          </w:p>
        </w:tc>
        <w:tc>
          <w:tcPr>
            <w:tcW w:w="776" w:type="pct"/>
            <w:shd w:val="clear" w:color="auto" w:fill="auto"/>
            <w:hideMark/>
          </w:tcPr>
          <w:p w14:paraId="2330BCEF"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6,0</w:t>
            </w:r>
          </w:p>
        </w:tc>
      </w:tr>
      <w:tr w:rsidR="001940DA" w:rsidRPr="001940DA" w14:paraId="358DF801" w14:textId="77777777" w:rsidTr="001940DA">
        <w:trPr>
          <w:trHeight w:val="20"/>
          <w:tblHeader/>
          <w:jc w:val="right"/>
        </w:trPr>
        <w:tc>
          <w:tcPr>
            <w:tcW w:w="1899" w:type="pct"/>
            <w:shd w:val="clear" w:color="auto" w:fill="auto"/>
            <w:noWrap/>
            <w:vAlign w:val="center"/>
            <w:hideMark/>
          </w:tcPr>
          <w:p w14:paraId="0FFE0489"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Остали порески приходи</w:t>
            </w:r>
          </w:p>
        </w:tc>
        <w:tc>
          <w:tcPr>
            <w:tcW w:w="775" w:type="pct"/>
            <w:shd w:val="clear" w:color="auto" w:fill="auto"/>
            <w:hideMark/>
          </w:tcPr>
          <w:p w14:paraId="1F00B252"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60,8</w:t>
            </w:r>
          </w:p>
        </w:tc>
        <w:tc>
          <w:tcPr>
            <w:tcW w:w="776" w:type="pct"/>
            <w:shd w:val="clear" w:color="auto" w:fill="auto"/>
            <w:hideMark/>
          </w:tcPr>
          <w:p w14:paraId="78C5B041"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58,2</w:t>
            </w:r>
          </w:p>
        </w:tc>
        <w:tc>
          <w:tcPr>
            <w:tcW w:w="775" w:type="pct"/>
          </w:tcPr>
          <w:p w14:paraId="53079DDB"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-4,3</w:t>
            </w:r>
          </w:p>
        </w:tc>
        <w:tc>
          <w:tcPr>
            <w:tcW w:w="776" w:type="pct"/>
            <w:shd w:val="clear" w:color="auto" w:fill="auto"/>
            <w:hideMark/>
          </w:tcPr>
          <w:p w14:paraId="663FB84B"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-3,1</w:t>
            </w:r>
          </w:p>
        </w:tc>
      </w:tr>
      <w:tr w:rsidR="001940DA" w:rsidRPr="001940DA" w14:paraId="2E0493C7" w14:textId="77777777" w:rsidTr="001940DA">
        <w:trPr>
          <w:trHeight w:val="20"/>
          <w:tblHeader/>
          <w:jc w:val="right"/>
        </w:trPr>
        <w:tc>
          <w:tcPr>
            <w:tcW w:w="1899" w:type="pct"/>
            <w:shd w:val="clear" w:color="auto" w:fill="auto"/>
            <w:noWrap/>
            <w:vAlign w:val="center"/>
            <w:hideMark/>
          </w:tcPr>
          <w:p w14:paraId="22700147"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Доприноси</w:t>
            </w:r>
          </w:p>
        </w:tc>
        <w:tc>
          <w:tcPr>
            <w:tcW w:w="775" w:type="pct"/>
            <w:shd w:val="clear" w:color="auto" w:fill="auto"/>
            <w:hideMark/>
          </w:tcPr>
          <w:p w14:paraId="3DEDBC2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489,4</w:t>
            </w:r>
          </w:p>
        </w:tc>
        <w:tc>
          <w:tcPr>
            <w:tcW w:w="776" w:type="pct"/>
            <w:shd w:val="clear" w:color="auto" w:fill="auto"/>
            <w:hideMark/>
          </w:tcPr>
          <w:p w14:paraId="64575F28"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463,2</w:t>
            </w:r>
          </w:p>
        </w:tc>
        <w:tc>
          <w:tcPr>
            <w:tcW w:w="775" w:type="pct"/>
          </w:tcPr>
          <w:p w14:paraId="06EA7693"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-5,4</w:t>
            </w:r>
          </w:p>
        </w:tc>
        <w:tc>
          <w:tcPr>
            <w:tcW w:w="776" w:type="pct"/>
            <w:shd w:val="clear" w:color="auto" w:fill="auto"/>
            <w:hideMark/>
          </w:tcPr>
          <w:p w14:paraId="6BD38E3C"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-2,3</w:t>
            </w:r>
          </w:p>
        </w:tc>
      </w:tr>
      <w:tr w:rsidR="001940DA" w:rsidRPr="001940DA" w14:paraId="19E958FD" w14:textId="77777777" w:rsidTr="001940DA">
        <w:trPr>
          <w:trHeight w:val="20"/>
          <w:tblHeader/>
          <w:jc w:val="right"/>
        </w:trPr>
        <w:tc>
          <w:tcPr>
            <w:tcW w:w="1899" w:type="pct"/>
            <w:shd w:val="clear" w:color="auto" w:fill="auto"/>
            <w:noWrap/>
            <w:vAlign w:val="center"/>
            <w:hideMark/>
          </w:tcPr>
          <w:p w14:paraId="00A5F610"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Непорески приходи</w:t>
            </w:r>
          </w:p>
        </w:tc>
        <w:tc>
          <w:tcPr>
            <w:tcW w:w="775" w:type="pct"/>
            <w:shd w:val="clear" w:color="auto" w:fill="auto"/>
            <w:hideMark/>
          </w:tcPr>
          <w:p w14:paraId="79DD833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184,8</w:t>
            </w:r>
          </w:p>
        </w:tc>
        <w:tc>
          <w:tcPr>
            <w:tcW w:w="776" w:type="pct"/>
            <w:shd w:val="clear" w:color="auto" w:fill="auto"/>
            <w:hideMark/>
          </w:tcPr>
          <w:p w14:paraId="41FF2EFE"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172,7</w:t>
            </w:r>
          </w:p>
        </w:tc>
        <w:tc>
          <w:tcPr>
            <w:tcW w:w="775" w:type="pct"/>
          </w:tcPr>
          <w:p w14:paraId="75BAA834"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-6,6</w:t>
            </w:r>
          </w:p>
        </w:tc>
        <w:tc>
          <w:tcPr>
            <w:tcW w:w="776" w:type="pct"/>
            <w:shd w:val="clear" w:color="auto" w:fill="auto"/>
            <w:hideMark/>
          </w:tcPr>
          <w:p w14:paraId="14D3BC3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-10,2</w:t>
            </w:r>
          </w:p>
        </w:tc>
      </w:tr>
      <w:tr w:rsidR="001940DA" w:rsidRPr="001940DA" w14:paraId="59F16123" w14:textId="77777777" w:rsidTr="001940DA">
        <w:trPr>
          <w:trHeight w:val="20"/>
          <w:tblHeader/>
          <w:jc w:val="right"/>
        </w:trPr>
        <w:tc>
          <w:tcPr>
            <w:tcW w:w="1899" w:type="pct"/>
            <w:shd w:val="clear" w:color="auto" w:fill="auto"/>
            <w:noWrap/>
            <w:vAlign w:val="center"/>
            <w:hideMark/>
          </w:tcPr>
          <w:p w14:paraId="280799CF"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Донације</w:t>
            </w:r>
          </w:p>
        </w:tc>
        <w:tc>
          <w:tcPr>
            <w:tcW w:w="775" w:type="pct"/>
            <w:shd w:val="clear" w:color="auto" w:fill="auto"/>
            <w:hideMark/>
          </w:tcPr>
          <w:p w14:paraId="46A46102"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7,4</w:t>
            </w:r>
          </w:p>
        </w:tc>
        <w:tc>
          <w:tcPr>
            <w:tcW w:w="776" w:type="pct"/>
            <w:shd w:val="clear" w:color="auto" w:fill="auto"/>
            <w:hideMark/>
          </w:tcPr>
          <w:p w14:paraId="2B2A5628"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8,0</w:t>
            </w:r>
          </w:p>
        </w:tc>
        <w:tc>
          <w:tcPr>
            <w:tcW w:w="775" w:type="pct"/>
          </w:tcPr>
          <w:p w14:paraId="1237FA80"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8,3</w:t>
            </w:r>
          </w:p>
        </w:tc>
        <w:tc>
          <w:tcPr>
            <w:tcW w:w="776" w:type="pct"/>
            <w:shd w:val="clear" w:color="auto" w:fill="auto"/>
            <w:hideMark/>
          </w:tcPr>
          <w:p w14:paraId="0891BC4C"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7,6</w:t>
            </w:r>
          </w:p>
        </w:tc>
      </w:tr>
      <w:tr w:rsidR="001940DA" w:rsidRPr="001940DA" w14:paraId="173A1162" w14:textId="77777777" w:rsidTr="001940DA">
        <w:trPr>
          <w:trHeight w:val="20"/>
          <w:tblHeader/>
          <w:jc w:val="right"/>
        </w:trPr>
        <w:tc>
          <w:tcPr>
            <w:tcW w:w="1899" w:type="pct"/>
            <w:shd w:val="clear" w:color="auto" w:fill="E7E6E6" w:themeFill="background2"/>
            <w:noWrap/>
            <w:vAlign w:val="center"/>
            <w:hideMark/>
          </w:tcPr>
          <w:p w14:paraId="1C285807"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ЈАВНИ РАСХОДИ</w:t>
            </w:r>
          </w:p>
        </w:tc>
        <w:tc>
          <w:tcPr>
            <w:tcW w:w="775" w:type="pct"/>
            <w:shd w:val="clear" w:color="auto" w:fill="E7E6E6" w:themeFill="background2"/>
            <w:hideMark/>
          </w:tcPr>
          <w:p w14:paraId="52C5D5FD"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1.611,3</w:t>
            </w:r>
          </w:p>
        </w:tc>
        <w:tc>
          <w:tcPr>
            <w:tcW w:w="776" w:type="pct"/>
            <w:shd w:val="clear" w:color="auto" w:fill="E7E6E6" w:themeFill="background2"/>
            <w:noWrap/>
            <w:hideMark/>
          </w:tcPr>
          <w:p w14:paraId="0AAF35C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1.960,4</w:t>
            </w:r>
          </w:p>
        </w:tc>
        <w:tc>
          <w:tcPr>
            <w:tcW w:w="775" w:type="pct"/>
            <w:shd w:val="clear" w:color="auto" w:fill="E7E6E6" w:themeFill="background2"/>
          </w:tcPr>
          <w:p w14:paraId="7EAE2E10"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21,7</w:t>
            </w:r>
          </w:p>
        </w:tc>
        <w:tc>
          <w:tcPr>
            <w:tcW w:w="776" w:type="pct"/>
            <w:shd w:val="clear" w:color="auto" w:fill="E7E6E6" w:themeFill="background2"/>
            <w:hideMark/>
          </w:tcPr>
          <w:p w14:paraId="7B2A0CCD"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18,3</w:t>
            </w:r>
          </w:p>
        </w:tc>
      </w:tr>
      <w:tr w:rsidR="001940DA" w:rsidRPr="001940DA" w14:paraId="5C01D953" w14:textId="77777777" w:rsidTr="001940DA">
        <w:trPr>
          <w:trHeight w:val="20"/>
          <w:tblHeader/>
          <w:jc w:val="right"/>
        </w:trPr>
        <w:tc>
          <w:tcPr>
            <w:tcW w:w="1899" w:type="pct"/>
            <w:shd w:val="clear" w:color="auto" w:fill="auto"/>
            <w:noWrap/>
            <w:vAlign w:val="center"/>
            <w:hideMark/>
          </w:tcPr>
          <w:p w14:paraId="29B98849"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Текући расходи</w:t>
            </w:r>
          </w:p>
        </w:tc>
        <w:tc>
          <w:tcPr>
            <w:tcW w:w="775" w:type="pct"/>
            <w:shd w:val="clear" w:color="auto" w:fill="auto"/>
            <w:hideMark/>
          </w:tcPr>
          <w:p w14:paraId="4DAE2E6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1.445,7</w:t>
            </w:r>
          </w:p>
        </w:tc>
        <w:tc>
          <w:tcPr>
            <w:tcW w:w="776" w:type="pct"/>
            <w:shd w:val="clear" w:color="auto" w:fill="auto"/>
            <w:noWrap/>
            <w:hideMark/>
          </w:tcPr>
          <w:p w14:paraId="2E366BF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1.757,6</w:t>
            </w:r>
          </w:p>
        </w:tc>
        <w:tc>
          <w:tcPr>
            <w:tcW w:w="775" w:type="pct"/>
          </w:tcPr>
          <w:p w14:paraId="78D816E6"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21,6</w:t>
            </w:r>
          </w:p>
        </w:tc>
        <w:tc>
          <w:tcPr>
            <w:tcW w:w="776" w:type="pct"/>
            <w:shd w:val="clear" w:color="auto" w:fill="auto"/>
            <w:hideMark/>
          </w:tcPr>
          <w:p w14:paraId="14F37CA7"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18,5</w:t>
            </w:r>
          </w:p>
        </w:tc>
      </w:tr>
      <w:tr w:rsidR="001940DA" w:rsidRPr="001940DA" w14:paraId="1AF69967" w14:textId="77777777" w:rsidTr="001940DA">
        <w:trPr>
          <w:trHeight w:val="20"/>
          <w:tblHeader/>
          <w:jc w:val="right"/>
        </w:trPr>
        <w:tc>
          <w:tcPr>
            <w:tcW w:w="1899" w:type="pct"/>
            <w:shd w:val="clear" w:color="auto" w:fill="auto"/>
            <w:noWrap/>
            <w:vAlign w:val="center"/>
            <w:hideMark/>
          </w:tcPr>
          <w:p w14:paraId="4DFB2A01"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Расходи за запослене</w:t>
            </w:r>
          </w:p>
        </w:tc>
        <w:tc>
          <w:tcPr>
            <w:tcW w:w="775" w:type="pct"/>
            <w:shd w:val="clear" w:color="auto" w:fill="auto"/>
            <w:hideMark/>
          </w:tcPr>
          <w:p w14:paraId="378754EF"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380,0</w:t>
            </w:r>
          </w:p>
        </w:tc>
        <w:tc>
          <w:tcPr>
            <w:tcW w:w="776" w:type="pct"/>
            <w:shd w:val="clear" w:color="auto" w:fill="auto"/>
            <w:hideMark/>
          </w:tcPr>
          <w:p w14:paraId="5DD2363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426,1</w:t>
            </w:r>
          </w:p>
        </w:tc>
        <w:tc>
          <w:tcPr>
            <w:tcW w:w="775" w:type="pct"/>
          </w:tcPr>
          <w:p w14:paraId="6477545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12,1</w:t>
            </w:r>
          </w:p>
        </w:tc>
        <w:tc>
          <w:tcPr>
            <w:tcW w:w="776" w:type="pct"/>
            <w:shd w:val="clear" w:color="auto" w:fill="auto"/>
            <w:hideMark/>
          </w:tcPr>
          <w:p w14:paraId="50EC794F"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11,5</w:t>
            </w:r>
          </w:p>
        </w:tc>
      </w:tr>
      <w:tr w:rsidR="001940DA" w:rsidRPr="001940DA" w14:paraId="624EB742" w14:textId="77777777" w:rsidTr="001940DA">
        <w:trPr>
          <w:trHeight w:val="20"/>
          <w:tblHeader/>
          <w:jc w:val="right"/>
        </w:trPr>
        <w:tc>
          <w:tcPr>
            <w:tcW w:w="1899" w:type="pct"/>
            <w:shd w:val="clear" w:color="auto" w:fill="auto"/>
            <w:noWrap/>
            <w:vAlign w:val="center"/>
            <w:hideMark/>
          </w:tcPr>
          <w:p w14:paraId="0167C5C2"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Куповина робе и услуга</w:t>
            </w:r>
          </w:p>
        </w:tc>
        <w:tc>
          <w:tcPr>
            <w:tcW w:w="775" w:type="pct"/>
            <w:shd w:val="clear" w:color="auto" w:fill="auto"/>
            <w:hideMark/>
          </w:tcPr>
          <w:p w14:paraId="051A65F1"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260,4</w:t>
            </w:r>
          </w:p>
        </w:tc>
        <w:tc>
          <w:tcPr>
            <w:tcW w:w="776" w:type="pct"/>
            <w:shd w:val="clear" w:color="auto" w:fill="auto"/>
            <w:hideMark/>
          </w:tcPr>
          <w:p w14:paraId="60C58672"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304,8</w:t>
            </w:r>
          </w:p>
        </w:tc>
        <w:tc>
          <w:tcPr>
            <w:tcW w:w="775" w:type="pct"/>
          </w:tcPr>
          <w:p w14:paraId="14C3BC16"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17,0</w:t>
            </w:r>
          </w:p>
        </w:tc>
        <w:tc>
          <w:tcPr>
            <w:tcW w:w="776" w:type="pct"/>
            <w:shd w:val="clear" w:color="auto" w:fill="auto"/>
            <w:hideMark/>
          </w:tcPr>
          <w:p w14:paraId="3413451A"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17,3</w:t>
            </w:r>
          </w:p>
        </w:tc>
      </w:tr>
      <w:tr w:rsidR="001940DA" w:rsidRPr="001940DA" w14:paraId="3AD37A0A" w14:textId="77777777" w:rsidTr="001940DA">
        <w:trPr>
          <w:trHeight w:val="20"/>
          <w:tblHeader/>
          <w:jc w:val="right"/>
        </w:trPr>
        <w:tc>
          <w:tcPr>
            <w:tcW w:w="1899" w:type="pct"/>
            <w:shd w:val="clear" w:color="auto" w:fill="auto"/>
            <w:noWrap/>
            <w:vAlign w:val="center"/>
            <w:hideMark/>
          </w:tcPr>
          <w:p w14:paraId="00D93D64"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Отплата камата</w:t>
            </w:r>
          </w:p>
        </w:tc>
        <w:tc>
          <w:tcPr>
            <w:tcW w:w="775" w:type="pct"/>
            <w:shd w:val="clear" w:color="auto" w:fill="auto"/>
            <w:hideMark/>
          </w:tcPr>
          <w:p w14:paraId="2914D3B6"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97,4</w:t>
            </w:r>
          </w:p>
        </w:tc>
        <w:tc>
          <w:tcPr>
            <w:tcW w:w="776" w:type="pct"/>
            <w:shd w:val="clear" w:color="auto" w:fill="auto"/>
            <w:hideMark/>
          </w:tcPr>
          <w:p w14:paraId="1F0AB14E"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87,0</w:t>
            </w:r>
          </w:p>
        </w:tc>
        <w:tc>
          <w:tcPr>
            <w:tcW w:w="775" w:type="pct"/>
          </w:tcPr>
          <w:p w14:paraId="7840C78D"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-10,6</w:t>
            </w:r>
          </w:p>
        </w:tc>
        <w:tc>
          <w:tcPr>
            <w:tcW w:w="776" w:type="pct"/>
            <w:shd w:val="clear" w:color="auto" w:fill="auto"/>
            <w:hideMark/>
          </w:tcPr>
          <w:p w14:paraId="683455FB"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1,9</w:t>
            </w:r>
          </w:p>
        </w:tc>
      </w:tr>
      <w:tr w:rsidR="001940DA" w:rsidRPr="001940DA" w14:paraId="6BE646F4" w14:textId="77777777" w:rsidTr="001940DA">
        <w:trPr>
          <w:trHeight w:val="20"/>
          <w:tblHeader/>
          <w:jc w:val="right"/>
        </w:trPr>
        <w:tc>
          <w:tcPr>
            <w:tcW w:w="1899" w:type="pct"/>
            <w:shd w:val="clear" w:color="auto" w:fill="auto"/>
            <w:noWrap/>
            <w:vAlign w:val="center"/>
            <w:hideMark/>
          </w:tcPr>
          <w:p w14:paraId="5DFDB523"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Субвенције</w:t>
            </w:r>
          </w:p>
        </w:tc>
        <w:tc>
          <w:tcPr>
            <w:tcW w:w="775" w:type="pct"/>
            <w:shd w:val="clear" w:color="auto" w:fill="auto"/>
            <w:hideMark/>
          </w:tcPr>
          <w:p w14:paraId="691AE1F2"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69,5</w:t>
            </w:r>
          </w:p>
        </w:tc>
        <w:tc>
          <w:tcPr>
            <w:tcW w:w="776" w:type="pct"/>
            <w:shd w:val="clear" w:color="auto" w:fill="auto"/>
            <w:hideMark/>
          </w:tcPr>
          <w:p w14:paraId="475ADFC6"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209,1</w:t>
            </w:r>
          </w:p>
        </w:tc>
        <w:tc>
          <w:tcPr>
            <w:tcW w:w="775" w:type="pct"/>
          </w:tcPr>
          <w:p w14:paraId="04478720"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201,1</w:t>
            </w:r>
          </w:p>
        </w:tc>
        <w:tc>
          <w:tcPr>
            <w:tcW w:w="776" w:type="pct"/>
            <w:shd w:val="clear" w:color="auto" w:fill="auto"/>
            <w:hideMark/>
          </w:tcPr>
          <w:p w14:paraId="47178215"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113,2</w:t>
            </w:r>
          </w:p>
        </w:tc>
      </w:tr>
      <w:tr w:rsidR="001940DA" w:rsidRPr="001940DA" w14:paraId="5A7D3FB5" w14:textId="77777777" w:rsidTr="001940DA">
        <w:trPr>
          <w:trHeight w:val="20"/>
          <w:tblHeader/>
          <w:jc w:val="right"/>
        </w:trPr>
        <w:tc>
          <w:tcPr>
            <w:tcW w:w="1899" w:type="pct"/>
            <w:shd w:val="clear" w:color="auto" w:fill="auto"/>
            <w:noWrap/>
            <w:vAlign w:val="center"/>
            <w:hideMark/>
          </w:tcPr>
          <w:p w14:paraId="7C3CEAFC"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Социјална помоћ и трансфери</w:t>
            </w:r>
          </w:p>
        </w:tc>
        <w:tc>
          <w:tcPr>
            <w:tcW w:w="775" w:type="pct"/>
            <w:shd w:val="clear" w:color="auto" w:fill="auto"/>
            <w:hideMark/>
          </w:tcPr>
          <w:p w14:paraId="480FB890"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577,8</w:t>
            </w:r>
          </w:p>
        </w:tc>
        <w:tc>
          <w:tcPr>
            <w:tcW w:w="776" w:type="pct"/>
            <w:shd w:val="clear" w:color="auto" w:fill="auto"/>
            <w:hideMark/>
          </w:tcPr>
          <w:p w14:paraId="1E283F43"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593,8</w:t>
            </w:r>
          </w:p>
        </w:tc>
        <w:tc>
          <w:tcPr>
            <w:tcW w:w="775" w:type="pct"/>
          </w:tcPr>
          <w:p w14:paraId="090FA3B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2,8</w:t>
            </w:r>
          </w:p>
        </w:tc>
        <w:tc>
          <w:tcPr>
            <w:tcW w:w="776" w:type="pct"/>
            <w:shd w:val="clear" w:color="auto" w:fill="auto"/>
            <w:hideMark/>
          </w:tcPr>
          <w:p w14:paraId="38095E8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3,9</w:t>
            </w:r>
          </w:p>
        </w:tc>
      </w:tr>
      <w:tr w:rsidR="001940DA" w:rsidRPr="001940DA" w14:paraId="2CA5ABE0" w14:textId="77777777" w:rsidTr="001940DA">
        <w:trPr>
          <w:trHeight w:val="20"/>
          <w:tblHeader/>
          <w:jc w:val="right"/>
        </w:trPr>
        <w:tc>
          <w:tcPr>
            <w:tcW w:w="1899" w:type="pct"/>
            <w:shd w:val="clear" w:color="auto" w:fill="auto"/>
            <w:noWrap/>
            <w:vAlign w:val="center"/>
            <w:hideMark/>
          </w:tcPr>
          <w:p w14:paraId="1201DF98"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од чега пензије</w:t>
            </w:r>
          </w:p>
        </w:tc>
        <w:tc>
          <w:tcPr>
            <w:tcW w:w="775" w:type="pct"/>
            <w:shd w:val="clear" w:color="auto" w:fill="auto"/>
            <w:hideMark/>
          </w:tcPr>
          <w:p w14:paraId="6CEB7FB7"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419,9</w:t>
            </w:r>
          </w:p>
        </w:tc>
        <w:tc>
          <w:tcPr>
            <w:tcW w:w="776" w:type="pct"/>
            <w:shd w:val="clear" w:color="auto" w:fill="auto"/>
            <w:hideMark/>
          </w:tcPr>
          <w:p w14:paraId="218F83D9"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437,3</w:t>
            </w:r>
          </w:p>
        </w:tc>
        <w:tc>
          <w:tcPr>
            <w:tcW w:w="775" w:type="pct"/>
          </w:tcPr>
          <w:p w14:paraId="19C1D2C2"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4,2</w:t>
            </w:r>
          </w:p>
        </w:tc>
        <w:tc>
          <w:tcPr>
            <w:tcW w:w="776" w:type="pct"/>
            <w:shd w:val="clear" w:color="auto" w:fill="auto"/>
            <w:hideMark/>
          </w:tcPr>
          <w:p w14:paraId="3BBF156C"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4,8</w:t>
            </w:r>
          </w:p>
        </w:tc>
      </w:tr>
      <w:tr w:rsidR="001940DA" w:rsidRPr="001940DA" w14:paraId="2C012EE3" w14:textId="77777777" w:rsidTr="001940DA">
        <w:trPr>
          <w:trHeight w:val="20"/>
          <w:tblHeader/>
          <w:jc w:val="right"/>
        </w:trPr>
        <w:tc>
          <w:tcPr>
            <w:tcW w:w="1899" w:type="pct"/>
            <w:shd w:val="clear" w:color="auto" w:fill="auto"/>
            <w:noWrap/>
            <w:vAlign w:val="center"/>
            <w:hideMark/>
          </w:tcPr>
          <w:p w14:paraId="6ABF6978"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Остали текући расходи</w:t>
            </w:r>
          </w:p>
        </w:tc>
        <w:tc>
          <w:tcPr>
            <w:tcW w:w="775" w:type="pct"/>
            <w:shd w:val="clear" w:color="auto" w:fill="auto"/>
            <w:hideMark/>
          </w:tcPr>
          <w:p w14:paraId="4C3E0A2B"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60,7</w:t>
            </w:r>
          </w:p>
        </w:tc>
        <w:tc>
          <w:tcPr>
            <w:tcW w:w="776" w:type="pct"/>
            <w:shd w:val="clear" w:color="auto" w:fill="auto"/>
            <w:hideMark/>
          </w:tcPr>
          <w:p w14:paraId="0318EAD7"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136,7</w:t>
            </w:r>
          </w:p>
        </w:tc>
        <w:tc>
          <w:tcPr>
            <w:tcW w:w="775" w:type="pct"/>
          </w:tcPr>
          <w:p w14:paraId="6DF5FE10"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125,1</w:t>
            </w:r>
          </w:p>
        </w:tc>
        <w:tc>
          <w:tcPr>
            <w:tcW w:w="776" w:type="pct"/>
            <w:shd w:val="clear" w:color="auto" w:fill="auto"/>
            <w:hideMark/>
          </w:tcPr>
          <w:p w14:paraId="1120A25B"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80,6</w:t>
            </w:r>
          </w:p>
        </w:tc>
      </w:tr>
      <w:tr w:rsidR="001940DA" w:rsidRPr="001940DA" w14:paraId="3EC4923A" w14:textId="77777777" w:rsidTr="001940DA">
        <w:trPr>
          <w:trHeight w:val="20"/>
          <w:tblHeader/>
          <w:jc w:val="right"/>
        </w:trPr>
        <w:tc>
          <w:tcPr>
            <w:tcW w:w="1899" w:type="pct"/>
            <w:shd w:val="clear" w:color="auto" w:fill="auto"/>
            <w:noWrap/>
            <w:vAlign w:val="center"/>
            <w:hideMark/>
          </w:tcPr>
          <w:p w14:paraId="44708C49"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Капитални расходи</w:t>
            </w:r>
          </w:p>
        </w:tc>
        <w:tc>
          <w:tcPr>
            <w:tcW w:w="775" w:type="pct"/>
            <w:shd w:val="clear" w:color="auto" w:fill="auto"/>
            <w:hideMark/>
          </w:tcPr>
          <w:p w14:paraId="2CC2B3D9"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152,4</w:t>
            </w:r>
          </w:p>
        </w:tc>
        <w:tc>
          <w:tcPr>
            <w:tcW w:w="776" w:type="pct"/>
            <w:shd w:val="clear" w:color="auto" w:fill="auto"/>
            <w:hideMark/>
          </w:tcPr>
          <w:p w14:paraId="447A51D1"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174,7</w:t>
            </w:r>
          </w:p>
        </w:tc>
        <w:tc>
          <w:tcPr>
            <w:tcW w:w="775" w:type="pct"/>
          </w:tcPr>
          <w:p w14:paraId="23A18B6E"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14,6</w:t>
            </w:r>
          </w:p>
        </w:tc>
        <w:tc>
          <w:tcPr>
            <w:tcW w:w="776" w:type="pct"/>
            <w:shd w:val="clear" w:color="auto" w:fill="auto"/>
            <w:hideMark/>
          </w:tcPr>
          <w:p w14:paraId="076EBFE6"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7,6</w:t>
            </w:r>
          </w:p>
        </w:tc>
      </w:tr>
      <w:tr w:rsidR="001940DA" w:rsidRPr="001940DA" w14:paraId="171D6FD4" w14:textId="77777777" w:rsidTr="001940DA">
        <w:trPr>
          <w:trHeight w:val="20"/>
          <w:tblHeader/>
          <w:jc w:val="right"/>
        </w:trPr>
        <w:tc>
          <w:tcPr>
            <w:tcW w:w="1899" w:type="pct"/>
            <w:shd w:val="clear" w:color="auto" w:fill="auto"/>
            <w:noWrap/>
            <w:vAlign w:val="center"/>
            <w:hideMark/>
          </w:tcPr>
          <w:p w14:paraId="162A9357"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Нето буџетске позајмице</w:t>
            </w:r>
          </w:p>
        </w:tc>
        <w:tc>
          <w:tcPr>
            <w:tcW w:w="775" w:type="pct"/>
            <w:shd w:val="clear" w:color="auto" w:fill="auto"/>
            <w:hideMark/>
          </w:tcPr>
          <w:p w14:paraId="7A632307"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4,6</w:t>
            </w:r>
          </w:p>
        </w:tc>
        <w:tc>
          <w:tcPr>
            <w:tcW w:w="776" w:type="pct"/>
            <w:shd w:val="clear" w:color="auto" w:fill="auto"/>
            <w:hideMark/>
          </w:tcPr>
          <w:p w14:paraId="4843CD1C"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22,5</w:t>
            </w:r>
          </w:p>
        </w:tc>
        <w:tc>
          <w:tcPr>
            <w:tcW w:w="775" w:type="pct"/>
          </w:tcPr>
          <w:p w14:paraId="6C2097E4"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386,9</w:t>
            </w:r>
          </w:p>
        </w:tc>
        <w:tc>
          <w:tcPr>
            <w:tcW w:w="776" w:type="pct"/>
            <w:shd w:val="clear" w:color="auto" w:fill="auto"/>
            <w:hideMark/>
          </w:tcPr>
          <w:p w14:paraId="396FF52C"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284,8</w:t>
            </w:r>
          </w:p>
        </w:tc>
      </w:tr>
      <w:tr w:rsidR="001940DA" w:rsidRPr="001940DA" w14:paraId="6B5FA8AC" w14:textId="77777777" w:rsidTr="001940DA">
        <w:trPr>
          <w:trHeight w:val="20"/>
          <w:tblHeader/>
          <w:jc w:val="right"/>
        </w:trPr>
        <w:tc>
          <w:tcPr>
            <w:tcW w:w="1899" w:type="pct"/>
            <w:shd w:val="clear" w:color="auto" w:fill="auto"/>
            <w:noWrap/>
            <w:vAlign w:val="center"/>
            <w:hideMark/>
          </w:tcPr>
          <w:p w14:paraId="5F57DF7F"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Активиране гаранције</w:t>
            </w:r>
          </w:p>
        </w:tc>
        <w:tc>
          <w:tcPr>
            <w:tcW w:w="775" w:type="pct"/>
            <w:shd w:val="clear" w:color="auto" w:fill="auto"/>
            <w:hideMark/>
          </w:tcPr>
          <w:p w14:paraId="4925EFEA"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8,6</w:t>
            </w:r>
          </w:p>
        </w:tc>
        <w:tc>
          <w:tcPr>
            <w:tcW w:w="776" w:type="pct"/>
            <w:shd w:val="clear" w:color="auto" w:fill="auto"/>
            <w:hideMark/>
          </w:tcPr>
          <w:p w14:paraId="4F71C99C"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5,7</w:t>
            </w:r>
          </w:p>
        </w:tc>
        <w:tc>
          <w:tcPr>
            <w:tcW w:w="775" w:type="pct"/>
          </w:tcPr>
          <w:p w14:paraId="5B504B33"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-34,2</w:t>
            </w:r>
          </w:p>
        </w:tc>
        <w:tc>
          <w:tcPr>
            <w:tcW w:w="776" w:type="pct"/>
            <w:shd w:val="clear" w:color="auto" w:fill="auto"/>
            <w:hideMark/>
          </w:tcPr>
          <w:p w14:paraId="3261C217" w14:textId="77777777" w:rsidR="001901FC" w:rsidRPr="001940DA" w:rsidRDefault="001901FC" w:rsidP="00FB7FB1">
            <w:pPr>
              <w:spacing w:after="0" w:line="240" w:lineRule="auto"/>
              <w:ind w:right="510"/>
              <w:jc w:val="right"/>
              <w:rPr>
                <w:rFonts w:cstheme="minorHAnsi"/>
                <w:color w:val="002060"/>
                <w:sz w:val="18"/>
                <w:szCs w:val="18"/>
                <w:lang w:val="sr-Cyrl-RS"/>
              </w:rPr>
            </w:pPr>
            <w:r w:rsidRPr="001940DA">
              <w:rPr>
                <w:color w:val="002060"/>
                <w:sz w:val="18"/>
                <w:szCs w:val="18"/>
                <w:lang w:val="sr-Cyrl-RS"/>
              </w:rPr>
              <w:t>-27,7</w:t>
            </w:r>
          </w:p>
        </w:tc>
      </w:tr>
      <w:tr w:rsidR="001940DA" w:rsidRPr="001940DA" w14:paraId="37CD1A0E" w14:textId="77777777" w:rsidTr="001940DA">
        <w:trPr>
          <w:trHeight w:val="20"/>
          <w:tblHeader/>
          <w:jc w:val="right"/>
        </w:trPr>
        <w:tc>
          <w:tcPr>
            <w:tcW w:w="1899" w:type="pct"/>
            <w:tcBorders>
              <w:bottom w:val="single" w:sz="4" w:space="0" w:color="002060"/>
            </w:tcBorders>
            <w:shd w:val="clear" w:color="auto" w:fill="E7E6E6" w:themeFill="background2"/>
            <w:noWrap/>
            <w:vAlign w:val="center"/>
            <w:hideMark/>
          </w:tcPr>
          <w:p w14:paraId="4FD6B0CA" w14:textId="77777777" w:rsidR="001901FC" w:rsidRPr="001940DA" w:rsidRDefault="001901FC" w:rsidP="00FE1A26">
            <w:pPr>
              <w:spacing w:after="0" w:line="240" w:lineRule="auto"/>
              <w:jc w:val="left"/>
              <w:rPr>
                <w:rFonts w:cstheme="minorHAnsi"/>
                <w:color w:val="002060"/>
                <w:sz w:val="18"/>
                <w:szCs w:val="18"/>
                <w:lang w:val="sr-Cyrl-RS"/>
              </w:rPr>
            </w:pPr>
            <w:r w:rsidRPr="001940DA">
              <w:rPr>
                <w:rFonts w:cstheme="minorHAnsi"/>
                <w:color w:val="002060"/>
                <w:sz w:val="18"/>
                <w:szCs w:val="18"/>
                <w:lang w:val="sr-Cyrl-RS"/>
              </w:rPr>
              <w:t>Фискални резултат</w:t>
            </w:r>
          </w:p>
        </w:tc>
        <w:tc>
          <w:tcPr>
            <w:tcW w:w="775" w:type="pct"/>
            <w:tcBorders>
              <w:bottom w:val="single" w:sz="4" w:space="0" w:color="002060"/>
            </w:tcBorders>
            <w:shd w:val="clear" w:color="auto" w:fill="E7E6E6" w:themeFill="background2"/>
            <w:hideMark/>
          </w:tcPr>
          <w:p w14:paraId="7A491B35"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35,1</w:t>
            </w:r>
          </w:p>
        </w:tc>
        <w:tc>
          <w:tcPr>
            <w:tcW w:w="776" w:type="pct"/>
            <w:tcBorders>
              <w:bottom w:val="single" w:sz="4" w:space="0" w:color="002060"/>
            </w:tcBorders>
            <w:shd w:val="clear" w:color="auto" w:fill="E7E6E6" w:themeFill="background2"/>
            <w:hideMark/>
          </w:tcPr>
          <w:p w14:paraId="61A5BAAF" w14:textId="77777777" w:rsidR="001901FC" w:rsidRPr="001940DA" w:rsidRDefault="001901FC" w:rsidP="00FB7FB1">
            <w:pPr>
              <w:spacing w:after="0" w:line="240" w:lineRule="auto"/>
              <w:ind w:right="340"/>
              <w:jc w:val="right"/>
              <w:rPr>
                <w:rFonts w:cstheme="minorHAnsi"/>
                <w:color w:val="002060"/>
                <w:sz w:val="18"/>
                <w:szCs w:val="18"/>
                <w:lang w:val="sr-Cyrl-RS"/>
              </w:rPr>
            </w:pPr>
            <w:r w:rsidRPr="001940DA">
              <w:rPr>
                <w:color w:val="002060"/>
                <w:sz w:val="18"/>
                <w:szCs w:val="18"/>
                <w:lang w:val="sr-Cyrl-RS"/>
              </w:rPr>
              <w:t>-360,8</w:t>
            </w:r>
          </w:p>
        </w:tc>
        <w:tc>
          <w:tcPr>
            <w:tcW w:w="775" w:type="pct"/>
            <w:tcBorders>
              <w:bottom w:val="single" w:sz="4" w:space="0" w:color="002060"/>
            </w:tcBorders>
            <w:shd w:val="clear" w:color="auto" w:fill="E7E6E6" w:themeFill="background2"/>
          </w:tcPr>
          <w:p w14:paraId="2DF7C449" w14:textId="77777777" w:rsidR="001901FC" w:rsidRPr="001940DA" w:rsidRDefault="001901FC" w:rsidP="00FE1A26">
            <w:pPr>
              <w:spacing w:after="0" w:line="240" w:lineRule="auto"/>
              <w:ind w:right="737"/>
              <w:jc w:val="right"/>
              <w:rPr>
                <w:rFonts w:cstheme="minorHAnsi"/>
                <w:color w:val="002060"/>
                <w:sz w:val="18"/>
                <w:szCs w:val="18"/>
                <w:lang w:val="sr-Cyrl-RS"/>
              </w:rPr>
            </w:pPr>
          </w:p>
        </w:tc>
        <w:tc>
          <w:tcPr>
            <w:tcW w:w="776" w:type="pct"/>
            <w:tcBorders>
              <w:bottom w:val="single" w:sz="4" w:space="0" w:color="002060"/>
            </w:tcBorders>
            <w:shd w:val="clear" w:color="auto" w:fill="E7E6E6" w:themeFill="background2"/>
            <w:hideMark/>
          </w:tcPr>
          <w:p w14:paraId="1531EFE6" w14:textId="77777777" w:rsidR="001901FC" w:rsidRPr="001940DA" w:rsidRDefault="001901FC" w:rsidP="00FE1A26">
            <w:pPr>
              <w:spacing w:after="0" w:line="240" w:lineRule="auto"/>
              <w:ind w:right="737"/>
              <w:jc w:val="right"/>
              <w:rPr>
                <w:rFonts w:cstheme="minorHAnsi"/>
                <w:color w:val="002060"/>
                <w:sz w:val="18"/>
                <w:szCs w:val="18"/>
                <w:lang w:val="sr-Cyrl-RS"/>
              </w:rPr>
            </w:pPr>
          </w:p>
        </w:tc>
      </w:tr>
    </w:tbl>
    <w:p w14:paraId="482A9C43" w14:textId="3A29979F" w:rsidR="001901FC" w:rsidRPr="00EA3D8C" w:rsidRDefault="001901FC" w:rsidP="00E55A7C">
      <w:pPr>
        <w:tabs>
          <w:tab w:val="left" w:pos="623"/>
        </w:tabs>
        <w:spacing w:after="0" w:line="240" w:lineRule="auto"/>
        <w:rPr>
          <w:lang w:val="sr-Cyrl-RS" w:eastAsia="ja-JP"/>
        </w:rPr>
      </w:pPr>
      <w:r w:rsidRPr="00EA3D8C">
        <w:rPr>
          <w:rFonts w:eastAsia="Calibri" w:cstheme="minorHAnsi"/>
          <w:bCs/>
          <w:sz w:val="16"/>
          <w:szCs w:val="16"/>
          <w:lang w:val="sr-Cyrl-RS" w:eastAsia="ja-JP"/>
        </w:rPr>
        <w:t xml:space="preserve">Извор: </w:t>
      </w:r>
      <w:r w:rsidRPr="00EA3D8C">
        <w:rPr>
          <w:rFonts w:cstheme="minorHAnsi"/>
          <w:sz w:val="16"/>
          <w:szCs w:val="16"/>
          <w:lang w:val="sr-Cyrl-RS"/>
        </w:rPr>
        <w:t>Министарство финансија</w:t>
      </w:r>
    </w:p>
    <w:p w14:paraId="25B99D98" w14:textId="77777777" w:rsidR="001901FC" w:rsidRPr="00EA3D8C" w:rsidRDefault="001901FC" w:rsidP="00FE1A26">
      <w:pPr>
        <w:rPr>
          <w:lang w:val="sr-Cyrl-RS" w:eastAsia="ja-JP"/>
        </w:rPr>
        <w:sectPr w:rsidR="001901FC" w:rsidRPr="00EA3D8C" w:rsidSect="00AE40EB">
          <w:type w:val="continuous"/>
          <w:pgSz w:w="12240" w:h="15840" w:code="1"/>
          <w:pgMar w:top="1440" w:right="1440" w:bottom="1440" w:left="1440" w:header="720" w:footer="720" w:gutter="0"/>
          <w:cols w:space="720"/>
          <w:docGrid w:linePitch="360"/>
        </w:sectPr>
      </w:pPr>
    </w:p>
    <w:p w14:paraId="0B3DF88C" w14:textId="77777777" w:rsidR="0084203C" w:rsidRDefault="0084203C">
      <w:pPr>
        <w:jc w:val="left"/>
        <w:rPr>
          <w:rFonts w:eastAsia="MS PGothic" w:cstheme="minorHAnsi"/>
          <w:szCs w:val="20"/>
          <w:lang w:val="sr-Cyrl-RS" w:eastAsia="ja-JP"/>
        </w:rPr>
      </w:pPr>
      <w:r>
        <w:rPr>
          <w:rFonts w:eastAsia="MS PGothic" w:cstheme="minorHAnsi"/>
          <w:szCs w:val="20"/>
          <w:lang w:val="sr-Cyrl-RS" w:eastAsia="ja-JP"/>
        </w:rPr>
        <w:lastRenderedPageBreak/>
        <w:br w:type="page"/>
      </w:r>
    </w:p>
    <w:p w14:paraId="5CDF8F3B" w14:textId="7FB62F35" w:rsidR="001901FC" w:rsidRPr="00EA3D8C" w:rsidRDefault="001901FC" w:rsidP="0084203C">
      <w:pPr>
        <w:widowControl w:val="0"/>
        <w:rPr>
          <w:rFonts w:eastAsia="MS PGothic" w:cstheme="minorHAnsi"/>
          <w:szCs w:val="20"/>
          <w:lang w:val="sr-Cyrl-RS" w:eastAsia="ja-JP"/>
        </w:rPr>
      </w:pPr>
      <w:r w:rsidRPr="00EA3D8C">
        <w:rPr>
          <w:rFonts w:eastAsia="MS PGothic" w:cstheme="minorHAnsi"/>
          <w:szCs w:val="20"/>
          <w:lang w:val="sr-Cyrl-RS" w:eastAsia="ja-JP"/>
        </w:rPr>
        <w:lastRenderedPageBreak/>
        <w:t xml:space="preserve">Стање доцњи (преко 60 дана кашњења)* буџетских корисника и организација обавезног социјалног осигурања последњег дана септембра 2020. године износило је 6,7 млрд динара (око 0,05% БДП), и повећано је у односу на </w:t>
      </w:r>
      <w:r w:rsidR="00417419">
        <w:rPr>
          <w:rFonts w:eastAsia="MS PGothic" w:cstheme="minorHAnsi"/>
          <w:szCs w:val="20"/>
          <w:lang w:val="sr-Cyrl-RS" w:eastAsia="ja-JP"/>
        </w:rPr>
        <w:t xml:space="preserve">крај 2019. године за 0,9 млрд </w:t>
      </w:r>
      <w:r w:rsidR="00417419">
        <w:rPr>
          <w:rFonts w:eastAsia="MS PGothic" w:cstheme="minorHAnsi"/>
          <w:szCs w:val="20"/>
          <w:lang w:val="sr-Cyrl-RS" w:eastAsia="ja-JP"/>
        </w:rPr>
        <w:lastRenderedPageBreak/>
        <w:t>ди</w:t>
      </w:r>
      <w:r w:rsidRPr="00EA3D8C">
        <w:rPr>
          <w:rFonts w:eastAsia="MS PGothic" w:cstheme="minorHAnsi"/>
          <w:szCs w:val="20"/>
          <w:lang w:val="sr-Cyrl-RS" w:eastAsia="ja-JP"/>
        </w:rPr>
        <w:t>нара. Корисници буџета и ЈП „Путеви Србије” креирали су доцње у плаћању од 5,3 млрд динара, док је стање доцњи организација обавезног социјалног осигурања 1,4 млрд динара.</w:t>
      </w:r>
    </w:p>
    <w:p w14:paraId="0786C16C" w14:textId="77777777" w:rsidR="001901FC" w:rsidRPr="00EA3D8C" w:rsidRDefault="001901FC" w:rsidP="00FE1A26">
      <w:pPr>
        <w:rPr>
          <w:rFonts w:eastAsia="MS PGothic" w:cstheme="minorHAnsi"/>
          <w:b/>
          <w:color w:val="002060"/>
          <w:szCs w:val="20"/>
          <w:highlight w:val="yellow"/>
          <w:lang w:val="sr-Cyrl-RS" w:eastAsia="ja-JP"/>
        </w:rPr>
        <w:sectPr w:rsidR="001901FC" w:rsidRPr="00EA3D8C" w:rsidSect="00AE40EB">
          <w:headerReference w:type="even" r:id="rId126"/>
          <w:headerReference w:type="default" r:id="rId127"/>
          <w:footerReference w:type="even" r:id="rId128"/>
          <w:footerReference w:type="default" r:id="rId129"/>
          <w:headerReference w:type="first" r:id="rId130"/>
          <w:type w:val="continuous"/>
          <w:pgSz w:w="12240" w:h="15840" w:code="1"/>
          <w:pgMar w:top="1440" w:right="1440" w:bottom="1440" w:left="1440" w:header="720" w:footer="720" w:gutter="0"/>
          <w:cols w:num="2" w:space="332"/>
          <w:docGrid w:linePitch="360"/>
        </w:sectPr>
      </w:pPr>
    </w:p>
    <w:p w14:paraId="57B710CB" w14:textId="6F5A4407" w:rsidR="001901FC" w:rsidRPr="00EA3D8C" w:rsidRDefault="00EC4017" w:rsidP="005E54B2">
      <w:pPr>
        <w:spacing w:before="360" w:after="120"/>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8</w:t>
      </w:r>
      <w:r w:rsidR="001901FC" w:rsidRPr="00EA3D8C">
        <w:rPr>
          <w:rFonts w:eastAsia="MS PGothic" w:cstheme="minorHAnsi"/>
          <w:b/>
          <w:color w:val="002060"/>
          <w:szCs w:val="20"/>
          <w:lang w:val="sr-Cyrl-RS" w:eastAsia="ja-JP"/>
        </w:rPr>
        <w:t>. Стање доцни буџетских корисника и ООСО, 2019. и јануар–септембар 2020. године, у млрд динара</w:t>
      </w:r>
    </w:p>
    <w:tbl>
      <w:tblPr>
        <w:tblStyle w:val="LightShading-Accent33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1901FC" w:rsidRPr="00EA3D8C" w14:paraId="269D1C6B" w14:textId="77777777" w:rsidTr="00FE1A26">
        <w:trPr>
          <w:cnfStyle w:val="100000000000" w:firstRow="1" w:lastRow="0" w:firstColumn="0" w:lastColumn="0" w:oddVBand="0" w:evenVBand="0" w:oddHBand="0"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left w:val="none" w:sz="0" w:space="0" w:color="auto"/>
              <w:bottom w:val="none" w:sz="0" w:space="0" w:color="auto"/>
              <w:right w:val="none" w:sz="0" w:space="0" w:color="auto"/>
            </w:tcBorders>
            <w:shd w:val="clear" w:color="auto" w:fill="auto"/>
            <w:noWrap/>
            <w:hideMark/>
          </w:tcPr>
          <w:p w14:paraId="250C1D4E" w14:textId="77777777" w:rsidR="001901FC" w:rsidRPr="00EA3D8C" w:rsidRDefault="001901FC" w:rsidP="00FE1A26">
            <w:pPr>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 </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5CCCFFD8" w14:textId="4285375E" w:rsidR="001901FC" w:rsidRPr="00EA3D8C" w:rsidRDefault="001901FC"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31.12.2019</w:t>
            </w:r>
            <w:r w:rsidR="00411215" w:rsidRPr="00EA3D8C">
              <w:rPr>
                <w:rFonts w:asciiTheme="minorHAnsi" w:hAnsiTheme="minorHAnsi" w:cstheme="minorHAnsi"/>
                <w:b w:val="0"/>
                <w:color w:val="002060"/>
                <w:sz w:val="18"/>
                <w:lang w:val="sr-Cyrl-RS"/>
              </w:rPr>
              <w:t>.</w:t>
            </w:r>
          </w:p>
        </w:tc>
        <w:tc>
          <w:tcPr>
            <w:tcW w:w="1008" w:type="pct"/>
            <w:tcBorders>
              <w:top w:val="single" w:sz="4" w:space="0" w:color="002060"/>
              <w:left w:val="none" w:sz="0" w:space="0" w:color="auto"/>
              <w:bottom w:val="single" w:sz="4" w:space="0" w:color="002060"/>
              <w:right w:val="none" w:sz="0" w:space="0" w:color="auto"/>
            </w:tcBorders>
            <w:shd w:val="clear" w:color="auto" w:fill="auto"/>
          </w:tcPr>
          <w:p w14:paraId="3F7FD863" w14:textId="77777777" w:rsidR="001901FC" w:rsidRPr="00EA3D8C" w:rsidRDefault="001901FC"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30.09.2020.</w:t>
            </w:r>
          </w:p>
        </w:tc>
      </w:tr>
      <w:tr w:rsidR="001901FC" w:rsidRPr="00EA3D8C" w14:paraId="22E8AFBD" w14:textId="77777777" w:rsidTr="00FE1A26">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2984" w:type="pct"/>
            <w:tcBorders>
              <w:left w:val="none" w:sz="0" w:space="0" w:color="auto"/>
              <w:right w:val="none" w:sz="0" w:space="0" w:color="auto"/>
            </w:tcBorders>
            <w:shd w:val="clear" w:color="auto" w:fill="auto"/>
            <w:noWrap/>
            <w:hideMark/>
          </w:tcPr>
          <w:p w14:paraId="7457EF2A" w14:textId="77777777" w:rsidR="001901FC" w:rsidRPr="00EA3D8C" w:rsidRDefault="001901FC" w:rsidP="00FE1A26">
            <w:pPr>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 xml:space="preserve">Буџетски корисници и ЈП „Путеви Србијеˮ </w:t>
            </w:r>
          </w:p>
        </w:tc>
        <w:tc>
          <w:tcPr>
            <w:tcW w:w="1008" w:type="pct"/>
            <w:tcBorders>
              <w:top w:val="single" w:sz="4" w:space="0" w:color="002060"/>
              <w:left w:val="none" w:sz="0" w:space="0" w:color="auto"/>
              <w:right w:val="none" w:sz="0" w:space="0" w:color="auto"/>
            </w:tcBorders>
            <w:shd w:val="clear" w:color="auto" w:fill="auto"/>
          </w:tcPr>
          <w:p w14:paraId="6C7F043C" w14:textId="77777777" w:rsidR="001901FC" w:rsidRPr="00EA3D8C" w:rsidRDefault="001901FC"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4,4</w:t>
            </w:r>
          </w:p>
        </w:tc>
        <w:tc>
          <w:tcPr>
            <w:tcW w:w="1008" w:type="pct"/>
            <w:tcBorders>
              <w:top w:val="single" w:sz="4" w:space="0" w:color="002060"/>
              <w:left w:val="none" w:sz="0" w:space="0" w:color="auto"/>
              <w:right w:val="none" w:sz="0" w:space="0" w:color="auto"/>
            </w:tcBorders>
            <w:shd w:val="clear" w:color="auto" w:fill="auto"/>
          </w:tcPr>
          <w:p w14:paraId="5FD253E0" w14:textId="77777777" w:rsidR="001901FC" w:rsidRPr="00EA3D8C" w:rsidRDefault="001901FC"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5,3</w:t>
            </w:r>
          </w:p>
        </w:tc>
      </w:tr>
      <w:tr w:rsidR="001901FC" w:rsidRPr="00EA3D8C" w14:paraId="70F345FB" w14:textId="77777777" w:rsidTr="00FE1A26">
        <w:trPr>
          <w:trHeight w:val="154"/>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53AAA6B2" w14:textId="77777777" w:rsidR="001901FC" w:rsidRPr="00EA3D8C" w:rsidRDefault="001901FC" w:rsidP="00FE1A26">
            <w:pPr>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ООСО</w:t>
            </w:r>
          </w:p>
        </w:tc>
        <w:tc>
          <w:tcPr>
            <w:tcW w:w="1008" w:type="pct"/>
            <w:shd w:val="clear" w:color="auto" w:fill="auto"/>
          </w:tcPr>
          <w:p w14:paraId="54C9EDFA" w14:textId="77777777" w:rsidR="001901FC" w:rsidRPr="00EA3D8C" w:rsidRDefault="001901FC"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1,4</w:t>
            </w:r>
          </w:p>
        </w:tc>
        <w:tc>
          <w:tcPr>
            <w:tcW w:w="1008" w:type="pct"/>
            <w:shd w:val="clear" w:color="auto" w:fill="auto"/>
          </w:tcPr>
          <w:p w14:paraId="61BB7E90" w14:textId="77777777" w:rsidR="001901FC" w:rsidRPr="00EA3D8C" w:rsidRDefault="001901FC"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1,4</w:t>
            </w:r>
          </w:p>
        </w:tc>
      </w:tr>
      <w:tr w:rsidR="001901FC" w:rsidRPr="00EA3D8C" w14:paraId="1AC5CD5C" w14:textId="77777777" w:rsidTr="00FE1A2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84" w:type="pct"/>
            <w:tcBorders>
              <w:left w:val="none" w:sz="0" w:space="0" w:color="auto"/>
              <w:bottom w:val="single" w:sz="4" w:space="0" w:color="002060"/>
              <w:right w:val="none" w:sz="0" w:space="0" w:color="auto"/>
            </w:tcBorders>
            <w:shd w:val="clear" w:color="auto" w:fill="auto"/>
            <w:noWrap/>
            <w:hideMark/>
          </w:tcPr>
          <w:p w14:paraId="3FD0AF10" w14:textId="77777777" w:rsidR="001901FC" w:rsidRPr="00EA3D8C" w:rsidRDefault="001901FC" w:rsidP="00FE1A26">
            <w:pPr>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УКУПНО</w:t>
            </w:r>
          </w:p>
        </w:tc>
        <w:tc>
          <w:tcPr>
            <w:tcW w:w="1008" w:type="pct"/>
            <w:tcBorders>
              <w:left w:val="none" w:sz="0" w:space="0" w:color="auto"/>
              <w:bottom w:val="single" w:sz="4" w:space="0" w:color="002060"/>
              <w:right w:val="none" w:sz="0" w:space="0" w:color="auto"/>
            </w:tcBorders>
            <w:shd w:val="clear" w:color="auto" w:fill="auto"/>
          </w:tcPr>
          <w:p w14:paraId="43D8BC79" w14:textId="77777777" w:rsidR="001901FC" w:rsidRPr="00EA3D8C" w:rsidRDefault="001901FC"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5,8</w:t>
            </w:r>
          </w:p>
        </w:tc>
        <w:tc>
          <w:tcPr>
            <w:tcW w:w="1008" w:type="pct"/>
            <w:tcBorders>
              <w:left w:val="none" w:sz="0" w:space="0" w:color="auto"/>
              <w:bottom w:val="single" w:sz="4" w:space="0" w:color="002060"/>
              <w:right w:val="none" w:sz="0" w:space="0" w:color="auto"/>
            </w:tcBorders>
            <w:shd w:val="clear" w:color="auto" w:fill="auto"/>
          </w:tcPr>
          <w:p w14:paraId="6CC3489E" w14:textId="77777777" w:rsidR="001901FC" w:rsidRPr="00EA3D8C" w:rsidRDefault="001901FC"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EA3D8C">
              <w:rPr>
                <w:rFonts w:asciiTheme="minorHAnsi" w:hAnsiTheme="minorHAnsi" w:cstheme="minorHAnsi"/>
                <w:color w:val="002060"/>
                <w:sz w:val="18"/>
                <w:lang w:val="sr-Cyrl-RS"/>
              </w:rPr>
              <w:t>6,7</w:t>
            </w:r>
          </w:p>
        </w:tc>
      </w:tr>
    </w:tbl>
    <w:p w14:paraId="316414EB" w14:textId="77777777" w:rsidR="001901FC" w:rsidRPr="00EA3D8C" w:rsidRDefault="001901FC" w:rsidP="00FE1A26">
      <w:pPr>
        <w:spacing w:before="40" w:after="0" w:line="240" w:lineRule="auto"/>
        <w:rPr>
          <w:rFonts w:cstheme="minorHAnsi"/>
          <w:sz w:val="16"/>
          <w:szCs w:val="20"/>
          <w:lang w:val="sr-Cyrl-RS"/>
        </w:rPr>
      </w:pPr>
      <w:r w:rsidRPr="00EA3D8C">
        <w:rPr>
          <w:rFonts w:eastAsia="Calibri" w:cstheme="minorHAnsi"/>
          <w:bCs/>
          <w:sz w:val="16"/>
          <w:szCs w:val="20"/>
          <w:lang w:val="sr-Cyrl-RS" w:eastAsia="ja-JP"/>
        </w:rPr>
        <w:t xml:space="preserve">Извор: </w:t>
      </w:r>
      <w:r w:rsidRPr="00EA3D8C">
        <w:rPr>
          <w:rFonts w:cstheme="minorHAnsi"/>
          <w:sz w:val="16"/>
          <w:szCs w:val="20"/>
          <w:lang w:val="sr-Cyrl-RS"/>
        </w:rPr>
        <w:t>Министарство финансија</w:t>
      </w:r>
    </w:p>
    <w:p w14:paraId="678354AF" w14:textId="77777777" w:rsidR="001901FC" w:rsidRPr="00EA3D8C" w:rsidRDefault="001901FC" w:rsidP="00FE1A26">
      <w:pPr>
        <w:spacing w:after="0" w:line="240" w:lineRule="auto"/>
        <w:rPr>
          <w:rFonts w:eastAsia="MS PGothic" w:cstheme="minorHAnsi"/>
          <w:b/>
          <w:color w:val="002060"/>
          <w:szCs w:val="20"/>
          <w:highlight w:val="yellow"/>
          <w:lang w:val="sr-Cyrl-RS" w:eastAsia="ja-JP"/>
        </w:rPr>
      </w:pPr>
      <w:r w:rsidRPr="00EA3D8C">
        <w:rPr>
          <w:rFonts w:eastAsia="MS PGothic" w:cstheme="minorHAnsi"/>
          <w:sz w:val="16"/>
          <w:szCs w:val="16"/>
          <w:lang w:val="sr-Cyrl-RS" w:eastAsia="ja-JP"/>
        </w:rPr>
        <w:t>* У складу са дефиницијом која се користи у за потребе праћења спровођења аранжмана са ММФ.</w:t>
      </w:r>
    </w:p>
    <w:p w14:paraId="3454AB32" w14:textId="77777777" w:rsidR="001901FC" w:rsidRPr="00EA3D8C" w:rsidRDefault="001901FC" w:rsidP="00FE1A26">
      <w:pPr>
        <w:spacing w:after="240" w:line="240" w:lineRule="auto"/>
        <w:rPr>
          <w:rFonts w:eastAsia="MS PGothic" w:cstheme="minorHAnsi"/>
          <w:b/>
          <w:color w:val="002060"/>
          <w:szCs w:val="20"/>
          <w:highlight w:val="yellow"/>
          <w:lang w:val="sr-Cyrl-RS" w:eastAsia="ja-JP"/>
        </w:rPr>
      </w:pPr>
    </w:p>
    <w:p w14:paraId="2F386D0A" w14:textId="77777777" w:rsidR="001901FC" w:rsidRPr="00EA3D8C" w:rsidRDefault="001901FC" w:rsidP="00FE1A26">
      <w:pPr>
        <w:spacing w:after="240" w:line="240" w:lineRule="auto"/>
        <w:rPr>
          <w:rFonts w:eastAsia="MS PGothic" w:cstheme="minorHAnsi"/>
          <w:b/>
          <w:color w:val="002060"/>
          <w:szCs w:val="20"/>
          <w:highlight w:val="yellow"/>
          <w:lang w:val="sr-Cyrl-RS" w:eastAsia="ja-JP"/>
        </w:rPr>
        <w:sectPr w:rsidR="001901FC" w:rsidRPr="00EA3D8C" w:rsidSect="00AE40EB">
          <w:type w:val="continuous"/>
          <w:pgSz w:w="12240" w:h="15840" w:code="1"/>
          <w:pgMar w:top="1440" w:right="1440" w:bottom="1440" w:left="1440" w:header="720" w:footer="720" w:gutter="0"/>
          <w:cols w:space="332"/>
          <w:docGrid w:linePitch="360"/>
        </w:sectPr>
      </w:pPr>
    </w:p>
    <w:p w14:paraId="22BBE43D" w14:textId="77777777" w:rsidR="001901FC" w:rsidRPr="00EA3D8C" w:rsidRDefault="001901FC" w:rsidP="00A251B9">
      <w:pPr>
        <w:spacing w:before="40" w:after="0" w:line="240" w:lineRule="auto"/>
        <w:rPr>
          <w:rFonts w:eastAsia="Calibri" w:cstheme="minorHAnsi"/>
          <w:bCs/>
          <w:sz w:val="16"/>
          <w:szCs w:val="20"/>
          <w:lang w:val="sr-Cyrl-RS" w:eastAsia="ja-JP"/>
        </w:rPr>
      </w:pPr>
      <w:r w:rsidRPr="00EA3D8C">
        <w:rPr>
          <w:rFonts w:cstheme="minorHAnsi"/>
          <w:noProof/>
        </w:rPr>
        <w:lastRenderedPageBreak/>
        <mc:AlternateContent>
          <mc:Choice Requires="wps">
            <w:drawing>
              <wp:anchor distT="0" distB="0" distL="114300" distR="114300" simplePos="0" relativeHeight="251650560" behindDoc="1" locked="0" layoutInCell="1" allowOverlap="1" wp14:anchorId="3B59F3CF" wp14:editId="43166599">
                <wp:simplePos x="0" y="0"/>
                <wp:positionH relativeFrom="margin">
                  <wp:posOffset>-95250</wp:posOffset>
                </wp:positionH>
                <wp:positionV relativeFrom="paragraph">
                  <wp:posOffset>72390</wp:posOffset>
                </wp:positionV>
                <wp:extent cx="6134100" cy="4895850"/>
                <wp:effectExtent l="0" t="0" r="0" b="0"/>
                <wp:wrapNone/>
                <wp:docPr id="52" name="Rectangle 52"/>
                <wp:cNvGraphicFramePr/>
                <a:graphic xmlns:a="http://schemas.openxmlformats.org/drawingml/2006/main">
                  <a:graphicData uri="http://schemas.microsoft.com/office/word/2010/wordprocessingShape">
                    <wps:wsp>
                      <wps:cNvSpPr/>
                      <wps:spPr>
                        <a:xfrm>
                          <a:off x="0" y="0"/>
                          <a:ext cx="6134100" cy="489585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5D70FF36" id="Rectangle 52" o:spid="_x0000_s1026" style="position:absolute;margin-left:-7.5pt;margin-top:5.7pt;width:483pt;height:385.5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" fillcolor="#d8d8d8 [2732]" stroked="f" strokeweight="1pt">
                <v:fill r:id="rId131" o:title="" color2="white [3212]" type="pattern"/>
                <w10:wrap anchorx="margin"/>
              </v:rect>
            </w:pict>
          </mc:Fallback>
        </mc:AlternateContent>
      </w:r>
    </w:p>
    <w:p w14:paraId="1D2FB634" w14:textId="77777777" w:rsidR="001901FC" w:rsidRPr="00EA3D8C" w:rsidRDefault="001901FC" w:rsidP="00FE1A26">
      <w:pPr>
        <w:spacing w:after="0" w:line="240" w:lineRule="auto"/>
        <w:jc w:val="center"/>
        <w:rPr>
          <w:rFonts w:cstheme="minorHAnsi"/>
          <w:b/>
          <w:color w:val="2F5496" w:themeColor="accent1" w:themeShade="BF"/>
          <w:sz w:val="24"/>
          <w:szCs w:val="24"/>
          <w:lang w:val="sr-Cyrl-RS"/>
        </w:rPr>
        <w:sectPr w:rsidR="001901FC" w:rsidRPr="00EA3D8C" w:rsidSect="00AE40EB">
          <w:type w:val="continuous"/>
          <w:pgSz w:w="12240" w:h="15840" w:code="1"/>
          <w:pgMar w:top="1440" w:right="1440" w:bottom="1440" w:left="1440" w:header="720" w:footer="720" w:gutter="0"/>
          <w:cols w:space="720"/>
          <w:docGrid w:linePitch="360"/>
        </w:sectPr>
      </w:pPr>
      <w:r w:rsidRPr="00EA3D8C">
        <w:rPr>
          <w:rFonts w:cstheme="minorHAnsi"/>
          <w:b/>
          <w:color w:val="2F5496" w:themeColor="accent1" w:themeShade="BF"/>
          <w:sz w:val="24"/>
          <w:szCs w:val="24"/>
          <w:lang w:val="sr-Cyrl-RS"/>
        </w:rPr>
        <w:t>S0 индикатор краткорочне фискалне одрживости</w:t>
      </w:r>
    </w:p>
    <w:p w14:paraId="4A6DABA7" w14:textId="77777777" w:rsidR="001901FC" w:rsidRPr="00EA3D8C" w:rsidRDefault="001901FC" w:rsidP="00FE1A26">
      <w:pPr>
        <w:spacing w:after="0" w:line="240" w:lineRule="auto"/>
        <w:jc w:val="center"/>
        <w:rPr>
          <w:rFonts w:cstheme="minorHAnsi"/>
          <w:b/>
          <w:color w:val="2F5496" w:themeColor="accent1" w:themeShade="BF"/>
          <w:sz w:val="24"/>
          <w:szCs w:val="24"/>
          <w:lang w:val="sr-Cyrl-RS"/>
        </w:rPr>
      </w:pPr>
    </w:p>
    <w:p w14:paraId="6C5EF96F" w14:textId="77777777" w:rsidR="001901FC" w:rsidRPr="00EA3D8C" w:rsidRDefault="001901FC" w:rsidP="009E4B86">
      <w:pPr>
        <w:spacing w:after="60"/>
        <w:rPr>
          <w:rFonts w:cstheme="minorHAnsi"/>
          <w:szCs w:val="20"/>
          <w:lang w:val="sr-Cyrl-RS"/>
        </w:rPr>
      </w:pPr>
    </w:p>
    <w:p w14:paraId="12941A60" w14:textId="77777777" w:rsidR="001901FC" w:rsidRPr="00EA3D8C" w:rsidRDefault="001901FC" w:rsidP="009E4B86">
      <w:pPr>
        <w:spacing w:after="60"/>
        <w:rPr>
          <w:rFonts w:cstheme="minorHAnsi"/>
          <w:szCs w:val="20"/>
          <w:lang w:val="sr-Cyrl-RS"/>
        </w:rPr>
        <w:sectPr w:rsidR="001901FC" w:rsidRPr="00EA3D8C" w:rsidSect="00AE40EB">
          <w:type w:val="continuous"/>
          <w:pgSz w:w="12240" w:h="15840" w:code="1"/>
          <w:pgMar w:top="1440" w:right="1440" w:bottom="1440" w:left="1440" w:header="720" w:footer="720" w:gutter="0"/>
          <w:cols w:num="2" w:space="720"/>
          <w:docGrid w:linePitch="360"/>
        </w:sectPr>
      </w:pPr>
    </w:p>
    <w:p w14:paraId="56C4A2E0" w14:textId="541015C5" w:rsidR="001901FC" w:rsidRPr="001A0449" w:rsidRDefault="001901FC" w:rsidP="00FE1A26">
      <w:pPr>
        <w:rPr>
          <w:rFonts w:cstheme="minorHAnsi"/>
          <w:szCs w:val="20"/>
          <w:lang w:val="sr-Cyrl-RS"/>
        </w:rPr>
      </w:pPr>
      <w:r w:rsidRPr="001A0449">
        <w:rPr>
          <w:rFonts w:cstheme="minorHAnsi"/>
          <w:szCs w:val="20"/>
          <w:lang w:val="sr-Cyrl-RS"/>
        </w:rPr>
        <w:lastRenderedPageBreak/>
        <w:t xml:space="preserve">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w:t>
      </w:r>
      <w:r w:rsidR="004C3E16" w:rsidRPr="001A0449">
        <w:rPr>
          <w:rFonts w:cstheme="minorHAnsi"/>
          <w:szCs w:val="20"/>
          <w:lang w:val="sr-Cyrl-RS"/>
        </w:rPr>
        <w:t>да антиципира</w:t>
      </w:r>
      <w:r w:rsidRPr="001A0449">
        <w:rPr>
          <w:rFonts w:cstheme="minorHAnsi"/>
          <w:szCs w:val="20"/>
          <w:lang w:val="sr-Cyrl-RS"/>
        </w:rPr>
        <w:t xml:space="preserve">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 ових подиндекса испод дефинисаног прага указују на одсуство краткорочног фискалног ризика.</w:t>
      </w:r>
    </w:p>
    <w:p w14:paraId="50A94896" w14:textId="7E752D83" w:rsidR="001901FC" w:rsidRPr="001A0449" w:rsidRDefault="004C3E16" w:rsidP="00FE1A26">
      <w:pPr>
        <w:rPr>
          <w:rFonts w:cstheme="minorHAnsi"/>
          <w:szCs w:val="20"/>
          <w:lang w:val="sr-Cyrl-RS"/>
        </w:rPr>
      </w:pPr>
      <w:r w:rsidRPr="001A0449">
        <w:rPr>
          <w:rFonts w:cstheme="minorHAnsi"/>
          <w:szCs w:val="20"/>
          <w:lang w:val="sr-Cyrl-RS"/>
        </w:rPr>
        <w:t xml:space="preserve">У 2019. години </w:t>
      </w:r>
      <w:r w:rsidR="001901FC" w:rsidRPr="001A0449">
        <w:rPr>
          <w:rFonts w:cstheme="minorHAnsi"/>
          <w:szCs w:val="20"/>
          <w:lang w:val="sr-Cyrl-RS"/>
        </w:rPr>
        <w:t>вредности S0 индикатора</w:t>
      </w:r>
      <w:r w:rsidRPr="001A0449">
        <w:rPr>
          <w:rFonts w:cstheme="minorHAnsi"/>
          <w:szCs w:val="20"/>
          <w:lang w:val="sr-Cyrl-RS"/>
        </w:rPr>
        <w:t>,</w:t>
      </w:r>
      <w:r w:rsidR="001901FC" w:rsidRPr="001A0449">
        <w:rPr>
          <w:rFonts w:cstheme="minorHAnsi"/>
          <w:szCs w:val="20"/>
          <w:lang w:val="sr-Cyrl-RS"/>
        </w:rPr>
        <w:t xml:space="preserve"> као и оба подиндекса за Републику Србију налазили су се испод дефинисаних прагова што начелно указује да није постојала краткорочна опасност од појаве било какве макроекономске нестабилности, као и да није било изражених ризика који потичу из сфера које покривају подиндекси. Рецесија у 2020. </w:t>
      </w:r>
      <w:r w:rsidR="001901FC" w:rsidRPr="001A0449">
        <w:rPr>
          <w:rFonts w:cstheme="minorHAnsi"/>
          <w:szCs w:val="20"/>
          <w:lang w:val="sr-Cyrl-RS"/>
        </w:rPr>
        <w:lastRenderedPageBreak/>
        <w:t>години није изазвана економским факторима, а успешно очувана макроекономска и фискална стабилност успостављена у претходном периоду обезбедила је простор за брзе и значајне фискалне и монетарне мере подршке.</w:t>
      </w:r>
    </w:p>
    <w:p w14:paraId="09527AD6" w14:textId="77777777" w:rsidR="001901FC" w:rsidRPr="00EA3D8C" w:rsidRDefault="001901FC">
      <w:pPr>
        <w:rPr>
          <w:rFonts w:cstheme="minorHAnsi"/>
          <w:color w:val="44546A"/>
          <w:szCs w:val="20"/>
          <w:lang w:val="sr-Cyrl-RS"/>
        </w:rPr>
      </w:pPr>
      <w:r w:rsidRPr="00EA3D8C">
        <w:rPr>
          <w:rFonts w:cstheme="minorHAnsi"/>
          <w:color w:val="44546A"/>
          <w:szCs w:val="20"/>
          <w:lang w:val="sr-Cyrl-RS"/>
        </w:rPr>
        <w:t xml:space="preserve"> </w:t>
      </w:r>
      <w:r w:rsidRPr="00EA3D8C">
        <w:rPr>
          <w:noProof/>
        </w:rPr>
        <w:drawing>
          <wp:inline distT="0" distB="0" distL="0" distR="0" wp14:anchorId="4CDCD6C5" wp14:editId="63AFFBA1">
            <wp:extent cx="2628000" cy="2973600"/>
            <wp:effectExtent l="0" t="0" r="0" b="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14:paraId="3C3F1D23" w14:textId="77777777" w:rsidR="001901FC" w:rsidRPr="00EA3D8C" w:rsidRDefault="001901FC" w:rsidP="00C130D2">
      <w:pPr>
        <w:rPr>
          <w:rFonts w:eastAsia="Calibri" w:cstheme="minorHAnsi"/>
          <w:b/>
          <w:color w:val="2F5496" w:themeColor="accent1" w:themeShade="BF"/>
          <w:sz w:val="24"/>
          <w:szCs w:val="26"/>
          <w:lang w:val="sr-Cyrl-RS"/>
        </w:rPr>
        <w:sectPr w:rsidR="001901FC" w:rsidRPr="00EA3D8C" w:rsidSect="00AE40EB">
          <w:type w:val="continuous"/>
          <w:pgSz w:w="12240" w:h="15840" w:code="1"/>
          <w:pgMar w:top="1440" w:right="1440" w:bottom="1440" w:left="1440" w:header="720" w:footer="720" w:gutter="0"/>
          <w:cols w:num="2" w:space="720"/>
          <w:docGrid w:linePitch="360"/>
        </w:sectPr>
      </w:pPr>
    </w:p>
    <w:p w14:paraId="2A04CD35" w14:textId="77777777" w:rsidR="001901FC" w:rsidRPr="00EA3D8C" w:rsidRDefault="001901FC" w:rsidP="00C030A9">
      <w:pPr>
        <w:rPr>
          <w:rFonts w:cstheme="minorHAnsi"/>
          <w:szCs w:val="20"/>
          <w:lang w:val="sr-Cyrl-RS"/>
        </w:rPr>
        <w:sectPr w:rsidR="001901FC" w:rsidRPr="00EA3D8C" w:rsidSect="00AE40EB">
          <w:type w:val="continuous"/>
          <w:pgSz w:w="12240" w:h="15840" w:code="1"/>
          <w:pgMar w:top="1440" w:right="1440" w:bottom="1440" w:left="1440" w:header="720" w:footer="720" w:gutter="0"/>
          <w:cols w:num="2" w:space="720"/>
          <w:docGrid w:linePitch="360"/>
        </w:sectPr>
      </w:pPr>
    </w:p>
    <w:p w14:paraId="15412FB7" w14:textId="7E247A20" w:rsidR="001901FC" w:rsidRDefault="001901FC" w:rsidP="00FE1A26">
      <w:pPr>
        <w:rPr>
          <w:rFonts w:cstheme="minorHAnsi"/>
          <w:color w:val="44546A"/>
          <w:szCs w:val="20"/>
          <w:lang w:val="sr-Cyrl-RS"/>
        </w:rPr>
      </w:pPr>
    </w:p>
    <w:p w14:paraId="586E1163" w14:textId="77777777" w:rsidR="0084203C" w:rsidRPr="00EA3D8C" w:rsidRDefault="0084203C" w:rsidP="00FE1A26">
      <w:pPr>
        <w:rPr>
          <w:rFonts w:cstheme="minorHAnsi"/>
          <w:color w:val="44546A"/>
          <w:szCs w:val="20"/>
          <w:lang w:val="sr-Cyrl-RS"/>
        </w:rPr>
      </w:pPr>
    </w:p>
    <w:p w14:paraId="359249EA" w14:textId="77777777" w:rsidR="005E54B2" w:rsidRPr="00EA3D8C" w:rsidRDefault="005E54B2" w:rsidP="00FE1A26">
      <w:pPr>
        <w:rPr>
          <w:rFonts w:cstheme="minorHAnsi"/>
          <w:color w:val="44546A"/>
          <w:szCs w:val="20"/>
          <w:lang w:val="sr-Cyrl-RS"/>
        </w:rPr>
      </w:pPr>
    </w:p>
    <w:p w14:paraId="00D04192" w14:textId="77777777" w:rsidR="001901FC" w:rsidRPr="00EA3D8C" w:rsidRDefault="001901FC" w:rsidP="00FE1A26">
      <w:pPr>
        <w:rPr>
          <w:rFonts w:cstheme="minorHAnsi"/>
          <w:color w:val="44546A"/>
          <w:szCs w:val="20"/>
          <w:lang w:val="sr-Cyrl-RS"/>
        </w:rPr>
      </w:pPr>
    </w:p>
    <w:p w14:paraId="50703975" w14:textId="77777777" w:rsidR="001901FC" w:rsidRPr="00EA3D8C" w:rsidRDefault="001901FC" w:rsidP="00FE1A26">
      <w:pPr>
        <w:rPr>
          <w:rFonts w:cstheme="minorHAnsi"/>
          <w:color w:val="44546A"/>
          <w:szCs w:val="20"/>
          <w:lang w:val="sr-Cyrl-RS"/>
        </w:rPr>
      </w:pPr>
    </w:p>
    <w:p w14:paraId="011DC565" w14:textId="7EAECE1D" w:rsidR="001901FC" w:rsidRPr="001A0449" w:rsidRDefault="001901FC" w:rsidP="00FE1A26">
      <w:pPr>
        <w:rPr>
          <w:rFonts w:cstheme="minorHAnsi"/>
          <w:szCs w:val="20"/>
          <w:lang w:val="sr-Cyrl-RS"/>
        </w:rPr>
      </w:pPr>
      <w:r w:rsidRPr="001A0449">
        <w:rPr>
          <w:noProof/>
        </w:rPr>
        <w:lastRenderedPageBreak/>
        <mc:AlternateContent>
          <mc:Choice Requires="wps">
            <w:drawing>
              <wp:anchor distT="0" distB="0" distL="114300" distR="114300" simplePos="0" relativeHeight="251655680" behindDoc="1" locked="0" layoutInCell="1" allowOverlap="1" wp14:anchorId="5067772D" wp14:editId="79BD6189">
                <wp:simplePos x="0" y="0"/>
                <wp:positionH relativeFrom="margin">
                  <wp:posOffset>-85725</wp:posOffset>
                </wp:positionH>
                <wp:positionV relativeFrom="paragraph">
                  <wp:posOffset>1</wp:posOffset>
                </wp:positionV>
                <wp:extent cx="6134100" cy="6172200"/>
                <wp:effectExtent l="0" t="0" r="0" b="0"/>
                <wp:wrapNone/>
                <wp:docPr id="53" name="Rectangle 53"/>
                <wp:cNvGraphicFramePr/>
                <a:graphic xmlns:a="http://schemas.openxmlformats.org/drawingml/2006/main">
                  <a:graphicData uri="http://schemas.microsoft.com/office/word/2010/wordprocessingShape">
                    <wps:wsp>
                      <wps:cNvSpPr/>
                      <wps:spPr>
                        <a:xfrm>
                          <a:off x="0" y="0"/>
                          <a:ext cx="6134100" cy="6172200"/>
                        </a:xfrm>
                        <a:prstGeom prst="rect">
                          <a:avLst/>
                        </a:prstGeom>
                        <a:pattFill prst="pct25">
                          <a:fgClr>
                            <a:srgbClr val="E7E6E6"/>
                          </a:fgClr>
                          <a:bgClr>
                            <a:sysClr val="window" lastClr="FFFFFF"/>
                          </a:bgClr>
                        </a:pattFill>
                        <a:ln w="12700" cap="flat" cmpd="sng" algn="ctr">
                          <a:noFill/>
                          <a:prstDash val="solid"/>
                          <a:miter lim="800000"/>
                        </a:ln>
                        <a:effectLst/>
                      </wps:spPr>
                      <wps:txbx>
                        <w:txbxContent>
                          <w:p w14:paraId="40D43D5D" w14:textId="77777777" w:rsidR="0078423E" w:rsidRDefault="0078423E" w:rsidP="00FE1A26">
                            <w:pPr>
                              <w:rPr>
                                <w:b/>
                                <w:color w:val="FFFFFF" w:themeColor="background1"/>
                                <w14:textFill>
                                  <w14:noFill/>
                                </w14:textFill>
                              </w:rPr>
                            </w:pPr>
                            <w:r w:rsidRPr="009F1610">
                              <w:rPr>
                                <w:b/>
                                <w:color w:val="FFFFFF" w:themeColor="background1"/>
                                <w14:textFill>
                                  <w14:noFill/>
                                </w14:textFill>
                              </w:rPr>
                              <w:t xml:space="preserve">Извор: </w:t>
                            </w:r>
                          </w:p>
                          <w:p w14:paraId="448E7FC5" w14:textId="77777777" w:rsidR="0078423E" w:rsidRDefault="0078423E" w:rsidP="00FE1A26">
                            <w:pPr>
                              <w:rPr>
                                <w:b/>
                                <w:color w:val="FFFFFF" w:themeColor="background1"/>
                                <w14:textFill>
                                  <w14:noFill/>
                                </w14:textFill>
                              </w:rPr>
                            </w:pPr>
                          </w:p>
                          <w:p w14:paraId="6DECB8BA" w14:textId="77777777" w:rsidR="0078423E" w:rsidRDefault="0078423E" w:rsidP="00FE1A26">
                            <w:pPr>
                              <w:rPr>
                                <w:b/>
                                <w:color w:val="FFFFFF" w:themeColor="background1"/>
                                <w14:textFill>
                                  <w14:noFill/>
                                </w14:textFill>
                              </w:rPr>
                            </w:pPr>
                          </w:p>
                          <w:p w14:paraId="12CF1590" w14:textId="77777777" w:rsidR="0078423E" w:rsidRDefault="0078423E" w:rsidP="00FE1A26">
                            <w:pPr>
                              <w:rPr>
                                <w:b/>
                                <w:color w:val="FFFFFF" w:themeColor="background1"/>
                                <w14:textFill>
                                  <w14:noFill/>
                                </w14:textFill>
                              </w:rPr>
                            </w:pPr>
                          </w:p>
                          <w:p w14:paraId="3A613578" w14:textId="77777777" w:rsidR="0078423E" w:rsidRDefault="0078423E" w:rsidP="00FE1A26">
                            <w:pPr>
                              <w:rPr>
                                <w:b/>
                                <w:color w:val="FFFFFF" w:themeColor="background1"/>
                                <w14:textFill>
                                  <w14:noFill/>
                                </w14:textFill>
                              </w:rPr>
                            </w:pPr>
                          </w:p>
                          <w:p w14:paraId="662FA4C7" w14:textId="77777777" w:rsidR="0078423E" w:rsidRDefault="0078423E" w:rsidP="00FE1A26">
                            <w:pPr>
                              <w:rPr>
                                <w:b/>
                                <w:color w:val="FFFFFF" w:themeColor="background1"/>
                                <w14:textFill>
                                  <w14:noFill/>
                                </w14:textFill>
                              </w:rPr>
                            </w:pPr>
                          </w:p>
                          <w:p w14:paraId="1719FC30" w14:textId="77777777" w:rsidR="0078423E" w:rsidRDefault="0078423E" w:rsidP="00FE1A26">
                            <w:pPr>
                              <w:rPr>
                                <w:b/>
                                <w:color w:val="FFFFFF" w:themeColor="background1"/>
                                <w14:textFill>
                                  <w14:noFill/>
                                </w14:textFill>
                              </w:rPr>
                            </w:pPr>
                          </w:p>
                          <w:p w14:paraId="102F8FBA" w14:textId="77777777" w:rsidR="0078423E" w:rsidRDefault="0078423E" w:rsidP="00FE1A26">
                            <w:pPr>
                              <w:rPr>
                                <w:b/>
                                <w:color w:val="FFFFFF" w:themeColor="background1"/>
                                <w14:textFill>
                                  <w14:noFill/>
                                </w14:textFill>
                              </w:rPr>
                            </w:pPr>
                          </w:p>
                          <w:p w14:paraId="0239750F" w14:textId="77777777" w:rsidR="0078423E" w:rsidRDefault="0078423E" w:rsidP="00FE1A26">
                            <w:pPr>
                              <w:rPr>
                                <w:b/>
                                <w:color w:val="FFFFFF" w:themeColor="background1"/>
                                <w14:textFill>
                                  <w14:noFill/>
                                </w14:textFill>
                              </w:rPr>
                            </w:pPr>
                          </w:p>
                          <w:p w14:paraId="67FC7EE7" w14:textId="77777777" w:rsidR="0078423E" w:rsidRDefault="0078423E" w:rsidP="00FE1A26">
                            <w:pPr>
                              <w:rPr>
                                <w:b/>
                                <w:color w:val="FFFFFF" w:themeColor="background1"/>
                                <w14:textFill>
                                  <w14:noFill/>
                                </w14:textFill>
                              </w:rPr>
                            </w:pPr>
                          </w:p>
                          <w:p w14:paraId="6D2963F5" w14:textId="77777777" w:rsidR="0078423E" w:rsidRDefault="0078423E" w:rsidP="00FE1A26">
                            <w:pPr>
                              <w:rPr>
                                <w:b/>
                                <w:color w:val="FFFFFF" w:themeColor="background1"/>
                                <w14:textFill>
                                  <w14:noFill/>
                                </w14:textFill>
                              </w:rPr>
                            </w:pPr>
                          </w:p>
                          <w:p w14:paraId="2C79FE11" w14:textId="77777777" w:rsidR="0078423E" w:rsidRDefault="0078423E" w:rsidP="00FE1A26">
                            <w:pPr>
                              <w:rPr>
                                <w:b/>
                                <w:color w:val="FFFFFF" w:themeColor="background1"/>
                                <w14:textFill>
                                  <w14:noFill/>
                                </w14:textFill>
                              </w:rPr>
                            </w:pPr>
                          </w:p>
                          <w:p w14:paraId="128579AB" w14:textId="77777777" w:rsidR="0078423E" w:rsidRDefault="0078423E" w:rsidP="00FE1A26">
                            <w:pPr>
                              <w:rPr>
                                <w:b/>
                                <w:color w:val="FFFFFF" w:themeColor="background1"/>
                                <w14:textFill>
                                  <w14:noFill/>
                                </w14:textFill>
                              </w:rPr>
                            </w:pPr>
                          </w:p>
                          <w:p w14:paraId="6718BF0F" w14:textId="77777777" w:rsidR="0078423E" w:rsidRDefault="0078423E" w:rsidP="00FE1A26">
                            <w:pPr>
                              <w:rPr>
                                <w:b/>
                                <w:color w:val="FFFFFF" w:themeColor="background1"/>
                                <w14:textFill>
                                  <w14:noFill/>
                                </w14:textFill>
                              </w:rPr>
                            </w:pPr>
                          </w:p>
                          <w:p w14:paraId="440CAB30" w14:textId="77777777" w:rsidR="0078423E" w:rsidRDefault="0078423E" w:rsidP="00FE1A26">
                            <w:pPr>
                              <w:rPr>
                                <w:b/>
                                <w:color w:val="FFFFFF" w:themeColor="background1"/>
                                <w14:textFill>
                                  <w14:noFill/>
                                </w14:textFill>
                              </w:rPr>
                            </w:pPr>
                          </w:p>
                          <w:p w14:paraId="280F1863" w14:textId="77777777" w:rsidR="0078423E" w:rsidRDefault="0078423E" w:rsidP="00FE1A26">
                            <w:pPr>
                              <w:rPr>
                                <w:b/>
                                <w:color w:val="FFFFFF" w:themeColor="background1"/>
                                <w14:textFill>
                                  <w14:noFill/>
                                </w14:textFill>
                              </w:rPr>
                            </w:pPr>
                          </w:p>
                          <w:p w14:paraId="35B9BD87" w14:textId="77777777" w:rsidR="0078423E" w:rsidRDefault="0078423E" w:rsidP="00FE1A26">
                            <w:pPr>
                              <w:rPr>
                                <w:b/>
                                <w:color w:val="FFFFFF" w:themeColor="background1"/>
                                <w14:textFill>
                                  <w14:noFill/>
                                </w14:textFill>
                              </w:rPr>
                            </w:pPr>
                          </w:p>
                          <w:p w14:paraId="7F428FBB" w14:textId="77777777" w:rsidR="0078423E" w:rsidRDefault="0078423E" w:rsidP="00FE1A26">
                            <w:pPr>
                              <w:rPr>
                                <w:b/>
                                <w:color w:val="FFFFFF" w:themeColor="background1"/>
                                <w14:textFill>
                                  <w14:noFill/>
                                </w14:textFill>
                              </w:rPr>
                            </w:pPr>
                          </w:p>
                          <w:p w14:paraId="0AF701C4" w14:textId="77777777" w:rsidR="0078423E" w:rsidRDefault="0078423E" w:rsidP="00182A86">
                            <w:pPr>
                              <w:spacing w:after="0"/>
                              <w:rPr>
                                <w:rFonts w:cstheme="minorHAnsi"/>
                                <w:sz w:val="16"/>
                                <w:szCs w:val="14"/>
                                <w:lang w:val="sr-Cyrl-RS"/>
                              </w:rPr>
                            </w:pPr>
                          </w:p>
                          <w:p w14:paraId="6E3E1BFF" w14:textId="77777777" w:rsidR="0078423E" w:rsidRDefault="0078423E" w:rsidP="00182A86">
                            <w:pPr>
                              <w:spacing w:after="0"/>
                              <w:rPr>
                                <w:rFonts w:cstheme="minorHAnsi"/>
                                <w:sz w:val="16"/>
                                <w:szCs w:val="14"/>
                                <w:lang w:val="sr-Cyrl-RS"/>
                              </w:rPr>
                            </w:pPr>
                          </w:p>
                          <w:p w14:paraId="4F932FE2" w14:textId="77777777" w:rsidR="0078423E" w:rsidRDefault="0078423E" w:rsidP="00182A86">
                            <w:pPr>
                              <w:spacing w:after="0"/>
                              <w:rPr>
                                <w:rFonts w:cstheme="minorHAnsi"/>
                                <w:sz w:val="16"/>
                                <w:szCs w:val="14"/>
                                <w:lang w:val="sr-Cyrl-RS"/>
                              </w:rPr>
                            </w:pPr>
                          </w:p>
                          <w:p w14:paraId="65F773CE" w14:textId="77777777" w:rsidR="0078423E" w:rsidRDefault="0078423E" w:rsidP="00182A86">
                            <w:pPr>
                              <w:spacing w:after="0"/>
                              <w:rPr>
                                <w:rFonts w:cstheme="minorHAnsi"/>
                                <w:sz w:val="16"/>
                                <w:szCs w:val="14"/>
                                <w:lang w:val="sr-Cyrl-RS"/>
                              </w:rPr>
                            </w:pPr>
                          </w:p>
                          <w:p w14:paraId="56D6ACDC" w14:textId="77777777" w:rsidR="0078423E" w:rsidRDefault="0078423E" w:rsidP="00182A86">
                            <w:pPr>
                              <w:spacing w:after="0"/>
                              <w:rPr>
                                <w:rFonts w:cstheme="minorHAnsi"/>
                                <w:sz w:val="16"/>
                                <w:szCs w:val="14"/>
                                <w:lang w:val="sr-Cyrl-RS"/>
                              </w:rPr>
                            </w:pPr>
                          </w:p>
                          <w:p w14:paraId="3FF4D8DD" w14:textId="77777777" w:rsidR="0078423E" w:rsidRDefault="0078423E" w:rsidP="00182A86">
                            <w:pPr>
                              <w:spacing w:after="0"/>
                              <w:rPr>
                                <w:rFonts w:cstheme="minorHAnsi"/>
                                <w:sz w:val="16"/>
                                <w:szCs w:val="14"/>
                                <w:lang w:val="sr-Cyrl-RS"/>
                              </w:rPr>
                            </w:pPr>
                          </w:p>
                          <w:p w14:paraId="3EA61F15" w14:textId="77777777" w:rsidR="0078423E" w:rsidRDefault="0078423E" w:rsidP="00182A86">
                            <w:pPr>
                              <w:spacing w:after="0"/>
                              <w:rPr>
                                <w:rFonts w:cstheme="minorHAnsi"/>
                                <w:sz w:val="16"/>
                                <w:szCs w:val="14"/>
                                <w:lang w:val="sr-Cyrl-RS"/>
                              </w:rPr>
                            </w:pPr>
                          </w:p>
                          <w:p w14:paraId="6C9CE8A5" w14:textId="4D71C07A" w:rsidR="0078423E" w:rsidRPr="001A0449" w:rsidRDefault="0078423E" w:rsidP="00182A86">
                            <w:pPr>
                              <w:spacing w:after="0"/>
                              <w:rPr>
                                <w:rFonts w:cstheme="minorHAnsi"/>
                                <w:sz w:val="16"/>
                                <w:szCs w:val="14"/>
                                <w:lang w:val="sr-Cyrl-RS"/>
                              </w:rPr>
                            </w:pPr>
                            <w:r w:rsidRPr="001A0449">
                              <w:rPr>
                                <w:rFonts w:cstheme="minorHAnsi"/>
                                <w:sz w:val="16"/>
                                <w:szCs w:val="14"/>
                                <w:lang w:val="sr-Cyrl-RS"/>
                              </w:rPr>
                              <w:t>Извор: Калкулација Министарства финансија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67772D" id="Rectangle 53" o:spid="_x0000_s1026" style="position:absolute;left:0;text-align:left;margin-left:-6.75pt;margin-top:0;width:483pt;height:486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" fillcolor="#e7e6e6" stroked="f" strokeweight="1pt">
                <v:fill r:id="rId133" o:title="" color2="window" type="pattern"/>
                <v:textbox>
                  <w:txbxContent>
                    <w:p w14:paraId="40D43D5D" w14:textId="77777777" w:rsidR="0078423E" w:rsidRDefault="0078423E" w:rsidP="00FE1A26">
                      <w:pPr>
                        <w:rPr>
                          <w:b/>
                          <w:color w:val="FFFFFF" w:themeColor="background1"/>
                          <w14:textFill>
                            <w14:noFill/>
                          </w14:textFill>
                        </w:rPr>
                      </w:pPr>
                      <w:r w:rsidRPr="009F1610">
                        <w:rPr>
                          <w:b/>
                          <w:color w:val="FFFFFF" w:themeColor="background1"/>
                          <w14:textFill>
                            <w14:noFill/>
                          </w14:textFill>
                        </w:rPr>
                        <w:t xml:space="preserve">Извор: </w:t>
                      </w:r>
                    </w:p>
                    <w:p w14:paraId="448E7FC5" w14:textId="77777777" w:rsidR="0078423E" w:rsidRDefault="0078423E" w:rsidP="00FE1A26">
                      <w:pPr>
                        <w:rPr>
                          <w:b/>
                          <w:color w:val="FFFFFF" w:themeColor="background1"/>
                          <w14:textFill>
                            <w14:noFill/>
                          </w14:textFill>
                        </w:rPr>
                      </w:pPr>
                    </w:p>
                    <w:p w14:paraId="6DECB8BA" w14:textId="77777777" w:rsidR="0078423E" w:rsidRDefault="0078423E" w:rsidP="00FE1A26">
                      <w:pPr>
                        <w:rPr>
                          <w:b/>
                          <w:color w:val="FFFFFF" w:themeColor="background1"/>
                          <w14:textFill>
                            <w14:noFill/>
                          </w14:textFill>
                        </w:rPr>
                      </w:pPr>
                    </w:p>
                    <w:p w14:paraId="12CF1590" w14:textId="77777777" w:rsidR="0078423E" w:rsidRDefault="0078423E" w:rsidP="00FE1A26">
                      <w:pPr>
                        <w:rPr>
                          <w:b/>
                          <w:color w:val="FFFFFF" w:themeColor="background1"/>
                          <w14:textFill>
                            <w14:noFill/>
                          </w14:textFill>
                        </w:rPr>
                      </w:pPr>
                    </w:p>
                    <w:p w14:paraId="3A613578" w14:textId="77777777" w:rsidR="0078423E" w:rsidRDefault="0078423E" w:rsidP="00FE1A26">
                      <w:pPr>
                        <w:rPr>
                          <w:b/>
                          <w:color w:val="FFFFFF" w:themeColor="background1"/>
                          <w14:textFill>
                            <w14:noFill/>
                          </w14:textFill>
                        </w:rPr>
                      </w:pPr>
                    </w:p>
                    <w:p w14:paraId="662FA4C7" w14:textId="77777777" w:rsidR="0078423E" w:rsidRDefault="0078423E" w:rsidP="00FE1A26">
                      <w:pPr>
                        <w:rPr>
                          <w:b/>
                          <w:color w:val="FFFFFF" w:themeColor="background1"/>
                          <w14:textFill>
                            <w14:noFill/>
                          </w14:textFill>
                        </w:rPr>
                      </w:pPr>
                    </w:p>
                    <w:p w14:paraId="1719FC30" w14:textId="77777777" w:rsidR="0078423E" w:rsidRDefault="0078423E" w:rsidP="00FE1A26">
                      <w:pPr>
                        <w:rPr>
                          <w:b/>
                          <w:color w:val="FFFFFF" w:themeColor="background1"/>
                          <w14:textFill>
                            <w14:noFill/>
                          </w14:textFill>
                        </w:rPr>
                      </w:pPr>
                    </w:p>
                    <w:p w14:paraId="102F8FBA" w14:textId="77777777" w:rsidR="0078423E" w:rsidRDefault="0078423E" w:rsidP="00FE1A26">
                      <w:pPr>
                        <w:rPr>
                          <w:b/>
                          <w:color w:val="FFFFFF" w:themeColor="background1"/>
                          <w14:textFill>
                            <w14:noFill/>
                          </w14:textFill>
                        </w:rPr>
                      </w:pPr>
                    </w:p>
                    <w:p w14:paraId="0239750F" w14:textId="77777777" w:rsidR="0078423E" w:rsidRDefault="0078423E" w:rsidP="00FE1A26">
                      <w:pPr>
                        <w:rPr>
                          <w:b/>
                          <w:color w:val="FFFFFF" w:themeColor="background1"/>
                          <w14:textFill>
                            <w14:noFill/>
                          </w14:textFill>
                        </w:rPr>
                      </w:pPr>
                    </w:p>
                    <w:p w14:paraId="67FC7EE7" w14:textId="77777777" w:rsidR="0078423E" w:rsidRDefault="0078423E" w:rsidP="00FE1A26">
                      <w:pPr>
                        <w:rPr>
                          <w:b/>
                          <w:color w:val="FFFFFF" w:themeColor="background1"/>
                          <w14:textFill>
                            <w14:noFill/>
                          </w14:textFill>
                        </w:rPr>
                      </w:pPr>
                    </w:p>
                    <w:p w14:paraId="6D2963F5" w14:textId="77777777" w:rsidR="0078423E" w:rsidRDefault="0078423E" w:rsidP="00FE1A26">
                      <w:pPr>
                        <w:rPr>
                          <w:b/>
                          <w:color w:val="FFFFFF" w:themeColor="background1"/>
                          <w14:textFill>
                            <w14:noFill/>
                          </w14:textFill>
                        </w:rPr>
                      </w:pPr>
                    </w:p>
                    <w:p w14:paraId="2C79FE11" w14:textId="77777777" w:rsidR="0078423E" w:rsidRDefault="0078423E" w:rsidP="00FE1A26">
                      <w:pPr>
                        <w:rPr>
                          <w:b/>
                          <w:color w:val="FFFFFF" w:themeColor="background1"/>
                          <w14:textFill>
                            <w14:noFill/>
                          </w14:textFill>
                        </w:rPr>
                      </w:pPr>
                    </w:p>
                    <w:p w14:paraId="128579AB" w14:textId="77777777" w:rsidR="0078423E" w:rsidRDefault="0078423E" w:rsidP="00FE1A26">
                      <w:pPr>
                        <w:rPr>
                          <w:b/>
                          <w:color w:val="FFFFFF" w:themeColor="background1"/>
                          <w14:textFill>
                            <w14:noFill/>
                          </w14:textFill>
                        </w:rPr>
                      </w:pPr>
                    </w:p>
                    <w:p w14:paraId="6718BF0F" w14:textId="77777777" w:rsidR="0078423E" w:rsidRDefault="0078423E" w:rsidP="00FE1A26">
                      <w:pPr>
                        <w:rPr>
                          <w:b/>
                          <w:color w:val="FFFFFF" w:themeColor="background1"/>
                          <w14:textFill>
                            <w14:noFill/>
                          </w14:textFill>
                        </w:rPr>
                      </w:pPr>
                    </w:p>
                    <w:p w14:paraId="440CAB30" w14:textId="77777777" w:rsidR="0078423E" w:rsidRDefault="0078423E" w:rsidP="00FE1A26">
                      <w:pPr>
                        <w:rPr>
                          <w:b/>
                          <w:color w:val="FFFFFF" w:themeColor="background1"/>
                          <w14:textFill>
                            <w14:noFill/>
                          </w14:textFill>
                        </w:rPr>
                      </w:pPr>
                    </w:p>
                    <w:p w14:paraId="280F1863" w14:textId="77777777" w:rsidR="0078423E" w:rsidRDefault="0078423E" w:rsidP="00FE1A26">
                      <w:pPr>
                        <w:rPr>
                          <w:b/>
                          <w:color w:val="FFFFFF" w:themeColor="background1"/>
                          <w14:textFill>
                            <w14:noFill/>
                          </w14:textFill>
                        </w:rPr>
                      </w:pPr>
                    </w:p>
                    <w:p w14:paraId="35B9BD87" w14:textId="77777777" w:rsidR="0078423E" w:rsidRDefault="0078423E" w:rsidP="00FE1A26">
                      <w:pPr>
                        <w:rPr>
                          <w:b/>
                          <w:color w:val="FFFFFF" w:themeColor="background1"/>
                          <w14:textFill>
                            <w14:noFill/>
                          </w14:textFill>
                        </w:rPr>
                      </w:pPr>
                    </w:p>
                    <w:p w14:paraId="7F428FBB" w14:textId="77777777" w:rsidR="0078423E" w:rsidRDefault="0078423E" w:rsidP="00FE1A26">
                      <w:pPr>
                        <w:rPr>
                          <w:b/>
                          <w:color w:val="FFFFFF" w:themeColor="background1"/>
                          <w14:textFill>
                            <w14:noFill/>
                          </w14:textFill>
                        </w:rPr>
                      </w:pPr>
                    </w:p>
                    <w:p w14:paraId="0AF701C4" w14:textId="77777777" w:rsidR="0078423E" w:rsidRDefault="0078423E" w:rsidP="00182A86">
                      <w:pPr>
                        <w:spacing w:after="0"/>
                        <w:rPr>
                          <w:rFonts w:cstheme="minorHAnsi"/>
                          <w:sz w:val="16"/>
                          <w:szCs w:val="14"/>
                          <w:lang w:val="sr-Cyrl-RS"/>
                        </w:rPr>
                      </w:pPr>
                    </w:p>
                    <w:p w14:paraId="6E3E1BFF" w14:textId="77777777" w:rsidR="0078423E" w:rsidRDefault="0078423E" w:rsidP="00182A86">
                      <w:pPr>
                        <w:spacing w:after="0"/>
                        <w:rPr>
                          <w:rFonts w:cstheme="minorHAnsi"/>
                          <w:sz w:val="16"/>
                          <w:szCs w:val="14"/>
                          <w:lang w:val="sr-Cyrl-RS"/>
                        </w:rPr>
                      </w:pPr>
                    </w:p>
                    <w:p w14:paraId="4F932FE2" w14:textId="77777777" w:rsidR="0078423E" w:rsidRDefault="0078423E" w:rsidP="00182A86">
                      <w:pPr>
                        <w:spacing w:after="0"/>
                        <w:rPr>
                          <w:rFonts w:cstheme="minorHAnsi"/>
                          <w:sz w:val="16"/>
                          <w:szCs w:val="14"/>
                          <w:lang w:val="sr-Cyrl-RS"/>
                        </w:rPr>
                      </w:pPr>
                    </w:p>
                    <w:p w14:paraId="65F773CE" w14:textId="77777777" w:rsidR="0078423E" w:rsidRDefault="0078423E" w:rsidP="00182A86">
                      <w:pPr>
                        <w:spacing w:after="0"/>
                        <w:rPr>
                          <w:rFonts w:cstheme="minorHAnsi"/>
                          <w:sz w:val="16"/>
                          <w:szCs w:val="14"/>
                          <w:lang w:val="sr-Cyrl-RS"/>
                        </w:rPr>
                      </w:pPr>
                    </w:p>
                    <w:p w14:paraId="56D6ACDC" w14:textId="77777777" w:rsidR="0078423E" w:rsidRDefault="0078423E" w:rsidP="00182A86">
                      <w:pPr>
                        <w:spacing w:after="0"/>
                        <w:rPr>
                          <w:rFonts w:cstheme="minorHAnsi"/>
                          <w:sz w:val="16"/>
                          <w:szCs w:val="14"/>
                          <w:lang w:val="sr-Cyrl-RS"/>
                        </w:rPr>
                      </w:pPr>
                    </w:p>
                    <w:p w14:paraId="3FF4D8DD" w14:textId="77777777" w:rsidR="0078423E" w:rsidRDefault="0078423E" w:rsidP="00182A86">
                      <w:pPr>
                        <w:spacing w:after="0"/>
                        <w:rPr>
                          <w:rFonts w:cstheme="minorHAnsi"/>
                          <w:sz w:val="16"/>
                          <w:szCs w:val="14"/>
                          <w:lang w:val="sr-Cyrl-RS"/>
                        </w:rPr>
                      </w:pPr>
                    </w:p>
                    <w:p w14:paraId="3EA61F15" w14:textId="77777777" w:rsidR="0078423E" w:rsidRDefault="0078423E" w:rsidP="00182A86">
                      <w:pPr>
                        <w:spacing w:after="0"/>
                        <w:rPr>
                          <w:rFonts w:cstheme="minorHAnsi"/>
                          <w:sz w:val="16"/>
                          <w:szCs w:val="14"/>
                          <w:lang w:val="sr-Cyrl-RS"/>
                        </w:rPr>
                      </w:pPr>
                    </w:p>
                    <w:p w14:paraId="6C9CE8A5" w14:textId="4D71C07A" w:rsidR="0078423E" w:rsidRPr="001A0449" w:rsidRDefault="0078423E" w:rsidP="00182A86">
                      <w:pPr>
                        <w:spacing w:after="0"/>
                        <w:rPr>
                          <w:rFonts w:cstheme="minorHAnsi"/>
                          <w:sz w:val="16"/>
                          <w:szCs w:val="14"/>
                          <w:lang w:val="sr-Cyrl-RS"/>
                        </w:rPr>
                      </w:pPr>
                      <w:r w:rsidRPr="001A0449">
                        <w:rPr>
                          <w:rFonts w:cstheme="minorHAnsi"/>
                          <w:sz w:val="16"/>
                          <w:szCs w:val="14"/>
                          <w:lang w:val="sr-Cyrl-RS"/>
                        </w:rPr>
                        <w:t>Извор: Калкулација Министарства финансија</w:t>
                      </w:r>
                    </w:p>
                  </w:txbxContent>
                </v:textbox>
                <w10:wrap anchorx="margin"/>
              </v:rect>
            </w:pict>
          </mc:Fallback>
        </mc:AlternateContent>
      </w:r>
      <w:r w:rsidRPr="001A0449">
        <w:rPr>
          <w:rFonts w:cstheme="minorHAnsi"/>
          <w:szCs w:val="20"/>
          <w:lang w:val="sr-Cyrl-RS"/>
        </w:rPr>
        <w:t>На основу података ЕК за земље ЕУ за 2019. годину и обрачуна Министарства финансија за Републику Србију, за период од 2016–2019. године закључујемо да ниј</w:t>
      </w:r>
      <w:r w:rsidR="00417419" w:rsidRPr="001A0449">
        <w:rPr>
          <w:rFonts w:cstheme="minorHAnsi"/>
          <w:szCs w:val="20"/>
          <w:lang w:val="sr-Cyrl-RS"/>
        </w:rPr>
        <w:t xml:space="preserve">една од посматраних земаља није </w:t>
      </w:r>
      <w:r w:rsidRPr="001A0449">
        <w:rPr>
          <w:rFonts w:cstheme="minorHAnsi"/>
          <w:szCs w:val="20"/>
          <w:lang w:val="sr-Cyrl-RS"/>
        </w:rPr>
        <w:t xml:space="preserve">била изложена краткорочном ризику реализације фискалног стреса, будући да вредност S0 нигде не премашује дефинисани праг. Поједине земље биле су суочене са фискалним односно макро-финансијским изазовима, док се Република Србија заједно са већином земаља ЕУ и даље налазила унутар дефинисаних прагова S0 </w:t>
      </w:r>
      <w:r w:rsidRPr="001A0449">
        <w:rPr>
          <w:rFonts w:cstheme="minorHAnsi"/>
          <w:szCs w:val="20"/>
          <w:lang w:val="sr-Cyrl-RS"/>
        </w:rPr>
        <w:lastRenderedPageBreak/>
        <w:t xml:space="preserve">индикатора. Минимизирање потенцијалних ризика за настанак фискалног стреса у посматраним земљама допринело је стварању простора за доношење мера економске политике без преседана по </w:t>
      </w:r>
      <w:r w:rsidR="004C3E16" w:rsidRPr="001A0449">
        <w:rPr>
          <w:rFonts w:cstheme="minorHAnsi"/>
          <w:szCs w:val="20"/>
          <w:lang w:val="sr-Cyrl-RS"/>
        </w:rPr>
        <w:t xml:space="preserve">свом </w:t>
      </w:r>
      <w:r w:rsidRPr="001A0449">
        <w:rPr>
          <w:rFonts w:cstheme="minorHAnsi"/>
          <w:szCs w:val="20"/>
          <w:lang w:val="sr-Cyrl-RS"/>
        </w:rPr>
        <w:t>обиму, а као одговор на здравствену кризу која се прелила у све сфере економије.</w:t>
      </w:r>
    </w:p>
    <w:p w14:paraId="6E2A54E2" w14:textId="22592AE6" w:rsidR="001901FC" w:rsidRPr="00EA3D8C" w:rsidRDefault="001901FC" w:rsidP="00FE1A26">
      <w:pPr>
        <w:rPr>
          <w:rFonts w:cstheme="minorHAnsi"/>
          <w:color w:val="44546A"/>
          <w:szCs w:val="20"/>
          <w:lang w:val="sr-Cyrl-RS"/>
        </w:rPr>
        <w:sectPr w:rsidR="001901FC" w:rsidRPr="00EA3D8C" w:rsidSect="00AE40EB">
          <w:type w:val="continuous"/>
          <w:pgSz w:w="12240" w:h="15840" w:code="1"/>
          <w:pgMar w:top="1440" w:right="1440" w:bottom="1440" w:left="1440" w:header="720" w:footer="720" w:gutter="0"/>
          <w:cols w:num="2" w:space="720"/>
          <w:docGrid w:linePitch="360"/>
          <w15:footnoteColumns w:val="1"/>
        </w:sectPr>
      </w:pPr>
      <w:r w:rsidRPr="001A0449">
        <w:rPr>
          <w:rFonts w:cstheme="minorHAnsi"/>
          <w:szCs w:val="20"/>
          <w:lang w:val="sr-Cyrl-RS"/>
        </w:rPr>
        <w:t>Обрачун S0</w:t>
      </w:r>
      <w:r w:rsidR="004C3E16" w:rsidRPr="001A0449">
        <w:rPr>
          <w:rFonts w:cstheme="minorHAnsi"/>
          <w:szCs w:val="20"/>
          <w:lang w:val="sr-Cyrl-RS"/>
        </w:rPr>
        <w:t xml:space="preserve"> индикатора за Републику Србију је</w:t>
      </w:r>
      <w:r w:rsidRPr="001A0449">
        <w:rPr>
          <w:rFonts w:cstheme="minorHAnsi"/>
          <w:szCs w:val="20"/>
          <w:lang w:val="sr-Cyrl-RS"/>
        </w:rPr>
        <w:t xml:space="preserve"> урађен о</w:t>
      </w:r>
      <w:r w:rsidR="004C3E16" w:rsidRPr="001A0449">
        <w:rPr>
          <w:rFonts w:cstheme="minorHAnsi"/>
          <w:szCs w:val="20"/>
          <w:lang w:val="sr-Cyrl-RS"/>
        </w:rPr>
        <w:t>д стране Министарства финансија</w:t>
      </w:r>
      <w:r w:rsidRPr="001A0449">
        <w:rPr>
          <w:rFonts w:cstheme="minorHAnsi"/>
          <w:szCs w:val="20"/>
          <w:lang w:val="sr-Cyrl-RS"/>
        </w:rPr>
        <w:t xml:space="preserve"> и базира се на методологији ЕК.</w:t>
      </w:r>
      <w:r w:rsidRPr="00EA3D8C">
        <w:rPr>
          <w:color w:val="44546A"/>
          <w:vertAlign w:val="superscript"/>
          <w:lang w:val="sr-Cyrl-RS"/>
        </w:rPr>
        <w:footnoteReference w:id="2"/>
      </w:r>
    </w:p>
    <w:p w14:paraId="69074DD9" w14:textId="77777777" w:rsidR="001901FC" w:rsidRPr="00EA3D8C" w:rsidRDefault="001901FC" w:rsidP="00AE7CB3">
      <w:pPr>
        <w:spacing w:before="360"/>
        <w:jc w:val="center"/>
        <w:rPr>
          <w:rFonts w:eastAsia="Calibri" w:cstheme="minorHAnsi"/>
          <w:b/>
          <w:color w:val="002060"/>
          <w:szCs w:val="20"/>
          <w:lang w:val="sr-Cyrl-RS"/>
        </w:rPr>
      </w:pPr>
      <w:bookmarkStart w:id="25" w:name="_Toc530635107"/>
      <w:r w:rsidRPr="00EA3D8C">
        <w:rPr>
          <w:rFonts w:eastAsia="Calibri" w:cstheme="minorHAnsi"/>
          <w:b/>
          <w:bCs/>
          <w:color w:val="002060"/>
          <w:szCs w:val="20"/>
          <w:lang w:val="sr-Cyrl-RS"/>
        </w:rPr>
        <w:lastRenderedPageBreak/>
        <w:t>Фискални подиндекс и подиндекс макро-финансијске конкурентности за земље ЕУ за 2019. годину и Србију за 2017, 2018. и 2019. годину</w:t>
      </w:r>
    </w:p>
    <w:p w14:paraId="58426ADA" w14:textId="77777777" w:rsidR="001901FC" w:rsidRPr="00EA3D8C" w:rsidRDefault="001901FC" w:rsidP="00FE1A26">
      <w:pPr>
        <w:jc w:val="right"/>
        <w:rPr>
          <w:color w:val="auto"/>
          <w:lang w:val="sr-Cyrl-RS"/>
        </w:rPr>
        <w:sectPr w:rsidR="001901FC" w:rsidRPr="00EA3D8C" w:rsidSect="00AE40EB">
          <w:type w:val="continuous"/>
          <w:pgSz w:w="12240" w:h="15840" w:code="1"/>
          <w:pgMar w:top="1440" w:right="1440" w:bottom="1440" w:left="1440" w:header="720" w:footer="720" w:gutter="0"/>
          <w:cols w:space="720"/>
          <w:docGrid w:linePitch="360"/>
        </w:sectPr>
      </w:pPr>
    </w:p>
    <w:p w14:paraId="070A120D" w14:textId="77777777" w:rsidR="001901FC" w:rsidRPr="00EA3D8C" w:rsidRDefault="001901FC" w:rsidP="00FE1A26">
      <w:pPr>
        <w:jc w:val="right"/>
        <w:rPr>
          <w:color w:val="auto"/>
          <w:lang w:val="sr-Cyrl-RS"/>
        </w:rPr>
        <w:sectPr w:rsidR="001901FC" w:rsidRPr="00EA3D8C" w:rsidSect="00AE40EB">
          <w:type w:val="continuous"/>
          <w:pgSz w:w="12240" w:h="15840" w:code="1"/>
          <w:pgMar w:top="1440" w:right="1440" w:bottom="1440" w:left="1440" w:header="720" w:footer="720" w:gutter="0"/>
          <w:cols w:space="720"/>
          <w:docGrid w:linePitch="360"/>
        </w:sectPr>
      </w:pPr>
      <w:r w:rsidRPr="00EA3D8C">
        <w:rPr>
          <w:noProof/>
          <w:color w:val="44546A"/>
        </w:rPr>
        <w:lastRenderedPageBreak/>
        <w:drawing>
          <wp:inline distT="0" distB="0" distL="0" distR="0" wp14:anchorId="2A26C417" wp14:editId="7A3296AE">
            <wp:extent cx="5742000" cy="3189600"/>
            <wp:effectExtent l="0" t="0" r="0"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p w14:paraId="2CD7C8AA" w14:textId="77777777" w:rsidR="00333B2E" w:rsidRPr="00EA3D8C" w:rsidRDefault="00333B2E" w:rsidP="005D42AC">
      <w:pPr>
        <w:pStyle w:val="Heading2"/>
        <w:spacing w:before="240" w:after="240"/>
        <w:jc w:val="center"/>
        <w:rPr>
          <w:rFonts w:asciiTheme="minorHAnsi" w:eastAsia="Calibri" w:hAnsiTheme="minorHAnsi" w:cstheme="minorHAnsi"/>
          <w:b/>
          <w:sz w:val="24"/>
          <w:lang w:val="sr-Cyrl-RS"/>
        </w:rPr>
      </w:pPr>
      <w:bookmarkStart w:id="26" w:name="_Toc56667078"/>
      <w:bookmarkEnd w:id="25"/>
      <w:r w:rsidRPr="00EA3D8C">
        <w:rPr>
          <w:rFonts w:asciiTheme="minorHAnsi" w:eastAsia="Calibri" w:hAnsiTheme="minorHAnsi" w:cstheme="minorHAnsi"/>
          <w:b/>
          <w:sz w:val="24"/>
          <w:lang w:val="sr-Cyrl-RS"/>
        </w:rPr>
        <w:lastRenderedPageBreak/>
        <w:t>4. Фискалне пројекције у периоду 2021–2023. године</w:t>
      </w:r>
      <w:bookmarkEnd w:id="24"/>
      <w:bookmarkEnd w:id="26"/>
    </w:p>
    <w:p w14:paraId="6D39F646" w14:textId="77777777" w:rsidR="00333B2E" w:rsidRPr="00EA3D8C" w:rsidRDefault="00333B2E" w:rsidP="005D42AC">
      <w:pPr>
        <w:pStyle w:val="Heading2"/>
        <w:spacing w:before="240" w:after="240"/>
        <w:rPr>
          <w:rFonts w:eastAsia="MS PGothic" w:cstheme="minorHAnsi"/>
          <w:color w:val="44546A" w:themeColor="text2"/>
          <w:sz w:val="20"/>
          <w:szCs w:val="20"/>
          <w:lang w:val="sr-Cyrl-RS" w:eastAsia="ja-JP"/>
        </w:rPr>
        <w:sectPr w:rsidR="00333B2E" w:rsidRPr="00EA3D8C" w:rsidSect="00AE40EB">
          <w:headerReference w:type="default" r:id="rId135"/>
          <w:footerReference w:type="even" r:id="rId136"/>
          <w:footerReference w:type="default" r:id="rId137"/>
          <w:headerReference w:type="first" r:id="rId138"/>
          <w:pgSz w:w="12240" w:h="15840" w:code="1"/>
          <w:pgMar w:top="1440" w:right="1440" w:bottom="1440" w:left="1440" w:header="720" w:footer="720" w:gutter="0"/>
          <w:cols w:space="720"/>
          <w:docGrid w:linePitch="360"/>
        </w:sectPr>
      </w:pPr>
    </w:p>
    <w:p w14:paraId="63A9D76F" w14:textId="77777777" w:rsidR="00333B2E" w:rsidRPr="00EA3D8C" w:rsidRDefault="00333B2E" w:rsidP="00333B2E">
      <w:pPr>
        <w:rPr>
          <w:lang w:val="sr-Cyrl-RS" w:eastAsia="ja-JP"/>
        </w:rPr>
      </w:pPr>
      <w:r w:rsidRPr="00EA3D8C">
        <w:rPr>
          <w:lang w:val="sr-Cyrl-RS" w:eastAsia="ja-JP"/>
        </w:rPr>
        <w:lastRenderedPageBreak/>
        <w:t>У наредном средњорочном периоду економска и фискална политика зависиће од развоја пандемије и успеха на пољу борбе против ње. Циљеви фискалне политике свакако су усмерени на одржање фискалне стабилности и смањење учешћа јавног дуга у БДП. Средњорочни фискални оквир предвиђа постепено смањење дефицита опште државе на ниво од 1,0% БДП до 2023. године и пад учешћа јавног дуга на 56,0% БДП. Пројекције фискалних агрегата у периоду од 2020. до 2023.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05BAAED8" w14:textId="77777777" w:rsidR="00333B2E" w:rsidRPr="00EA3D8C" w:rsidRDefault="00333B2E" w:rsidP="005D42AC">
      <w:pPr>
        <w:spacing w:line="276" w:lineRule="auto"/>
        <w:rPr>
          <w:lang w:val="sr-Cyrl-RS" w:eastAsia="ja-JP"/>
        </w:rPr>
      </w:pPr>
      <w:r w:rsidRPr="00EA3D8C">
        <w:rPr>
          <w:lang w:val="sr-Cyrl-RS" w:eastAsia="ja-JP"/>
        </w:rPr>
        <w:t xml:space="preserve">Захваљујући мерама фискалне консолидације у претходном периоду створен је фискални простор </w:t>
      </w:r>
      <w:r w:rsidRPr="00EA3D8C">
        <w:rPr>
          <w:lang w:val="sr-Cyrl-RS" w:eastAsia="ja-JP"/>
        </w:rPr>
        <w:lastRenderedPageBreak/>
        <w:t>који је омогућио богат пакет мера у склопу борбе против ефеката кризе изазване пандемијом током 2020. године. У наредној години не очекује се истоветан утицај пандемије који би захтевао сличан пакет мера, али биће обезбеђене одређене резерве у случају новог погоршања економских кретања. Фискални простор ће у 2021. години бити искоришћен за повећање капиталних инвестиција, додатно улагање у здравствени систем, умерено повећање пензија и плата у јавном сектору, те за пореско растерећење привреде. Ове мере и њихове фискалне импликације дизајниране су тако да не угрозе стабилност јавних финансија и темпо смањења јавног дуга, затим да одрже животни стандард становништва и помогну привредни развој, али и да осигурају флексибилност реакције на евентуалне нове ударе кризе.</w:t>
      </w:r>
    </w:p>
    <w:p w14:paraId="65D24F10" w14:textId="77777777" w:rsidR="00333B2E" w:rsidRPr="00EA3D8C" w:rsidRDefault="00333B2E" w:rsidP="00C130D2">
      <w:pPr>
        <w:spacing w:line="276" w:lineRule="auto"/>
        <w:rPr>
          <w:lang w:val="sr-Cyrl-RS" w:eastAsia="ja-JP"/>
        </w:rPr>
        <w:sectPr w:rsidR="00333B2E" w:rsidRPr="00EA3D8C" w:rsidSect="00AE40EB">
          <w:type w:val="continuous"/>
          <w:pgSz w:w="12240" w:h="15840" w:code="1"/>
          <w:pgMar w:top="1440" w:right="1440" w:bottom="1440" w:left="1440" w:header="720" w:footer="720" w:gutter="0"/>
          <w:cols w:num="2" w:space="720"/>
          <w:docGrid w:linePitch="360"/>
        </w:sectPr>
      </w:pPr>
    </w:p>
    <w:p w14:paraId="502FF44D" w14:textId="1CEF4B28" w:rsidR="00333B2E" w:rsidRPr="00EA3D8C" w:rsidRDefault="00EC4017" w:rsidP="005D42AC">
      <w:pPr>
        <w:widowControl w:val="0"/>
        <w:spacing w:before="360"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9</w:t>
      </w:r>
      <w:r w:rsidR="00333B2E" w:rsidRPr="00EA3D8C">
        <w:rPr>
          <w:rFonts w:eastAsia="MS PGothic" w:cstheme="minorHAnsi"/>
          <w:b/>
          <w:color w:val="002060"/>
          <w:szCs w:val="20"/>
          <w:lang w:val="sr-Cyrl-RS" w:eastAsia="ja-JP"/>
        </w:rPr>
        <w:t>. Фискални агрегати у периоду 2019–2023.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333B2E" w:rsidRPr="00EA3D8C" w14:paraId="5D43BD5E" w14:textId="77777777" w:rsidTr="005D42AC">
        <w:trPr>
          <w:cnfStyle w:val="100000000000" w:firstRow="1" w:lastRow="0" w:firstColumn="0" w:lastColumn="0" w:oddVBand="0" w:evenVBand="0" w:oddHBand="0" w:evenHBand="0" w:firstRowFirstColumn="0" w:firstRowLastColumn="0" w:lastRowFirstColumn="0" w:lastRowLastColumn="0"/>
          <w:trHeight w:val="253"/>
        </w:trPr>
        <w:tc>
          <w:tcPr>
            <w:tcW w:w="2121" w:type="pct"/>
            <w:tcBorders>
              <w:top w:val="single" w:sz="4" w:space="0" w:color="002060"/>
              <w:bottom w:val="single" w:sz="4" w:space="0" w:color="002060"/>
            </w:tcBorders>
            <w:shd w:val="clear" w:color="auto" w:fill="auto"/>
            <w:noWrap/>
            <w:vAlign w:val="center"/>
          </w:tcPr>
          <w:p w14:paraId="5ABBFF7E" w14:textId="77777777" w:rsidR="00333B2E" w:rsidRPr="00EA3D8C" w:rsidRDefault="00333B2E" w:rsidP="00C130D2">
            <w:pPr>
              <w:spacing w:line="276" w:lineRule="auto"/>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shd w:val="clear" w:color="auto" w:fill="auto"/>
            <w:vAlign w:val="center"/>
          </w:tcPr>
          <w:p w14:paraId="79457696" w14:textId="77777777" w:rsidR="00333B2E" w:rsidRPr="00EA3D8C" w:rsidRDefault="00333B2E" w:rsidP="00C130D2">
            <w:pPr>
              <w:spacing w:line="276" w:lineRule="auto"/>
              <w:jc w:val="right"/>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Извршење</w:t>
            </w:r>
          </w:p>
        </w:tc>
        <w:tc>
          <w:tcPr>
            <w:tcW w:w="605" w:type="pct"/>
            <w:tcBorders>
              <w:top w:val="single" w:sz="4" w:space="0" w:color="002060"/>
              <w:bottom w:val="single" w:sz="4" w:space="0" w:color="002060"/>
            </w:tcBorders>
            <w:shd w:val="clear" w:color="auto" w:fill="auto"/>
            <w:vAlign w:val="center"/>
          </w:tcPr>
          <w:p w14:paraId="78E35552" w14:textId="77777777" w:rsidR="00333B2E" w:rsidRPr="00EA3D8C" w:rsidRDefault="00333B2E" w:rsidP="00C130D2">
            <w:pPr>
              <w:spacing w:line="276" w:lineRule="auto"/>
              <w:jc w:val="right"/>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Процена</w:t>
            </w:r>
          </w:p>
        </w:tc>
        <w:tc>
          <w:tcPr>
            <w:tcW w:w="1668" w:type="pct"/>
            <w:gridSpan w:val="3"/>
            <w:tcBorders>
              <w:top w:val="single" w:sz="4" w:space="0" w:color="002060"/>
              <w:bottom w:val="single" w:sz="4" w:space="0" w:color="002060"/>
            </w:tcBorders>
            <w:shd w:val="clear" w:color="auto" w:fill="auto"/>
            <w:vAlign w:val="center"/>
          </w:tcPr>
          <w:p w14:paraId="444D1C4E" w14:textId="77777777" w:rsidR="00333B2E" w:rsidRPr="00EA3D8C" w:rsidRDefault="00333B2E" w:rsidP="00C130D2">
            <w:pPr>
              <w:spacing w:line="276" w:lineRule="auto"/>
              <w:jc w:val="center"/>
              <w:rPr>
                <w:rFonts w:asciiTheme="minorHAnsi" w:hAnsiTheme="minorHAnsi" w:cstheme="minorHAnsi"/>
                <w:b w:val="0"/>
                <w:color w:val="002060"/>
                <w:sz w:val="18"/>
                <w:lang w:val="sr-Cyrl-RS"/>
              </w:rPr>
            </w:pPr>
            <w:r w:rsidRPr="00EA3D8C">
              <w:rPr>
                <w:rFonts w:asciiTheme="minorHAnsi" w:hAnsiTheme="minorHAnsi" w:cstheme="minorHAnsi"/>
                <w:b w:val="0"/>
                <w:color w:val="002060"/>
                <w:sz w:val="18"/>
                <w:lang w:val="sr-Cyrl-RS"/>
              </w:rPr>
              <w:t>Пројекција</w:t>
            </w:r>
          </w:p>
        </w:tc>
      </w:tr>
      <w:tr w:rsidR="00333B2E" w:rsidRPr="00EA3D8C" w14:paraId="5716DAB7" w14:textId="77777777" w:rsidTr="005D42AC">
        <w:trPr>
          <w:cnfStyle w:val="000000100000" w:firstRow="0" w:lastRow="0" w:firstColumn="0" w:lastColumn="0" w:oddVBand="0" w:evenVBand="0" w:oddHBand="1" w:evenHBand="0" w:firstRowFirstColumn="0" w:firstRowLastColumn="0" w:lastRowFirstColumn="0" w:lastRowLastColumn="0"/>
          <w:trHeight w:val="253"/>
        </w:trPr>
        <w:tc>
          <w:tcPr>
            <w:tcW w:w="2121" w:type="pct"/>
            <w:tcBorders>
              <w:top w:val="single" w:sz="4" w:space="0" w:color="002060"/>
              <w:left w:val="none" w:sz="0" w:space="0" w:color="auto"/>
              <w:right w:val="none" w:sz="0" w:space="0" w:color="auto"/>
            </w:tcBorders>
            <w:shd w:val="clear" w:color="auto" w:fill="auto"/>
            <w:noWrap/>
            <w:vAlign w:val="center"/>
          </w:tcPr>
          <w:p w14:paraId="0AC4A19C"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 </w:t>
            </w:r>
          </w:p>
        </w:tc>
        <w:tc>
          <w:tcPr>
            <w:tcW w:w="605" w:type="pct"/>
            <w:tcBorders>
              <w:top w:val="single" w:sz="4" w:space="0" w:color="002060"/>
              <w:left w:val="none" w:sz="0" w:space="0" w:color="auto"/>
              <w:bottom w:val="single" w:sz="4" w:space="0" w:color="002060"/>
              <w:right w:val="none" w:sz="0" w:space="0" w:color="auto"/>
            </w:tcBorders>
            <w:shd w:val="clear" w:color="auto" w:fill="auto"/>
            <w:vAlign w:val="center"/>
          </w:tcPr>
          <w:p w14:paraId="347884B6"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2019</w:t>
            </w:r>
          </w:p>
        </w:tc>
        <w:tc>
          <w:tcPr>
            <w:tcW w:w="605" w:type="pct"/>
            <w:tcBorders>
              <w:top w:val="single" w:sz="4" w:space="0" w:color="002060"/>
              <w:left w:val="none" w:sz="0" w:space="0" w:color="auto"/>
              <w:bottom w:val="single" w:sz="4" w:space="0" w:color="002060"/>
              <w:right w:val="none" w:sz="0" w:space="0" w:color="auto"/>
            </w:tcBorders>
            <w:shd w:val="clear" w:color="auto" w:fill="auto"/>
            <w:vAlign w:val="center"/>
          </w:tcPr>
          <w:p w14:paraId="0E8805F3"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2020</w:t>
            </w:r>
          </w:p>
        </w:tc>
        <w:tc>
          <w:tcPr>
            <w:tcW w:w="556" w:type="pct"/>
            <w:tcBorders>
              <w:top w:val="single" w:sz="4" w:space="0" w:color="002060"/>
              <w:left w:val="none" w:sz="0" w:space="0" w:color="auto"/>
              <w:bottom w:val="single" w:sz="4" w:space="0" w:color="002060"/>
              <w:right w:val="none" w:sz="0" w:space="0" w:color="auto"/>
            </w:tcBorders>
            <w:shd w:val="clear" w:color="auto" w:fill="auto"/>
            <w:vAlign w:val="center"/>
          </w:tcPr>
          <w:p w14:paraId="1358E7DD"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2021</w:t>
            </w:r>
          </w:p>
        </w:tc>
        <w:tc>
          <w:tcPr>
            <w:tcW w:w="556" w:type="pct"/>
            <w:tcBorders>
              <w:top w:val="single" w:sz="4" w:space="0" w:color="002060"/>
              <w:left w:val="none" w:sz="0" w:space="0" w:color="auto"/>
              <w:bottom w:val="single" w:sz="4" w:space="0" w:color="002060"/>
              <w:right w:val="none" w:sz="0" w:space="0" w:color="auto"/>
            </w:tcBorders>
            <w:shd w:val="clear" w:color="auto" w:fill="auto"/>
            <w:vAlign w:val="center"/>
          </w:tcPr>
          <w:p w14:paraId="54C3BFAF"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2022</w:t>
            </w:r>
          </w:p>
        </w:tc>
        <w:tc>
          <w:tcPr>
            <w:tcW w:w="556" w:type="pct"/>
            <w:tcBorders>
              <w:top w:val="single" w:sz="4" w:space="0" w:color="002060"/>
              <w:left w:val="none" w:sz="0" w:space="0" w:color="auto"/>
              <w:bottom w:val="single" w:sz="4" w:space="0" w:color="002060"/>
              <w:right w:val="none" w:sz="0" w:space="0" w:color="auto"/>
            </w:tcBorders>
            <w:shd w:val="clear" w:color="auto" w:fill="auto"/>
            <w:vAlign w:val="center"/>
          </w:tcPr>
          <w:p w14:paraId="749D7177" w14:textId="77777777" w:rsidR="00333B2E" w:rsidRPr="00EA3D8C" w:rsidRDefault="00333B2E" w:rsidP="005D42AC">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2023</w:t>
            </w:r>
          </w:p>
        </w:tc>
      </w:tr>
      <w:tr w:rsidR="00333B2E" w:rsidRPr="00EA3D8C" w14:paraId="59E26E6E" w14:textId="77777777" w:rsidTr="005D42AC">
        <w:trPr>
          <w:trHeight w:val="253"/>
        </w:trPr>
        <w:tc>
          <w:tcPr>
            <w:tcW w:w="2121" w:type="pct"/>
            <w:shd w:val="clear" w:color="auto" w:fill="auto"/>
            <w:vAlign w:val="center"/>
          </w:tcPr>
          <w:p w14:paraId="22D17B52"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Јавни приходи</w:t>
            </w:r>
          </w:p>
        </w:tc>
        <w:tc>
          <w:tcPr>
            <w:tcW w:w="605" w:type="pct"/>
            <w:tcBorders>
              <w:top w:val="single" w:sz="4" w:space="0" w:color="002060"/>
            </w:tcBorders>
            <w:shd w:val="clear" w:color="auto" w:fill="auto"/>
            <w:vAlign w:val="center"/>
          </w:tcPr>
          <w:p w14:paraId="5974AE49"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42,1</w:t>
            </w:r>
          </w:p>
        </w:tc>
        <w:tc>
          <w:tcPr>
            <w:tcW w:w="605" w:type="pct"/>
            <w:tcBorders>
              <w:top w:val="single" w:sz="4" w:space="0" w:color="002060"/>
            </w:tcBorders>
            <w:shd w:val="clear" w:color="auto" w:fill="auto"/>
            <w:vAlign w:val="center"/>
          </w:tcPr>
          <w:p w14:paraId="6C4F1AE1"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40,3</w:t>
            </w:r>
          </w:p>
        </w:tc>
        <w:tc>
          <w:tcPr>
            <w:tcW w:w="556" w:type="pct"/>
            <w:tcBorders>
              <w:top w:val="single" w:sz="4" w:space="0" w:color="002060"/>
            </w:tcBorders>
            <w:shd w:val="clear" w:color="auto" w:fill="auto"/>
            <w:vAlign w:val="center"/>
          </w:tcPr>
          <w:p w14:paraId="31C72D50" w14:textId="7F4A2DC5" w:rsidR="00333B2E" w:rsidRPr="00EA3D8C" w:rsidRDefault="007327FF"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40,4</w:t>
            </w:r>
          </w:p>
        </w:tc>
        <w:tc>
          <w:tcPr>
            <w:tcW w:w="556" w:type="pct"/>
            <w:tcBorders>
              <w:top w:val="single" w:sz="4" w:space="0" w:color="002060"/>
            </w:tcBorders>
            <w:shd w:val="clear" w:color="auto" w:fill="auto"/>
            <w:vAlign w:val="center"/>
          </w:tcPr>
          <w:p w14:paraId="41222E67"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40,5</w:t>
            </w:r>
          </w:p>
        </w:tc>
        <w:tc>
          <w:tcPr>
            <w:tcW w:w="556" w:type="pct"/>
            <w:tcBorders>
              <w:top w:val="single" w:sz="4" w:space="0" w:color="002060"/>
            </w:tcBorders>
            <w:shd w:val="clear" w:color="auto" w:fill="auto"/>
            <w:vAlign w:val="center"/>
          </w:tcPr>
          <w:p w14:paraId="575B052D"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39,7</w:t>
            </w:r>
          </w:p>
        </w:tc>
      </w:tr>
      <w:tr w:rsidR="00333B2E" w:rsidRPr="00EA3D8C" w14:paraId="6641E6F5" w14:textId="77777777" w:rsidTr="005D42AC">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5EB35F0E"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Јавни расходи</w:t>
            </w:r>
          </w:p>
        </w:tc>
        <w:tc>
          <w:tcPr>
            <w:tcW w:w="605" w:type="pct"/>
            <w:shd w:val="clear" w:color="auto" w:fill="auto"/>
            <w:vAlign w:val="center"/>
          </w:tcPr>
          <w:p w14:paraId="225287E9"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42,3</w:t>
            </w:r>
          </w:p>
        </w:tc>
        <w:tc>
          <w:tcPr>
            <w:tcW w:w="605" w:type="pct"/>
            <w:shd w:val="clear" w:color="auto" w:fill="auto"/>
            <w:vAlign w:val="center"/>
          </w:tcPr>
          <w:p w14:paraId="5334B7BB"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49,2</w:t>
            </w:r>
          </w:p>
        </w:tc>
        <w:tc>
          <w:tcPr>
            <w:tcW w:w="556" w:type="pct"/>
            <w:shd w:val="clear" w:color="auto" w:fill="auto"/>
            <w:vAlign w:val="center"/>
          </w:tcPr>
          <w:p w14:paraId="287962B7" w14:textId="147981BD" w:rsidR="00333B2E" w:rsidRPr="00EA3D8C" w:rsidRDefault="007327FF" w:rsidP="005D42AC">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43,4</w:t>
            </w:r>
          </w:p>
        </w:tc>
        <w:tc>
          <w:tcPr>
            <w:tcW w:w="556" w:type="pct"/>
            <w:shd w:val="clear" w:color="auto" w:fill="auto"/>
            <w:vAlign w:val="center"/>
          </w:tcPr>
          <w:p w14:paraId="53CCE1E4"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42,1</w:t>
            </w:r>
          </w:p>
        </w:tc>
        <w:tc>
          <w:tcPr>
            <w:tcW w:w="556" w:type="pct"/>
            <w:shd w:val="clear" w:color="auto" w:fill="auto"/>
            <w:vAlign w:val="center"/>
          </w:tcPr>
          <w:p w14:paraId="7602D8BE"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40,7</w:t>
            </w:r>
          </w:p>
        </w:tc>
      </w:tr>
      <w:tr w:rsidR="00333B2E" w:rsidRPr="00EA3D8C" w14:paraId="488FD328" w14:textId="77777777" w:rsidTr="005D42AC">
        <w:trPr>
          <w:trHeight w:val="253"/>
        </w:trPr>
        <w:tc>
          <w:tcPr>
            <w:tcW w:w="2121" w:type="pct"/>
            <w:shd w:val="clear" w:color="auto" w:fill="auto"/>
            <w:vAlign w:val="center"/>
          </w:tcPr>
          <w:p w14:paraId="0946419D" w14:textId="77777777" w:rsidR="00333B2E" w:rsidRPr="00EA3D8C" w:rsidRDefault="00333B2E"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674FDA22"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7D7029BB"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52FDF3E7"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7382C041"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7A16678F"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r>
      <w:tr w:rsidR="00333B2E" w:rsidRPr="00EA3D8C" w14:paraId="0A6EBCEA" w14:textId="77777777" w:rsidTr="005D42AC">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50A48943"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Консолидовани фискални резултат</w:t>
            </w:r>
          </w:p>
        </w:tc>
        <w:tc>
          <w:tcPr>
            <w:tcW w:w="605" w:type="pct"/>
            <w:shd w:val="clear" w:color="auto" w:fill="auto"/>
            <w:vAlign w:val="center"/>
          </w:tcPr>
          <w:p w14:paraId="5332A01D"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605" w:type="pct"/>
            <w:shd w:val="clear" w:color="auto" w:fill="auto"/>
            <w:vAlign w:val="center"/>
          </w:tcPr>
          <w:p w14:paraId="58354B08"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-8,9</w:t>
            </w:r>
          </w:p>
        </w:tc>
        <w:tc>
          <w:tcPr>
            <w:tcW w:w="556" w:type="pct"/>
            <w:shd w:val="clear" w:color="auto" w:fill="auto"/>
            <w:vAlign w:val="center"/>
          </w:tcPr>
          <w:p w14:paraId="0F8C4B39"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-3,0</w:t>
            </w:r>
          </w:p>
        </w:tc>
        <w:tc>
          <w:tcPr>
            <w:tcW w:w="556" w:type="pct"/>
            <w:shd w:val="clear" w:color="auto" w:fill="auto"/>
            <w:vAlign w:val="center"/>
          </w:tcPr>
          <w:p w14:paraId="142E90F8"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-1,6</w:t>
            </w:r>
          </w:p>
        </w:tc>
        <w:tc>
          <w:tcPr>
            <w:tcW w:w="556" w:type="pct"/>
            <w:shd w:val="clear" w:color="auto" w:fill="auto"/>
            <w:vAlign w:val="center"/>
          </w:tcPr>
          <w:p w14:paraId="597C239A"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w:t>
            </w:r>
          </w:p>
        </w:tc>
      </w:tr>
      <w:tr w:rsidR="00333B2E" w:rsidRPr="00EA3D8C" w14:paraId="59153A22" w14:textId="77777777" w:rsidTr="005D42AC">
        <w:trPr>
          <w:trHeight w:val="253"/>
        </w:trPr>
        <w:tc>
          <w:tcPr>
            <w:tcW w:w="2121" w:type="pct"/>
            <w:shd w:val="clear" w:color="auto" w:fill="auto"/>
            <w:vAlign w:val="center"/>
          </w:tcPr>
          <w:p w14:paraId="55521B0C"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Примарни консолидовани резултат</w:t>
            </w:r>
          </w:p>
        </w:tc>
        <w:tc>
          <w:tcPr>
            <w:tcW w:w="605" w:type="pct"/>
            <w:shd w:val="clear" w:color="auto" w:fill="auto"/>
            <w:vAlign w:val="center"/>
          </w:tcPr>
          <w:p w14:paraId="49E4847C"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1,8</w:t>
            </w:r>
          </w:p>
        </w:tc>
        <w:tc>
          <w:tcPr>
            <w:tcW w:w="605" w:type="pct"/>
            <w:shd w:val="clear" w:color="auto" w:fill="auto"/>
            <w:vAlign w:val="center"/>
          </w:tcPr>
          <w:p w14:paraId="5EBB5CD1"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-6,9</w:t>
            </w:r>
          </w:p>
        </w:tc>
        <w:tc>
          <w:tcPr>
            <w:tcW w:w="556" w:type="pct"/>
            <w:shd w:val="clear" w:color="auto" w:fill="auto"/>
            <w:vAlign w:val="center"/>
          </w:tcPr>
          <w:p w14:paraId="54E49A9C"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-1,1</w:t>
            </w:r>
          </w:p>
        </w:tc>
        <w:tc>
          <w:tcPr>
            <w:tcW w:w="556" w:type="pct"/>
            <w:shd w:val="clear" w:color="auto" w:fill="auto"/>
            <w:vAlign w:val="center"/>
          </w:tcPr>
          <w:p w14:paraId="610C46F5"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0,1</w:t>
            </w:r>
          </w:p>
        </w:tc>
        <w:tc>
          <w:tcPr>
            <w:tcW w:w="556" w:type="pct"/>
            <w:shd w:val="clear" w:color="auto" w:fill="auto"/>
            <w:vAlign w:val="center"/>
          </w:tcPr>
          <w:p w14:paraId="2F0B219C"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0,6</w:t>
            </w:r>
          </w:p>
        </w:tc>
      </w:tr>
      <w:tr w:rsidR="00333B2E" w:rsidRPr="00EA3D8C" w14:paraId="2606868E" w14:textId="77777777" w:rsidTr="005D42AC">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1E6409BD" w14:textId="77777777" w:rsidR="00333B2E" w:rsidRPr="00EA3D8C" w:rsidRDefault="00333B2E"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7ED653E6"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7F5DA041"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45D9C7A3"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4ECC92F4"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192E7335"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p>
        </w:tc>
      </w:tr>
      <w:tr w:rsidR="00333B2E" w:rsidRPr="00EA3D8C" w14:paraId="3C218B38" w14:textId="77777777" w:rsidTr="005D42AC">
        <w:trPr>
          <w:trHeight w:val="253"/>
        </w:trPr>
        <w:tc>
          <w:tcPr>
            <w:tcW w:w="2121" w:type="pct"/>
            <w:shd w:val="clear" w:color="auto" w:fill="auto"/>
            <w:vAlign w:val="center"/>
          </w:tcPr>
          <w:p w14:paraId="6364C84E"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Дуг опште државе</w:t>
            </w:r>
          </w:p>
        </w:tc>
        <w:tc>
          <w:tcPr>
            <w:tcW w:w="605" w:type="pct"/>
            <w:shd w:val="clear" w:color="auto" w:fill="auto"/>
            <w:vAlign w:val="center"/>
          </w:tcPr>
          <w:p w14:paraId="2C65468F"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52,9</w:t>
            </w:r>
          </w:p>
        </w:tc>
        <w:tc>
          <w:tcPr>
            <w:tcW w:w="605" w:type="pct"/>
            <w:shd w:val="clear" w:color="auto" w:fill="auto"/>
            <w:vAlign w:val="center"/>
          </w:tcPr>
          <w:p w14:paraId="445096D8"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59,0</w:t>
            </w:r>
          </w:p>
        </w:tc>
        <w:tc>
          <w:tcPr>
            <w:tcW w:w="556" w:type="pct"/>
            <w:shd w:val="clear" w:color="auto" w:fill="auto"/>
            <w:vAlign w:val="center"/>
          </w:tcPr>
          <w:p w14:paraId="62B7AD77" w14:textId="77777777" w:rsidR="00333B2E" w:rsidRPr="00EA3D8C" w:rsidRDefault="00333B2E" w:rsidP="005D42AC">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58,7</w:t>
            </w:r>
          </w:p>
        </w:tc>
        <w:tc>
          <w:tcPr>
            <w:tcW w:w="556" w:type="pct"/>
            <w:shd w:val="clear" w:color="auto" w:fill="auto"/>
            <w:vAlign w:val="center"/>
          </w:tcPr>
          <w:p w14:paraId="3B8695A2"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57,9</w:t>
            </w:r>
          </w:p>
        </w:tc>
        <w:tc>
          <w:tcPr>
            <w:tcW w:w="556" w:type="pct"/>
            <w:shd w:val="clear" w:color="auto" w:fill="auto"/>
            <w:vAlign w:val="center"/>
          </w:tcPr>
          <w:p w14:paraId="352734CE"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56,0</w:t>
            </w:r>
          </w:p>
        </w:tc>
      </w:tr>
      <w:tr w:rsidR="00333B2E" w:rsidRPr="00EA3D8C" w14:paraId="62470783" w14:textId="77777777" w:rsidTr="005D42AC">
        <w:trPr>
          <w:cnfStyle w:val="000000100000" w:firstRow="0" w:lastRow="0" w:firstColumn="0" w:lastColumn="0" w:oddVBand="0" w:evenVBand="0" w:oddHBand="1" w:evenHBand="0" w:firstRowFirstColumn="0" w:firstRowLastColumn="0" w:lastRowFirstColumn="0" w:lastRowLastColumn="0"/>
          <w:trHeight w:val="253"/>
        </w:trPr>
        <w:tc>
          <w:tcPr>
            <w:tcW w:w="2121" w:type="pct"/>
            <w:tcBorders>
              <w:bottom w:val="single" w:sz="4" w:space="0" w:color="002060"/>
            </w:tcBorders>
            <w:shd w:val="clear" w:color="auto" w:fill="auto"/>
            <w:vAlign w:val="center"/>
          </w:tcPr>
          <w:p w14:paraId="6DE6A8A6" w14:textId="77777777" w:rsidR="00333B2E" w:rsidRPr="00EA3D8C" w:rsidRDefault="00333B2E" w:rsidP="00C130D2">
            <w:pPr>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Реална стопа раста БДП</w:t>
            </w:r>
          </w:p>
        </w:tc>
        <w:tc>
          <w:tcPr>
            <w:tcW w:w="605" w:type="pct"/>
            <w:tcBorders>
              <w:bottom w:val="single" w:sz="4" w:space="0" w:color="002060"/>
            </w:tcBorders>
            <w:shd w:val="clear" w:color="auto" w:fill="auto"/>
            <w:vAlign w:val="center"/>
          </w:tcPr>
          <w:p w14:paraId="44E0E92E"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4,4%</w:t>
            </w:r>
          </w:p>
        </w:tc>
        <w:tc>
          <w:tcPr>
            <w:tcW w:w="605" w:type="pct"/>
            <w:tcBorders>
              <w:bottom w:val="single" w:sz="4" w:space="0" w:color="002060"/>
            </w:tcBorders>
            <w:shd w:val="clear" w:color="auto" w:fill="auto"/>
            <w:vAlign w:val="center"/>
          </w:tcPr>
          <w:p w14:paraId="035E73BD" w14:textId="77777777" w:rsidR="00333B2E" w:rsidRPr="00EA3D8C" w:rsidRDefault="00333B2E" w:rsidP="005D42AC">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w:t>
            </w:r>
          </w:p>
        </w:tc>
        <w:tc>
          <w:tcPr>
            <w:tcW w:w="556" w:type="pct"/>
            <w:tcBorders>
              <w:bottom w:val="single" w:sz="4" w:space="0" w:color="002060"/>
            </w:tcBorders>
            <w:shd w:val="clear" w:color="auto" w:fill="auto"/>
            <w:vAlign w:val="center"/>
          </w:tcPr>
          <w:p w14:paraId="598ACDF5"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6,0%</w:t>
            </w:r>
          </w:p>
        </w:tc>
        <w:tc>
          <w:tcPr>
            <w:tcW w:w="556" w:type="pct"/>
            <w:tcBorders>
              <w:bottom w:val="single" w:sz="4" w:space="0" w:color="002060"/>
            </w:tcBorders>
            <w:shd w:val="clear" w:color="auto" w:fill="auto"/>
            <w:vAlign w:val="center"/>
          </w:tcPr>
          <w:p w14:paraId="3D0C27F7"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w:t>
            </w:r>
          </w:p>
        </w:tc>
        <w:tc>
          <w:tcPr>
            <w:tcW w:w="556" w:type="pct"/>
            <w:tcBorders>
              <w:bottom w:val="single" w:sz="4" w:space="0" w:color="002060"/>
            </w:tcBorders>
            <w:shd w:val="clear" w:color="auto" w:fill="auto"/>
            <w:vAlign w:val="center"/>
          </w:tcPr>
          <w:p w14:paraId="16660128" w14:textId="77777777" w:rsidR="00333B2E" w:rsidRPr="00EA3D8C" w:rsidRDefault="00333B2E" w:rsidP="00C130D2">
            <w:pPr>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w:t>
            </w:r>
          </w:p>
        </w:tc>
      </w:tr>
    </w:tbl>
    <w:p w14:paraId="59F81E54" w14:textId="77777777" w:rsidR="00333B2E" w:rsidRPr="00EA3D8C" w:rsidRDefault="00333B2E" w:rsidP="00783F09">
      <w:pPr>
        <w:spacing w:before="40" w:after="120" w:line="276" w:lineRule="auto"/>
        <w:rPr>
          <w:rFonts w:eastAsia="MS PGothic" w:cstheme="minorHAnsi"/>
          <w:color w:val="000000" w:themeColor="text1"/>
          <w:szCs w:val="20"/>
          <w:lang w:val="sr-Cyrl-RS" w:eastAsia="ja-JP"/>
        </w:rPr>
        <w:sectPr w:rsidR="00333B2E" w:rsidRPr="00EA3D8C" w:rsidSect="00AE40EB">
          <w:type w:val="continuous"/>
          <w:pgSz w:w="12240" w:h="15840" w:code="1"/>
          <w:pgMar w:top="1440" w:right="1440" w:bottom="1440" w:left="1440" w:header="720" w:footer="720" w:gutter="0"/>
          <w:cols w:space="720"/>
          <w:docGrid w:linePitch="360"/>
        </w:sectPr>
      </w:pPr>
      <w:r w:rsidRPr="00EA3D8C">
        <w:rPr>
          <w:rFonts w:eastAsia="Calibri" w:cstheme="minorHAnsi"/>
          <w:bCs/>
          <w:sz w:val="16"/>
          <w:szCs w:val="20"/>
          <w:lang w:val="sr-Cyrl-RS" w:eastAsia="ja-JP"/>
        </w:rPr>
        <w:t xml:space="preserve">Извор: </w:t>
      </w:r>
      <w:r w:rsidRPr="00EA3D8C">
        <w:rPr>
          <w:rFonts w:cstheme="minorHAnsi"/>
          <w:sz w:val="16"/>
          <w:szCs w:val="20"/>
          <w:lang w:val="sr-Cyrl-RS"/>
        </w:rPr>
        <w:t>Министарство финансија</w:t>
      </w:r>
    </w:p>
    <w:p w14:paraId="1EB07261" w14:textId="4D346388" w:rsidR="00333B2E" w:rsidRPr="00EA3D8C" w:rsidRDefault="00333B2E" w:rsidP="00C130D2">
      <w:pPr>
        <w:spacing w:line="276" w:lineRule="auto"/>
        <w:rPr>
          <w:rFonts w:cstheme="minorHAnsi"/>
          <w:lang w:val="sr-Cyrl-RS"/>
        </w:rPr>
      </w:pPr>
      <w:r w:rsidRPr="00EA3D8C">
        <w:rPr>
          <w:rFonts w:eastAsia="MS PGothic" w:cstheme="minorHAnsi"/>
          <w:szCs w:val="20"/>
          <w:lang w:val="sr-Cyrl-RS" w:eastAsia="ja-JP"/>
        </w:rPr>
        <w:lastRenderedPageBreak/>
        <w:t>Циљеви фискалне политике у наредном средњорочном периоду биће стабилизација јавних финансија и повратак јавног дуга на опадајућу путању. Смањење</w:t>
      </w:r>
      <w:r w:rsidRPr="00EA3D8C">
        <w:rPr>
          <w:rFonts w:cstheme="minorHAnsi"/>
          <w:lang w:val="sr-Cyrl-RS"/>
        </w:rPr>
        <w:t xml:space="preserve"> учешћа дуга је уско везано за снижавање дефицита као главног фактора задуживања, тако да динамика спуштања дефицита опредељује и промену кретања дуга. Финансијске трансакције, као што је замена скупог дуга јефтинијим, као и боља позиција државе на међународном финансијском тржишту, допринеће додатном снижавању дуга.</w:t>
      </w:r>
    </w:p>
    <w:p w14:paraId="7220C25C" w14:textId="77777777" w:rsidR="00333B2E" w:rsidRPr="00EA3D8C" w:rsidRDefault="00333B2E" w:rsidP="001A0449">
      <w:pPr>
        <w:rPr>
          <w:rFonts w:cstheme="minorHAnsi"/>
          <w:b/>
          <w:color w:val="002060"/>
          <w:lang w:val="sr-Cyrl-RS"/>
        </w:rPr>
      </w:pPr>
      <w:r w:rsidRPr="00EA3D8C">
        <w:rPr>
          <w:rFonts w:cstheme="minorHAnsi"/>
          <w:b/>
          <w:color w:val="002060"/>
          <w:lang w:val="sr-Cyrl-RS"/>
        </w:rPr>
        <w:br w:type="column"/>
      </w:r>
      <w:r w:rsidRPr="00EA3D8C">
        <w:rPr>
          <w:rFonts w:cstheme="minorHAnsi"/>
          <w:b/>
          <w:color w:val="002060"/>
          <w:lang w:val="sr-Cyrl-RS"/>
        </w:rPr>
        <w:lastRenderedPageBreak/>
        <w:t>Фискални резултат и дуг опште државе, % БДП</w:t>
      </w:r>
    </w:p>
    <w:p w14:paraId="6DCD3C6E" w14:textId="77777777" w:rsidR="00333B2E" w:rsidRPr="00EA3D8C" w:rsidRDefault="00333B2E" w:rsidP="005D42AC">
      <w:pPr>
        <w:spacing w:line="276" w:lineRule="auto"/>
        <w:rPr>
          <w:rFonts w:cstheme="minorHAnsi"/>
          <w:lang w:val="sr-Cyrl-RS"/>
        </w:rPr>
      </w:pPr>
      <w:r w:rsidRPr="00EA3D8C">
        <w:rPr>
          <w:noProof/>
        </w:rPr>
        <w:drawing>
          <wp:inline distT="0" distB="0" distL="0" distR="0" wp14:anchorId="1B543135" wp14:editId="260E9C2C">
            <wp:extent cx="2638425" cy="166370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p w14:paraId="75942F49" w14:textId="77777777" w:rsidR="00333B2E" w:rsidRPr="00EA3D8C" w:rsidRDefault="00333B2E" w:rsidP="00C130D2">
      <w:pPr>
        <w:spacing w:after="0" w:line="276" w:lineRule="auto"/>
        <w:rPr>
          <w:rFonts w:eastAsia="MS PGothic" w:cstheme="minorHAnsi"/>
          <w:szCs w:val="20"/>
          <w:lang w:val="sr-Cyrl-RS" w:eastAsia="ja-JP"/>
        </w:rPr>
      </w:pPr>
      <w:r w:rsidRPr="00EA3D8C">
        <w:rPr>
          <w:rFonts w:eastAsia="MS PGothic" w:cstheme="minorHAnsi"/>
          <w:szCs w:val="20"/>
          <w:lang w:val="sr-Cyrl-RS" w:eastAsia="ja-JP"/>
        </w:rPr>
        <w:br w:type="page"/>
      </w:r>
    </w:p>
    <w:p w14:paraId="50E6EFF1" w14:textId="77777777" w:rsidR="00333B2E" w:rsidRPr="00EA3D8C" w:rsidRDefault="00333B2E" w:rsidP="00C130D2">
      <w:pPr>
        <w:spacing w:after="0" w:line="276" w:lineRule="auto"/>
        <w:rPr>
          <w:rFonts w:eastAsia="Times New Roman" w:cstheme="minorHAnsi"/>
          <w:b/>
          <w:bCs/>
          <w:spacing w:val="-2"/>
          <w:szCs w:val="20"/>
          <w:lang w:val="sr-Cyrl-RS" w:eastAsia="ja-JP"/>
        </w:rPr>
      </w:pPr>
      <w:r w:rsidRPr="00EA3D8C">
        <w:rPr>
          <w:rFonts w:eastAsia="MS PGothic" w:cstheme="minorHAnsi"/>
          <w:spacing w:val="-2"/>
          <w:szCs w:val="20"/>
          <w:lang w:val="sr-Cyrl-RS" w:eastAsia="ja-JP"/>
        </w:rPr>
        <w:lastRenderedPageBreak/>
        <w:t xml:space="preserve">Експанзивна фискална политика током 2020. године умањила је негативне економске последице пандемије. У наредном средњорочном периоду предвиђено је умерено смањење дефицита опште државе како би се путем фискалне политике обезбедила потребна флексибилност националне економије на евентуалне екстерне шокове. То се, </w:t>
      </w:r>
      <w:r w:rsidRPr="00EA3D8C">
        <w:rPr>
          <w:rFonts w:eastAsia="Calibri" w:cstheme="minorHAnsi"/>
          <w:spacing w:val="-2"/>
          <w:szCs w:val="20"/>
          <w:lang w:val="sr-Cyrl-RS" w:eastAsia="ja-JP"/>
        </w:rPr>
        <w:t>пре свега, односи на расходну страну, у виду повећања јавних инвестиција, као и додатног улагања у здравствени систем. На приходној страни приоритет ће остати даље смањење пореског оптерећења зарада.</w:t>
      </w:r>
    </w:p>
    <w:p w14:paraId="468FC419" w14:textId="77777777" w:rsidR="00333B2E" w:rsidRPr="00EA3D8C" w:rsidRDefault="00333B2E" w:rsidP="00C130D2">
      <w:pPr>
        <w:keepNext/>
        <w:spacing w:before="120" w:after="120" w:line="276" w:lineRule="auto"/>
        <w:rPr>
          <w:rFonts w:eastAsia="MS PGothic" w:cstheme="minorHAnsi"/>
          <w:szCs w:val="20"/>
          <w:lang w:val="sr-Cyrl-RS" w:eastAsia="ja-JP"/>
        </w:rPr>
      </w:pPr>
      <w:r w:rsidRPr="00EA3D8C">
        <w:rPr>
          <w:rFonts w:eastAsia="MS PGothic" w:cstheme="minorHAnsi"/>
          <w:szCs w:val="20"/>
          <w:lang w:val="sr-Cyrl-RS" w:eastAsia="ja-JP"/>
        </w:rPr>
        <w:lastRenderedPageBreak/>
        <w:t>Пројекција прихода у периоду од 2021. до 2023. године израђена је на основу:</w:t>
      </w:r>
    </w:p>
    <w:p w14:paraId="1462BADE" w14:textId="77777777" w:rsidR="00333B2E" w:rsidRPr="00EA3D8C" w:rsidRDefault="00333B2E" w:rsidP="00C130D2">
      <w:pPr>
        <w:numPr>
          <w:ilvl w:val="0"/>
          <w:numId w:val="3"/>
        </w:numPr>
        <w:spacing w:after="120" w:line="276" w:lineRule="auto"/>
        <w:ind w:left="180" w:hanging="180"/>
        <w:contextualSpacing/>
        <w:rPr>
          <w:rFonts w:eastAsia="Calibri" w:cstheme="minorHAnsi"/>
          <w:spacing w:val="-6"/>
          <w:lang w:val="sr-Cyrl-RS"/>
        </w:rPr>
      </w:pPr>
      <w:r w:rsidRPr="00EA3D8C">
        <w:rPr>
          <w:rFonts w:eastAsia="Calibri" w:cstheme="minorHAnsi"/>
          <w:spacing w:val="-6"/>
          <w:lang w:val="sr-Cyrl-R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2AA78A93" w14:textId="77777777" w:rsidR="00333B2E" w:rsidRPr="00EA3D8C" w:rsidRDefault="00333B2E" w:rsidP="00C130D2">
      <w:pPr>
        <w:numPr>
          <w:ilvl w:val="0"/>
          <w:numId w:val="3"/>
        </w:numPr>
        <w:spacing w:after="120" w:line="276" w:lineRule="auto"/>
        <w:ind w:left="180" w:hanging="180"/>
        <w:contextualSpacing/>
        <w:rPr>
          <w:rFonts w:eastAsia="Calibri" w:cstheme="minorHAnsi"/>
          <w:lang w:val="sr-Cyrl-RS"/>
        </w:rPr>
      </w:pPr>
      <w:r w:rsidRPr="00EA3D8C">
        <w:rPr>
          <w:rFonts w:eastAsia="Calibri" w:cstheme="minorHAnsi"/>
          <w:lang w:val="sr-Cyrl-RS"/>
        </w:rPr>
        <w:t>важеће и планиране измене пореске политике;</w:t>
      </w:r>
    </w:p>
    <w:p w14:paraId="787BFE85" w14:textId="77777777" w:rsidR="00333B2E" w:rsidRPr="00EA3D8C" w:rsidRDefault="00333B2E" w:rsidP="00C130D2">
      <w:pPr>
        <w:numPr>
          <w:ilvl w:val="0"/>
          <w:numId w:val="3"/>
        </w:numPr>
        <w:spacing w:after="120" w:line="276" w:lineRule="auto"/>
        <w:ind w:left="180" w:hanging="180"/>
        <w:contextualSpacing/>
        <w:rPr>
          <w:rFonts w:eastAsia="Calibri" w:cstheme="minorHAnsi"/>
          <w:lang w:val="sr-Cyrl-RS"/>
        </w:rPr>
      </w:pPr>
      <w:r w:rsidRPr="00EA3D8C">
        <w:rPr>
          <w:rFonts w:eastAsia="Calibri" w:cstheme="minorHAnsi"/>
          <w:lang w:val="sr-Cyrl-RS"/>
        </w:rPr>
        <w:t>процењених ефеката фискалних и структурних мера у наредном периоду.</w:t>
      </w:r>
    </w:p>
    <w:p w14:paraId="47E01B58" w14:textId="77777777" w:rsidR="00333B2E" w:rsidRPr="00EA3D8C" w:rsidRDefault="00333B2E" w:rsidP="00C130D2">
      <w:pPr>
        <w:spacing w:after="120" w:line="276" w:lineRule="auto"/>
        <w:ind w:left="180"/>
        <w:contextualSpacing/>
        <w:rPr>
          <w:rFonts w:eastAsia="Calibri" w:cstheme="minorHAnsi"/>
          <w:lang w:val="sr-Cyrl-RS"/>
        </w:rPr>
      </w:pPr>
    </w:p>
    <w:p w14:paraId="7B85CF83" w14:textId="77777777" w:rsidR="00333B2E" w:rsidRPr="00EA3D8C" w:rsidRDefault="00333B2E" w:rsidP="00C130D2">
      <w:pPr>
        <w:spacing w:after="120" w:line="276" w:lineRule="auto"/>
        <w:rPr>
          <w:rFonts w:eastAsia="Calibri" w:cstheme="minorHAnsi"/>
          <w:lang w:val="sr-Cyrl-RS"/>
        </w:rPr>
        <w:sectPr w:rsidR="00333B2E" w:rsidRPr="00EA3D8C" w:rsidSect="00AE40EB">
          <w:type w:val="continuous"/>
          <w:pgSz w:w="12240" w:h="15840" w:code="1"/>
          <w:pgMar w:top="1440" w:right="1440" w:bottom="1440" w:left="1440" w:header="720" w:footer="720" w:gutter="0"/>
          <w:cols w:num="2" w:space="720"/>
          <w:docGrid w:linePitch="360"/>
        </w:sectPr>
      </w:pPr>
    </w:p>
    <w:p w14:paraId="5776DEE8" w14:textId="21366EB7" w:rsidR="00333B2E" w:rsidRPr="00EA3D8C" w:rsidRDefault="00EC4017" w:rsidP="00451097">
      <w:pPr>
        <w:spacing w:before="240"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10</w:t>
      </w:r>
      <w:r w:rsidR="00333B2E" w:rsidRPr="00EA3D8C">
        <w:rPr>
          <w:rFonts w:eastAsia="MS PGothic" w:cstheme="minorHAnsi"/>
          <w:b/>
          <w:color w:val="002060"/>
          <w:szCs w:val="20"/>
          <w:lang w:val="sr-Cyrl-RS" w:eastAsia="ja-JP"/>
        </w:rPr>
        <w:t>. Укупни приходи и донације у периоду 2019–2023.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825"/>
        <w:gridCol w:w="1133"/>
        <w:gridCol w:w="1134"/>
        <w:gridCol w:w="1088"/>
        <w:gridCol w:w="1090"/>
        <w:gridCol w:w="1090"/>
      </w:tblGrid>
      <w:tr w:rsidR="00333B2E" w:rsidRPr="00EA3D8C" w14:paraId="02CD000D" w14:textId="77777777" w:rsidTr="001940DA">
        <w:trPr>
          <w:cnfStyle w:val="100000000000" w:firstRow="1" w:lastRow="0" w:firstColumn="0" w:lastColumn="0" w:oddVBand="0" w:evenVBand="0" w:oddHBand="0" w:evenHBand="0" w:firstRowFirstColumn="0" w:firstRowLastColumn="0" w:lastRowFirstColumn="0" w:lastRowLastColumn="0"/>
          <w:trHeight w:val="253"/>
        </w:trPr>
        <w:tc>
          <w:tcPr>
            <w:tcW w:w="2044" w:type="pct"/>
            <w:tcBorders>
              <w:top w:val="single" w:sz="4" w:space="0" w:color="002060"/>
              <w:bottom w:val="single" w:sz="4" w:space="0" w:color="002060"/>
            </w:tcBorders>
            <w:noWrap/>
            <w:vAlign w:val="center"/>
          </w:tcPr>
          <w:p w14:paraId="0652501D"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vAlign w:val="center"/>
          </w:tcPr>
          <w:p w14:paraId="1ED8163E"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Извршење</w:t>
            </w:r>
          </w:p>
        </w:tc>
        <w:tc>
          <w:tcPr>
            <w:tcW w:w="606" w:type="pct"/>
            <w:tcBorders>
              <w:top w:val="single" w:sz="4" w:space="0" w:color="002060"/>
              <w:bottom w:val="single" w:sz="4" w:space="0" w:color="002060"/>
            </w:tcBorders>
            <w:vAlign w:val="center"/>
          </w:tcPr>
          <w:p w14:paraId="62DA1AB8"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Процена</w:t>
            </w:r>
          </w:p>
        </w:tc>
        <w:tc>
          <w:tcPr>
            <w:tcW w:w="1745" w:type="pct"/>
            <w:gridSpan w:val="3"/>
            <w:tcBorders>
              <w:top w:val="single" w:sz="4" w:space="0" w:color="002060"/>
              <w:bottom w:val="single" w:sz="4" w:space="0" w:color="002060"/>
            </w:tcBorders>
            <w:vAlign w:val="center"/>
          </w:tcPr>
          <w:p w14:paraId="643FE8A5" w14:textId="77777777" w:rsidR="00333B2E" w:rsidRPr="00EA3D8C" w:rsidRDefault="00333B2E" w:rsidP="001940DA">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Пројекција</w:t>
            </w:r>
          </w:p>
        </w:tc>
      </w:tr>
      <w:tr w:rsidR="00333B2E" w:rsidRPr="00EA3D8C" w14:paraId="151901C0"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tcBorders>
              <w:top w:val="single" w:sz="4" w:space="0" w:color="002060"/>
            </w:tcBorders>
            <w:shd w:val="clear" w:color="auto" w:fill="FFFFFF" w:themeFill="background1"/>
            <w:noWrap/>
          </w:tcPr>
          <w:p w14:paraId="0D879ABD"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05" w:type="pct"/>
            <w:tcBorders>
              <w:top w:val="single" w:sz="4" w:space="0" w:color="002060"/>
              <w:bottom w:val="single" w:sz="4" w:space="0" w:color="002060"/>
            </w:tcBorders>
            <w:shd w:val="clear" w:color="auto" w:fill="FFFFFF" w:themeFill="background1"/>
          </w:tcPr>
          <w:p w14:paraId="2647F7FE" w14:textId="77777777" w:rsidR="00333B2E" w:rsidRPr="00EA3D8C" w:rsidRDefault="00333B2E" w:rsidP="005D42AC">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2019</w:t>
            </w:r>
          </w:p>
        </w:tc>
        <w:tc>
          <w:tcPr>
            <w:tcW w:w="606" w:type="pct"/>
            <w:tcBorders>
              <w:top w:val="single" w:sz="4" w:space="0" w:color="002060"/>
              <w:bottom w:val="single" w:sz="4" w:space="0" w:color="002060"/>
            </w:tcBorders>
            <w:shd w:val="clear" w:color="auto" w:fill="FFFFFF" w:themeFill="background1"/>
          </w:tcPr>
          <w:p w14:paraId="32017FA6"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2020</w:t>
            </w:r>
          </w:p>
        </w:tc>
        <w:tc>
          <w:tcPr>
            <w:tcW w:w="581" w:type="pct"/>
            <w:tcBorders>
              <w:top w:val="single" w:sz="4" w:space="0" w:color="002060"/>
              <w:bottom w:val="single" w:sz="4" w:space="0" w:color="002060"/>
            </w:tcBorders>
            <w:shd w:val="clear" w:color="auto" w:fill="FFFFFF" w:themeFill="background1"/>
          </w:tcPr>
          <w:p w14:paraId="7E8ADBDE"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2021</w:t>
            </w:r>
          </w:p>
        </w:tc>
        <w:tc>
          <w:tcPr>
            <w:tcW w:w="582" w:type="pct"/>
            <w:tcBorders>
              <w:top w:val="single" w:sz="4" w:space="0" w:color="002060"/>
              <w:bottom w:val="single" w:sz="4" w:space="0" w:color="002060"/>
            </w:tcBorders>
            <w:shd w:val="clear" w:color="auto" w:fill="FFFFFF" w:themeFill="background1"/>
          </w:tcPr>
          <w:p w14:paraId="3021C850"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2022</w:t>
            </w:r>
          </w:p>
        </w:tc>
        <w:tc>
          <w:tcPr>
            <w:tcW w:w="582" w:type="pct"/>
            <w:tcBorders>
              <w:top w:val="single" w:sz="4" w:space="0" w:color="002060"/>
              <w:bottom w:val="single" w:sz="4" w:space="0" w:color="002060"/>
            </w:tcBorders>
            <w:shd w:val="clear" w:color="auto" w:fill="FFFFFF" w:themeFill="background1"/>
          </w:tcPr>
          <w:p w14:paraId="1B0E77DC"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2023</w:t>
            </w:r>
          </w:p>
        </w:tc>
      </w:tr>
      <w:tr w:rsidR="00333B2E" w:rsidRPr="00EA3D8C" w14:paraId="5FAFC971" w14:textId="77777777" w:rsidTr="001940DA">
        <w:trPr>
          <w:trHeight w:val="253"/>
        </w:trPr>
        <w:tc>
          <w:tcPr>
            <w:tcW w:w="2044" w:type="pct"/>
            <w:shd w:val="clear" w:color="auto" w:fill="FFFFFF" w:themeFill="background1"/>
          </w:tcPr>
          <w:p w14:paraId="7B64D985"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ЈАВНИ ПРИХОДИ</w:t>
            </w:r>
          </w:p>
        </w:tc>
        <w:tc>
          <w:tcPr>
            <w:tcW w:w="605" w:type="pct"/>
            <w:tcBorders>
              <w:top w:val="single" w:sz="4" w:space="0" w:color="002060"/>
            </w:tcBorders>
            <w:shd w:val="clear" w:color="auto" w:fill="FFFFFF" w:themeFill="background1"/>
          </w:tcPr>
          <w:p w14:paraId="66F9BB0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42,1</w:t>
            </w:r>
          </w:p>
        </w:tc>
        <w:tc>
          <w:tcPr>
            <w:tcW w:w="606" w:type="pct"/>
            <w:tcBorders>
              <w:top w:val="single" w:sz="4" w:space="0" w:color="002060"/>
            </w:tcBorders>
            <w:shd w:val="clear" w:color="auto" w:fill="FFFFFF" w:themeFill="background1"/>
            <w:noWrap/>
          </w:tcPr>
          <w:p w14:paraId="1589C5C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40,3</w:t>
            </w:r>
          </w:p>
        </w:tc>
        <w:tc>
          <w:tcPr>
            <w:tcW w:w="581" w:type="pct"/>
            <w:tcBorders>
              <w:top w:val="single" w:sz="4" w:space="0" w:color="002060"/>
            </w:tcBorders>
            <w:shd w:val="clear" w:color="auto" w:fill="FFFFFF" w:themeFill="background1"/>
            <w:noWrap/>
          </w:tcPr>
          <w:p w14:paraId="61744365" w14:textId="74B9275F"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40,4</w:t>
            </w:r>
          </w:p>
        </w:tc>
        <w:tc>
          <w:tcPr>
            <w:tcW w:w="582" w:type="pct"/>
            <w:tcBorders>
              <w:top w:val="single" w:sz="4" w:space="0" w:color="002060"/>
            </w:tcBorders>
            <w:shd w:val="clear" w:color="auto" w:fill="FFFFFF" w:themeFill="background1"/>
            <w:noWrap/>
          </w:tcPr>
          <w:p w14:paraId="444A621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40,5</w:t>
            </w:r>
          </w:p>
        </w:tc>
        <w:tc>
          <w:tcPr>
            <w:tcW w:w="582" w:type="pct"/>
            <w:tcBorders>
              <w:top w:val="single" w:sz="4" w:space="0" w:color="002060"/>
            </w:tcBorders>
            <w:shd w:val="clear" w:color="auto" w:fill="FFFFFF" w:themeFill="background1"/>
            <w:noWrap/>
          </w:tcPr>
          <w:p w14:paraId="74A100F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39,7</w:t>
            </w:r>
          </w:p>
        </w:tc>
      </w:tr>
      <w:tr w:rsidR="00333B2E" w:rsidRPr="00EA3D8C" w14:paraId="61C14134"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75CFE4AA"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Текући приходи</w:t>
            </w:r>
          </w:p>
        </w:tc>
        <w:tc>
          <w:tcPr>
            <w:tcW w:w="605" w:type="pct"/>
            <w:shd w:val="clear" w:color="auto" w:fill="FFFFFF" w:themeFill="background1"/>
          </w:tcPr>
          <w:p w14:paraId="43844E2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41,8</w:t>
            </w:r>
          </w:p>
        </w:tc>
        <w:tc>
          <w:tcPr>
            <w:tcW w:w="606" w:type="pct"/>
            <w:shd w:val="clear" w:color="auto" w:fill="FFFFFF" w:themeFill="background1"/>
            <w:noWrap/>
          </w:tcPr>
          <w:p w14:paraId="45B847C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40,0</w:t>
            </w:r>
          </w:p>
        </w:tc>
        <w:tc>
          <w:tcPr>
            <w:tcW w:w="581" w:type="pct"/>
            <w:shd w:val="clear" w:color="auto" w:fill="FFFFFF" w:themeFill="background1"/>
            <w:noWrap/>
          </w:tcPr>
          <w:p w14:paraId="49A75E6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40,1</w:t>
            </w:r>
          </w:p>
        </w:tc>
        <w:tc>
          <w:tcPr>
            <w:tcW w:w="582" w:type="pct"/>
            <w:shd w:val="clear" w:color="auto" w:fill="FFFFFF" w:themeFill="background1"/>
            <w:noWrap/>
          </w:tcPr>
          <w:p w14:paraId="34DEB5C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40,2</w:t>
            </w:r>
          </w:p>
        </w:tc>
        <w:tc>
          <w:tcPr>
            <w:tcW w:w="582" w:type="pct"/>
            <w:shd w:val="clear" w:color="auto" w:fill="FFFFFF" w:themeFill="background1"/>
            <w:noWrap/>
          </w:tcPr>
          <w:p w14:paraId="5EF1150B"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39,4</w:t>
            </w:r>
          </w:p>
        </w:tc>
      </w:tr>
      <w:tr w:rsidR="00333B2E" w:rsidRPr="00EA3D8C" w14:paraId="535DB7BE" w14:textId="77777777" w:rsidTr="001940DA">
        <w:trPr>
          <w:trHeight w:val="253"/>
        </w:trPr>
        <w:tc>
          <w:tcPr>
            <w:tcW w:w="2044" w:type="pct"/>
            <w:shd w:val="clear" w:color="auto" w:fill="FFFFFF" w:themeFill="background1"/>
          </w:tcPr>
          <w:p w14:paraId="4DEF4B8B"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Порески приходи</w:t>
            </w:r>
          </w:p>
        </w:tc>
        <w:tc>
          <w:tcPr>
            <w:tcW w:w="605" w:type="pct"/>
            <w:shd w:val="clear" w:color="auto" w:fill="FFFFFF" w:themeFill="background1"/>
          </w:tcPr>
          <w:p w14:paraId="703203A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36,8</w:t>
            </w:r>
          </w:p>
        </w:tc>
        <w:tc>
          <w:tcPr>
            <w:tcW w:w="606" w:type="pct"/>
            <w:shd w:val="clear" w:color="auto" w:fill="FFFFFF" w:themeFill="background1"/>
            <w:noWrap/>
          </w:tcPr>
          <w:p w14:paraId="49C3676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35,6</w:t>
            </w:r>
          </w:p>
        </w:tc>
        <w:tc>
          <w:tcPr>
            <w:tcW w:w="581" w:type="pct"/>
            <w:shd w:val="clear" w:color="auto" w:fill="FFFFFF" w:themeFill="background1"/>
            <w:noWrap/>
          </w:tcPr>
          <w:p w14:paraId="6861A6D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36,2</w:t>
            </w:r>
          </w:p>
        </w:tc>
        <w:tc>
          <w:tcPr>
            <w:tcW w:w="582" w:type="pct"/>
            <w:shd w:val="clear" w:color="auto" w:fill="FFFFFF" w:themeFill="background1"/>
            <w:noWrap/>
          </w:tcPr>
          <w:p w14:paraId="05496AB5" w14:textId="25E3ACE3"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36,3</w:t>
            </w:r>
          </w:p>
        </w:tc>
        <w:tc>
          <w:tcPr>
            <w:tcW w:w="582" w:type="pct"/>
            <w:shd w:val="clear" w:color="auto" w:fill="FFFFFF" w:themeFill="background1"/>
            <w:noWrap/>
          </w:tcPr>
          <w:p w14:paraId="6C8F5FDE"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35,6</w:t>
            </w:r>
          </w:p>
        </w:tc>
      </w:tr>
      <w:tr w:rsidR="00333B2E" w:rsidRPr="00EA3D8C" w14:paraId="6E239DD2"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4D5EC3AC"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Порез на доходак грађана</w:t>
            </w:r>
          </w:p>
        </w:tc>
        <w:tc>
          <w:tcPr>
            <w:tcW w:w="605" w:type="pct"/>
            <w:shd w:val="clear" w:color="auto" w:fill="FFFFFF" w:themeFill="background1"/>
          </w:tcPr>
          <w:p w14:paraId="47857A8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3,8</w:t>
            </w:r>
          </w:p>
        </w:tc>
        <w:tc>
          <w:tcPr>
            <w:tcW w:w="606" w:type="pct"/>
            <w:shd w:val="clear" w:color="auto" w:fill="FFFFFF" w:themeFill="background1"/>
            <w:noWrap/>
          </w:tcPr>
          <w:p w14:paraId="66BB1743"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3,7</w:t>
            </w:r>
          </w:p>
        </w:tc>
        <w:tc>
          <w:tcPr>
            <w:tcW w:w="581" w:type="pct"/>
            <w:shd w:val="clear" w:color="auto" w:fill="FFFFFF" w:themeFill="background1"/>
            <w:noWrap/>
          </w:tcPr>
          <w:p w14:paraId="32784D57"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3,8</w:t>
            </w:r>
          </w:p>
        </w:tc>
        <w:tc>
          <w:tcPr>
            <w:tcW w:w="582" w:type="pct"/>
            <w:shd w:val="clear" w:color="auto" w:fill="FFFFFF" w:themeFill="background1"/>
            <w:noWrap/>
          </w:tcPr>
          <w:p w14:paraId="4C3BE0F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3,8</w:t>
            </w:r>
          </w:p>
        </w:tc>
        <w:tc>
          <w:tcPr>
            <w:tcW w:w="582" w:type="pct"/>
            <w:shd w:val="clear" w:color="auto" w:fill="FFFFFF" w:themeFill="background1"/>
            <w:noWrap/>
          </w:tcPr>
          <w:p w14:paraId="30314B54" w14:textId="5C2B776E"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3,7</w:t>
            </w:r>
          </w:p>
        </w:tc>
      </w:tr>
      <w:tr w:rsidR="00333B2E" w:rsidRPr="00EA3D8C" w14:paraId="10C4F504" w14:textId="77777777" w:rsidTr="001940DA">
        <w:trPr>
          <w:trHeight w:val="253"/>
        </w:trPr>
        <w:tc>
          <w:tcPr>
            <w:tcW w:w="2044" w:type="pct"/>
            <w:shd w:val="clear" w:color="auto" w:fill="FFFFFF" w:themeFill="background1"/>
          </w:tcPr>
          <w:p w14:paraId="676A65FE"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Порез на добит правних лица</w:t>
            </w:r>
          </w:p>
        </w:tc>
        <w:tc>
          <w:tcPr>
            <w:tcW w:w="605" w:type="pct"/>
            <w:shd w:val="clear" w:color="auto" w:fill="FFFFFF" w:themeFill="background1"/>
          </w:tcPr>
          <w:p w14:paraId="77D79FE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2,3</w:t>
            </w:r>
          </w:p>
        </w:tc>
        <w:tc>
          <w:tcPr>
            <w:tcW w:w="606" w:type="pct"/>
            <w:shd w:val="clear" w:color="auto" w:fill="FFFFFF" w:themeFill="background1"/>
            <w:noWrap/>
          </w:tcPr>
          <w:p w14:paraId="261E70E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2,2</w:t>
            </w:r>
          </w:p>
        </w:tc>
        <w:tc>
          <w:tcPr>
            <w:tcW w:w="581" w:type="pct"/>
            <w:shd w:val="clear" w:color="auto" w:fill="FFFFFF" w:themeFill="background1"/>
            <w:noWrap/>
          </w:tcPr>
          <w:p w14:paraId="78DF38CB"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1,8</w:t>
            </w:r>
          </w:p>
        </w:tc>
        <w:tc>
          <w:tcPr>
            <w:tcW w:w="582" w:type="pct"/>
            <w:shd w:val="clear" w:color="auto" w:fill="FFFFFF" w:themeFill="background1"/>
            <w:noWrap/>
          </w:tcPr>
          <w:p w14:paraId="2692B7E3"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1,8</w:t>
            </w:r>
          </w:p>
        </w:tc>
        <w:tc>
          <w:tcPr>
            <w:tcW w:w="582" w:type="pct"/>
            <w:shd w:val="clear" w:color="auto" w:fill="FFFFFF" w:themeFill="background1"/>
            <w:noWrap/>
          </w:tcPr>
          <w:p w14:paraId="65A547EB"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1,8</w:t>
            </w:r>
          </w:p>
        </w:tc>
      </w:tr>
      <w:tr w:rsidR="00333B2E" w:rsidRPr="00EA3D8C" w14:paraId="484F7D62"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6EF84A7B" w14:textId="0595BC9F" w:rsidR="00333B2E" w:rsidRPr="00EA3D8C" w:rsidRDefault="00792EA4"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Pr>
                <w:rFonts w:asciiTheme="minorHAnsi" w:eastAsia="Times New Roman" w:hAnsiTheme="minorHAnsi" w:cstheme="minorHAnsi"/>
                <w:bCs/>
                <w:color w:val="002060"/>
                <w:sz w:val="18"/>
                <w:szCs w:val="18"/>
                <w:lang w:val="sr-Cyrl-RS"/>
              </w:rPr>
              <w:t>ПДВ</w:t>
            </w:r>
          </w:p>
        </w:tc>
        <w:tc>
          <w:tcPr>
            <w:tcW w:w="605" w:type="pct"/>
            <w:shd w:val="clear" w:color="auto" w:fill="FFFFFF" w:themeFill="background1"/>
          </w:tcPr>
          <w:p w14:paraId="464E3B1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10,2</w:t>
            </w:r>
          </w:p>
        </w:tc>
        <w:tc>
          <w:tcPr>
            <w:tcW w:w="606" w:type="pct"/>
            <w:shd w:val="clear" w:color="auto" w:fill="FFFFFF" w:themeFill="background1"/>
            <w:noWrap/>
          </w:tcPr>
          <w:p w14:paraId="423D6BC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9,9</w:t>
            </w:r>
          </w:p>
        </w:tc>
        <w:tc>
          <w:tcPr>
            <w:tcW w:w="581" w:type="pct"/>
            <w:shd w:val="clear" w:color="auto" w:fill="FFFFFF" w:themeFill="background1"/>
            <w:noWrap/>
          </w:tcPr>
          <w:p w14:paraId="495C47EC" w14:textId="3666298B"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10,0</w:t>
            </w:r>
          </w:p>
        </w:tc>
        <w:tc>
          <w:tcPr>
            <w:tcW w:w="582" w:type="pct"/>
            <w:shd w:val="clear" w:color="auto" w:fill="FFFFFF" w:themeFill="background1"/>
            <w:noWrap/>
          </w:tcPr>
          <w:p w14:paraId="743FFD07"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10,1</w:t>
            </w:r>
          </w:p>
        </w:tc>
        <w:tc>
          <w:tcPr>
            <w:tcW w:w="582" w:type="pct"/>
            <w:shd w:val="clear" w:color="auto" w:fill="FFFFFF" w:themeFill="background1"/>
            <w:noWrap/>
          </w:tcPr>
          <w:p w14:paraId="55DADCA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10,1</w:t>
            </w:r>
          </w:p>
        </w:tc>
      </w:tr>
      <w:tr w:rsidR="00333B2E" w:rsidRPr="00EA3D8C" w14:paraId="5AF48303" w14:textId="77777777" w:rsidTr="001940DA">
        <w:trPr>
          <w:trHeight w:val="253"/>
        </w:trPr>
        <w:tc>
          <w:tcPr>
            <w:tcW w:w="2044" w:type="pct"/>
            <w:shd w:val="clear" w:color="auto" w:fill="FFFFFF" w:themeFill="background1"/>
          </w:tcPr>
          <w:p w14:paraId="2C89F178"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Акцизе</w:t>
            </w:r>
          </w:p>
        </w:tc>
        <w:tc>
          <w:tcPr>
            <w:tcW w:w="605" w:type="pct"/>
            <w:shd w:val="clear" w:color="auto" w:fill="FFFFFF" w:themeFill="background1"/>
          </w:tcPr>
          <w:p w14:paraId="43014C67"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5,7</w:t>
            </w:r>
          </w:p>
        </w:tc>
        <w:tc>
          <w:tcPr>
            <w:tcW w:w="606" w:type="pct"/>
            <w:shd w:val="clear" w:color="auto" w:fill="FFFFFF" w:themeFill="background1"/>
            <w:noWrap/>
          </w:tcPr>
          <w:p w14:paraId="23DCF40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5,4</w:t>
            </w:r>
          </w:p>
        </w:tc>
        <w:tc>
          <w:tcPr>
            <w:tcW w:w="581" w:type="pct"/>
            <w:shd w:val="clear" w:color="auto" w:fill="FFFFFF" w:themeFill="background1"/>
            <w:noWrap/>
          </w:tcPr>
          <w:p w14:paraId="6E8A2D2B"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5,3</w:t>
            </w:r>
          </w:p>
        </w:tc>
        <w:tc>
          <w:tcPr>
            <w:tcW w:w="582" w:type="pct"/>
            <w:shd w:val="clear" w:color="auto" w:fill="FFFFFF" w:themeFill="background1"/>
            <w:noWrap/>
          </w:tcPr>
          <w:p w14:paraId="45F3C42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5,1</w:t>
            </w:r>
          </w:p>
        </w:tc>
        <w:tc>
          <w:tcPr>
            <w:tcW w:w="582" w:type="pct"/>
            <w:shd w:val="clear" w:color="auto" w:fill="FFFFFF" w:themeFill="background1"/>
            <w:noWrap/>
          </w:tcPr>
          <w:p w14:paraId="33B8FDF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4,8</w:t>
            </w:r>
          </w:p>
        </w:tc>
      </w:tr>
      <w:tr w:rsidR="00333B2E" w:rsidRPr="00EA3D8C" w14:paraId="7CC32EC4"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7152FB74"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Царине</w:t>
            </w:r>
          </w:p>
        </w:tc>
        <w:tc>
          <w:tcPr>
            <w:tcW w:w="605" w:type="pct"/>
            <w:shd w:val="clear" w:color="auto" w:fill="FFFFFF" w:themeFill="background1"/>
          </w:tcPr>
          <w:p w14:paraId="17858A87"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0,9</w:t>
            </w:r>
          </w:p>
        </w:tc>
        <w:tc>
          <w:tcPr>
            <w:tcW w:w="606" w:type="pct"/>
            <w:shd w:val="clear" w:color="auto" w:fill="FFFFFF" w:themeFill="background1"/>
            <w:noWrap/>
          </w:tcPr>
          <w:p w14:paraId="79201A6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0,9</w:t>
            </w:r>
          </w:p>
        </w:tc>
        <w:tc>
          <w:tcPr>
            <w:tcW w:w="581" w:type="pct"/>
            <w:shd w:val="clear" w:color="auto" w:fill="FFFFFF" w:themeFill="background1"/>
            <w:noWrap/>
          </w:tcPr>
          <w:p w14:paraId="5FA1FEEA"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0,9</w:t>
            </w:r>
          </w:p>
        </w:tc>
        <w:tc>
          <w:tcPr>
            <w:tcW w:w="582" w:type="pct"/>
            <w:shd w:val="clear" w:color="auto" w:fill="FFFFFF" w:themeFill="background1"/>
            <w:noWrap/>
          </w:tcPr>
          <w:p w14:paraId="64BD500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0,9</w:t>
            </w:r>
          </w:p>
        </w:tc>
        <w:tc>
          <w:tcPr>
            <w:tcW w:w="582" w:type="pct"/>
            <w:shd w:val="clear" w:color="auto" w:fill="FFFFFF" w:themeFill="background1"/>
            <w:noWrap/>
          </w:tcPr>
          <w:p w14:paraId="4DB390B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0,9</w:t>
            </w:r>
          </w:p>
        </w:tc>
      </w:tr>
      <w:tr w:rsidR="00333B2E" w:rsidRPr="00EA3D8C" w14:paraId="093168BB" w14:textId="77777777" w:rsidTr="001940DA">
        <w:trPr>
          <w:trHeight w:val="253"/>
        </w:trPr>
        <w:tc>
          <w:tcPr>
            <w:tcW w:w="2044" w:type="pct"/>
            <w:shd w:val="clear" w:color="auto" w:fill="FFFFFF" w:themeFill="background1"/>
          </w:tcPr>
          <w:p w14:paraId="66E60C30"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Остали порески приходи</w:t>
            </w:r>
          </w:p>
        </w:tc>
        <w:tc>
          <w:tcPr>
            <w:tcW w:w="605" w:type="pct"/>
            <w:shd w:val="clear" w:color="auto" w:fill="FFFFFF" w:themeFill="background1"/>
          </w:tcPr>
          <w:p w14:paraId="226E785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1,5</w:t>
            </w:r>
          </w:p>
        </w:tc>
        <w:tc>
          <w:tcPr>
            <w:tcW w:w="606" w:type="pct"/>
            <w:shd w:val="clear" w:color="auto" w:fill="FFFFFF" w:themeFill="background1"/>
            <w:noWrap/>
          </w:tcPr>
          <w:p w14:paraId="030C42F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w:t>
            </w:r>
          </w:p>
        </w:tc>
        <w:tc>
          <w:tcPr>
            <w:tcW w:w="581" w:type="pct"/>
            <w:shd w:val="clear" w:color="auto" w:fill="FFFFFF" w:themeFill="background1"/>
            <w:noWrap/>
          </w:tcPr>
          <w:p w14:paraId="08725DB2"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w:t>
            </w:r>
          </w:p>
        </w:tc>
        <w:tc>
          <w:tcPr>
            <w:tcW w:w="582" w:type="pct"/>
            <w:shd w:val="clear" w:color="auto" w:fill="FFFFFF" w:themeFill="background1"/>
            <w:noWrap/>
          </w:tcPr>
          <w:p w14:paraId="2681263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w:t>
            </w:r>
          </w:p>
        </w:tc>
        <w:tc>
          <w:tcPr>
            <w:tcW w:w="582" w:type="pct"/>
            <w:shd w:val="clear" w:color="auto" w:fill="FFFFFF" w:themeFill="background1"/>
            <w:noWrap/>
          </w:tcPr>
          <w:p w14:paraId="43A417CA" w14:textId="5087E7D4"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1,3</w:t>
            </w:r>
          </w:p>
        </w:tc>
      </w:tr>
      <w:tr w:rsidR="00333B2E" w:rsidRPr="00EA3D8C" w14:paraId="28E5F134"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shd w:val="clear" w:color="auto" w:fill="FFFFFF" w:themeFill="background1"/>
          </w:tcPr>
          <w:p w14:paraId="478B7C8A" w14:textId="77777777" w:rsidR="00333B2E" w:rsidRPr="00EA3D8C" w:rsidRDefault="00333B2E" w:rsidP="00C130D2">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Доприноси</w:t>
            </w:r>
          </w:p>
        </w:tc>
        <w:tc>
          <w:tcPr>
            <w:tcW w:w="605" w:type="pct"/>
            <w:shd w:val="clear" w:color="auto" w:fill="FFFFFF" w:themeFill="background1"/>
          </w:tcPr>
          <w:p w14:paraId="4D35933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12,5</w:t>
            </w:r>
          </w:p>
        </w:tc>
        <w:tc>
          <w:tcPr>
            <w:tcW w:w="606" w:type="pct"/>
            <w:shd w:val="clear" w:color="auto" w:fill="FFFFFF" w:themeFill="background1"/>
            <w:noWrap/>
          </w:tcPr>
          <w:p w14:paraId="1B5DCA6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12,0</w:t>
            </w:r>
          </w:p>
        </w:tc>
        <w:tc>
          <w:tcPr>
            <w:tcW w:w="581" w:type="pct"/>
            <w:shd w:val="clear" w:color="auto" w:fill="FFFFFF" w:themeFill="background1"/>
            <w:noWrap/>
          </w:tcPr>
          <w:p w14:paraId="782B6D7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13,1</w:t>
            </w:r>
          </w:p>
        </w:tc>
        <w:tc>
          <w:tcPr>
            <w:tcW w:w="582" w:type="pct"/>
            <w:shd w:val="clear" w:color="auto" w:fill="FFFFFF" w:themeFill="background1"/>
            <w:noWrap/>
          </w:tcPr>
          <w:p w14:paraId="3513857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13,2</w:t>
            </w:r>
          </w:p>
        </w:tc>
        <w:tc>
          <w:tcPr>
            <w:tcW w:w="582" w:type="pct"/>
            <w:shd w:val="clear" w:color="auto" w:fill="FFFFFF" w:themeFill="background1"/>
            <w:noWrap/>
          </w:tcPr>
          <w:p w14:paraId="48F2E27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12,8</w:t>
            </w:r>
          </w:p>
        </w:tc>
      </w:tr>
      <w:tr w:rsidR="00333B2E" w:rsidRPr="00EA3D8C" w14:paraId="1C822A6D" w14:textId="77777777" w:rsidTr="001940DA">
        <w:trPr>
          <w:trHeight w:val="253"/>
        </w:trPr>
        <w:tc>
          <w:tcPr>
            <w:tcW w:w="2044" w:type="pct"/>
            <w:shd w:val="clear" w:color="auto" w:fill="FFFFFF" w:themeFill="background1"/>
          </w:tcPr>
          <w:p w14:paraId="18631DCD"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Непорески приходи</w:t>
            </w:r>
          </w:p>
        </w:tc>
        <w:tc>
          <w:tcPr>
            <w:tcW w:w="605" w:type="pct"/>
            <w:shd w:val="clear" w:color="auto" w:fill="FFFFFF" w:themeFill="background1"/>
          </w:tcPr>
          <w:p w14:paraId="2D7B0702"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5,0</w:t>
            </w:r>
          </w:p>
        </w:tc>
        <w:tc>
          <w:tcPr>
            <w:tcW w:w="606" w:type="pct"/>
            <w:shd w:val="clear" w:color="auto" w:fill="FFFFFF" w:themeFill="background1"/>
            <w:noWrap/>
          </w:tcPr>
          <w:p w14:paraId="63C8A0C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4,4</w:t>
            </w:r>
          </w:p>
        </w:tc>
        <w:tc>
          <w:tcPr>
            <w:tcW w:w="581" w:type="pct"/>
            <w:shd w:val="clear" w:color="auto" w:fill="FFFFFF" w:themeFill="background1"/>
            <w:noWrap/>
          </w:tcPr>
          <w:p w14:paraId="22CCF652" w14:textId="307E8E2B"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w:t>
            </w:r>
          </w:p>
        </w:tc>
        <w:tc>
          <w:tcPr>
            <w:tcW w:w="582" w:type="pct"/>
            <w:shd w:val="clear" w:color="auto" w:fill="FFFFFF" w:themeFill="background1"/>
            <w:noWrap/>
          </w:tcPr>
          <w:p w14:paraId="2C125D37"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w:t>
            </w:r>
          </w:p>
        </w:tc>
        <w:tc>
          <w:tcPr>
            <w:tcW w:w="582" w:type="pct"/>
            <w:shd w:val="clear" w:color="auto" w:fill="FFFFFF" w:themeFill="background1"/>
            <w:noWrap/>
          </w:tcPr>
          <w:p w14:paraId="578ECE03" w14:textId="2C673D51" w:rsidR="00333B2E" w:rsidRPr="00EA3D8C" w:rsidRDefault="00A3611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3,9</w:t>
            </w:r>
          </w:p>
        </w:tc>
      </w:tr>
      <w:tr w:rsidR="00333B2E" w:rsidRPr="00EA3D8C" w14:paraId="4089C8FB" w14:textId="77777777" w:rsidTr="001940DA">
        <w:trPr>
          <w:cnfStyle w:val="000000100000" w:firstRow="0" w:lastRow="0" w:firstColumn="0" w:lastColumn="0" w:oddVBand="0" w:evenVBand="0" w:oddHBand="1" w:evenHBand="0" w:firstRowFirstColumn="0" w:firstRowLastColumn="0" w:lastRowFirstColumn="0" w:lastRowLastColumn="0"/>
          <w:trHeight w:val="253"/>
        </w:trPr>
        <w:tc>
          <w:tcPr>
            <w:tcW w:w="2044" w:type="pct"/>
            <w:tcBorders>
              <w:bottom w:val="single" w:sz="4" w:space="0" w:color="002060"/>
            </w:tcBorders>
            <w:shd w:val="clear" w:color="auto" w:fill="FFFFFF" w:themeFill="background1"/>
          </w:tcPr>
          <w:p w14:paraId="48A24933" w14:textId="77777777" w:rsidR="00333B2E" w:rsidRPr="00EA3D8C" w:rsidRDefault="00333B2E" w:rsidP="00C130D2">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Донације</w:t>
            </w:r>
          </w:p>
        </w:tc>
        <w:tc>
          <w:tcPr>
            <w:tcW w:w="605" w:type="pct"/>
            <w:tcBorders>
              <w:bottom w:val="single" w:sz="4" w:space="0" w:color="002060"/>
            </w:tcBorders>
            <w:shd w:val="clear" w:color="auto" w:fill="FFFFFF" w:themeFill="background1"/>
          </w:tcPr>
          <w:p w14:paraId="14DF0CC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0,3</w:t>
            </w:r>
          </w:p>
        </w:tc>
        <w:tc>
          <w:tcPr>
            <w:tcW w:w="606" w:type="pct"/>
            <w:tcBorders>
              <w:bottom w:val="single" w:sz="4" w:space="0" w:color="002060"/>
            </w:tcBorders>
            <w:shd w:val="clear" w:color="auto" w:fill="FFFFFF" w:themeFill="background1"/>
            <w:noWrap/>
          </w:tcPr>
          <w:p w14:paraId="4BFB2E86"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0,3</w:t>
            </w:r>
          </w:p>
        </w:tc>
        <w:tc>
          <w:tcPr>
            <w:tcW w:w="581" w:type="pct"/>
            <w:tcBorders>
              <w:bottom w:val="single" w:sz="4" w:space="0" w:color="002060"/>
            </w:tcBorders>
            <w:shd w:val="clear" w:color="auto" w:fill="FFFFFF" w:themeFill="background1"/>
            <w:noWrap/>
          </w:tcPr>
          <w:p w14:paraId="7E34B5E6"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0,3</w:t>
            </w:r>
          </w:p>
        </w:tc>
        <w:tc>
          <w:tcPr>
            <w:tcW w:w="582" w:type="pct"/>
            <w:tcBorders>
              <w:bottom w:val="single" w:sz="4" w:space="0" w:color="002060"/>
            </w:tcBorders>
            <w:shd w:val="clear" w:color="auto" w:fill="FFFFFF" w:themeFill="background1"/>
            <w:noWrap/>
          </w:tcPr>
          <w:p w14:paraId="473335F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0,3</w:t>
            </w:r>
          </w:p>
        </w:tc>
        <w:tc>
          <w:tcPr>
            <w:tcW w:w="582" w:type="pct"/>
            <w:tcBorders>
              <w:bottom w:val="single" w:sz="4" w:space="0" w:color="002060"/>
            </w:tcBorders>
            <w:shd w:val="clear" w:color="auto" w:fill="FFFFFF" w:themeFill="background1"/>
            <w:noWrap/>
          </w:tcPr>
          <w:p w14:paraId="12AAE116"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0,3</w:t>
            </w:r>
          </w:p>
        </w:tc>
      </w:tr>
    </w:tbl>
    <w:p w14:paraId="00F023AC" w14:textId="77777777" w:rsidR="00333B2E" w:rsidRPr="00EA3D8C" w:rsidRDefault="00333B2E" w:rsidP="00D42008">
      <w:pPr>
        <w:spacing w:before="40" w:after="120" w:line="276" w:lineRule="auto"/>
        <w:jc w:val="left"/>
        <w:rPr>
          <w:rFonts w:eastAsia="MS PGothic" w:cstheme="minorHAnsi"/>
          <w:color w:val="000000" w:themeColor="text1"/>
          <w:szCs w:val="20"/>
          <w:lang w:val="sr-Cyrl-RS" w:eastAsia="ja-JP"/>
        </w:rPr>
        <w:sectPr w:rsidR="00333B2E" w:rsidRPr="00EA3D8C" w:rsidSect="00AE40EB">
          <w:type w:val="continuous"/>
          <w:pgSz w:w="12240" w:h="15840" w:code="1"/>
          <w:pgMar w:top="1440" w:right="1440" w:bottom="1440" w:left="1440" w:header="720" w:footer="720" w:gutter="0"/>
          <w:cols w:space="720"/>
          <w:docGrid w:linePitch="360"/>
        </w:sectPr>
      </w:pPr>
      <w:r w:rsidRPr="00EA3D8C">
        <w:rPr>
          <w:rFonts w:eastAsia="Calibri" w:cstheme="minorHAnsi"/>
          <w:bCs/>
          <w:sz w:val="16"/>
          <w:szCs w:val="20"/>
          <w:lang w:val="sr-Cyrl-RS" w:eastAsia="ja-JP"/>
        </w:rPr>
        <w:t xml:space="preserve">Извор: </w:t>
      </w:r>
      <w:r w:rsidRPr="00EA3D8C">
        <w:rPr>
          <w:rFonts w:cstheme="minorHAnsi"/>
          <w:sz w:val="16"/>
          <w:szCs w:val="20"/>
          <w:lang w:val="sr-Cyrl-RS"/>
        </w:rPr>
        <w:t>Министарство финансија</w:t>
      </w:r>
    </w:p>
    <w:p w14:paraId="179532D6" w14:textId="6DDB30BF"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lastRenderedPageBreak/>
        <w:t xml:space="preserve">Најзначајније мере пореске политике у 2021. години </w:t>
      </w:r>
      <w:r w:rsidRPr="00EA3D8C">
        <w:rPr>
          <w:rFonts w:eastAsia="MS PGothic" w:cstheme="minorHAnsi"/>
          <w:color w:val="1F3864" w:themeColor="accent1" w:themeShade="80"/>
          <w:szCs w:val="20"/>
          <w:lang w:val="sr-Cyrl-RS" w:eastAsia="ja-JP"/>
        </w:rPr>
        <w:t xml:space="preserve">биће повећање неопорезивог цензуса са 16.300 динара на 18.300 динара и наплата дела одложених пореза и доприноса из 2020. године. </w:t>
      </w:r>
      <w:r w:rsidRPr="00EA3D8C">
        <w:rPr>
          <w:rFonts w:eastAsia="MS PGothic" w:cstheme="minorHAnsi"/>
          <w:szCs w:val="20"/>
          <w:lang w:val="sr-Cyrl-RS" w:eastAsia="ja-JP"/>
        </w:rPr>
        <w:t>Наплата одложених обавеза из 2020. године ће повећати ниво прихода изнад очекиваног у 2021. и 2022. години чиме ће се значајно ојачати фискална позиција. Пројекција пореских прихода подразумева одржавање постојећег степена наплате.</w:t>
      </w:r>
    </w:p>
    <w:p w14:paraId="51CBFBCE" w14:textId="0CE9EF26"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 xml:space="preserve">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w:t>
      </w:r>
      <w:r w:rsidRPr="00EA3D8C">
        <w:rPr>
          <w:rFonts w:eastAsia="MS PGothic" w:cstheme="minorHAnsi"/>
          <w:color w:val="1F3864" w:themeColor="accent1" w:themeShade="80"/>
          <w:szCs w:val="20"/>
          <w:lang w:val="sr-Cyrl-RS" w:eastAsia="ja-JP"/>
        </w:rPr>
        <w:t xml:space="preserve">Повећање неопорезивог цензуса ће имати негативан </w:t>
      </w:r>
      <w:r w:rsidRPr="00EA3D8C">
        <w:rPr>
          <w:rFonts w:eastAsia="MS PGothic" w:cstheme="minorHAnsi"/>
          <w:szCs w:val="20"/>
          <w:lang w:val="sr-Cyrl-RS" w:eastAsia="ja-JP"/>
        </w:rPr>
        <w:t xml:space="preserve">ефекат од око 5,5 млрд динара на приходе од пореза на зараде, али се очекује да повећање зарада и раст </w:t>
      </w:r>
      <w:r w:rsidRPr="00EA3D8C">
        <w:rPr>
          <w:rFonts w:eastAsia="MS PGothic" w:cstheme="minorHAnsi"/>
          <w:szCs w:val="20"/>
          <w:lang w:val="sr-Cyrl-RS" w:eastAsia="ja-JP"/>
        </w:rPr>
        <w:lastRenderedPageBreak/>
        <w:t>запослености у потпуности надокнаде овај губитак</w:t>
      </w:r>
      <w:r w:rsidRPr="00EA3D8C">
        <w:rPr>
          <w:rFonts w:eastAsia="MS PGothic" w:cstheme="minorHAnsi"/>
          <w:color w:val="1F3864" w:themeColor="accent1" w:themeShade="80"/>
          <w:szCs w:val="20"/>
          <w:lang w:val="sr-Cyrl-RS" w:eastAsia="ja-JP"/>
        </w:rPr>
        <w:t xml:space="preserve">. Додатно ће ове приходе увећати наплата дела одложеног пореза на зараде из 2020. године у склопу пакета мера у борби против пандемије у износу од око 7 млрд динара. </w:t>
      </w:r>
      <w:r w:rsidRPr="00EA3D8C">
        <w:rPr>
          <w:rFonts w:eastAsia="MS PGothic" w:cstheme="minorHAnsi"/>
          <w:szCs w:val="20"/>
          <w:lang w:val="sr-Cyrl-RS" w:eastAsia="ja-JP"/>
        </w:rPr>
        <w:t>У наредном периоду очекује се да маса зарада расте брже од номиналног БДП као резултат наставка повољних кретања на тржишту рада, те ће и приход по основу пореза на зараде расти у смислу учешћа у БДП. Повећање минималне зараде ће, такође, утицати на раст укупне масе зарада у привреди, а самим тим и на ову пореску категорију.</w:t>
      </w:r>
    </w:p>
    <w:p w14:paraId="1987FECB" w14:textId="77777777"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 xml:space="preserve">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 тако да се очекује стабилан ниво прихода по </w:t>
      </w:r>
      <w:r w:rsidRPr="00EA3D8C">
        <w:rPr>
          <w:rFonts w:eastAsia="MS PGothic" w:cstheme="minorHAnsi"/>
          <w:szCs w:val="20"/>
          <w:lang w:val="sr-Cyrl-RS" w:eastAsia="ja-JP"/>
        </w:rPr>
        <w:lastRenderedPageBreak/>
        <w:t>основу пореза на доходак, у смислу учешћа у БДП. Код пореза на зараде кључна је борба против сиве економије, с обзиром на знатан број непријављених радника и исплате зарада „на рукеˮ.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11467197" w14:textId="77777777" w:rsidR="00333B2E" w:rsidRPr="00EA3D8C" w:rsidRDefault="00333B2E" w:rsidP="00C130D2">
      <w:pPr>
        <w:spacing w:after="120" w:line="276" w:lineRule="auto"/>
        <w:rPr>
          <w:rFonts w:eastAsia="MS PGothic" w:cstheme="minorHAnsi"/>
          <w:spacing w:val="-4"/>
          <w:szCs w:val="20"/>
          <w:lang w:val="sr-Cyrl-RS" w:eastAsia="ja-JP"/>
        </w:rPr>
      </w:pPr>
      <w:r w:rsidRPr="00EA3D8C">
        <w:rPr>
          <w:rFonts w:eastAsia="MS PGothic" w:cstheme="minorHAnsi"/>
          <w:spacing w:val="-4"/>
          <w:szCs w:val="20"/>
          <w:lang w:val="sr-Cyrl-RS" w:eastAsia="ja-JP"/>
        </w:rPr>
        <w:t>Смањење пореског оптерећења на зараде имаће негативан ефекат од око 2,5 млрд динара на приходе по основу доприноса. Очекује се да раст масе зарада буде већи од раста номиналног БДП, тако да ће се у потпуности надокнадити овај губитак. Кретање учешћа овог пореског облика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w:t>
      </w:r>
      <w:r w:rsidRPr="00EA3D8C">
        <w:rPr>
          <w:rFonts w:eastAsia="MS PGothic" w:cstheme="minorHAnsi"/>
          <w:color w:val="1F3864" w:themeColor="accent1" w:themeShade="80"/>
          <w:spacing w:val="-4"/>
          <w:szCs w:val="20"/>
          <w:lang w:val="sr-Cyrl-RS" w:eastAsia="ja-JP"/>
        </w:rPr>
        <w:t xml:space="preserve">. Део прихода ће се прикупити од наплате одложених доприноса из 2020. године у износу од око 32 млрд динара. Доприноси су пореска категорија код које је </w:t>
      </w:r>
      <w:r w:rsidRPr="00EA3D8C">
        <w:rPr>
          <w:rFonts w:eastAsia="MS PGothic" w:cstheme="minorHAnsi"/>
          <w:spacing w:val="-4"/>
          <w:szCs w:val="20"/>
          <w:lang w:val="sr-Cyrl-RS" w:eastAsia="ja-JP"/>
        </w:rPr>
        <w:t>најизраженија пореска недисциплина и регистрован највећи дуг пореских обвезника, те су последице евентуалног повећања фискалне недисциплине највидљивије код овог пореског облика.</w:t>
      </w:r>
    </w:p>
    <w:p w14:paraId="5680580A" w14:textId="05B4B65A"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Приходи од пореза на добит правних лица у периоду 2021</w:t>
      </w:r>
      <w:r w:rsidR="00A21E4E" w:rsidRPr="00EA3D8C">
        <w:rPr>
          <w:rFonts w:eastAsia="MS PGothic" w:cstheme="minorHAnsi"/>
          <w:szCs w:val="20"/>
          <w:lang w:val="sr-Cyrl-RS" w:eastAsia="ja-JP"/>
        </w:rPr>
        <w:t>–</w:t>
      </w:r>
      <w:r w:rsidRPr="00EA3D8C">
        <w:rPr>
          <w:rFonts w:eastAsia="MS PGothic" w:cstheme="minorHAnsi"/>
          <w:szCs w:val="20"/>
          <w:lang w:val="sr-Cyrl-RS" w:eastAsia="ja-JP"/>
        </w:rPr>
        <w:t>2023. године зависиће од путање привредног раста, релативне стабилности курса динара и опште профитабилности привреде. Процена прихода по овом основу може бити неизвесна како због економских фактора, тако и због могућности коришћења пореског кредита или повраћаја, као и разлика у рачуноводственим и пореским билансима. Пад у 2021. години представља очекивање да ће се ефекти кризе из ове године ефектуирати на профитабилност и наплату пореза на добит. Пројекција прихода по овом основу је конзервативна у периоду након 2021. године и претпоставља наплату пореза на добит у складу са кретањем БДП.</w:t>
      </w:r>
    </w:p>
    <w:p w14:paraId="14BE5B97" w14:textId="44C1CD85"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 xml:space="preserve">Кретање прихода од </w:t>
      </w:r>
      <w:r w:rsidR="00792EA4">
        <w:rPr>
          <w:rFonts w:eastAsia="MS PGothic" w:cstheme="minorHAnsi"/>
          <w:szCs w:val="20"/>
          <w:lang w:val="sr-Cyrl-RS" w:eastAsia="ja-JP"/>
        </w:rPr>
        <w:t>ПДВ</w:t>
      </w:r>
      <w:r w:rsidRPr="00EA3D8C">
        <w:rPr>
          <w:rFonts w:eastAsia="MS PGothic" w:cstheme="minorHAnsi"/>
          <w:szCs w:val="20"/>
          <w:lang w:val="sr-Cyrl-RS" w:eastAsia="ja-JP"/>
        </w:rPr>
        <w:t xml:space="preserve"> карактерише стабилно учешће у БДП. Главна детерминанта кретања ПДВ је домаћа тражња вођена расположивим дохотком становништва. Расположиви доходак </w:t>
      </w:r>
      <w:r w:rsidRPr="00EA3D8C">
        <w:rPr>
          <w:rFonts w:eastAsia="MS PGothic" w:cstheme="minorHAnsi"/>
          <w:szCs w:val="20"/>
          <w:lang w:val="sr-Cyrl-RS" w:eastAsia="ja-JP"/>
        </w:rPr>
        <w:lastRenderedPageBreak/>
        <w:t>као највећа детерминанта потрошње зависи од кретања зарада у јавном сектору, пензија, социјалне помоћи, кретања масе зарада у приватном сектору и осталих облика доходака, укључујући и дознаке, као и од динамике кредитне активности банака према становништву. Као и код пореза на доходак грађана, ризици за остварење пројекције ПДВ у наредном периоду, поред неизвесности у вези пандемије, односе се на кретање зарада у приватном сектору, раст привредне активности, као и на степен сиве економије, односно ефикасност у њеном смањењу.</w:t>
      </w:r>
    </w:p>
    <w:p w14:paraId="65CC6F2B" w14:textId="6DA75811"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 xml:space="preserve">Резултати ефикасније наплате и контроле пореских обвезника су били евидентни у претходном периоду и очекује се да ће тај тренд бити настављен и даље, с тим што ефекти борбе против сиве економије нису експлицитно укључени у средњорочну пројекцију јавних прихода. Повећање степена ПДВ наплате у смислу спровођења независних антиевазионих мера у области </w:t>
      </w:r>
      <w:r w:rsidR="00792EA4">
        <w:rPr>
          <w:rFonts w:eastAsia="MS PGothic" w:cstheme="minorHAnsi"/>
          <w:szCs w:val="20"/>
          <w:lang w:val="sr-Cyrl-RS" w:eastAsia="ja-JP"/>
        </w:rPr>
        <w:t>ПДВ</w:t>
      </w:r>
      <w:r w:rsidRPr="00EA3D8C">
        <w:rPr>
          <w:rFonts w:eastAsia="MS PGothic" w:cstheme="minorHAnsi"/>
          <w:szCs w:val="20"/>
          <w:lang w:val="sr-Cyrl-RS" w:eastAsia="ja-JP"/>
        </w:rPr>
        <w:t xml:space="preserve"> дало је одређене резултате у протеклом периоду. У овом сегменту постоји простор за даља побољшања, кроз јачање и модернизацију пореске администрације.</w:t>
      </w:r>
    </w:p>
    <w:p w14:paraId="6ED1B11D" w14:textId="7DF3913A"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Пројекција прихода од акциза сачињена је на основу важеће акцизне политике и пројектоване потрошње акцизних производа. 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w:t>
      </w:r>
      <w:r w:rsidR="000C08A1" w:rsidRPr="000C08A1">
        <w:t xml:space="preserve"> </w:t>
      </w:r>
      <w:r w:rsidR="000C08A1" w:rsidRPr="0055757E">
        <w:rPr>
          <w:rFonts w:eastAsia="MS PGothic" w:cstheme="minorHAnsi"/>
          <w:szCs w:val="20"/>
          <w:lang w:val="sr-Cyrl-RS" w:eastAsia="ja-JP"/>
        </w:rPr>
        <w:t>у динарској противвредности прерачунато по званичном средњем курсу НБС</w:t>
      </w:r>
      <w:r w:rsidRPr="0055757E">
        <w:rPr>
          <w:rFonts w:eastAsia="MS PGothic" w:cstheme="minorHAnsi"/>
          <w:szCs w:val="20"/>
          <w:lang w:val="sr-Cyrl-RS" w:eastAsia="ja-JP"/>
        </w:rPr>
        <w:t>.</w:t>
      </w:r>
      <w:r w:rsidRPr="00EA3D8C">
        <w:rPr>
          <w:rFonts w:eastAsia="MS PGothic" w:cstheme="minorHAnsi"/>
          <w:szCs w:val="20"/>
          <w:lang w:val="sr-Cyrl-RS" w:eastAsia="ja-JP"/>
        </w:rPr>
        <w:t xml:space="preserve"> У наредном периоду је за потребе пројекције прихода од акциза, услед опрезности, предвиђен даљи природан пад тржишта дуванских производа, у просеку од око 3% годишње. За разлику од дуванских производа ситуација на тржишту нафтних деривата је знатно мање волатилна. Боља контрола и ефекти маркирања нафтних деривата смањили су могућност и исплативост нелегалних </w:t>
      </w:r>
      <w:r w:rsidRPr="00EA3D8C">
        <w:rPr>
          <w:rFonts w:eastAsia="MS PGothic" w:cstheme="minorHAnsi"/>
          <w:szCs w:val="20"/>
          <w:lang w:val="sr-Cyrl-RS" w:eastAsia="ja-JP"/>
        </w:rPr>
        <w:lastRenderedPageBreak/>
        <w:t>активности. У наредним годинама, услед опрезности, није претпостављен наставак раста потрошње нафтних деривата иако се може очекивати да ће убрзање економске активности допринело расту потрошње. Приходи од акциза на алкохолна пића, кафу и електричну енергију су пројектовани у складу са постојећом структуром потрошње. Тренутни номинални износи акциза на алкохолна пића и кафу усклађени су са очекиваним износима стопе инфлације у средњорочном периоду. Наплата прихода од акцизе на електричну енергију у периоду 2021</w:t>
      </w:r>
      <w:r w:rsidR="00A21E4E" w:rsidRPr="00EA3D8C">
        <w:rPr>
          <w:rFonts w:eastAsia="MS PGothic" w:cstheme="minorHAnsi"/>
          <w:szCs w:val="20"/>
          <w:lang w:val="sr-Cyrl-RS" w:eastAsia="ja-JP"/>
        </w:rPr>
        <w:t>–</w:t>
      </w:r>
      <w:r w:rsidRPr="00EA3D8C">
        <w:rPr>
          <w:rFonts w:eastAsia="MS PGothic" w:cstheme="minorHAnsi"/>
          <w:szCs w:val="20"/>
          <w:lang w:val="sr-Cyrl-RS" w:eastAsia="ja-JP"/>
        </w:rPr>
        <w:t>2023. године планирана је да на годишњем нивоу износи око 18 млрд динара, узимајући у обзир тренд годишње потрошње и важеће цене.</w:t>
      </w:r>
    </w:p>
    <w:p w14:paraId="7D84A655" w14:textId="77777777"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Приходи од царина ће се стабилизовати на нивоу од 0,9% БДП у наредном периоду. Пројекција наплате прихода од царина рађена је на бази пројектованог кретања увоза, девизног курса и потрошње.</w:t>
      </w:r>
    </w:p>
    <w:p w14:paraId="64EE145F" w14:textId="77777777"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1C906657" w14:textId="04FEF383"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Предвиђено је смањење учешћа непореских прихода у БДП, са 5,0% колико је п</w:t>
      </w:r>
      <w:r w:rsidR="0045088D" w:rsidRPr="00EA3D8C">
        <w:rPr>
          <w:rFonts w:eastAsia="MS PGothic" w:cstheme="minorHAnsi"/>
          <w:szCs w:val="20"/>
          <w:lang w:val="sr-Cyrl-RS" w:eastAsia="ja-JP"/>
        </w:rPr>
        <w:t>риходовано у 2019. години на 3,9</w:t>
      </w:r>
      <w:r w:rsidRPr="00EA3D8C">
        <w:rPr>
          <w:rFonts w:eastAsia="MS PGothic" w:cstheme="minorHAnsi"/>
          <w:szCs w:val="20"/>
          <w:lang w:val="sr-Cyrl-RS" w:eastAsia="ja-JP"/>
        </w:rPr>
        <w:t xml:space="preserve">% колико се очекује да ће износити у 2023. години. У 2019. години смањена је обавеза уплате средстава по основу смањења зарада за део јавног сектора, док је у 2020. години ова мера потпуно укинута. Други разлог за смањење пројектованог учешћа непореских прихода у БДП је и искључивање из базне 2020. </w:t>
      </w:r>
      <w:r w:rsidRPr="00EA3D8C">
        <w:rPr>
          <w:rFonts w:eastAsia="MS PGothic" w:cstheme="minorHAnsi"/>
          <w:szCs w:val="20"/>
          <w:lang w:val="sr-Cyrl-RS" w:eastAsia="ja-JP"/>
        </w:rPr>
        <w:lastRenderedPageBreak/>
        <w:t xml:space="preserve">године свих оних прихода који се не сматрају структурним тј. трајним, а првенствено се то односи на ванредне категорије непореских прихода. 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w:t>
      </w:r>
      <w:r w:rsidR="00662A2F">
        <w:rPr>
          <w:rFonts w:eastAsia="MS PGothic" w:cstheme="minorHAnsi"/>
          <w:szCs w:val="20"/>
          <w:lang w:val="sr-Cyrl-RS" w:eastAsia="ja-JP"/>
        </w:rPr>
        <w:t>АОД</w:t>
      </w:r>
      <w:r w:rsidRPr="00EA3D8C">
        <w:rPr>
          <w:rFonts w:eastAsia="MS PGothic" w:cstheme="minorHAnsi"/>
          <w:szCs w:val="20"/>
          <w:lang w:val="sr-Cyrl-RS" w:eastAsia="ja-JP"/>
        </w:rPr>
        <w:t>,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Ови непорески приходи индексирају се са оствареном инфлацијом у претходној години, или пак прате промену у вредности основе на које се примењују и услед тога се коригују пројектованом инфлацијом.</w:t>
      </w:r>
    </w:p>
    <w:p w14:paraId="6AB2EBAC" w14:textId="77777777" w:rsidR="00333B2E" w:rsidRPr="00EA3D8C" w:rsidRDefault="00333B2E" w:rsidP="00C130D2">
      <w:pPr>
        <w:spacing w:after="120" w:line="276" w:lineRule="auto"/>
        <w:rPr>
          <w:rFonts w:eastAsia="MS PGothic" w:cstheme="minorHAnsi"/>
          <w:szCs w:val="20"/>
          <w:lang w:val="sr-Cyrl-RS" w:eastAsia="ja-JP"/>
        </w:rPr>
      </w:pPr>
      <w:r w:rsidRPr="00EA3D8C">
        <w:rPr>
          <w:rFonts w:eastAsia="MS PGothic" w:cstheme="minorHAnsi"/>
          <w:szCs w:val="20"/>
          <w:lang w:val="sr-Cyrl-R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6D081E0B" w14:textId="37AEEF95" w:rsidR="00333B2E" w:rsidRPr="00EA3D8C" w:rsidRDefault="00333B2E" w:rsidP="00C130D2">
      <w:pPr>
        <w:spacing w:after="120" w:line="276" w:lineRule="auto"/>
        <w:rPr>
          <w:rFonts w:eastAsia="MS PGothic" w:cstheme="minorHAnsi"/>
          <w:szCs w:val="20"/>
          <w:lang w:val="sr-Cyrl-RS" w:eastAsia="ja-JP"/>
        </w:rPr>
        <w:sectPr w:rsidR="00333B2E" w:rsidRPr="00EA3D8C"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zCs w:val="20"/>
          <w:lang w:val="sr-Cyrl-RS" w:eastAsia="ja-JP"/>
        </w:rPr>
        <w:t>Одговорном фискалном политиком у комбинацији са добрим макроекономским перформансама у наредном средњорочном периоду обезбедиће се релаксирање политике плата и пензија и значајно повећање капиталних инвестиција као битне компоненте развоја привреде. Посебна пажња ће се посветити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Дефинисан је и начин индексације пензија. Плате и пензије заједно чине преко 50% расхода на нивоу опште државе и њихова стабилизација је од пресудног значаја</w:t>
      </w:r>
      <w:r w:rsidR="00E255B2" w:rsidRPr="00EA3D8C">
        <w:rPr>
          <w:rFonts w:eastAsia="MS PGothic" w:cstheme="minorHAnsi"/>
          <w:szCs w:val="20"/>
          <w:lang w:val="sr-Cyrl-RS" w:eastAsia="ja-JP"/>
        </w:rPr>
        <w:t xml:space="preserve"> за одрживост јавних финансија.</w:t>
      </w:r>
    </w:p>
    <w:p w14:paraId="6B756FCC" w14:textId="03D711EC" w:rsidR="00333B2E" w:rsidRPr="00EA3D8C" w:rsidRDefault="00EC4017" w:rsidP="005E54B2">
      <w:pPr>
        <w:keepNext/>
        <w:spacing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11</w:t>
      </w:r>
      <w:r w:rsidR="00333B2E" w:rsidRPr="00EA3D8C">
        <w:rPr>
          <w:rFonts w:eastAsia="MS PGothic" w:cstheme="minorHAnsi"/>
          <w:b/>
          <w:color w:val="002060"/>
          <w:szCs w:val="20"/>
          <w:lang w:val="sr-Cyrl-RS" w:eastAsia="ja-JP"/>
        </w:rPr>
        <w:t>. Укупни расходи у периоду 2019–2023. године, % БДП</w:t>
      </w:r>
    </w:p>
    <w:tbl>
      <w:tblPr>
        <w:tblStyle w:val="LightShading-Accent1221"/>
        <w:tblW w:w="4952" w:type="pct"/>
        <w:tblLook w:val="0420" w:firstRow="1" w:lastRow="0" w:firstColumn="0" w:lastColumn="0" w:noHBand="0" w:noVBand="1"/>
      </w:tblPr>
      <w:tblGrid>
        <w:gridCol w:w="3647"/>
        <w:gridCol w:w="1194"/>
        <w:gridCol w:w="1194"/>
        <w:gridCol w:w="1077"/>
        <w:gridCol w:w="1077"/>
        <w:gridCol w:w="1081"/>
      </w:tblGrid>
      <w:tr w:rsidR="00333B2E" w:rsidRPr="00EA3D8C" w14:paraId="3DB576E2" w14:textId="77777777" w:rsidTr="001940DA">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134EE337"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Опис</w:t>
            </w:r>
          </w:p>
        </w:tc>
        <w:tc>
          <w:tcPr>
            <w:tcW w:w="644" w:type="pct"/>
            <w:tcBorders>
              <w:top w:val="single" w:sz="4" w:space="0" w:color="002060"/>
              <w:bottom w:val="single" w:sz="4" w:space="0" w:color="002060"/>
            </w:tcBorders>
            <w:vAlign w:val="center"/>
          </w:tcPr>
          <w:p w14:paraId="546F836E"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Извршење</w:t>
            </w:r>
          </w:p>
        </w:tc>
        <w:tc>
          <w:tcPr>
            <w:tcW w:w="644" w:type="pct"/>
            <w:tcBorders>
              <w:top w:val="single" w:sz="4" w:space="0" w:color="002060"/>
              <w:bottom w:val="single" w:sz="4" w:space="0" w:color="002060"/>
            </w:tcBorders>
            <w:vAlign w:val="center"/>
          </w:tcPr>
          <w:p w14:paraId="5511F39E"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Процена</w:t>
            </w:r>
          </w:p>
        </w:tc>
        <w:tc>
          <w:tcPr>
            <w:tcW w:w="1745" w:type="pct"/>
            <w:gridSpan w:val="3"/>
            <w:tcBorders>
              <w:top w:val="single" w:sz="4" w:space="0" w:color="002060"/>
              <w:bottom w:val="single" w:sz="4" w:space="0" w:color="002060"/>
            </w:tcBorders>
            <w:vAlign w:val="center"/>
          </w:tcPr>
          <w:p w14:paraId="2CBBDA61" w14:textId="77777777" w:rsidR="00333B2E" w:rsidRPr="00EA3D8C" w:rsidRDefault="00333B2E" w:rsidP="00C130D2">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EA3D8C">
              <w:rPr>
                <w:rFonts w:asciiTheme="minorHAnsi" w:hAnsiTheme="minorHAnsi" w:cstheme="minorHAnsi"/>
                <w:b w:val="0"/>
                <w:color w:val="002060"/>
                <w:sz w:val="18"/>
                <w:lang w:val="sr-Cyrl-RS"/>
              </w:rPr>
              <w:t>Пројекција</w:t>
            </w:r>
          </w:p>
        </w:tc>
      </w:tr>
      <w:tr w:rsidR="00333B2E" w:rsidRPr="00EA3D8C" w14:paraId="146B0AC7" w14:textId="77777777" w:rsidTr="001940DA">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759E860E"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44" w:type="pct"/>
            <w:tcBorders>
              <w:top w:val="single" w:sz="4" w:space="0" w:color="002060"/>
              <w:bottom w:val="single" w:sz="4" w:space="0" w:color="002060"/>
            </w:tcBorders>
            <w:shd w:val="clear" w:color="auto" w:fill="FFFFFF" w:themeFill="background1"/>
          </w:tcPr>
          <w:p w14:paraId="5D89ABA3"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2019</w:t>
            </w:r>
          </w:p>
        </w:tc>
        <w:tc>
          <w:tcPr>
            <w:tcW w:w="644" w:type="pct"/>
            <w:tcBorders>
              <w:top w:val="single" w:sz="4" w:space="0" w:color="002060"/>
              <w:bottom w:val="single" w:sz="4" w:space="0" w:color="002060"/>
            </w:tcBorders>
            <w:shd w:val="clear" w:color="auto" w:fill="FFFFFF" w:themeFill="background1"/>
          </w:tcPr>
          <w:p w14:paraId="058A836E"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2020</w:t>
            </w:r>
          </w:p>
        </w:tc>
        <w:tc>
          <w:tcPr>
            <w:tcW w:w="581" w:type="pct"/>
            <w:tcBorders>
              <w:top w:val="single" w:sz="4" w:space="0" w:color="002060"/>
              <w:bottom w:val="single" w:sz="4" w:space="0" w:color="002060"/>
            </w:tcBorders>
            <w:shd w:val="clear" w:color="auto" w:fill="FFFFFF" w:themeFill="background1"/>
          </w:tcPr>
          <w:p w14:paraId="2DE0C610"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2021</w:t>
            </w:r>
          </w:p>
        </w:tc>
        <w:tc>
          <w:tcPr>
            <w:tcW w:w="581" w:type="pct"/>
            <w:tcBorders>
              <w:top w:val="single" w:sz="4" w:space="0" w:color="002060"/>
              <w:bottom w:val="single" w:sz="4" w:space="0" w:color="002060"/>
            </w:tcBorders>
            <w:shd w:val="clear" w:color="auto" w:fill="FFFFFF" w:themeFill="background1"/>
          </w:tcPr>
          <w:p w14:paraId="231B2902"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2022</w:t>
            </w:r>
          </w:p>
        </w:tc>
        <w:tc>
          <w:tcPr>
            <w:tcW w:w="582" w:type="pct"/>
            <w:tcBorders>
              <w:top w:val="single" w:sz="4" w:space="0" w:color="002060"/>
              <w:bottom w:val="single" w:sz="4" w:space="0" w:color="002060"/>
            </w:tcBorders>
            <w:shd w:val="clear" w:color="auto" w:fill="FFFFFF" w:themeFill="background1"/>
          </w:tcPr>
          <w:p w14:paraId="6400F95B" w14:textId="77777777" w:rsidR="00333B2E" w:rsidRPr="00EA3D8C" w:rsidRDefault="00333B2E" w:rsidP="00C130D2">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2023</w:t>
            </w:r>
          </w:p>
        </w:tc>
      </w:tr>
      <w:tr w:rsidR="00333B2E" w:rsidRPr="00EA3D8C" w14:paraId="28B041BF" w14:textId="77777777" w:rsidTr="001940DA">
        <w:trPr>
          <w:trHeight w:val="49"/>
        </w:trPr>
        <w:tc>
          <w:tcPr>
            <w:tcW w:w="1967" w:type="pct"/>
            <w:tcBorders>
              <w:top w:val="nil"/>
            </w:tcBorders>
            <w:shd w:val="clear" w:color="auto" w:fill="FFFFFF" w:themeFill="background1"/>
          </w:tcPr>
          <w:p w14:paraId="69892B4A" w14:textId="77777777" w:rsidR="00333B2E" w:rsidRPr="00EA3D8C" w:rsidRDefault="00333B2E" w:rsidP="00C130D2">
            <w:pPr>
              <w:keepNext/>
              <w:widowControl w:val="0"/>
              <w:shd w:val="clear" w:color="auto" w:fill="FFFFFF" w:themeFill="background1"/>
              <w:spacing w:line="276" w:lineRule="auto"/>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ЈАВНИ РАСХОДИ</w:t>
            </w:r>
          </w:p>
        </w:tc>
        <w:tc>
          <w:tcPr>
            <w:tcW w:w="644" w:type="pct"/>
            <w:tcBorders>
              <w:top w:val="single" w:sz="4" w:space="0" w:color="002060"/>
            </w:tcBorders>
            <w:shd w:val="clear" w:color="auto" w:fill="FFFFFF" w:themeFill="background1"/>
          </w:tcPr>
          <w:p w14:paraId="4E4E9C2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42,3</w:t>
            </w:r>
          </w:p>
        </w:tc>
        <w:tc>
          <w:tcPr>
            <w:tcW w:w="644" w:type="pct"/>
            <w:tcBorders>
              <w:top w:val="single" w:sz="4" w:space="0" w:color="002060"/>
            </w:tcBorders>
            <w:shd w:val="clear" w:color="auto" w:fill="FFFFFF" w:themeFill="background1"/>
            <w:noWrap/>
          </w:tcPr>
          <w:p w14:paraId="38C9A86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49,2</w:t>
            </w:r>
          </w:p>
        </w:tc>
        <w:tc>
          <w:tcPr>
            <w:tcW w:w="581" w:type="pct"/>
            <w:tcBorders>
              <w:top w:val="single" w:sz="4" w:space="0" w:color="002060"/>
            </w:tcBorders>
            <w:shd w:val="clear" w:color="auto" w:fill="FFFFFF" w:themeFill="background1"/>
            <w:noWrap/>
          </w:tcPr>
          <w:p w14:paraId="2B4EA3FB" w14:textId="0C77C699"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43,4</w:t>
            </w:r>
          </w:p>
        </w:tc>
        <w:tc>
          <w:tcPr>
            <w:tcW w:w="581" w:type="pct"/>
            <w:tcBorders>
              <w:top w:val="single" w:sz="4" w:space="0" w:color="002060"/>
            </w:tcBorders>
            <w:shd w:val="clear" w:color="auto" w:fill="FFFFFF" w:themeFill="background1"/>
            <w:noWrap/>
          </w:tcPr>
          <w:p w14:paraId="02F593E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42,1</w:t>
            </w:r>
          </w:p>
        </w:tc>
        <w:tc>
          <w:tcPr>
            <w:tcW w:w="582" w:type="pct"/>
            <w:tcBorders>
              <w:top w:val="single" w:sz="4" w:space="0" w:color="002060"/>
            </w:tcBorders>
            <w:shd w:val="clear" w:color="auto" w:fill="FFFFFF" w:themeFill="background1"/>
            <w:noWrap/>
          </w:tcPr>
          <w:p w14:paraId="2236BAF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40,7</w:t>
            </w:r>
          </w:p>
        </w:tc>
      </w:tr>
      <w:tr w:rsidR="00333B2E" w:rsidRPr="00EA3D8C" w14:paraId="0B6C4ADA" w14:textId="77777777" w:rsidTr="001940DA">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0CD711F5"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Текући расходи</w:t>
            </w:r>
          </w:p>
        </w:tc>
        <w:tc>
          <w:tcPr>
            <w:tcW w:w="644" w:type="pct"/>
            <w:shd w:val="clear" w:color="auto" w:fill="FFFFFF" w:themeFill="background1"/>
          </w:tcPr>
          <w:p w14:paraId="31D8A81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36,9</w:t>
            </w:r>
          </w:p>
        </w:tc>
        <w:tc>
          <w:tcPr>
            <w:tcW w:w="644" w:type="pct"/>
            <w:shd w:val="clear" w:color="auto" w:fill="FFFFFF" w:themeFill="background1"/>
            <w:noWrap/>
          </w:tcPr>
          <w:p w14:paraId="5FB63EA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43,1</w:t>
            </w:r>
          </w:p>
        </w:tc>
        <w:tc>
          <w:tcPr>
            <w:tcW w:w="581" w:type="pct"/>
            <w:shd w:val="clear" w:color="auto" w:fill="FFFFFF" w:themeFill="background1"/>
            <w:noWrap/>
          </w:tcPr>
          <w:p w14:paraId="6D8E1F2C" w14:textId="5F464DAD"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37,4</w:t>
            </w:r>
          </w:p>
        </w:tc>
        <w:tc>
          <w:tcPr>
            <w:tcW w:w="581" w:type="pct"/>
            <w:shd w:val="clear" w:color="auto" w:fill="FFFFFF" w:themeFill="background1"/>
            <w:noWrap/>
          </w:tcPr>
          <w:p w14:paraId="004ED60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36,1</w:t>
            </w:r>
          </w:p>
        </w:tc>
        <w:tc>
          <w:tcPr>
            <w:tcW w:w="582" w:type="pct"/>
            <w:shd w:val="clear" w:color="auto" w:fill="FFFFFF" w:themeFill="background1"/>
            <w:noWrap/>
          </w:tcPr>
          <w:p w14:paraId="6B753B2E" w14:textId="68A319FE"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34,8</w:t>
            </w:r>
          </w:p>
        </w:tc>
      </w:tr>
      <w:tr w:rsidR="00333B2E" w:rsidRPr="00EA3D8C" w14:paraId="586C7B57" w14:textId="77777777" w:rsidTr="001940DA">
        <w:trPr>
          <w:trHeight w:val="49"/>
        </w:trPr>
        <w:tc>
          <w:tcPr>
            <w:tcW w:w="1967" w:type="pct"/>
            <w:shd w:val="clear" w:color="auto" w:fill="FFFFFF" w:themeFill="background1"/>
          </w:tcPr>
          <w:p w14:paraId="548047B7"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Расходи за запослене</w:t>
            </w:r>
          </w:p>
        </w:tc>
        <w:tc>
          <w:tcPr>
            <w:tcW w:w="644" w:type="pct"/>
            <w:shd w:val="clear" w:color="auto" w:fill="FFFFFF" w:themeFill="background1"/>
          </w:tcPr>
          <w:p w14:paraId="584C0C0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9,5</w:t>
            </w:r>
          </w:p>
        </w:tc>
        <w:tc>
          <w:tcPr>
            <w:tcW w:w="644" w:type="pct"/>
            <w:shd w:val="clear" w:color="auto" w:fill="FFFFFF" w:themeFill="background1"/>
            <w:noWrap/>
          </w:tcPr>
          <w:p w14:paraId="787531A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10,4</w:t>
            </w:r>
          </w:p>
        </w:tc>
        <w:tc>
          <w:tcPr>
            <w:tcW w:w="581" w:type="pct"/>
            <w:shd w:val="clear" w:color="auto" w:fill="FFFFFF" w:themeFill="background1"/>
            <w:noWrap/>
          </w:tcPr>
          <w:p w14:paraId="42FE520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10,0</w:t>
            </w:r>
          </w:p>
        </w:tc>
        <w:tc>
          <w:tcPr>
            <w:tcW w:w="581" w:type="pct"/>
            <w:shd w:val="clear" w:color="auto" w:fill="FFFFFF" w:themeFill="background1"/>
            <w:noWrap/>
          </w:tcPr>
          <w:p w14:paraId="319D63F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9,8</w:t>
            </w:r>
          </w:p>
        </w:tc>
        <w:tc>
          <w:tcPr>
            <w:tcW w:w="582" w:type="pct"/>
            <w:shd w:val="clear" w:color="auto" w:fill="FFFFFF" w:themeFill="background1"/>
            <w:noWrap/>
          </w:tcPr>
          <w:p w14:paraId="7E10752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9,6</w:t>
            </w:r>
          </w:p>
        </w:tc>
      </w:tr>
      <w:tr w:rsidR="00333B2E" w:rsidRPr="00EA3D8C" w14:paraId="53E28FB5" w14:textId="77777777" w:rsidTr="001940DA">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54C4AEC4"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Куповина робе и услуга</w:t>
            </w:r>
          </w:p>
        </w:tc>
        <w:tc>
          <w:tcPr>
            <w:tcW w:w="644" w:type="pct"/>
            <w:shd w:val="clear" w:color="auto" w:fill="FFFFFF" w:themeFill="background1"/>
          </w:tcPr>
          <w:p w14:paraId="1871803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7,0</w:t>
            </w:r>
          </w:p>
        </w:tc>
        <w:tc>
          <w:tcPr>
            <w:tcW w:w="644" w:type="pct"/>
            <w:shd w:val="clear" w:color="auto" w:fill="FFFFFF" w:themeFill="background1"/>
            <w:noWrap/>
          </w:tcPr>
          <w:p w14:paraId="55500D0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8,2</w:t>
            </w:r>
          </w:p>
        </w:tc>
        <w:tc>
          <w:tcPr>
            <w:tcW w:w="581" w:type="pct"/>
            <w:shd w:val="clear" w:color="auto" w:fill="FFFFFF" w:themeFill="background1"/>
            <w:noWrap/>
          </w:tcPr>
          <w:p w14:paraId="7B11947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7,6</w:t>
            </w:r>
          </w:p>
        </w:tc>
        <w:tc>
          <w:tcPr>
            <w:tcW w:w="581" w:type="pct"/>
            <w:shd w:val="clear" w:color="auto" w:fill="FFFFFF" w:themeFill="background1"/>
            <w:noWrap/>
          </w:tcPr>
          <w:p w14:paraId="6C79BD3F" w14:textId="2E030EEF"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7,4</w:t>
            </w:r>
          </w:p>
        </w:tc>
        <w:tc>
          <w:tcPr>
            <w:tcW w:w="582" w:type="pct"/>
            <w:shd w:val="clear" w:color="auto" w:fill="FFFFFF" w:themeFill="background1"/>
            <w:noWrap/>
          </w:tcPr>
          <w:p w14:paraId="155E0B42" w14:textId="085776DB"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7,1</w:t>
            </w:r>
          </w:p>
        </w:tc>
      </w:tr>
      <w:tr w:rsidR="00333B2E" w:rsidRPr="00EA3D8C" w14:paraId="127185D8" w14:textId="77777777" w:rsidTr="001940DA">
        <w:trPr>
          <w:trHeight w:val="49"/>
        </w:trPr>
        <w:tc>
          <w:tcPr>
            <w:tcW w:w="1967" w:type="pct"/>
            <w:shd w:val="clear" w:color="auto" w:fill="FFFFFF" w:themeFill="background1"/>
          </w:tcPr>
          <w:p w14:paraId="35AFFD74"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Отплата камата</w:t>
            </w:r>
          </w:p>
        </w:tc>
        <w:tc>
          <w:tcPr>
            <w:tcW w:w="644" w:type="pct"/>
            <w:shd w:val="clear" w:color="auto" w:fill="FFFFFF" w:themeFill="background1"/>
          </w:tcPr>
          <w:p w14:paraId="3B9B17CB"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w:t>
            </w:r>
          </w:p>
        </w:tc>
        <w:tc>
          <w:tcPr>
            <w:tcW w:w="644" w:type="pct"/>
            <w:shd w:val="clear" w:color="auto" w:fill="FFFFFF" w:themeFill="background1"/>
            <w:noWrap/>
          </w:tcPr>
          <w:p w14:paraId="47EC999E"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2,0</w:t>
            </w:r>
          </w:p>
        </w:tc>
        <w:tc>
          <w:tcPr>
            <w:tcW w:w="581" w:type="pct"/>
            <w:shd w:val="clear" w:color="auto" w:fill="FFFFFF" w:themeFill="background1"/>
            <w:noWrap/>
          </w:tcPr>
          <w:p w14:paraId="5ACE183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1,9</w:t>
            </w:r>
          </w:p>
        </w:tc>
        <w:tc>
          <w:tcPr>
            <w:tcW w:w="581" w:type="pct"/>
            <w:shd w:val="clear" w:color="auto" w:fill="FFFFFF" w:themeFill="background1"/>
            <w:noWrap/>
          </w:tcPr>
          <w:p w14:paraId="2F82E8D1"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1,7</w:t>
            </w:r>
          </w:p>
        </w:tc>
        <w:tc>
          <w:tcPr>
            <w:tcW w:w="582" w:type="pct"/>
            <w:shd w:val="clear" w:color="auto" w:fill="FFFFFF" w:themeFill="background1"/>
            <w:noWrap/>
          </w:tcPr>
          <w:p w14:paraId="4C2A6BA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1,6</w:t>
            </w:r>
          </w:p>
        </w:tc>
      </w:tr>
      <w:tr w:rsidR="00333B2E" w:rsidRPr="00EA3D8C" w14:paraId="5A60E065" w14:textId="77777777" w:rsidTr="001940DA">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28287993"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Субвенције</w:t>
            </w:r>
          </w:p>
        </w:tc>
        <w:tc>
          <w:tcPr>
            <w:tcW w:w="644" w:type="pct"/>
            <w:shd w:val="clear" w:color="auto" w:fill="FFFFFF" w:themeFill="background1"/>
          </w:tcPr>
          <w:p w14:paraId="33CCC88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2,2</w:t>
            </w:r>
          </w:p>
        </w:tc>
        <w:tc>
          <w:tcPr>
            <w:tcW w:w="644" w:type="pct"/>
            <w:shd w:val="clear" w:color="auto" w:fill="FFFFFF" w:themeFill="background1"/>
            <w:noWrap/>
          </w:tcPr>
          <w:p w14:paraId="5235D1D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4,7</w:t>
            </w:r>
          </w:p>
        </w:tc>
        <w:tc>
          <w:tcPr>
            <w:tcW w:w="581" w:type="pct"/>
            <w:shd w:val="clear" w:color="auto" w:fill="FFFFFF" w:themeFill="background1"/>
            <w:noWrap/>
          </w:tcPr>
          <w:p w14:paraId="75C0D78F" w14:textId="1B4A9B51"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2,3</w:t>
            </w:r>
          </w:p>
        </w:tc>
        <w:tc>
          <w:tcPr>
            <w:tcW w:w="581" w:type="pct"/>
            <w:shd w:val="clear" w:color="auto" w:fill="FFFFFF" w:themeFill="background1"/>
            <w:noWrap/>
          </w:tcPr>
          <w:p w14:paraId="021A85B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1,8</w:t>
            </w:r>
          </w:p>
        </w:tc>
        <w:tc>
          <w:tcPr>
            <w:tcW w:w="582" w:type="pct"/>
            <w:shd w:val="clear" w:color="auto" w:fill="FFFFFF" w:themeFill="background1"/>
            <w:noWrap/>
          </w:tcPr>
          <w:p w14:paraId="4E8834D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1,7</w:t>
            </w:r>
          </w:p>
        </w:tc>
      </w:tr>
      <w:tr w:rsidR="00333B2E" w:rsidRPr="00EA3D8C" w14:paraId="28300C25" w14:textId="77777777" w:rsidTr="001940DA">
        <w:trPr>
          <w:trHeight w:val="49"/>
        </w:trPr>
        <w:tc>
          <w:tcPr>
            <w:tcW w:w="1967" w:type="pct"/>
            <w:shd w:val="clear" w:color="auto" w:fill="FFFFFF" w:themeFill="background1"/>
          </w:tcPr>
          <w:p w14:paraId="518D78ED"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Социјална помоћ и трансфери</w:t>
            </w:r>
          </w:p>
        </w:tc>
        <w:tc>
          <w:tcPr>
            <w:tcW w:w="644" w:type="pct"/>
            <w:shd w:val="clear" w:color="auto" w:fill="FFFFFF" w:themeFill="background1"/>
          </w:tcPr>
          <w:p w14:paraId="3B650E1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14,5</w:t>
            </w:r>
          </w:p>
        </w:tc>
        <w:tc>
          <w:tcPr>
            <w:tcW w:w="644" w:type="pct"/>
            <w:shd w:val="clear" w:color="auto" w:fill="FFFFFF" w:themeFill="background1"/>
            <w:noWrap/>
          </w:tcPr>
          <w:p w14:paraId="2ED9603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14,8</w:t>
            </w:r>
          </w:p>
        </w:tc>
        <w:tc>
          <w:tcPr>
            <w:tcW w:w="581" w:type="pct"/>
            <w:shd w:val="clear" w:color="auto" w:fill="FFFFFF" w:themeFill="background1"/>
            <w:noWrap/>
          </w:tcPr>
          <w:p w14:paraId="644D071A" w14:textId="28146770"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14,1</w:t>
            </w:r>
          </w:p>
        </w:tc>
        <w:tc>
          <w:tcPr>
            <w:tcW w:w="581" w:type="pct"/>
            <w:shd w:val="clear" w:color="auto" w:fill="FFFFFF" w:themeFill="background1"/>
            <w:noWrap/>
          </w:tcPr>
          <w:p w14:paraId="7A166A93" w14:textId="1488829D"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14,0</w:t>
            </w:r>
          </w:p>
        </w:tc>
        <w:tc>
          <w:tcPr>
            <w:tcW w:w="582" w:type="pct"/>
            <w:shd w:val="clear" w:color="auto" w:fill="FFFFFF" w:themeFill="background1"/>
            <w:noWrap/>
          </w:tcPr>
          <w:p w14:paraId="49038C7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13,7</w:t>
            </w:r>
          </w:p>
        </w:tc>
      </w:tr>
      <w:tr w:rsidR="00333B2E" w:rsidRPr="00EA3D8C" w14:paraId="5A1BE025" w14:textId="77777777" w:rsidTr="001940DA">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564E9E4A" w14:textId="77777777" w:rsidR="00333B2E" w:rsidRPr="00EA3D8C" w:rsidRDefault="00333B2E" w:rsidP="00C130D2">
            <w:pPr>
              <w:keepNext/>
              <w:widowControl w:val="0"/>
              <w:shd w:val="clear" w:color="auto" w:fill="FFFFFF" w:themeFill="background1"/>
              <w:spacing w:line="276" w:lineRule="auto"/>
              <w:ind w:left="397"/>
              <w:rPr>
                <w:rFonts w:asciiTheme="minorHAnsi" w:eastAsia="Times New Roman" w:hAnsiTheme="minorHAnsi" w:cstheme="minorHAnsi"/>
                <w:bCs/>
                <w:i/>
                <w:color w:val="002060"/>
                <w:sz w:val="18"/>
                <w:szCs w:val="18"/>
                <w:lang w:val="sr-Cyrl-RS"/>
              </w:rPr>
            </w:pPr>
            <w:r w:rsidRPr="00EA3D8C">
              <w:rPr>
                <w:rFonts w:asciiTheme="minorHAnsi" w:eastAsia="Times New Roman" w:hAnsiTheme="minorHAnsi" w:cstheme="minorHAnsi"/>
                <w:bCs/>
                <w:i/>
                <w:color w:val="002060"/>
                <w:sz w:val="18"/>
                <w:szCs w:val="18"/>
                <w:lang w:val="sr-Cyrl-RS"/>
              </w:rPr>
              <w:t>од чега пензије</w:t>
            </w:r>
          </w:p>
        </w:tc>
        <w:tc>
          <w:tcPr>
            <w:tcW w:w="644" w:type="pct"/>
            <w:shd w:val="clear" w:color="auto" w:fill="FFFFFF" w:themeFill="background1"/>
          </w:tcPr>
          <w:p w14:paraId="211B553A" w14:textId="77777777" w:rsidR="00333B2E" w:rsidRPr="00EA3D8C" w:rsidRDefault="00333B2E" w:rsidP="00C130D2">
            <w:pPr>
              <w:shd w:val="clear" w:color="auto" w:fill="FFFFFF" w:themeFill="background1"/>
              <w:spacing w:line="276" w:lineRule="auto"/>
              <w:jc w:val="right"/>
              <w:rPr>
                <w:rFonts w:asciiTheme="minorHAnsi" w:hAnsiTheme="minorHAnsi" w:cstheme="minorHAnsi"/>
                <w:i/>
                <w:color w:val="002060"/>
                <w:sz w:val="18"/>
                <w:szCs w:val="18"/>
                <w:lang w:val="sr-Cyrl-RS"/>
              </w:rPr>
            </w:pPr>
            <w:r w:rsidRPr="00EA3D8C">
              <w:rPr>
                <w:rFonts w:asciiTheme="minorHAnsi" w:hAnsiTheme="minorHAnsi" w:cstheme="minorHAnsi"/>
                <w:i/>
                <w:color w:val="002060"/>
                <w:sz w:val="18"/>
                <w:szCs w:val="18"/>
                <w:lang w:val="sr-Cyrl-RS"/>
              </w:rPr>
              <w:t>10,3</w:t>
            </w:r>
          </w:p>
        </w:tc>
        <w:tc>
          <w:tcPr>
            <w:tcW w:w="644" w:type="pct"/>
            <w:shd w:val="clear" w:color="auto" w:fill="FFFFFF" w:themeFill="background1"/>
            <w:noWrap/>
          </w:tcPr>
          <w:p w14:paraId="30A14B77" w14:textId="77777777" w:rsidR="00333B2E" w:rsidRPr="00EA3D8C" w:rsidRDefault="00333B2E" w:rsidP="00C130D2">
            <w:pPr>
              <w:shd w:val="clear" w:color="auto" w:fill="FFFFFF" w:themeFill="background1"/>
              <w:spacing w:line="276" w:lineRule="auto"/>
              <w:jc w:val="right"/>
              <w:rPr>
                <w:rFonts w:asciiTheme="minorHAnsi" w:hAnsiTheme="minorHAnsi" w:cstheme="minorHAnsi"/>
                <w:i/>
                <w:color w:val="002060"/>
                <w:sz w:val="18"/>
                <w:szCs w:val="18"/>
                <w:lang w:val="sr-Cyrl-RS"/>
              </w:rPr>
            </w:pPr>
            <w:r w:rsidRPr="00EA3D8C">
              <w:rPr>
                <w:rFonts w:asciiTheme="minorHAnsi" w:hAnsiTheme="minorHAnsi" w:cstheme="minorHAnsi"/>
                <w:i/>
                <w:color w:val="002060"/>
                <w:sz w:val="18"/>
                <w:szCs w:val="18"/>
                <w:lang w:val="sr-Cyrl-RS"/>
              </w:rPr>
              <w:t>10,6</w:t>
            </w:r>
          </w:p>
        </w:tc>
        <w:tc>
          <w:tcPr>
            <w:tcW w:w="581" w:type="pct"/>
            <w:shd w:val="clear" w:color="auto" w:fill="FFFFFF" w:themeFill="background1"/>
            <w:noWrap/>
          </w:tcPr>
          <w:p w14:paraId="36D8F351" w14:textId="77777777" w:rsidR="00333B2E" w:rsidRPr="00EA3D8C" w:rsidRDefault="00333B2E" w:rsidP="00C130D2">
            <w:pPr>
              <w:shd w:val="clear" w:color="auto" w:fill="FFFFFF" w:themeFill="background1"/>
              <w:spacing w:line="276" w:lineRule="auto"/>
              <w:jc w:val="right"/>
              <w:rPr>
                <w:rFonts w:asciiTheme="minorHAnsi" w:hAnsiTheme="minorHAnsi" w:cstheme="minorHAnsi"/>
                <w:i/>
                <w:color w:val="002060"/>
                <w:sz w:val="18"/>
                <w:szCs w:val="18"/>
                <w:lang w:val="sr-Cyrl-RS"/>
              </w:rPr>
            </w:pPr>
            <w:r w:rsidRPr="00EA3D8C">
              <w:rPr>
                <w:rFonts w:asciiTheme="minorHAnsi" w:hAnsiTheme="minorHAnsi" w:cstheme="minorHAnsi"/>
                <w:i/>
                <w:color w:val="002060"/>
                <w:sz w:val="18"/>
                <w:szCs w:val="18"/>
                <w:lang w:val="sr-Cyrl-RS"/>
              </w:rPr>
              <w:t>10,4</w:t>
            </w:r>
          </w:p>
        </w:tc>
        <w:tc>
          <w:tcPr>
            <w:tcW w:w="581" w:type="pct"/>
            <w:shd w:val="clear" w:color="auto" w:fill="FFFFFF" w:themeFill="background1"/>
            <w:noWrap/>
          </w:tcPr>
          <w:p w14:paraId="3BFB3129" w14:textId="77777777" w:rsidR="00333B2E" w:rsidRPr="00EA3D8C" w:rsidRDefault="00333B2E" w:rsidP="00C130D2">
            <w:pPr>
              <w:shd w:val="clear" w:color="auto" w:fill="FFFFFF" w:themeFill="background1"/>
              <w:spacing w:line="276" w:lineRule="auto"/>
              <w:jc w:val="right"/>
              <w:rPr>
                <w:rFonts w:asciiTheme="minorHAnsi" w:hAnsiTheme="minorHAnsi" w:cstheme="minorHAnsi"/>
                <w:i/>
                <w:color w:val="002060"/>
                <w:sz w:val="18"/>
                <w:szCs w:val="18"/>
                <w:lang w:val="sr-Cyrl-RS"/>
              </w:rPr>
            </w:pPr>
            <w:r w:rsidRPr="00EA3D8C">
              <w:rPr>
                <w:rFonts w:asciiTheme="minorHAnsi" w:hAnsiTheme="minorHAnsi" w:cstheme="minorHAnsi"/>
                <w:i/>
                <w:color w:val="002060"/>
                <w:sz w:val="18"/>
                <w:szCs w:val="18"/>
                <w:lang w:val="sr-Cyrl-RS"/>
              </w:rPr>
              <w:t>10,3</w:t>
            </w:r>
          </w:p>
        </w:tc>
        <w:tc>
          <w:tcPr>
            <w:tcW w:w="582" w:type="pct"/>
            <w:shd w:val="clear" w:color="auto" w:fill="FFFFFF" w:themeFill="background1"/>
            <w:noWrap/>
          </w:tcPr>
          <w:p w14:paraId="2E99B75B" w14:textId="77777777" w:rsidR="00333B2E" w:rsidRPr="00EA3D8C" w:rsidRDefault="00333B2E" w:rsidP="00C130D2">
            <w:pPr>
              <w:shd w:val="clear" w:color="auto" w:fill="FFFFFF" w:themeFill="background1"/>
              <w:spacing w:line="276" w:lineRule="auto"/>
              <w:jc w:val="right"/>
              <w:rPr>
                <w:rFonts w:asciiTheme="minorHAnsi" w:hAnsiTheme="minorHAnsi" w:cstheme="minorHAnsi"/>
                <w:i/>
                <w:color w:val="002060"/>
                <w:sz w:val="18"/>
                <w:szCs w:val="18"/>
                <w:lang w:val="sr-Cyrl-RS"/>
              </w:rPr>
            </w:pPr>
            <w:r w:rsidRPr="00EA3D8C">
              <w:rPr>
                <w:rFonts w:asciiTheme="minorHAnsi" w:hAnsiTheme="minorHAnsi" w:cstheme="minorHAnsi"/>
                <w:i/>
                <w:color w:val="002060"/>
                <w:sz w:val="18"/>
                <w:szCs w:val="18"/>
                <w:lang w:val="sr-Cyrl-RS"/>
              </w:rPr>
              <w:t>10,1</w:t>
            </w:r>
          </w:p>
        </w:tc>
      </w:tr>
      <w:tr w:rsidR="00333B2E" w:rsidRPr="00EA3D8C" w14:paraId="12DF306F" w14:textId="77777777" w:rsidTr="001940DA">
        <w:trPr>
          <w:trHeight w:val="49"/>
        </w:trPr>
        <w:tc>
          <w:tcPr>
            <w:tcW w:w="1967" w:type="pct"/>
            <w:shd w:val="clear" w:color="auto" w:fill="FFFFFF" w:themeFill="background1"/>
          </w:tcPr>
          <w:p w14:paraId="7A72CD38" w14:textId="77777777" w:rsidR="00333B2E" w:rsidRPr="00EA3D8C" w:rsidRDefault="00333B2E" w:rsidP="00C130D2">
            <w:pPr>
              <w:keepNext/>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Остали текући расходи</w:t>
            </w:r>
          </w:p>
        </w:tc>
        <w:tc>
          <w:tcPr>
            <w:tcW w:w="644" w:type="pct"/>
            <w:shd w:val="clear" w:color="auto" w:fill="FFFFFF" w:themeFill="background1"/>
          </w:tcPr>
          <w:p w14:paraId="2137DF1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1,7</w:t>
            </w:r>
          </w:p>
        </w:tc>
        <w:tc>
          <w:tcPr>
            <w:tcW w:w="644" w:type="pct"/>
            <w:shd w:val="clear" w:color="auto" w:fill="FFFFFF" w:themeFill="background1"/>
            <w:noWrap/>
          </w:tcPr>
          <w:p w14:paraId="777772D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3,0</w:t>
            </w:r>
          </w:p>
        </w:tc>
        <w:tc>
          <w:tcPr>
            <w:tcW w:w="581" w:type="pct"/>
            <w:shd w:val="clear" w:color="auto" w:fill="FFFFFF" w:themeFill="background1"/>
            <w:noWrap/>
          </w:tcPr>
          <w:p w14:paraId="3C7C8B8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1,4</w:t>
            </w:r>
          </w:p>
        </w:tc>
        <w:tc>
          <w:tcPr>
            <w:tcW w:w="581" w:type="pct"/>
            <w:shd w:val="clear" w:color="auto" w:fill="FFFFFF" w:themeFill="background1"/>
            <w:noWrap/>
          </w:tcPr>
          <w:p w14:paraId="110083BF"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1,3</w:t>
            </w:r>
          </w:p>
        </w:tc>
        <w:tc>
          <w:tcPr>
            <w:tcW w:w="582" w:type="pct"/>
            <w:shd w:val="clear" w:color="auto" w:fill="FFFFFF" w:themeFill="background1"/>
            <w:noWrap/>
          </w:tcPr>
          <w:p w14:paraId="5BCAEC7C"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w:t>
            </w:r>
          </w:p>
        </w:tc>
      </w:tr>
      <w:tr w:rsidR="00333B2E" w:rsidRPr="00EA3D8C" w14:paraId="31C9253A" w14:textId="77777777" w:rsidTr="001940DA">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1751CE92"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Капитални расходи</w:t>
            </w:r>
          </w:p>
        </w:tc>
        <w:tc>
          <w:tcPr>
            <w:tcW w:w="644" w:type="pct"/>
            <w:shd w:val="clear" w:color="auto" w:fill="FFFFFF" w:themeFill="background1"/>
          </w:tcPr>
          <w:p w14:paraId="386E6C0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4,9</w:t>
            </w:r>
          </w:p>
        </w:tc>
        <w:tc>
          <w:tcPr>
            <w:tcW w:w="644" w:type="pct"/>
            <w:shd w:val="clear" w:color="auto" w:fill="FFFFFF" w:themeFill="background1"/>
            <w:noWrap/>
          </w:tcPr>
          <w:p w14:paraId="7F329909"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5,2</w:t>
            </w:r>
          </w:p>
        </w:tc>
        <w:tc>
          <w:tcPr>
            <w:tcW w:w="581" w:type="pct"/>
            <w:shd w:val="clear" w:color="auto" w:fill="FFFFFF" w:themeFill="background1"/>
            <w:noWrap/>
          </w:tcPr>
          <w:p w14:paraId="5325E854" w14:textId="5FC45217" w:rsidR="00333B2E" w:rsidRPr="00EA3D8C" w:rsidRDefault="0045088D" w:rsidP="005D42AC">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5,5</w:t>
            </w:r>
          </w:p>
        </w:tc>
        <w:tc>
          <w:tcPr>
            <w:tcW w:w="581" w:type="pct"/>
            <w:shd w:val="clear" w:color="auto" w:fill="FFFFFF" w:themeFill="background1"/>
            <w:noWrap/>
          </w:tcPr>
          <w:p w14:paraId="704EB44E"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5,6</w:t>
            </w:r>
          </w:p>
        </w:tc>
        <w:tc>
          <w:tcPr>
            <w:tcW w:w="582" w:type="pct"/>
            <w:shd w:val="clear" w:color="auto" w:fill="FFFFFF" w:themeFill="background1"/>
            <w:noWrap/>
          </w:tcPr>
          <w:p w14:paraId="166813B8" w14:textId="23297351"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5,7</w:t>
            </w:r>
          </w:p>
        </w:tc>
      </w:tr>
      <w:tr w:rsidR="00333B2E" w:rsidRPr="00EA3D8C" w14:paraId="24D5FF2E" w14:textId="77777777" w:rsidTr="001940DA">
        <w:trPr>
          <w:trHeight w:val="49"/>
        </w:trPr>
        <w:tc>
          <w:tcPr>
            <w:tcW w:w="1967" w:type="pct"/>
            <w:tcBorders>
              <w:bottom w:val="nil"/>
            </w:tcBorders>
            <w:shd w:val="clear" w:color="auto" w:fill="FFFFFF" w:themeFill="background1"/>
            <w:noWrap/>
          </w:tcPr>
          <w:p w14:paraId="0CA6026E"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Нето буџетске позајмице</w:t>
            </w:r>
          </w:p>
        </w:tc>
        <w:tc>
          <w:tcPr>
            <w:tcW w:w="644" w:type="pct"/>
            <w:tcBorders>
              <w:bottom w:val="nil"/>
            </w:tcBorders>
            <w:shd w:val="clear" w:color="auto" w:fill="FFFFFF" w:themeFill="background1"/>
          </w:tcPr>
          <w:p w14:paraId="57B80010"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644" w:type="pct"/>
            <w:tcBorders>
              <w:bottom w:val="nil"/>
            </w:tcBorders>
            <w:shd w:val="clear" w:color="auto" w:fill="FFFFFF" w:themeFill="background1"/>
            <w:noWrap/>
          </w:tcPr>
          <w:p w14:paraId="48E7584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0,8</w:t>
            </w:r>
          </w:p>
        </w:tc>
        <w:tc>
          <w:tcPr>
            <w:tcW w:w="581" w:type="pct"/>
            <w:tcBorders>
              <w:bottom w:val="nil"/>
            </w:tcBorders>
            <w:shd w:val="clear" w:color="auto" w:fill="FFFFFF" w:themeFill="background1"/>
            <w:noWrap/>
          </w:tcPr>
          <w:p w14:paraId="6E3370CA" w14:textId="6D58DC73" w:rsidR="00333B2E" w:rsidRPr="00EA3D8C" w:rsidRDefault="0045088D"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0,4</w:t>
            </w:r>
          </w:p>
        </w:tc>
        <w:tc>
          <w:tcPr>
            <w:tcW w:w="581" w:type="pct"/>
            <w:tcBorders>
              <w:bottom w:val="nil"/>
            </w:tcBorders>
            <w:shd w:val="clear" w:color="auto" w:fill="FFFFFF" w:themeFill="background1"/>
            <w:noWrap/>
          </w:tcPr>
          <w:p w14:paraId="467AE806"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582" w:type="pct"/>
            <w:tcBorders>
              <w:bottom w:val="nil"/>
            </w:tcBorders>
            <w:shd w:val="clear" w:color="auto" w:fill="FFFFFF" w:themeFill="background1"/>
            <w:noWrap/>
          </w:tcPr>
          <w:p w14:paraId="742404B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0,1</w:t>
            </w:r>
          </w:p>
        </w:tc>
      </w:tr>
      <w:tr w:rsidR="00333B2E" w:rsidRPr="00EA3D8C" w14:paraId="0A6708C7" w14:textId="77777777" w:rsidTr="001940DA">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40AB56C3" w14:textId="77777777" w:rsidR="00333B2E" w:rsidRPr="00EA3D8C" w:rsidRDefault="00333B2E" w:rsidP="00C130D2">
            <w:pPr>
              <w:keepNext/>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EA3D8C">
              <w:rPr>
                <w:rFonts w:asciiTheme="minorHAnsi" w:eastAsia="Times New Roman" w:hAnsiTheme="minorHAnsi" w:cstheme="minorHAnsi"/>
                <w:bCs/>
                <w:color w:val="002060"/>
                <w:sz w:val="18"/>
                <w:szCs w:val="18"/>
                <w:lang w:val="sr-Cyrl-RS"/>
              </w:rPr>
              <w:t xml:space="preserve"> Отплата по основу гаранција</w:t>
            </w:r>
          </w:p>
        </w:tc>
        <w:tc>
          <w:tcPr>
            <w:tcW w:w="644" w:type="pct"/>
            <w:tcBorders>
              <w:top w:val="nil"/>
              <w:bottom w:val="single" w:sz="4" w:space="0" w:color="002060"/>
            </w:tcBorders>
            <w:shd w:val="clear" w:color="auto" w:fill="FFFFFF" w:themeFill="background1"/>
          </w:tcPr>
          <w:p w14:paraId="082C4285"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644" w:type="pct"/>
            <w:tcBorders>
              <w:top w:val="nil"/>
              <w:bottom w:val="single" w:sz="4" w:space="0" w:color="002060"/>
            </w:tcBorders>
            <w:shd w:val="clear" w:color="auto" w:fill="FFFFFF" w:themeFill="background1"/>
            <w:noWrap/>
          </w:tcPr>
          <w:p w14:paraId="2500AD54"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0,1</w:t>
            </w:r>
          </w:p>
        </w:tc>
        <w:tc>
          <w:tcPr>
            <w:tcW w:w="581" w:type="pct"/>
            <w:tcBorders>
              <w:top w:val="nil"/>
              <w:bottom w:val="single" w:sz="4" w:space="0" w:color="002060"/>
            </w:tcBorders>
            <w:shd w:val="clear" w:color="auto" w:fill="FFFFFF" w:themeFill="background1"/>
            <w:noWrap/>
          </w:tcPr>
          <w:p w14:paraId="26062E28"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581" w:type="pct"/>
            <w:tcBorders>
              <w:top w:val="nil"/>
              <w:bottom w:val="single" w:sz="4" w:space="0" w:color="002060"/>
            </w:tcBorders>
            <w:shd w:val="clear" w:color="auto" w:fill="FFFFFF" w:themeFill="background1"/>
            <w:noWrap/>
          </w:tcPr>
          <w:p w14:paraId="562588AD"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0,2</w:t>
            </w:r>
          </w:p>
        </w:tc>
        <w:tc>
          <w:tcPr>
            <w:tcW w:w="582" w:type="pct"/>
            <w:tcBorders>
              <w:top w:val="nil"/>
              <w:bottom w:val="single" w:sz="4" w:space="0" w:color="002060"/>
            </w:tcBorders>
            <w:shd w:val="clear" w:color="auto" w:fill="FFFFFF" w:themeFill="background1"/>
            <w:noWrap/>
          </w:tcPr>
          <w:p w14:paraId="78F92E02" w14:textId="77777777" w:rsidR="00333B2E" w:rsidRPr="00EA3D8C" w:rsidRDefault="00333B2E" w:rsidP="00C130D2">
            <w:pPr>
              <w:shd w:val="clear" w:color="auto" w:fill="FFFFFF" w:themeFill="background1"/>
              <w:spacing w:line="276" w:lineRule="auto"/>
              <w:jc w:val="right"/>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0,1</w:t>
            </w:r>
          </w:p>
        </w:tc>
      </w:tr>
    </w:tbl>
    <w:p w14:paraId="2DC86C1F" w14:textId="5E5E5465" w:rsidR="00333B2E" w:rsidRPr="00EA3D8C" w:rsidRDefault="00476DFD" w:rsidP="00D42008">
      <w:pPr>
        <w:spacing w:before="40" w:after="120" w:line="276" w:lineRule="auto"/>
        <w:jc w:val="left"/>
        <w:rPr>
          <w:rFonts w:cstheme="minorHAnsi"/>
          <w:sz w:val="16"/>
          <w:szCs w:val="20"/>
          <w:lang w:val="sr-Cyrl-RS"/>
        </w:rPr>
        <w:sectPr w:rsidR="00333B2E" w:rsidRPr="00EA3D8C" w:rsidSect="00AE40EB">
          <w:pgSz w:w="12240" w:h="15840" w:code="1"/>
          <w:pgMar w:top="1440" w:right="1440" w:bottom="1440" w:left="1440" w:header="720" w:footer="720" w:gutter="0"/>
          <w:cols w:space="720"/>
          <w:docGrid w:linePitch="360"/>
        </w:sectPr>
      </w:pPr>
      <w:r w:rsidRPr="00EA3D8C">
        <w:rPr>
          <w:rFonts w:eastAsia="Calibri" w:cstheme="minorHAnsi"/>
          <w:bCs/>
          <w:sz w:val="16"/>
          <w:szCs w:val="20"/>
          <w:lang w:val="sr-Cyrl-RS" w:eastAsia="ja-JP"/>
        </w:rPr>
        <w:t>Извор:</w:t>
      </w:r>
      <w:r w:rsidR="00417419">
        <w:rPr>
          <w:rFonts w:eastAsia="Calibri" w:cstheme="minorHAnsi"/>
          <w:bCs/>
          <w:sz w:val="16"/>
          <w:szCs w:val="20"/>
          <w:lang w:val="sr-Cyrl-RS" w:eastAsia="ja-JP"/>
        </w:rPr>
        <w:t xml:space="preserve"> </w:t>
      </w:r>
      <w:r w:rsidRPr="00EA3D8C">
        <w:rPr>
          <w:rFonts w:cstheme="minorHAnsi"/>
          <w:sz w:val="16"/>
          <w:szCs w:val="20"/>
          <w:lang w:val="sr-Cyrl-RS"/>
        </w:rPr>
        <w:t xml:space="preserve">Министарство </w:t>
      </w:r>
      <w:r w:rsidR="00333B2E" w:rsidRPr="00EA3D8C">
        <w:rPr>
          <w:rFonts w:cstheme="minorHAnsi"/>
          <w:sz w:val="16"/>
          <w:szCs w:val="20"/>
          <w:lang w:val="sr-Cyrl-RS"/>
        </w:rPr>
        <w:t>финансија</w:t>
      </w:r>
    </w:p>
    <w:p w14:paraId="7CE8B314" w14:textId="703C7BF3" w:rsidR="00333B2E" w:rsidRPr="00EA3D8C" w:rsidRDefault="00333B2E" w:rsidP="005D42AC">
      <w:pPr>
        <w:spacing w:before="40" w:after="120" w:line="276" w:lineRule="auto"/>
        <w:rPr>
          <w:rFonts w:eastAsia="Calibri" w:cstheme="minorHAnsi"/>
          <w:color w:val="44546A"/>
          <w:szCs w:val="20"/>
          <w:lang w:val="sr-Cyrl-RS" w:eastAsia="ja-JP"/>
        </w:rPr>
      </w:pPr>
      <w:r w:rsidRPr="00EA3D8C">
        <w:rPr>
          <w:rFonts w:eastAsia="Calibri" w:cstheme="minorHAnsi"/>
          <w:color w:val="44546A"/>
          <w:szCs w:val="20"/>
          <w:lang w:val="sr-Cyrl-RS" w:eastAsia="ja-JP"/>
        </w:rPr>
        <w:lastRenderedPageBreak/>
        <w:t>У 2020. години дошло је до промене тренда у јавним расходима с обзиром да је требало реаговати на кризу изазвану пандемијом. Мере су биле значајне на расходној страни што је довело до високог, додуше једнократног, скока учешћа расходне стране буџета у БДП.</w:t>
      </w:r>
    </w:p>
    <w:p w14:paraId="062B13F5" w14:textId="5B6C1116" w:rsidR="00333B2E" w:rsidRPr="00EA3D8C" w:rsidRDefault="00333B2E" w:rsidP="00C130D2">
      <w:pPr>
        <w:spacing w:after="120" w:line="276" w:lineRule="auto"/>
        <w:rPr>
          <w:rFonts w:eastAsia="Calibri" w:cstheme="minorHAnsi"/>
          <w:color w:val="44546A"/>
          <w:szCs w:val="20"/>
          <w:lang w:val="sr-Cyrl-RS" w:eastAsia="ja-JP"/>
        </w:rPr>
      </w:pPr>
      <w:r w:rsidRPr="00EA3D8C">
        <w:rPr>
          <w:rFonts w:eastAsia="Calibri" w:cstheme="minorHAnsi"/>
          <w:color w:val="44546A"/>
          <w:szCs w:val="20"/>
          <w:lang w:val="sr-Cyrl-RS" w:eastAsia="ja-JP"/>
        </w:rPr>
        <w:t>Такав случај је и са расходима за запослене који су достигли ниво од 10,4% БДП у 2020, захваљујући између осталог и ванредном повећању зарада запосленима у систему здравства. С обзиром на ограничен фискални простор у наредном периоду зараде ће се повећавати умерено, уз контролу и смањење њиховог учешћа у БДП.</w:t>
      </w:r>
    </w:p>
    <w:p w14:paraId="3DA96410" w14:textId="77777777" w:rsidR="00333B2E" w:rsidRPr="00EA3D8C" w:rsidRDefault="00333B2E" w:rsidP="00C130D2">
      <w:pPr>
        <w:spacing w:after="120" w:line="276" w:lineRule="auto"/>
        <w:rPr>
          <w:rFonts w:eastAsia="Calibri" w:cstheme="minorHAnsi"/>
          <w:color w:val="44546A"/>
          <w:szCs w:val="20"/>
          <w:lang w:val="sr-Cyrl-RS" w:eastAsia="ja-JP"/>
        </w:rPr>
      </w:pPr>
      <w:r w:rsidRPr="00EA3D8C">
        <w:rPr>
          <w:rFonts w:eastAsia="Calibri" w:cstheme="minorHAnsi"/>
          <w:color w:val="44546A"/>
          <w:szCs w:val="20"/>
          <w:lang w:val="sr-Cyrl-RS" w:eastAsia="ja-JP"/>
        </w:rPr>
        <w:t xml:space="preserve">Смањење зарада, контрола запошљавања и рационализација броја запослених у јавном сектору су биле мере које су највише допринеле смањењу расхода и успеху фискалне консолидације. Законом о буџетском систему предвиђено је снижавање нивоа зарада без доприноса на терет послодавца до 7% БДП, међутим чини се да је тако таргетиран ниво зарада постављен доста ниско. Тренутно је учешће овако дефинисаних зарада у БДП око 10,4%. Просечан ниво зарада на нивоу опште државе у ЕУ је око 10% БДП. У претходном периоду, започета је свеобухватна реформа система зарада у јавном сектору, која за циљ има обезбеђење правичности и смањење разлика између плата запослених у јавном сектору. Примена новог реформисаног </w:t>
      </w:r>
      <w:r w:rsidRPr="00EA3D8C">
        <w:rPr>
          <w:rFonts w:eastAsia="Calibri" w:cstheme="minorHAnsi"/>
          <w:color w:val="44546A"/>
          <w:szCs w:val="20"/>
          <w:lang w:val="sr-Cyrl-RS" w:eastAsia="ja-JP"/>
        </w:rPr>
        <w:lastRenderedPageBreak/>
        <w:t>система плата у јавном сектору требало би да почне током 2022. године.</w:t>
      </w:r>
    </w:p>
    <w:p w14:paraId="26708D49"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Током процеса консолидације на снази је била забрана запошљавања у јавном сектору. Са једне стране то је омогућавало контролу нивоа зарада, али се са друге стране повећао број уговора о раду на одређено време, као и недостатак кадрова у појединим деловима јавне управе. Сада је на снази флексибилнији начин контроле запошљавања, који је базиран на средњорочном планирању броја запослених у свим областима јавног сектора у складу са буџетским ограничењима.</w:t>
      </w:r>
    </w:p>
    <w:p w14:paraId="46E8EA55" w14:textId="17A48719"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Издаци за робе и услуге ће се постепено смањивати у средњорочном периоду у смис</w:t>
      </w:r>
      <w:r w:rsidR="00C97381" w:rsidRPr="00EA3D8C">
        <w:rPr>
          <w:rFonts w:eastAsia="Calibri" w:cstheme="minorHAnsi"/>
          <w:szCs w:val="20"/>
          <w:lang w:val="sr-Cyrl-RS" w:eastAsia="ja-JP"/>
        </w:rPr>
        <w:t>лу учешћа у БДП и вратити на 7,1</w:t>
      </w:r>
      <w:r w:rsidRPr="00EA3D8C">
        <w:rPr>
          <w:rFonts w:eastAsia="Calibri" w:cstheme="minorHAnsi"/>
          <w:szCs w:val="20"/>
          <w:lang w:val="sr-Cyrl-RS" w:eastAsia="ja-JP"/>
        </w:rPr>
        <w:t>%, с обзиром да је предвиђено да номинално расту спорије од раста номиналног БДП. Скок у 2020. години у највећој мери је резултат већих расхода у здравству.</w:t>
      </w:r>
    </w:p>
    <w:p w14:paraId="70729D49" w14:textId="26FD5E46" w:rsidR="00333B2E" w:rsidRPr="00EA3D8C" w:rsidRDefault="00333B2E" w:rsidP="00C130D2">
      <w:pPr>
        <w:spacing w:after="120" w:line="276" w:lineRule="auto"/>
        <w:rPr>
          <w:rFonts w:eastAsia="Calibri" w:cstheme="minorHAnsi"/>
          <w:szCs w:val="20"/>
          <w:lang w:val="sr-Cyrl-RS" w:eastAsia="ja-JP"/>
        </w:rPr>
      </w:pPr>
      <w:r w:rsidRPr="000D1073">
        <w:rPr>
          <w:rFonts w:eastAsia="Calibri" w:cstheme="minorHAnsi"/>
          <w:color w:val="44546A"/>
          <w:szCs w:val="20"/>
          <w:lang w:val="sr-Cyrl-RS" w:eastAsia="ja-JP"/>
        </w:rPr>
        <w:t xml:space="preserve">Смањење </w:t>
      </w:r>
      <w:r w:rsidRPr="000D1073">
        <w:rPr>
          <w:rFonts w:eastAsia="Calibri" w:cstheme="minorHAnsi"/>
          <w:szCs w:val="20"/>
          <w:lang w:val="sr-Cyrl-RS" w:eastAsia="ja-JP"/>
        </w:rPr>
        <w:t>расхода за камате један је од најбољих показатеља успешно</w:t>
      </w:r>
      <w:r w:rsidR="00455783" w:rsidRPr="000D1073">
        <w:rPr>
          <w:rFonts w:eastAsia="Calibri" w:cstheme="minorHAnsi"/>
          <w:szCs w:val="20"/>
          <w:lang w:val="sr-Cyrl-RS" w:eastAsia="ja-JP"/>
        </w:rPr>
        <w:t>г</w:t>
      </w:r>
      <w:r w:rsidRPr="000D1073">
        <w:rPr>
          <w:rFonts w:eastAsia="Calibri" w:cstheme="minorHAnsi"/>
          <w:szCs w:val="20"/>
          <w:lang w:val="sr-Cyrl-RS" w:eastAsia="ja-JP"/>
        </w:rPr>
        <w:t xml:space="preserve"> вођене фискалне</w:t>
      </w:r>
      <w:r w:rsidR="005111A6" w:rsidRPr="000D1073">
        <w:rPr>
          <w:rFonts w:eastAsia="Calibri" w:cstheme="minorHAnsi"/>
          <w:szCs w:val="20"/>
          <w:lang w:val="sr-Cyrl-RS" w:eastAsia="ja-JP"/>
        </w:rPr>
        <w:t xml:space="preserve"> и монетарне</w:t>
      </w:r>
      <w:r w:rsidRPr="000D1073">
        <w:rPr>
          <w:rFonts w:eastAsia="Calibri" w:cstheme="minorHAnsi"/>
          <w:szCs w:val="20"/>
          <w:lang w:val="sr-Cyrl-RS" w:eastAsia="ja-JP"/>
        </w:rPr>
        <w:t xml:space="preserve"> политике</w:t>
      </w:r>
      <w:r w:rsidR="005111A6" w:rsidRPr="000D1073">
        <w:rPr>
          <w:rFonts w:eastAsia="Calibri" w:cstheme="minorHAnsi"/>
          <w:szCs w:val="20"/>
          <w:lang w:val="sr-Cyrl-RS" w:eastAsia="ja-JP"/>
        </w:rPr>
        <w:t>, као и њихове пуне координације</w:t>
      </w:r>
      <w:r w:rsidRPr="000D1073">
        <w:rPr>
          <w:rFonts w:eastAsia="Calibri" w:cstheme="minorHAnsi"/>
          <w:szCs w:val="20"/>
          <w:lang w:val="sr-Cyrl-RS" w:eastAsia="ja-JP"/>
        </w:rPr>
        <w:t xml:space="preserve"> у претходном периоду. Добри </w:t>
      </w:r>
      <w:r w:rsidR="005111A6" w:rsidRPr="000D1073">
        <w:rPr>
          <w:rFonts w:eastAsia="Calibri" w:cstheme="minorHAnsi"/>
          <w:szCs w:val="20"/>
          <w:lang w:val="sr-Cyrl-RS" w:eastAsia="ja-JP"/>
        </w:rPr>
        <w:t xml:space="preserve">фискални </w:t>
      </w:r>
      <w:r w:rsidRPr="000D1073">
        <w:rPr>
          <w:rFonts w:eastAsia="Calibri" w:cstheme="minorHAnsi"/>
          <w:szCs w:val="20"/>
          <w:lang w:val="sr-Cyrl-RS" w:eastAsia="ja-JP"/>
        </w:rPr>
        <w:t>резултати у претходном периоду смањили су потребе за задуживањем</w:t>
      </w:r>
      <w:r w:rsidR="00455783" w:rsidRPr="000D1073">
        <w:rPr>
          <w:rFonts w:eastAsia="Calibri" w:cstheme="minorHAnsi"/>
          <w:szCs w:val="20"/>
          <w:lang w:val="sr-Cyrl-RS" w:eastAsia="ja-JP"/>
        </w:rPr>
        <w:t>,</w:t>
      </w:r>
      <w:r w:rsidRPr="000D1073">
        <w:rPr>
          <w:rFonts w:eastAsia="Calibri" w:cstheme="minorHAnsi"/>
          <w:szCs w:val="20"/>
          <w:lang w:val="sr-Cyrl-RS" w:eastAsia="ja-JP"/>
        </w:rPr>
        <w:t xml:space="preserve"> што је</w:t>
      </w:r>
      <w:r w:rsidR="005111A6" w:rsidRPr="000D1073">
        <w:rPr>
          <w:rFonts w:eastAsia="Calibri" w:cstheme="minorHAnsi"/>
          <w:szCs w:val="20"/>
          <w:lang w:val="sr-Cyrl-RS" w:eastAsia="ja-JP"/>
        </w:rPr>
        <w:t xml:space="preserve"> уз ублажавање монетарне политике</w:t>
      </w:r>
      <w:r w:rsidRPr="000D1073">
        <w:rPr>
          <w:rFonts w:eastAsia="Calibri" w:cstheme="minorHAnsi"/>
          <w:szCs w:val="20"/>
          <w:lang w:val="sr-Cyrl-RS" w:eastAsia="ja-JP"/>
        </w:rPr>
        <w:t xml:space="preserve"> довело до </w:t>
      </w:r>
      <w:r w:rsidR="005111A6" w:rsidRPr="000D1073">
        <w:rPr>
          <w:rFonts w:eastAsia="Calibri" w:cstheme="minorHAnsi"/>
          <w:szCs w:val="20"/>
          <w:lang w:val="sr-Cyrl-RS" w:eastAsia="ja-JP"/>
        </w:rPr>
        <w:t>пада каматних стопа</w:t>
      </w:r>
      <w:r w:rsidRPr="000D1073">
        <w:rPr>
          <w:rFonts w:eastAsia="Calibri" w:cstheme="minorHAnsi"/>
          <w:szCs w:val="20"/>
          <w:lang w:val="sr-Cyrl-RS" w:eastAsia="ja-JP"/>
        </w:rPr>
        <w:t>. У 2023. години ниво расхода за</w:t>
      </w:r>
      <w:r w:rsidRPr="00EA3D8C">
        <w:rPr>
          <w:rFonts w:eastAsia="Calibri" w:cstheme="minorHAnsi"/>
          <w:szCs w:val="20"/>
          <w:lang w:val="sr-Cyrl-RS" w:eastAsia="ja-JP"/>
        </w:rPr>
        <w:t xml:space="preserve"> камате ће се смањити на 1,6% БДП.</w:t>
      </w:r>
    </w:p>
    <w:p w14:paraId="7808F4A0" w14:textId="0B421E99"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lastRenderedPageBreak/>
        <w:t xml:space="preserve">Социјална помоћ и трансфери становништву представљају највећу расходну категорију буџета опште државе. Највећа појединачна ставка ове групе расхода, а уједно и највећа ставка свих расхода, су пензије, које ће у 2020. години достићи ниво од 10,6% БДП. Од 2020. године пензије се усклађују са такозваном „швајцарском формулом”, како би се истовремено обезбедио раст животног стандарда пензионера и одрживост пензионог система и система јавних финансија. </w:t>
      </w:r>
      <w:r w:rsidR="004C3E16" w:rsidRPr="004C3E16">
        <w:rPr>
          <w:rFonts w:eastAsia="Calibri" w:cstheme="minorHAnsi"/>
          <w:szCs w:val="20"/>
          <w:lang w:val="sr-Cyrl-RS" w:eastAsia="ja-JP"/>
        </w:rPr>
        <w:t>„</w:t>
      </w:r>
      <w:r w:rsidRPr="00EA3D8C">
        <w:rPr>
          <w:rFonts w:eastAsia="Calibri" w:cstheme="minorHAnsi"/>
          <w:szCs w:val="20"/>
          <w:lang w:val="sr-Cyrl-RS" w:eastAsia="ja-JP"/>
        </w:rPr>
        <w:t>Швајцарска формула</w:t>
      </w:r>
      <w:r w:rsidR="004C3E16" w:rsidRPr="004C3E16">
        <w:rPr>
          <w:rFonts w:eastAsia="Calibri" w:cstheme="minorHAnsi"/>
          <w:szCs w:val="20"/>
          <w:lang w:val="sr-Cyrl-RS" w:eastAsia="ja-JP"/>
        </w:rPr>
        <w:t>”</w:t>
      </w:r>
      <w:r w:rsidRPr="00EA3D8C">
        <w:rPr>
          <w:rFonts w:eastAsia="Calibri" w:cstheme="minorHAnsi"/>
          <w:szCs w:val="20"/>
          <w:lang w:val="sr-Cyrl-RS" w:eastAsia="ja-JP"/>
        </w:rPr>
        <w:t xml:space="preserve"> подразумева индексацију, односно увећање пензија једнако збиру половине стопе раста просечне зараде и половине стопе раста потрошачких цена. Процењује се да би у наредном периоду индексација износила између 5 и 6%, а у 2021. години, конкретно, износиће 5,9%.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са пројектованим бројем корисника. Учешће расхода за социјална давања у БДП опада са 14,8%, колико износи у 2020. години, на 13,7% у 2023. години.</w:t>
      </w:r>
    </w:p>
    <w:p w14:paraId="0A9D88C0"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Смањење субвенција које служе као помоћ неефикасним сегментима јавног сектора омогућава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привредне активности. Циљ је да се субвенционисана средства преусмере ка развојним програмима у привреди и пољопривреди. Раст субвенција у 2020. години резултат је примене мера за превазилажење проблема изазваних пандемијском кризом.</w:t>
      </w:r>
    </w:p>
    <w:p w14:paraId="5893F382"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Као и код субвенција једнократни раст је био узрокован фискалном реакцијом на кризу, а у наредном периоду се очекује смањење ових расхода у БДП.</w:t>
      </w:r>
    </w:p>
    <w:p w14:paraId="3EF1A030" w14:textId="2189FCA2"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 xml:space="preserve">Током 2018. и 2019. години значајно је побољшана ефикасност извршења јавних инвестиција. </w:t>
      </w:r>
      <w:r w:rsidRPr="00EA3D8C">
        <w:rPr>
          <w:rFonts w:eastAsia="Calibri" w:cstheme="minorHAnsi"/>
          <w:szCs w:val="20"/>
          <w:lang w:val="sr-Cyrl-RS" w:eastAsia="ja-JP"/>
        </w:rPr>
        <w:lastRenderedPageBreak/>
        <w:t xml:space="preserve">Капитални расходи су повећани на 4,9% БДП у 2019. години захваљујући отпочињању новог циклуса инфраструктурних пројеката, а у 2020. години се очекује достизање нивоа од 5,2% БДП, упркос проблемима које је проузроковала пандемија. У наредном средњорочном периоду очекује се даљи раст улагања у јавну инфраструктуру. Смањењем текуће потрошње сектора државе обезбеђен је фискални простор који ће делом бити искоришћен за повећање инвестиција. </w:t>
      </w:r>
      <w:r w:rsidRPr="009D5693">
        <w:rPr>
          <w:rFonts w:eastAsia="Calibri" w:cstheme="minorHAnsi"/>
          <w:szCs w:val="20"/>
          <w:lang w:val="sr-Cyrl-RS" w:eastAsia="ja-JP"/>
        </w:rPr>
        <w:t>Најзначајнији инфраструктурни радови су на путној</w:t>
      </w:r>
      <w:r w:rsidR="009D5693" w:rsidRPr="009D5693">
        <w:rPr>
          <w:rFonts w:eastAsia="Calibri" w:cstheme="minorHAnsi"/>
          <w:szCs w:val="20"/>
          <w:lang w:val="sr-Cyrl-RS" w:eastAsia="ja-JP"/>
        </w:rPr>
        <w:t>,</w:t>
      </w:r>
      <w:r w:rsidRPr="009D5693">
        <w:rPr>
          <w:rFonts w:eastAsia="Calibri" w:cstheme="minorHAnsi"/>
          <w:szCs w:val="20"/>
          <w:lang w:val="sr-Cyrl-RS" w:eastAsia="ja-JP"/>
        </w:rPr>
        <w:t xml:space="preserve"> железничкој </w:t>
      </w:r>
      <w:r w:rsidR="009D5693" w:rsidRPr="009D5693">
        <w:rPr>
          <w:rFonts w:eastAsia="Calibri" w:cstheme="minorHAnsi"/>
          <w:szCs w:val="20"/>
          <w:lang w:val="sr-Cyrl-RS" w:eastAsia="ja-JP"/>
        </w:rPr>
        <w:t xml:space="preserve">и водној </w:t>
      </w:r>
      <w:r w:rsidRPr="009D5693">
        <w:rPr>
          <w:rFonts w:eastAsia="Calibri" w:cstheme="minorHAnsi"/>
          <w:szCs w:val="20"/>
          <w:lang w:val="sr-Cyrl-RS" w:eastAsia="ja-JP"/>
        </w:rPr>
        <w:t>инфраструктури који се угл</w:t>
      </w:r>
      <w:r w:rsidRPr="00EA3D8C">
        <w:rPr>
          <w:rFonts w:eastAsia="Calibri" w:cstheme="minorHAnsi"/>
          <w:szCs w:val="20"/>
          <w:lang w:val="sr-Cyrl-RS" w:eastAsia="ja-JP"/>
        </w:rPr>
        <w:t>авном финансирају из међународних кредита. Поред саобраћајне инфраструктуре обезбеђена су средства за додатна капитална улагања у здравству, просвети, култури, одбрани и другим областима које представљају најважније функције државе. Ово је све део новог инвестиционог циклуса на националном нивоу који је омогућен стварањем фискалног простора и подржан повољним условима за задуживање на међународном финансијском тржишту.</w:t>
      </w:r>
    </w:p>
    <w:p w14:paraId="569B22BC"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Опште опредељење фискалне политике у средњем року јесте повећање улагања у инфраструктуру на свим нивоима власти. Према проценама Фискалног савета инвестиције локалне самоуправе у средњем року требало би повећати за најмање 75% у односу на њихов садашњи ниво, односно за око 250 мил. евра. Реч је пре свега о улагањима у водоводну и канализациону инфраструктуру, управљању отпадом, локалну путну инфраструктуру и друго.</w:t>
      </w:r>
    </w:p>
    <w:p w14:paraId="18906336"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У средњорочном фискалном оквиру, до краја 2023.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ићи у дефицит. То пре свега зависи од фискалне позиције сваке појединачне општине и града.</w:t>
      </w:r>
    </w:p>
    <w:p w14:paraId="763ACB15" w14:textId="4C8A0E18"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lastRenderedPageBreak/>
        <w:t xml:space="preserve">Ниво буџетских позајмица и отплате дуга по основу гаранција је добар показатељ успеха фискалне консолидације. Укупно учешће ове две категорије у БДП сведено је на 0,4% БДП у 2019. години уз привремени раст у овој </w:t>
      </w:r>
      <w:r w:rsidR="00C97381" w:rsidRPr="00EA3D8C">
        <w:rPr>
          <w:rFonts w:eastAsia="Calibri" w:cstheme="minorHAnsi"/>
          <w:szCs w:val="20"/>
          <w:lang w:val="sr-Cyrl-RS" w:eastAsia="ja-JP"/>
        </w:rPr>
        <w:t xml:space="preserve">и следећој </w:t>
      </w:r>
      <w:r w:rsidRPr="00EA3D8C">
        <w:rPr>
          <w:rFonts w:eastAsia="Calibri" w:cstheme="minorHAnsi"/>
          <w:szCs w:val="20"/>
          <w:lang w:val="sr-Cyrl-RS" w:eastAsia="ja-JP"/>
        </w:rPr>
        <w:t>години. До краја 2023. године ови издаци ће бити минимални, са учешћем до 0,2% БДП.</w:t>
      </w:r>
    </w:p>
    <w:p w14:paraId="488DD4DF" w14:textId="77777777" w:rsidR="00333B2E" w:rsidRPr="00EA3D8C" w:rsidRDefault="00333B2E" w:rsidP="00C130D2">
      <w:pPr>
        <w:spacing w:after="120" w:line="276" w:lineRule="auto"/>
        <w:rPr>
          <w:rFonts w:eastAsia="Calibri" w:cstheme="minorHAnsi"/>
          <w:szCs w:val="20"/>
          <w:lang w:val="sr-Cyrl-RS" w:eastAsia="ja-JP"/>
        </w:rPr>
      </w:pPr>
      <w:r w:rsidRPr="00EA3D8C">
        <w:rPr>
          <w:rFonts w:eastAsia="Calibri" w:cstheme="minorHAnsi"/>
          <w:szCs w:val="20"/>
          <w:lang w:val="sr-Cyrl-RS"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друштава. У претходном периоду ови расходи су значајно смањени, а планом отплате предвиђено је да ће од 2020. године ови расходи износити само око 0,1% БДП.</w:t>
      </w:r>
    </w:p>
    <w:p w14:paraId="042C4CC0" w14:textId="77777777" w:rsidR="00333B2E" w:rsidRPr="00EA3D8C" w:rsidRDefault="00333B2E" w:rsidP="00BA4876">
      <w:pPr>
        <w:spacing w:after="120" w:line="276" w:lineRule="auto"/>
        <w:rPr>
          <w:rFonts w:eastAsia="Calibri" w:cstheme="minorHAnsi"/>
          <w:b/>
          <w:color w:val="2F5496" w:themeColor="accent1" w:themeShade="BF"/>
          <w:sz w:val="22"/>
          <w:szCs w:val="20"/>
          <w:lang w:val="sr-Cyrl-RS" w:eastAsia="ja-JP"/>
        </w:rPr>
      </w:pPr>
      <w:r w:rsidRPr="00EA3D8C">
        <w:rPr>
          <w:rFonts w:eastAsia="Calibri" w:cstheme="minorHAnsi"/>
          <w:b/>
          <w:color w:val="2F5496" w:themeColor="accent1" w:themeShade="BF"/>
          <w:sz w:val="22"/>
          <w:szCs w:val="20"/>
          <w:lang w:val="sr-Cyrl-RS" w:eastAsia="ja-JP"/>
        </w:rPr>
        <w:t>Структурне мере за унапређење стабилности и одрживости јавних финансија</w:t>
      </w:r>
      <w:r w:rsidRPr="00EA3D8C">
        <w:rPr>
          <w:rFonts w:eastAsia="Calibri" w:cstheme="minorHAnsi"/>
          <w:b/>
          <w:color w:val="2F5496" w:themeColor="accent1" w:themeShade="BF"/>
          <w:sz w:val="22"/>
          <w:szCs w:val="20"/>
          <w:vertAlign w:val="superscript"/>
          <w:lang w:val="sr-Cyrl-RS" w:eastAsia="ja-JP"/>
        </w:rPr>
        <w:footnoteReference w:id="3"/>
      </w:r>
    </w:p>
    <w:p w14:paraId="32891E25"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У тренутку писања овог документа, у условима незапамћеним у новијој светској историји проузрокованим пандемијом COVID-19, приводи се крају Инструмент за координацију политика – PCI (</w:t>
      </w:r>
      <w:r w:rsidRPr="00DB116D">
        <w:rPr>
          <w:rFonts w:ascii="Calibri" w:eastAsia="Calibri" w:hAnsi="Calibri" w:cs="Calibri"/>
          <w:i/>
          <w:color w:val="44546A"/>
          <w:szCs w:val="20"/>
          <w:lang w:val="sr-Cyrl-RS" w:eastAsia="ja-JP"/>
        </w:rPr>
        <w:t>Policy Coordination Instrument</w:t>
      </w:r>
      <w:r w:rsidRPr="00EA3D8C">
        <w:rPr>
          <w:rFonts w:ascii="Calibri" w:eastAsia="Calibri" w:hAnsi="Calibri" w:cs="Calibri"/>
          <w:color w:val="44546A"/>
          <w:szCs w:val="20"/>
          <w:lang w:val="sr-Cyrl-RS" w:eastAsia="ja-JP"/>
        </w:rPr>
        <w:t>) – аранжман који је Република Србија склопила са ММФ у јулу 2018. године, у трајању од 30 месеци, којим је био предвиђен наставак спровођења институционалних и структурних реформи, након успешно спроведене фискалне консолидације и претходног аранжмана из предострожности са ММФ.</w:t>
      </w:r>
    </w:p>
    <w:p w14:paraId="5156345A" w14:textId="7B175734"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Програм је помогао у очувању макроекономске и фискалне стабилности, с тим да је у текућој години, сходно новонасталим околностима, програм редефинисан и усмерен на ублажавање негативних последица изазваних пандемијом</w:t>
      </w:r>
      <w:r w:rsidRPr="00EA3D8C">
        <w:rPr>
          <w:lang w:val="sr-Cyrl-RS"/>
        </w:rPr>
        <w:t xml:space="preserve"> </w:t>
      </w:r>
      <w:r w:rsidRPr="00EA3D8C">
        <w:rPr>
          <w:rFonts w:ascii="Calibri" w:eastAsia="Calibri" w:hAnsi="Calibri" w:cs="Calibri"/>
          <w:color w:val="44546A"/>
          <w:szCs w:val="20"/>
          <w:lang w:val="sr-Cyrl-RS" w:eastAsia="ja-JP"/>
        </w:rPr>
        <w:t xml:space="preserve">COVID-19. Шок који је изазвала пандемија имао је посебно негативан ефекат на економију Републике Србије, извозну тражњу, </w:t>
      </w:r>
      <w:r w:rsidR="000E4558">
        <w:rPr>
          <w:rFonts w:ascii="Calibri" w:eastAsia="Calibri" w:hAnsi="Calibri" w:cs="Calibri"/>
          <w:color w:val="44546A"/>
          <w:szCs w:val="20"/>
          <w:lang w:val="sr-Cyrl-RS" w:eastAsia="ja-JP"/>
        </w:rPr>
        <w:t>СДИ</w:t>
      </w:r>
      <w:r w:rsidRPr="00EA3D8C">
        <w:rPr>
          <w:rFonts w:ascii="Calibri" w:eastAsia="Calibri" w:hAnsi="Calibri" w:cs="Calibri"/>
          <w:color w:val="44546A"/>
          <w:szCs w:val="20"/>
          <w:lang w:val="sr-Cyrl-RS" w:eastAsia="ja-JP"/>
        </w:rPr>
        <w:t xml:space="preserve">, дознаке </w:t>
      </w:r>
      <w:r w:rsidRPr="00EA3D8C">
        <w:rPr>
          <w:rFonts w:ascii="Calibri" w:eastAsia="Calibri" w:hAnsi="Calibri" w:cs="Calibri"/>
          <w:color w:val="44546A"/>
          <w:szCs w:val="20"/>
          <w:lang w:val="sr-Cyrl-RS" w:eastAsia="ja-JP"/>
        </w:rPr>
        <w:lastRenderedPageBreak/>
        <w:t xml:space="preserve">и ланце снабдевања, нарочито током другог квартала 2020. године након чега креће значајан економски опоравак. Захваљујући одговорној фискалној политици у претходном периоду као одговор на кризу изазвану пандемијом примењен је значајан пакет фискалних и монетарних мера којима је потпомогнута привреда и грађани, очувана су радна места, опремљен здравствени систем и пружена помоћ најугроженијим групама. Све ове мере, уз истовремени шок на приходној страни, имали су за резултат значајно повећање фискалног дефицита и јавног дуга. У наредној години и у средњем року очекује се стабилизација и повратак ових категорија на одрживу путању. Монетарна политика је подржала привредни опоравак, уз ниску и стабилну инфлацију и очување релативне стабилности девизног курса, уз даље јачање процеса динаризације. У финансијском сектору, где је удео проблематичних кредита </w:t>
      </w:r>
      <w:r w:rsidRPr="004543DA">
        <w:rPr>
          <w:rFonts w:ascii="Calibri" w:eastAsia="Calibri" w:hAnsi="Calibri" w:cs="Calibri"/>
          <w:color w:val="44546A"/>
          <w:szCs w:val="20"/>
          <w:lang w:val="sr-Cyrl-RS" w:eastAsia="ja-JP"/>
        </w:rPr>
        <w:t xml:space="preserve">у </w:t>
      </w:r>
      <w:r w:rsidR="00A60DEC" w:rsidRPr="004543DA">
        <w:rPr>
          <w:rFonts w:ascii="Calibri" w:eastAsia="Calibri" w:hAnsi="Calibri" w:cs="Calibri"/>
          <w:color w:val="44546A"/>
          <w:szCs w:val="20"/>
          <w:lang w:val="sr-Cyrl-RS" w:eastAsia="ja-JP"/>
        </w:rPr>
        <w:t>септембру</w:t>
      </w:r>
      <w:r w:rsidRPr="004543DA">
        <w:rPr>
          <w:rFonts w:ascii="Calibri" w:eastAsia="Calibri" w:hAnsi="Calibri" w:cs="Calibri"/>
          <w:color w:val="44546A"/>
          <w:szCs w:val="20"/>
          <w:lang w:val="sr-Cyrl-RS" w:eastAsia="ja-JP"/>
        </w:rPr>
        <w:t xml:space="preserve"> снижен на ниво од 3,</w:t>
      </w:r>
      <w:r w:rsidR="00A60DEC" w:rsidRPr="004543DA">
        <w:rPr>
          <w:rFonts w:ascii="Calibri" w:eastAsia="Calibri" w:hAnsi="Calibri" w:cs="Calibri"/>
          <w:color w:val="44546A"/>
          <w:szCs w:val="20"/>
          <w:lang w:val="sr-Cyrl-RS" w:eastAsia="ja-JP"/>
        </w:rPr>
        <w:t>4</w:t>
      </w:r>
      <w:r w:rsidRPr="004543DA">
        <w:rPr>
          <w:rFonts w:ascii="Calibri" w:eastAsia="Calibri" w:hAnsi="Calibri" w:cs="Calibri"/>
          <w:color w:val="44546A"/>
          <w:szCs w:val="20"/>
          <w:lang w:val="sr-Cyrl-RS" w:eastAsia="ja-JP"/>
        </w:rPr>
        <w:t xml:space="preserve">%, што је најнижи износ </w:t>
      </w:r>
      <w:r w:rsidR="00AE096F" w:rsidRPr="004543DA">
        <w:rPr>
          <w:rFonts w:ascii="Calibri" w:eastAsia="Calibri" w:hAnsi="Calibri" w:cs="Calibri"/>
          <w:color w:val="44546A"/>
          <w:szCs w:val="20"/>
          <w:lang w:val="sr-Cyrl-RS" w:eastAsia="ja-JP"/>
        </w:rPr>
        <w:t>од када се прате</w:t>
      </w:r>
      <w:r w:rsidRPr="004543DA">
        <w:rPr>
          <w:rFonts w:ascii="Calibri" w:eastAsia="Calibri" w:hAnsi="Calibri" w:cs="Calibri"/>
          <w:color w:val="44546A"/>
          <w:szCs w:val="20"/>
          <w:lang w:val="sr-Cyrl-RS" w:eastAsia="ja-JP"/>
        </w:rPr>
        <w:t>, наставиће се активн</w:t>
      </w:r>
      <w:r w:rsidRPr="00EA3D8C">
        <w:rPr>
          <w:rFonts w:ascii="Calibri" w:eastAsia="Calibri" w:hAnsi="Calibri" w:cs="Calibri"/>
          <w:color w:val="44546A"/>
          <w:szCs w:val="20"/>
          <w:lang w:val="sr-Cyrl-RS" w:eastAsia="ja-JP"/>
        </w:rPr>
        <w:t>ости на њиховом даљем смањивању, уз наставак реформи финансијских институција (банака у државном власништву, државних развојних агенција, итд.), у складу са Програмом. Структурне и институционалне реформе у наредном средњорочном периоду имаће за циљ унапређење пословног окружења, што доприноси успешнијем процесу приступања земље ЕУ. Ове реформе фокусираће се на реструктурирање државних предузећа, финансијских институција и јавне управе, као и на даље смањење сиве економије.</w:t>
      </w:r>
    </w:p>
    <w:p w14:paraId="73234266" w14:textId="1C2EDBB6"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Како би се обезбедила стабилност и одрживост јавних финансија на дужи рок потребан је функционалан систем фискалних правила. Тренутно важећа фискална правила су уведена још 2010. године, али нису помогла у заустављању раста дефицита и јавног дуга. Због пандемије је ове године одложено доношење новог сета фискалних правила. Од ове године поново је уведена индексација пензија, где се пензије усклађују коришћењем „швајцарске формуле</w:t>
      </w:r>
      <w:r w:rsidR="004C3E16" w:rsidRPr="004C3E16">
        <w:rPr>
          <w:rFonts w:ascii="Calibri" w:eastAsia="Calibri" w:hAnsi="Calibri" w:cs="Calibri"/>
          <w:color w:val="44546A"/>
          <w:szCs w:val="20"/>
          <w:lang w:val="sr-Cyrl-RS" w:eastAsia="ja-JP"/>
        </w:rPr>
        <w:t>ˮ</w:t>
      </w:r>
      <w:r w:rsidRPr="00EA3D8C">
        <w:rPr>
          <w:rFonts w:ascii="Calibri" w:eastAsia="Calibri" w:hAnsi="Calibri" w:cs="Calibri"/>
          <w:color w:val="44546A"/>
          <w:szCs w:val="20"/>
          <w:lang w:val="sr-Cyrl-RS" w:eastAsia="ja-JP"/>
        </w:rPr>
        <w:t xml:space="preserve">, уз </w:t>
      </w:r>
      <w:r w:rsidRPr="00EA3D8C">
        <w:rPr>
          <w:rFonts w:ascii="Calibri" w:eastAsia="Calibri" w:hAnsi="Calibri" w:cs="Calibri"/>
          <w:color w:val="44546A"/>
          <w:szCs w:val="20"/>
          <w:lang w:val="sr-Cyrl-RS" w:eastAsia="ja-JP"/>
        </w:rPr>
        <w:lastRenderedPageBreak/>
        <w:t>поштовање лимита од 11% БДП за укупне расходе за пензије. Следеће године требало би да буде усвојено и фискално правило које би било у употреби од 2022. године, које дефинише ниво дефицита и којим се обезбеђује да ниво јавног дуга буде постављен на силазну путању. Приликом дефинисања новог сета фискалних правила, осим Министарства финансија, активно учешће имаће ММФ и Фискални савет.</w:t>
      </w:r>
    </w:p>
    <w:p w14:paraId="2AB73DDD"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је на структурним мерама, које би преко оптимизације броја запослених с једне стране, и успостављања новог система плата у сектору државе, с друге стране, допринеле повећању ефикасности и квалитету пружених јавних услуга.</w:t>
      </w:r>
    </w:p>
    <w:p w14:paraId="52CD1609" w14:textId="082D8FA6" w:rsidR="00333B2E" w:rsidRPr="00EA3D8C" w:rsidRDefault="00333B2E" w:rsidP="005D42AC">
      <w:pPr>
        <w:spacing w:line="276" w:lineRule="auto"/>
        <w:rPr>
          <w:rFonts w:ascii="Calibri" w:eastAsia="Calibri" w:hAnsi="Calibri" w:cs="Calibri"/>
          <w:color w:val="44546A"/>
          <w:szCs w:val="20"/>
          <w:lang w:val="sr-Cyrl-RS" w:eastAsia="ja-JP"/>
        </w:rPr>
      </w:pPr>
      <w:r w:rsidRPr="00947AD8">
        <w:rPr>
          <w:rFonts w:ascii="Calibri" w:eastAsia="Calibri" w:hAnsi="Calibri" w:cs="Calibri"/>
          <w:color w:val="44546A"/>
          <w:szCs w:val="20"/>
          <w:lang w:val="sr-Cyrl-RS" w:eastAsia="ja-JP"/>
        </w:rPr>
        <w:t xml:space="preserve">Протеклих година усвојени су закони и подзаконски акти како би се прецизно одредио обухват и број запослених у јавном сектору. Закон о начину одређивања максималног броја запослених </w:t>
      </w:r>
      <w:r w:rsidR="005C2D35" w:rsidRPr="00947AD8">
        <w:rPr>
          <w:rFonts w:ascii="Calibri" w:eastAsia="Calibri" w:hAnsi="Calibri" w:cs="Calibri"/>
          <w:color w:val="44546A"/>
          <w:szCs w:val="20"/>
          <w:lang w:val="sr-Cyrl-RS" w:eastAsia="ja-JP"/>
        </w:rPr>
        <w:t>у јавном сектору</w:t>
      </w:r>
      <w:r w:rsidR="00947AD8" w:rsidRPr="00947AD8">
        <w:rPr>
          <w:rFonts w:ascii="Calibri" w:eastAsia="Calibri" w:hAnsi="Calibri" w:cs="Calibri"/>
          <w:color w:val="44546A"/>
          <w:szCs w:val="20"/>
          <w:lang w:val="sr-Cyrl-RS" w:eastAsia="ja-JP"/>
        </w:rPr>
        <w:t xml:space="preserve">, којим се дефинисао максималан број стално запослених лица на институционалном нивоу, </w:t>
      </w:r>
      <w:r w:rsidR="005C2D35" w:rsidRPr="00947AD8">
        <w:rPr>
          <w:rFonts w:ascii="Calibri" w:eastAsia="Calibri" w:hAnsi="Calibri" w:cs="Calibri"/>
          <w:color w:val="44546A"/>
          <w:szCs w:val="20"/>
          <w:lang w:val="sr-Cyrl-RS" w:eastAsia="ja-JP"/>
        </w:rPr>
        <w:t xml:space="preserve">примењивао </w:t>
      </w:r>
      <w:r w:rsidR="00947AD8" w:rsidRPr="00947AD8">
        <w:rPr>
          <w:rFonts w:ascii="Calibri" w:eastAsia="Calibri" w:hAnsi="Calibri" w:cs="Calibri"/>
          <w:color w:val="44546A"/>
          <w:szCs w:val="20"/>
          <w:lang w:val="sr-Cyrl-RS" w:eastAsia="ja-JP"/>
        </w:rPr>
        <w:t xml:space="preserve">се </w:t>
      </w:r>
      <w:r w:rsidR="005C2D35" w:rsidRPr="00947AD8">
        <w:rPr>
          <w:rFonts w:ascii="Calibri" w:eastAsia="Calibri" w:hAnsi="Calibri" w:cs="Calibri"/>
          <w:color w:val="44546A"/>
          <w:szCs w:val="20"/>
          <w:lang w:val="sr-Cyrl-RS" w:eastAsia="ja-JP"/>
        </w:rPr>
        <w:t xml:space="preserve">као </w:t>
      </w:r>
      <w:r w:rsidR="005C2D35" w:rsidRPr="00947AD8">
        <w:rPr>
          <w:rFonts w:ascii="Calibri" w:eastAsia="Calibri" w:hAnsi="Calibri" w:cs="Calibri"/>
          <w:i/>
          <w:color w:val="44546A"/>
          <w:szCs w:val="20"/>
          <w:lang w:val="hr-HR" w:eastAsia="ja-JP"/>
        </w:rPr>
        <w:t>lex specialis</w:t>
      </w:r>
      <w:r w:rsidR="005C2D35" w:rsidRPr="00947AD8">
        <w:rPr>
          <w:rFonts w:ascii="Calibri" w:eastAsia="Calibri" w:hAnsi="Calibri" w:cs="Calibri"/>
          <w:color w:val="44546A"/>
          <w:szCs w:val="20"/>
          <w:lang w:val="sr-Cyrl-RS" w:eastAsia="ja-JP"/>
        </w:rPr>
        <w:t xml:space="preserve"> до 31. децембра 2019. године</w:t>
      </w:r>
      <w:r w:rsidRPr="00947AD8">
        <w:rPr>
          <w:rFonts w:ascii="Calibri" w:eastAsia="Calibri" w:hAnsi="Calibri" w:cs="Calibri"/>
          <w:color w:val="44546A"/>
          <w:szCs w:val="20"/>
          <w:lang w:val="sr-Cyrl-RS" w:eastAsia="ja-JP"/>
        </w:rPr>
        <w:t>. Било</w:t>
      </w:r>
      <w:r w:rsidRPr="00EA3D8C">
        <w:rPr>
          <w:rFonts w:ascii="Calibri" w:eastAsia="Calibri" w:hAnsi="Calibri" w:cs="Calibri"/>
          <w:color w:val="44546A"/>
          <w:szCs w:val="20"/>
          <w:lang w:val="sr-Cyrl-RS" w:eastAsia="ja-JP"/>
        </w:rPr>
        <w:t xml:space="preserve"> је планирано да нови систем платних разреда за све запослене у јавном сектору (укључујући војску и полицију), односно нови Закон о платама државних службеника и намештеника и измене Уредбе о каталогу радних места у јавним службама и другим организацијама у јавном сектору, буде израђен ове године, како би био спреман за имплементацију с буџетом за 2021. годину. Због познатих околности које су утицале на ток формирања нових органа власти, које би затим учествовале у преговорима о новом систему плата и коефицијената са синдикатима, целокупан процес је одложен за наредну годину. Нови систем платних разреда требало би да буде имплементиран од 2022. године.</w:t>
      </w:r>
    </w:p>
    <w:p w14:paraId="20D32D70"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lastRenderedPageBreak/>
        <w:t>Постојећи систем запошљавања, којим руководи Владина Комисија за давање сагласности за ново запошљавање и додатно радно ангажовање код корисника јавних средстава је имао својих мањкавости и доводио до проблема у правовременом и адекватном управљању кадровима. Због тога је потребно заменити постојеће решење новим, где би се кадровима управљало на нивоу сваке организације јавног сектора и то на средњи рок и у складу с буџетским ограничењима. У прелазном периоду је омогућено да институције могу да ангажују нова лица до нивоа од 80% оних који напуштају институцију или одлазе у пензију, док је дозвола Комисије потребна уколико број новозапослених пређе 80%. Такође, биће постављени и лимити за укупан број запослених у односу на број на крају 2020. године. У току је и израда електронског регистра запослених у јавном сектору који би требало да буде завршен до 2023. године, а пилот пројекат који обухвата запослене у Министарству финансија је већ оперативан.</w:t>
      </w:r>
    </w:p>
    <w:p w14:paraId="6082F72E"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У циљу смањења различитих облика буџетске подршке јавним и државним предузећима наставља се са реформама највећих јавних и државних предузећа. Смањење буџетске подршке овим предузећима подразумева: а) ограничење директних и индиректних субвенција, б) стриктно ограничење у издавању гаранција за нове кредите и в) јачање одговорности и транспарентности у пословању ових предузећа, укључујући и контролу и смањење доцњи у плаћањима, нарочито према ЈП ЕПС и ЈП „Србијагасˮ. У наредном периоду ће бити израђен план отплате нагомиланих доцњи насталих услед пандемије и усвојене нове мере како би се спречило њихово гомилање у будућности.</w:t>
      </w:r>
    </w:p>
    <w:p w14:paraId="1B518338" w14:textId="77777777" w:rsidR="00333B2E" w:rsidRPr="00EA3D8C" w:rsidRDefault="00333B2E" w:rsidP="005D42AC">
      <w:pPr>
        <w:spacing w:line="276" w:lineRule="auto"/>
        <w:rPr>
          <w:rFonts w:ascii="Calibri" w:eastAsia="Calibri" w:hAnsi="Calibri" w:cs="Calibri"/>
          <w:szCs w:val="20"/>
          <w:lang w:val="sr-Cyrl-RS" w:eastAsia="ja-JP"/>
        </w:rPr>
      </w:pPr>
      <w:r w:rsidRPr="00EA3D8C">
        <w:rPr>
          <w:rFonts w:ascii="Calibri" w:eastAsia="Calibri" w:hAnsi="Calibri" w:cs="Calibri"/>
          <w:color w:val="44546A"/>
          <w:szCs w:val="20"/>
          <w:lang w:val="sr-Cyrl-RS" w:eastAsia="ja-JP"/>
        </w:rPr>
        <w:t>Ст</w:t>
      </w:r>
      <w:r w:rsidRPr="00EA3D8C">
        <w:rPr>
          <w:rFonts w:ascii="Calibri" w:eastAsia="Calibri" w:hAnsi="Calibri" w:cs="Calibri"/>
          <w:szCs w:val="20"/>
          <w:lang w:val="sr-Cyrl-RS" w:eastAsia="ja-JP"/>
        </w:rPr>
        <w:t xml:space="preserve">атус предузећа из портфолија бивше Агенције за приватизацију решава се кроз поступак стечаја или приватизације. До септембра 2020. године проглашен је стечај за више од 300 предузећа, док је 67 приватизовано од краја 2014. године. Око 35.600 запослених из 355 предузећа прихватило је социјални програм. Интензивно се ради на </w:t>
      </w:r>
      <w:r w:rsidRPr="00EA3D8C">
        <w:rPr>
          <w:rFonts w:ascii="Calibri" w:eastAsia="Calibri" w:hAnsi="Calibri" w:cs="Calibri"/>
          <w:szCs w:val="20"/>
          <w:lang w:val="sr-Cyrl-RS" w:eastAsia="ja-JP"/>
        </w:rPr>
        <w:lastRenderedPageBreak/>
        <w:t>проналажењу решења за још 72 предузећа са готово 29.000 запослених.</w:t>
      </w:r>
    </w:p>
    <w:p w14:paraId="2123B737" w14:textId="77777777" w:rsidR="00333B2E" w:rsidRPr="00EA3D8C" w:rsidRDefault="00333B2E" w:rsidP="005D42AC">
      <w:pPr>
        <w:spacing w:line="276" w:lineRule="auto"/>
        <w:rPr>
          <w:rFonts w:ascii="Calibri" w:eastAsia="Calibri" w:hAnsi="Calibri" w:cs="Calibri"/>
          <w:szCs w:val="20"/>
          <w:lang w:val="sr-Cyrl-RS" w:eastAsia="ja-JP"/>
        </w:rPr>
      </w:pPr>
      <w:r w:rsidRPr="00EA3D8C">
        <w:rPr>
          <w:rFonts w:ascii="Calibri" w:eastAsia="Calibri" w:hAnsi="Calibri" w:cs="Calibri"/>
          <w:szCs w:val="20"/>
          <w:lang w:val="sr-Cyrl-RS" w:eastAsia="ja-JP"/>
        </w:rPr>
        <w:t>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За саобраћајно предузеће „Ластаˮ АД Београд изабран је приватизациони саветник прошле године, међутим поступак приватизације је одложен због кризе. Уз подршку Светске банке дефинисан је акциони план за ЈП ПЕУ „Ресавицаˮ, који обухвата проналажење решења за затварање економски неодрживих рудника и план рационализације, уз могућност добровољног одласка уз обезбеђена средства за социјални програм и средства за подршку пословању како не би дошло до гомилања доцњи у плаћањима, нарочито према ЈП ЕПС. За ХИП Петрохемија у току су разговори са потенцијалним инвеститорима након чега ће бити расписан тендерски поступак. За ХИП Азотара је, након неуспелих покушаја да се пронађе стратешки партнер, проглашен стечај, док се за МСК Кикинда решење тражи у налажењу стратешких партнера или инвеститора.</w:t>
      </w:r>
    </w:p>
    <w:p w14:paraId="72387179"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За одређени број компанија у државном власништву се траже стратешки партнери или други модели приватизације, односно спровођење унапред припремљених планова реорганизације (УППР).</w:t>
      </w:r>
    </w:p>
    <w:p w14:paraId="7A662D82" w14:textId="7A26C2F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Побољшање управљања јавним финансијама је нужно не само као подршка мерама фискалне консолидације и структурним реформама, већ као процес који подиже квалитет државне управе и осигурава амбијент који је привлачно и пожељно тло за инвеститоре. Реформске активности у оквиру различитих подсистема управљања јавним финансијама (УЈФ) обухваћене су ревидираним Програмом реформе управљања јавним финансијама 2016–2020. године (Програм РУЈФ). Министарство финансија је приступило изради</w:t>
      </w:r>
      <w:r w:rsidRPr="00EA3D8C">
        <w:rPr>
          <w:lang w:val="sr-Cyrl-RS"/>
        </w:rPr>
        <w:t xml:space="preserve"> </w:t>
      </w:r>
      <w:r w:rsidRPr="00EA3D8C">
        <w:rPr>
          <w:rFonts w:ascii="Calibri" w:eastAsia="Calibri" w:hAnsi="Calibri" w:cs="Calibri"/>
          <w:color w:val="44546A"/>
          <w:szCs w:val="20"/>
          <w:lang w:val="sr-Cyrl-RS" w:eastAsia="ja-JP"/>
        </w:rPr>
        <w:t>новог Програма реформе управљања јавним финансијама за период од 2021</w:t>
      </w:r>
      <w:r w:rsidR="00A21E4E" w:rsidRPr="00EA3D8C">
        <w:rPr>
          <w:rFonts w:ascii="Calibri" w:eastAsia="Calibri" w:hAnsi="Calibri" w:cs="Calibri"/>
          <w:color w:val="44546A"/>
          <w:szCs w:val="20"/>
          <w:lang w:val="sr-Cyrl-RS" w:eastAsia="ja-JP"/>
        </w:rPr>
        <w:t>–</w:t>
      </w:r>
      <w:r w:rsidRPr="00EA3D8C">
        <w:rPr>
          <w:rFonts w:ascii="Calibri" w:eastAsia="Calibri" w:hAnsi="Calibri" w:cs="Calibri"/>
          <w:color w:val="44546A"/>
          <w:szCs w:val="20"/>
          <w:lang w:val="sr-Cyrl-RS" w:eastAsia="ja-JP"/>
        </w:rPr>
        <w:t>2025. године.</w:t>
      </w:r>
    </w:p>
    <w:p w14:paraId="3CECCC7D"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 xml:space="preserve">Информациони систем извршења буџета – ИСИБ – је део система управљања јавним финансијама </w:t>
      </w:r>
      <w:r w:rsidRPr="00EA3D8C">
        <w:rPr>
          <w:rFonts w:ascii="Calibri" w:eastAsia="Calibri" w:hAnsi="Calibri" w:cs="Calibri"/>
          <w:color w:val="44546A"/>
          <w:szCs w:val="20"/>
          <w:lang w:val="sr-Cyrl-RS" w:eastAsia="ja-JP"/>
        </w:rPr>
        <w:lastRenderedPageBreak/>
        <w:t>који обухвата процесе и поступке који се спроводе електронском комуникацијом са Управом за трезор у саставу Министарства финансија. Развој овог система ће омогућити праћење свих индиректних корисника централног нивоа власти. У систем су укључени директни корисници јавних средстава, правосудни органи, а од прошле године и индиректни корисници Министарства културе и информисања и Управе за извршење кривичних санкција, који нису били део претходног система (ФМИС). Од 2019. године су укључене и институције социјалне заштите, тако да се ван система налазе још само индиректни корисници Министарства просвете, науке и технолошког развоја. Систем је оспособљен да убудуће омогући интеграцију нових корисника. Финансијски планови фондова социјалног осигурања ће и даље садржати податке о својим индиректним корисницима.</w:t>
      </w:r>
    </w:p>
    <w:p w14:paraId="636D9F6A" w14:textId="77777777"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инвестицијама интензивирају се нови инфраструктурни пројекти и подиже квалитет постојеће инфраструктуре. Капитални пројекти, односно пројектни кредити су постали саставни део буџета. У априлу 2018. године усвојен је Закон о планском систему Републике Србије, којим је успостављен национални оквир за планирање и којим су дефинисани План развоја и Инвестициони план. Како би се унапредио оквир управљања јавним инвестицијама, у складу са препорукама техничке помоћи ММФ и Светске банке, а на основу Уредбе о садржини, начину припреме и оцене, као и праћењу спровођења и извештавању о реализацији капиталних пројеката, а до краја године би требао да буде усвојен правилник у којем ће се налазити краћи приказ студија изводљивости за велике и стратешке инфраструктурне пројекте. Систем управљања јавним инвестицијама укључује интегрисану базу података о инвестиционим пројектима, која је тренутно у развоју и успостављену јединствену листу приоритетних пројеката (</w:t>
      </w:r>
      <w:r w:rsidRPr="00DB116D">
        <w:rPr>
          <w:rFonts w:ascii="Calibri" w:eastAsia="Calibri" w:hAnsi="Calibri" w:cs="Calibri"/>
          <w:i/>
          <w:color w:val="44546A"/>
          <w:szCs w:val="20"/>
          <w:lang w:val="sr-Cyrl-RS" w:eastAsia="ja-JP"/>
        </w:rPr>
        <w:t xml:space="preserve">Single Project </w:t>
      </w:r>
      <w:r w:rsidRPr="00DB116D">
        <w:rPr>
          <w:rFonts w:ascii="Calibri" w:eastAsia="Calibri" w:hAnsi="Calibri" w:cs="Calibri"/>
          <w:i/>
          <w:color w:val="44546A"/>
          <w:szCs w:val="20"/>
          <w:lang w:val="sr-Cyrl-RS" w:eastAsia="ja-JP"/>
        </w:rPr>
        <w:lastRenderedPageBreak/>
        <w:t>Pipeline</w:t>
      </w:r>
      <w:r w:rsidRPr="00EA3D8C">
        <w:rPr>
          <w:rFonts w:ascii="Calibri" w:eastAsia="Calibri" w:hAnsi="Calibri" w:cs="Calibri"/>
          <w:color w:val="44546A"/>
          <w:szCs w:val="20"/>
          <w:lang w:val="sr-Cyrl-RS" w:eastAsia="ja-JP"/>
        </w:rPr>
        <w:t>), како би систем почео с функционисањем током 2021. године, а постао потпуно функционалан током 2022. године.</w:t>
      </w:r>
    </w:p>
    <w:p w14:paraId="7F8994B3" w14:textId="177DE991"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Јавно-приватна партнерства (</w:t>
      </w:r>
      <w:r w:rsidRPr="00DB116D">
        <w:rPr>
          <w:rFonts w:ascii="Calibri" w:eastAsia="Calibri" w:hAnsi="Calibri" w:cs="Calibri"/>
          <w:i/>
          <w:color w:val="44546A"/>
          <w:szCs w:val="20"/>
          <w:lang w:val="sr-Cyrl-RS" w:eastAsia="ja-JP"/>
        </w:rPr>
        <w:t>Public-Private Partnerships</w:t>
      </w:r>
      <w:r w:rsidRPr="00EA3D8C">
        <w:rPr>
          <w:rFonts w:ascii="Calibri" w:eastAsia="Calibri" w:hAnsi="Calibri" w:cs="Calibri"/>
          <w:color w:val="44546A"/>
          <w:szCs w:val="20"/>
          <w:lang w:val="sr-Cyrl-RS" w:eastAsia="ja-JP"/>
        </w:rPr>
        <w:t xml:space="preserve"> – PPP), као специфичан вид сарадње државе и приватног сектора захтевају посебну пажњу и опрез, стога ће Министарство финансија убудуће вршити процену свих предлога с гледишта анализе трошкова и користи и поделе ризика.</w:t>
      </w:r>
    </w:p>
    <w:p w14:paraId="5C1A8625" w14:textId="54324FF1" w:rsidR="00333B2E" w:rsidRPr="00EA3D8C" w:rsidRDefault="00333B2E" w:rsidP="005D42AC">
      <w:pPr>
        <w:spacing w:line="276" w:lineRule="auto"/>
        <w:rPr>
          <w:rFonts w:ascii="Calibri" w:eastAsia="Calibri" w:hAnsi="Calibri" w:cs="Calibri"/>
          <w:color w:val="44546A"/>
          <w:szCs w:val="20"/>
          <w:lang w:val="sr-Cyrl-RS" w:eastAsia="ja-JP"/>
        </w:rPr>
      </w:pPr>
      <w:r w:rsidRPr="00EA3D8C">
        <w:rPr>
          <w:rFonts w:ascii="Calibri" w:eastAsia="Calibri" w:hAnsi="Calibri" w:cs="Calibri"/>
          <w:color w:val="44546A"/>
          <w:szCs w:val="20"/>
          <w:lang w:val="sr-Cyrl-RS" w:eastAsia="ja-JP"/>
        </w:rPr>
        <w:t xml:space="preserve">Акциони план трансформације Пореске управе за период 2018–2023. године усвојен у децембру 2017. године дефинише стратешке смернице и временске рокове у којим ће бити спроведене активности потребне за стварање модерне пореске </w:t>
      </w:r>
      <w:r w:rsidR="0003520F">
        <w:rPr>
          <w:rFonts w:ascii="Calibri" w:eastAsia="Calibri" w:hAnsi="Calibri" w:cs="Calibri"/>
          <w:color w:val="44546A"/>
          <w:szCs w:val="20"/>
          <w:lang w:val="sr-Cyrl-RS" w:eastAsia="ja-JP"/>
        </w:rPr>
        <w:t>администрације</w:t>
      </w:r>
      <w:r w:rsidRPr="00EA3D8C">
        <w:rPr>
          <w:rFonts w:ascii="Calibri" w:eastAsia="Calibri" w:hAnsi="Calibri" w:cs="Calibri"/>
          <w:color w:val="44546A"/>
          <w:szCs w:val="20"/>
          <w:lang w:val="sr-Cyrl-RS" w:eastAsia="ja-JP"/>
        </w:rPr>
        <w:t xml:space="preserve">,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2019. години спроведено је организационо раздвајање основних активности од оних које се сматрају споредним, с тим да се основне активности сад обављају у мањем броју организационих јединица, односно извршена је њихова консолидација. Анализа пословних процеса и потребних ресурса, омогућиће развијање адекватне организационе структуре и менаџмента, унапређење управљања пројектима и дизајн адекватне структуре запослених. Следећа фаза реформи је усмерена на информационе системе, а тендер за замену постојећег система новим се очекује током идуће године. Наставља се спровођење мера које за циљ имају смањење просечног времена за повраћај ПДВ, односно поштовање прописаних рокова, уз примену начела опрезности, како би се могућности превара свеле на минимум, а обвезницима с ниским ризиком повраћаји били исплаћени што раније. Центар за велике пореске обвезнике (ЦВПО) ће проширити свој делокруг, односно биће повећан број субјеката који своје пореске обавезе измирују </w:t>
      </w:r>
      <w:r w:rsidRPr="00EA3D8C">
        <w:rPr>
          <w:rFonts w:ascii="Calibri" w:eastAsia="Calibri" w:hAnsi="Calibri" w:cs="Calibri"/>
          <w:color w:val="44546A"/>
          <w:szCs w:val="20"/>
          <w:lang w:val="sr-Cyrl-RS" w:eastAsia="ja-JP"/>
        </w:rPr>
        <w:lastRenderedPageBreak/>
        <w:t xml:space="preserve">преко овог система, истовремено, ради се и на јачању капацитета ове веома значајне организационе јединице у оквиру Пореске управе. </w:t>
      </w:r>
      <w:r w:rsidR="0003520F" w:rsidRPr="00AA497B">
        <w:rPr>
          <w:rFonts w:ascii="Calibri" w:eastAsia="Calibri" w:hAnsi="Calibri" w:cs="Calibri"/>
          <w:color w:val="44546A"/>
          <w:szCs w:val="20"/>
          <w:lang w:val="sr-Cyrl-RS" w:eastAsia="ja-JP"/>
        </w:rPr>
        <w:t>Усвајањем З</w:t>
      </w:r>
      <w:r w:rsidRPr="00AA497B">
        <w:rPr>
          <w:rFonts w:ascii="Calibri" w:eastAsia="Calibri" w:hAnsi="Calibri" w:cs="Calibri"/>
          <w:color w:val="44546A"/>
          <w:szCs w:val="20"/>
          <w:lang w:val="sr-Cyrl-RS" w:eastAsia="ja-JP"/>
        </w:rPr>
        <w:t>акона о утврђивању порекла имовине и посебном порезу</w:t>
      </w:r>
      <w:r w:rsidR="0003520F" w:rsidRPr="00AA497B">
        <w:rPr>
          <w:rFonts w:ascii="Calibri" w:eastAsia="Calibri" w:hAnsi="Calibri" w:cs="Calibri"/>
          <w:color w:val="44546A"/>
          <w:szCs w:val="20"/>
          <w:lang w:val="sr-Cyrl-RS" w:eastAsia="ja-JP"/>
        </w:rPr>
        <w:t xml:space="preserve"> и образовањем посебне организационе јединице Пореске управе, створили су се услови за у</w:t>
      </w:r>
      <w:r w:rsidRPr="00AA497B">
        <w:rPr>
          <w:rFonts w:ascii="Calibri" w:eastAsia="Calibri" w:hAnsi="Calibri" w:cs="Calibri"/>
          <w:color w:val="44546A"/>
          <w:szCs w:val="20"/>
          <w:lang w:val="sr-Cyrl-RS" w:eastAsia="ja-JP"/>
        </w:rPr>
        <w:t>накрсн</w:t>
      </w:r>
      <w:r w:rsidR="0003520F" w:rsidRPr="00AA497B">
        <w:rPr>
          <w:rFonts w:ascii="Calibri" w:eastAsia="Calibri" w:hAnsi="Calibri" w:cs="Calibri"/>
          <w:color w:val="44546A"/>
          <w:szCs w:val="20"/>
          <w:lang w:val="sr-Cyrl-RS" w:eastAsia="ja-JP"/>
        </w:rPr>
        <w:t>у</w:t>
      </w:r>
      <w:r w:rsidRPr="00AA497B">
        <w:rPr>
          <w:rFonts w:ascii="Calibri" w:eastAsia="Calibri" w:hAnsi="Calibri" w:cs="Calibri"/>
          <w:color w:val="44546A"/>
          <w:szCs w:val="20"/>
          <w:lang w:val="sr-Cyrl-RS" w:eastAsia="ja-JP"/>
        </w:rPr>
        <w:t xml:space="preserve"> анализ</w:t>
      </w:r>
      <w:r w:rsidR="0003520F" w:rsidRPr="00AA497B">
        <w:rPr>
          <w:rFonts w:ascii="Calibri" w:eastAsia="Calibri" w:hAnsi="Calibri" w:cs="Calibri"/>
          <w:color w:val="44546A"/>
          <w:szCs w:val="20"/>
          <w:lang w:val="sr-Cyrl-RS" w:eastAsia="ja-JP"/>
        </w:rPr>
        <w:t>у</w:t>
      </w:r>
      <w:r w:rsidRPr="00AA497B">
        <w:rPr>
          <w:rFonts w:ascii="Calibri" w:eastAsia="Calibri" w:hAnsi="Calibri" w:cs="Calibri"/>
          <w:color w:val="44546A"/>
          <w:szCs w:val="20"/>
          <w:lang w:val="sr-Cyrl-RS" w:eastAsia="ja-JP"/>
        </w:rPr>
        <w:t xml:space="preserve"> имовине и прихода лица, како би се истражили случајеви неоснованог </w:t>
      </w:r>
      <w:r w:rsidR="00AA497B" w:rsidRPr="00AA497B">
        <w:rPr>
          <w:rFonts w:ascii="Calibri" w:eastAsia="Calibri" w:hAnsi="Calibri" w:cs="Calibri"/>
          <w:color w:val="44546A"/>
          <w:szCs w:val="20"/>
          <w:lang w:val="sr-Cyrl-RS" w:eastAsia="ja-JP"/>
        </w:rPr>
        <w:t>о</w:t>
      </w:r>
      <w:r w:rsidRPr="00AA497B">
        <w:rPr>
          <w:rFonts w:ascii="Calibri" w:eastAsia="Calibri" w:hAnsi="Calibri" w:cs="Calibri"/>
          <w:color w:val="44546A"/>
          <w:szCs w:val="20"/>
          <w:lang w:val="sr-Cyrl-RS" w:eastAsia="ja-JP"/>
        </w:rPr>
        <w:t>богаћења</w:t>
      </w:r>
      <w:r w:rsidR="0025163B" w:rsidRPr="00AA497B">
        <w:rPr>
          <w:rFonts w:ascii="Calibri" w:eastAsia="Calibri" w:hAnsi="Calibri" w:cs="Calibri"/>
          <w:color w:val="44546A"/>
          <w:szCs w:val="20"/>
          <w:lang w:val="sr-Cyrl-RS" w:eastAsia="ja-JP"/>
        </w:rPr>
        <w:t xml:space="preserve"> и утврдио посебан порез</w:t>
      </w:r>
      <w:r w:rsidRPr="00AA497B">
        <w:rPr>
          <w:rFonts w:ascii="Calibri" w:eastAsia="Calibri" w:hAnsi="Calibri" w:cs="Calibri"/>
          <w:color w:val="44546A"/>
          <w:szCs w:val="20"/>
          <w:lang w:val="sr-Cyrl-RS" w:eastAsia="ja-JP"/>
        </w:rPr>
        <w:t xml:space="preserve">. </w:t>
      </w:r>
      <w:r w:rsidR="0003520F" w:rsidRPr="00AA497B">
        <w:rPr>
          <w:rFonts w:ascii="Calibri" w:eastAsia="Calibri" w:hAnsi="Calibri" w:cs="Calibri"/>
          <w:color w:val="44546A"/>
          <w:szCs w:val="20"/>
          <w:lang w:val="sr-Cyrl-RS" w:eastAsia="ja-JP"/>
        </w:rPr>
        <w:t>П</w:t>
      </w:r>
      <w:r w:rsidRPr="00AA497B">
        <w:rPr>
          <w:rFonts w:ascii="Calibri" w:eastAsia="Calibri" w:hAnsi="Calibri" w:cs="Calibri"/>
          <w:color w:val="44546A"/>
          <w:szCs w:val="20"/>
          <w:lang w:val="sr-Cyrl-RS" w:eastAsia="ja-JP"/>
        </w:rPr>
        <w:t xml:space="preserve">окренут </w:t>
      </w:r>
      <w:r w:rsidR="0003520F" w:rsidRPr="00AA497B">
        <w:rPr>
          <w:rFonts w:ascii="Calibri" w:eastAsia="Calibri" w:hAnsi="Calibri" w:cs="Calibri"/>
          <w:color w:val="44546A"/>
          <w:szCs w:val="20"/>
          <w:lang w:val="sr-Cyrl-RS" w:eastAsia="ja-JP"/>
        </w:rPr>
        <w:t xml:space="preserve">је </w:t>
      </w:r>
      <w:r w:rsidRPr="00AA497B">
        <w:rPr>
          <w:rFonts w:ascii="Calibri" w:eastAsia="Calibri" w:hAnsi="Calibri" w:cs="Calibri"/>
          <w:color w:val="44546A"/>
          <w:szCs w:val="20"/>
          <w:lang w:val="sr-Cyrl-RS" w:eastAsia="ja-JP"/>
        </w:rPr>
        <w:t>поступак за избор екстерног консултанта</w:t>
      </w:r>
      <w:r w:rsidR="00D228E5">
        <w:rPr>
          <w:rFonts w:ascii="Calibri" w:eastAsia="Calibri" w:hAnsi="Calibri" w:cs="Calibri"/>
          <w:color w:val="44546A"/>
          <w:szCs w:val="20"/>
          <w:lang w:val="sr-Cyrl-RS" w:eastAsia="ja-JP"/>
        </w:rPr>
        <w:t>,</w:t>
      </w:r>
      <w:r w:rsidRPr="00EA3D8C">
        <w:rPr>
          <w:rFonts w:ascii="Calibri" w:eastAsia="Calibri" w:hAnsi="Calibri" w:cs="Calibri"/>
          <w:color w:val="44546A"/>
          <w:szCs w:val="20"/>
          <w:lang w:val="sr-Cyrl-RS" w:eastAsia="ja-JP"/>
        </w:rPr>
        <w:t xml:space="preserve"> који ће извршити преглед постојећих пословних процеса и водити поступак њиховог реинжењеринга и модернизације. Пореска управа је имала значајну улогу у спровођењу дела мера које су предузете као одговор на кризу изазвану COVID-19: одлагање плаћања пореза на зараде и доприносе и њихово плаћање на 24 рате, почевши од идуће године, одлагање плаћања аконтације пореза на добит правних лица за други квартал 2020. године, тромесечни мораторијум на принудну наплату и смањење камате на порески дуг.</w:t>
      </w:r>
    </w:p>
    <w:p w14:paraId="2908018C" w14:textId="77777777" w:rsidR="00455EB5" w:rsidRPr="00EA3D8C" w:rsidRDefault="00333B2E" w:rsidP="005D42AC">
      <w:pPr>
        <w:spacing w:line="276" w:lineRule="auto"/>
        <w:rPr>
          <w:rFonts w:ascii="Calibri" w:eastAsia="Calibri" w:hAnsi="Calibri" w:cs="Calibri"/>
          <w:color w:val="44546A"/>
          <w:szCs w:val="20"/>
          <w:lang w:val="sr-Cyrl-RS" w:eastAsia="ja-JP"/>
        </w:rPr>
        <w:sectPr w:rsidR="00455EB5" w:rsidRPr="00EA3D8C" w:rsidSect="00AE40EB">
          <w:type w:val="continuous"/>
          <w:pgSz w:w="12240" w:h="15840" w:code="1"/>
          <w:pgMar w:top="1440" w:right="1440" w:bottom="1440" w:left="1440" w:header="720" w:footer="720" w:gutter="0"/>
          <w:cols w:num="2" w:space="720"/>
          <w:docGrid w:linePitch="360"/>
          <w15:footnoteColumns w:val="1"/>
        </w:sectPr>
      </w:pPr>
      <w:r w:rsidRPr="00EA3D8C">
        <w:rPr>
          <w:rFonts w:ascii="Calibri" w:eastAsia="Calibri" w:hAnsi="Calibri" w:cs="Calibri"/>
          <w:color w:val="44546A"/>
          <w:szCs w:val="20"/>
          <w:lang w:val="sr-Cyrl-RS" w:eastAsia="ja-JP"/>
        </w:rPr>
        <w:t>Побољшање квалитета и транспарентности националне статистике се врши кроз унапређење свеобухватне, правовремене и аутоматске размене података између надлежних институција. У априлу 2018. године објављена је листа институција које чине сектор опште државе, као и остале секторе, у складу са Европским системом рачуна (ESA) 2010 и GFSM 2014, на основу чега ће РЗС (у сарадњи са Министарством финансија и НБС) од 2021. године достављати податке у Проширени општи систем дисеминације података (e-GDDS). Ови подаци ће бити у складу са методологијом GFSM 2014. Сектор за макроекономске и фискалне анализе и пројекције Министарства финансија уз сарадњу са ММФ је први покренуо поступак конверзије података о јавним финансијама из националне методологије у методологију GFSM 2014 и њихову консолидацију, обухватајући све нивое опште државе, како би у будућности био омогућен потпуни прелазак на нову методологију у смислу обухвата, планирања и извештавања.</w:t>
      </w:r>
    </w:p>
    <w:p w14:paraId="215CCB9D" w14:textId="77777777" w:rsidR="005E54B2" w:rsidRPr="00EA3D8C" w:rsidRDefault="005E54B2">
      <w:pPr>
        <w:jc w:val="left"/>
        <w:rPr>
          <w:rFonts w:cstheme="minorHAnsi"/>
          <w:b/>
          <w:bCs/>
          <w:color w:val="2F5496" w:themeColor="accent1" w:themeShade="BF"/>
          <w:sz w:val="22"/>
          <w:szCs w:val="20"/>
          <w:lang w:val="sr-Cyrl-RS"/>
        </w:rPr>
      </w:pPr>
      <w:r w:rsidRPr="00EA3D8C">
        <w:rPr>
          <w:rFonts w:cstheme="minorHAnsi"/>
          <w:b/>
          <w:bCs/>
          <w:color w:val="2F5496" w:themeColor="accent1" w:themeShade="BF"/>
          <w:sz w:val="22"/>
          <w:szCs w:val="20"/>
          <w:lang w:val="sr-Cyrl-RS"/>
        </w:rPr>
        <w:lastRenderedPageBreak/>
        <w:br w:type="page"/>
      </w:r>
    </w:p>
    <w:p w14:paraId="50C8436A" w14:textId="28BE234B" w:rsidR="00333B2E" w:rsidRPr="00EA3D8C" w:rsidRDefault="00333B2E" w:rsidP="005D42AC">
      <w:pPr>
        <w:spacing w:line="276" w:lineRule="auto"/>
        <w:rPr>
          <w:rFonts w:cstheme="minorHAnsi"/>
          <w:b/>
          <w:bCs/>
          <w:color w:val="2F5496" w:themeColor="accent1" w:themeShade="BF"/>
          <w:sz w:val="22"/>
          <w:szCs w:val="20"/>
          <w:lang w:val="sr-Cyrl-RS"/>
        </w:rPr>
      </w:pPr>
      <w:r w:rsidRPr="00EA3D8C">
        <w:rPr>
          <w:rFonts w:cstheme="minorHAnsi"/>
          <w:b/>
          <w:bCs/>
          <w:color w:val="2F5496" w:themeColor="accent1" w:themeShade="BF"/>
          <w:sz w:val="22"/>
          <w:szCs w:val="20"/>
          <w:lang w:val="sr-Cyrl-RS"/>
        </w:rPr>
        <w:lastRenderedPageBreak/>
        <w:t>Поређење са претходним програмом</w:t>
      </w:r>
    </w:p>
    <w:p w14:paraId="2DCF0E71" w14:textId="5BAE8A87" w:rsidR="00333B2E" w:rsidRPr="00EA3D8C" w:rsidRDefault="00333B2E" w:rsidP="005D42AC">
      <w:pPr>
        <w:rPr>
          <w:rFonts w:cstheme="minorHAnsi"/>
          <w:bCs/>
          <w:szCs w:val="20"/>
          <w:lang w:val="sr-Cyrl-RS"/>
        </w:rPr>
        <w:sectPr w:rsidR="00333B2E" w:rsidRPr="00EA3D8C" w:rsidSect="00AE40EB">
          <w:type w:val="continuous"/>
          <w:pgSz w:w="12240" w:h="15840" w:code="1"/>
          <w:pgMar w:top="1440" w:right="1440" w:bottom="1440" w:left="1440" w:header="720" w:footer="720" w:gutter="0"/>
          <w:cols w:num="2" w:space="720"/>
          <w:docGrid w:linePitch="360"/>
          <w15:footnoteColumns w:val="1"/>
        </w:sectPr>
      </w:pPr>
      <w:r w:rsidRPr="00EA3D8C">
        <w:rPr>
          <w:rFonts w:cstheme="minorHAnsi"/>
          <w:bCs/>
          <w:szCs w:val="20"/>
          <w:lang w:val="sr-Cyrl-RS"/>
        </w:rPr>
        <w:t>Средњорочни фискални оквир значајно je промењен у односу на претходни документ</w:t>
      </w:r>
      <w:r w:rsidRPr="00EA3D8C">
        <w:rPr>
          <w:rFonts w:cstheme="minorHAnsi"/>
          <w:bCs/>
          <w:szCs w:val="20"/>
          <w:vertAlign w:val="superscript"/>
          <w:lang w:val="sr-Cyrl-RS"/>
        </w:rPr>
        <w:footnoteReference w:id="4"/>
      </w:r>
      <w:r w:rsidRPr="00EA3D8C">
        <w:rPr>
          <w:rFonts w:cstheme="minorHAnsi"/>
          <w:bCs/>
          <w:szCs w:val="20"/>
          <w:lang w:val="sr-Cyrl-RS"/>
        </w:rPr>
        <w:t xml:space="preserve"> с обзиром на негативне ефекте пандемије на економска кретања. Пад прихода и раст расхода и дефицита су основне разлике у односу на претходни документ. У 2020. години пад прихода је узрокован делом применом мера за стабилизацију привреде, а делом и неповољним макроекономским кретањима. У наредном периоду се очекује побољшање перформанси прихода, али и даље слабије него што би било у нормалним околностима. На расходној страни </w:t>
      </w:r>
      <w:r w:rsidRPr="00EA3D8C">
        <w:rPr>
          <w:rFonts w:cstheme="minorHAnsi"/>
          <w:bCs/>
          <w:szCs w:val="20"/>
          <w:lang w:val="sr-Cyrl-RS"/>
        </w:rPr>
        <w:lastRenderedPageBreak/>
        <w:t xml:space="preserve">примена мера је узроковала повећање, пре свега преко значајног улагања у здравствени систем, а онда и преко субвенција и других фискалних стимуланса у циљу ублажавања ефеката кризе у привреди и код становништва. У наредном периоду расходи ће се постепено смањивати у смислу учешћа у БДП. У наредном периоду, док год траје неизвесност везана за пандемију, биће вођена нешто </w:t>
      </w:r>
      <w:r w:rsidR="006239CC" w:rsidRPr="006239CC">
        <w:rPr>
          <w:rFonts w:cstheme="minorHAnsi"/>
          <w:bCs/>
          <w:szCs w:val="20"/>
          <w:lang w:val="sr-Cyrl-RS"/>
        </w:rPr>
        <w:t>експанзивнија</w:t>
      </w:r>
      <w:r w:rsidRPr="00EA3D8C">
        <w:rPr>
          <w:rFonts w:cstheme="minorHAnsi"/>
          <w:bCs/>
          <w:szCs w:val="20"/>
          <w:lang w:val="sr-Cyrl-RS"/>
        </w:rPr>
        <w:t xml:space="preserve"> фискална политика. Планирани дефицити омогућавају смањивање учешћа јавног дуга у БДП, а у дугорочном периоду планира се враћање на годишњи дефицит од 0,5% БДП.</w:t>
      </w:r>
    </w:p>
    <w:p w14:paraId="2414EAFB" w14:textId="4B7EB73B" w:rsidR="00333B2E" w:rsidRPr="00EA3D8C" w:rsidRDefault="00EC4017" w:rsidP="00451097">
      <w:pPr>
        <w:spacing w:before="360"/>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12</w:t>
      </w:r>
      <w:r w:rsidR="00333B2E" w:rsidRPr="00EA3D8C">
        <w:rPr>
          <w:rFonts w:eastAsia="MS PGothic" w:cstheme="minorHAnsi"/>
          <w:b/>
          <w:color w:val="002060"/>
          <w:szCs w:val="20"/>
          <w:lang w:val="sr-Cyrl-RS" w:eastAsia="ja-JP"/>
        </w:rPr>
        <w:t>. Поређење фискалних показатеља два програма, у % БДП</w:t>
      </w:r>
    </w:p>
    <w:tbl>
      <w:tblPr>
        <w:tblStyle w:val="ListTable6Colorful-Accent61"/>
        <w:tblW w:w="5000" w:type="pct"/>
        <w:tblLook w:val="04A0" w:firstRow="1" w:lastRow="0" w:firstColumn="1" w:lastColumn="0" w:noHBand="0" w:noVBand="1"/>
      </w:tblPr>
      <w:tblGrid>
        <w:gridCol w:w="2740"/>
        <w:gridCol w:w="1324"/>
        <w:gridCol w:w="1324"/>
        <w:gridCol w:w="1324"/>
        <w:gridCol w:w="1324"/>
        <w:gridCol w:w="1324"/>
      </w:tblGrid>
      <w:tr w:rsidR="00333B2E" w:rsidRPr="00417419" w14:paraId="0700EF09" w14:textId="77777777" w:rsidTr="00C130D2">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single" w:sz="4" w:space="0" w:color="002060"/>
              <w:bottom w:val="single" w:sz="4" w:space="0" w:color="FFFFFF" w:themeColor="background1"/>
            </w:tcBorders>
            <w:shd w:val="clear" w:color="auto" w:fill="FFFFFF" w:themeFill="background1"/>
            <w:noWrap/>
            <w:hideMark/>
          </w:tcPr>
          <w:p w14:paraId="51876A30"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p>
        </w:tc>
        <w:tc>
          <w:tcPr>
            <w:tcW w:w="707" w:type="pct"/>
            <w:tcBorders>
              <w:top w:val="single" w:sz="4" w:space="0" w:color="002060"/>
              <w:bottom w:val="single" w:sz="4" w:space="0" w:color="002060"/>
            </w:tcBorders>
            <w:shd w:val="clear" w:color="auto" w:fill="FFFFFF" w:themeFill="background1"/>
            <w:noWrap/>
            <w:hideMark/>
          </w:tcPr>
          <w:p w14:paraId="53018675" w14:textId="77777777" w:rsidR="00333B2E" w:rsidRPr="00DB116D" w:rsidRDefault="00333B2E" w:rsidP="00C130D2">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2019</w:t>
            </w:r>
          </w:p>
        </w:tc>
        <w:tc>
          <w:tcPr>
            <w:tcW w:w="707" w:type="pct"/>
            <w:tcBorders>
              <w:top w:val="single" w:sz="4" w:space="0" w:color="002060"/>
              <w:bottom w:val="single" w:sz="4" w:space="0" w:color="002060"/>
            </w:tcBorders>
            <w:shd w:val="clear" w:color="auto" w:fill="FFFFFF" w:themeFill="background1"/>
            <w:noWrap/>
            <w:hideMark/>
          </w:tcPr>
          <w:p w14:paraId="7C901A3B" w14:textId="77777777" w:rsidR="00333B2E" w:rsidRPr="00DB116D" w:rsidRDefault="00333B2E" w:rsidP="00C130D2">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2020</w:t>
            </w:r>
          </w:p>
        </w:tc>
        <w:tc>
          <w:tcPr>
            <w:tcW w:w="707" w:type="pct"/>
            <w:tcBorders>
              <w:top w:val="single" w:sz="4" w:space="0" w:color="002060"/>
              <w:bottom w:val="single" w:sz="4" w:space="0" w:color="002060"/>
            </w:tcBorders>
            <w:shd w:val="clear" w:color="auto" w:fill="FFFFFF" w:themeFill="background1"/>
            <w:noWrap/>
            <w:hideMark/>
          </w:tcPr>
          <w:p w14:paraId="3F4B4092" w14:textId="77777777" w:rsidR="00333B2E" w:rsidRPr="00DB116D" w:rsidRDefault="00333B2E" w:rsidP="00C130D2">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2021</w:t>
            </w:r>
          </w:p>
        </w:tc>
        <w:tc>
          <w:tcPr>
            <w:tcW w:w="707" w:type="pct"/>
            <w:tcBorders>
              <w:top w:val="single" w:sz="4" w:space="0" w:color="002060"/>
              <w:bottom w:val="single" w:sz="4" w:space="0" w:color="002060"/>
            </w:tcBorders>
            <w:shd w:val="clear" w:color="auto" w:fill="FFFFFF" w:themeFill="background1"/>
            <w:noWrap/>
            <w:hideMark/>
          </w:tcPr>
          <w:p w14:paraId="44F8F3AF" w14:textId="77777777" w:rsidR="00333B2E" w:rsidRPr="00DB116D" w:rsidRDefault="00333B2E" w:rsidP="00C130D2">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2022</w:t>
            </w:r>
          </w:p>
        </w:tc>
        <w:tc>
          <w:tcPr>
            <w:tcW w:w="707" w:type="pct"/>
            <w:tcBorders>
              <w:top w:val="single" w:sz="4" w:space="0" w:color="002060"/>
              <w:bottom w:val="single" w:sz="4" w:space="0" w:color="002060"/>
            </w:tcBorders>
            <w:shd w:val="clear" w:color="auto" w:fill="FFFFFF" w:themeFill="background1"/>
            <w:noWrap/>
            <w:hideMark/>
          </w:tcPr>
          <w:p w14:paraId="1DA967D4" w14:textId="77777777" w:rsidR="00333B2E" w:rsidRPr="00DB116D" w:rsidRDefault="00333B2E" w:rsidP="00C130D2">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2023</w:t>
            </w:r>
          </w:p>
        </w:tc>
      </w:tr>
      <w:tr w:rsidR="00333B2E" w:rsidRPr="00417419" w14:paraId="47A4BEE6"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single" w:sz="4" w:space="0" w:color="FFFFFF" w:themeColor="background1"/>
            </w:tcBorders>
            <w:shd w:val="clear" w:color="auto" w:fill="FFFFFF" w:themeFill="background1"/>
            <w:noWrap/>
            <w:hideMark/>
          </w:tcPr>
          <w:p w14:paraId="49DED687" w14:textId="77777777" w:rsidR="00333B2E" w:rsidRPr="00DB116D" w:rsidRDefault="00333B2E" w:rsidP="005D42AC">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Фискална стратегија 2020–2022</w:t>
            </w:r>
            <w:r w:rsidRPr="00DB116D">
              <w:rPr>
                <w:rStyle w:val="FootnoteReference"/>
                <w:rFonts w:eastAsia="Times New Roman" w:cstheme="minorHAnsi"/>
                <w:b w:val="0"/>
                <w:color w:val="002060"/>
                <w:sz w:val="18"/>
                <w:szCs w:val="18"/>
                <w:lang w:val="sr-Cyrl-RS"/>
              </w:rPr>
              <w:footnoteReference w:id="5"/>
            </w:r>
          </w:p>
        </w:tc>
        <w:tc>
          <w:tcPr>
            <w:tcW w:w="707" w:type="pct"/>
            <w:tcBorders>
              <w:top w:val="single" w:sz="4" w:space="0" w:color="002060"/>
            </w:tcBorders>
            <w:shd w:val="clear" w:color="auto" w:fill="FFFFFF" w:themeFill="background1"/>
            <w:noWrap/>
            <w:hideMark/>
          </w:tcPr>
          <w:p w14:paraId="04D8E3F8"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tcBorders>
              <w:top w:val="single" w:sz="4" w:space="0" w:color="002060"/>
            </w:tcBorders>
            <w:shd w:val="clear" w:color="auto" w:fill="FFFFFF" w:themeFill="background1"/>
            <w:noWrap/>
            <w:hideMark/>
          </w:tcPr>
          <w:p w14:paraId="0FAE5C4A"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tcBorders>
              <w:top w:val="single" w:sz="4" w:space="0" w:color="002060"/>
            </w:tcBorders>
            <w:shd w:val="clear" w:color="auto" w:fill="FFFFFF" w:themeFill="background1"/>
            <w:noWrap/>
            <w:hideMark/>
          </w:tcPr>
          <w:p w14:paraId="2F174964"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tcBorders>
              <w:top w:val="single" w:sz="4" w:space="0" w:color="002060"/>
            </w:tcBorders>
            <w:shd w:val="clear" w:color="auto" w:fill="FFFFFF" w:themeFill="background1"/>
            <w:noWrap/>
            <w:hideMark/>
          </w:tcPr>
          <w:p w14:paraId="2B67583F"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tcBorders>
              <w:top w:val="single" w:sz="4" w:space="0" w:color="002060"/>
            </w:tcBorders>
            <w:shd w:val="clear" w:color="auto" w:fill="FFFFFF" w:themeFill="background1"/>
            <w:noWrap/>
            <w:hideMark/>
          </w:tcPr>
          <w:p w14:paraId="36B13756"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333B2E" w:rsidRPr="00417419" w14:paraId="25543A22"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163C6389"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Приходи</w:t>
            </w:r>
          </w:p>
        </w:tc>
        <w:tc>
          <w:tcPr>
            <w:tcW w:w="707" w:type="pct"/>
            <w:shd w:val="clear" w:color="auto" w:fill="FFFFFF" w:themeFill="background1"/>
            <w:noWrap/>
            <w:hideMark/>
          </w:tcPr>
          <w:p w14:paraId="25C33A6A"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41,4</w:t>
            </w:r>
          </w:p>
        </w:tc>
        <w:tc>
          <w:tcPr>
            <w:tcW w:w="707" w:type="pct"/>
            <w:shd w:val="clear" w:color="auto" w:fill="FFFFFF" w:themeFill="background1"/>
            <w:noWrap/>
            <w:hideMark/>
          </w:tcPr>
          <w:p w14:paraId="4DA4BE76" w14:textId="77777777" w:rsidR="00333B2E" w:rsidRPr="00DB116D" w:rsidRDefault="00333B2E" w:rsidP="005D42AC">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42,4</w:t>
            </w:r>
          </w:p>
        </w:tc>
        <w:tc>
          <w:tcPr>
            <w:tcW w:w="707" w:type="pct"/>
            <w:shd w:val="clear" w:color="auto" w:fill="FFFFFF" w:themeFill="background1"/>
            <w:noWrap/>
            <w:hideMark/>
          </w:tcPr>
          <w:p w14:paraId="442B996C"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41,1</w:t>
            </w:r>
          </w:p>
        </w:tc>
        <w:tc>
          <w:tcPr>
            <w:tcW w:w="707" w:type="pct"/>
            <w:shd w:val="clear" w:color="auto" w:fill="FFFFFF" w:themeFill="background1"/>
            <w:noWrap/>
            <w:hideMark/>
          </w:tcPr>
          <w:p w14:paraId="57A994EE"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40,7</w:t>
            </w:r>
          </w:p>
        </w:tc>
        <w:tc>
          <w:tcPr>
            <w:tcW w:w="707" w:type="pct"/>
            <w:shd w:val="clear" w:color="auto" w:fill="FFFFFF" w:themeFill="background1"/>
            <w:noWrap/>
            <w:hideMark/>
          </w:tcPr>
          <w:p w14:paraId="1FC3605B"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w:t>
            </w:r>
          </w:p>
        </w:tc>
      </w:tr>
      <w:tr w:rsidR="00333B2E" w:rsidRPr="00417419" w14:paraId="2F1D59F4"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2B46F13C"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Расходи</w:t>
            </w:r>
          </w:p>
        </w:tc>
        <w:tc>
          <w:tcPr>
            <w:tcW w:w="707" w:type="pct"/>
            <w:shd w:val="clear" w:color="auto" w:fill="FFFFFF" w:themeFill="background1"/>
            <w:noWrap/>
            <w:hideMark/>
          </w:tcPr>
          <w:p w14:paraId="5BA15E31"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41,9</w:t>
            </w:r>
          </w:p>
        </w:tc>
        <w:tc>
          <w:tcPr>
            <w:tcW w:w="707" w:type="pct"/>
            <w:shd w:val="clear" w:color="auto" w:fill="FFFFFF" w:themeFill="background1"/>
            <w:noWrap/>
            <w:hideMark/>
          </w:tcPr>
          <w:p w14:paraId="58A75E02"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42,9</w:t>
            </w:r>
          </w:p>
        </w:tc>
        <w:tc>
          <w:tcPr>
            <w:tcW w:w="707" w:type="pct"/>
            <w:shd w:val="clear" w:color="auto" w:fill="FFFFFF" w:themeFill="background1"/>
            <w:noWrap/>
            <w:hideMark/>
          </w:tcPr>
          <w:p w14:paraId="27CE5542"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41,7</w:t>
            </w:r>
          </w:p>
        </w:tc>
        <w:tc>
          <w:tcPr>
            <w:tcW w:w="707" w:type="pct"/>
            <w:shd w:val="clear" w:color="auto" w:fill="FFFFFF" w:themeFill="background1"/>
            <w:noWrap/>
            <w:hideMark/>
          </w:tcPr>
          <w:p w14:paraId="31A99959"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41,3</w:t>
            </w:r>
          </w:p>
        </w:tc>
        <w:tc>
          <w:tcPr>
            <w:tcW w:w="707" w:type="pct"/>
            <w:shd w:val="clear" w:color="auto" w:fill="FFFFFF" w:themeFill="background1"/>
            <w:noWrap/>
            <w:hideMark/>
          </w:tcPr>
          <w:p w14:paraId="526CB30A"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w:t>
            </w:r>
          </w:p>
        </w:tc>
      </w:tr>
      <w:tr w:rsidR="00333B2E" w:rsidRPr="00417419" w14:paraId="634AAA05"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1410BEE2"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Резултат</w:t>
            </w:r>
          </w:p>
        </w:tc>
        <w:tc>
          <w:tcPr>
            <w:tcW w:w="707" w:type="pct"/>
            <w:shd w:val="clear" w:color="auto" w:fill="FFFFFF" w:themeFill="background1"/>
            <w:noWrap/>
            <w:hideMark/>
          </w:tcPr>
          <w:p w14:paraId="6177A463"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-0,5</w:t>
            </w:r>
          </w:p>
        </w:tc>
        <w:tc>
          <w:tcPr>
            <w:tcW w:w="707" w:type="pct"/>
            <w:shd w:val="clear" w:color="auto" w:fill="FFFFFF" w:themeFill="background1"/>
            <w:noWrap/>
            <w:hideMark/>
          </w:tcPr>
          <w:p w14:paraId="45EA6453"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-0,5</w:t>
            </w:r>
          </w:p>
        </w:tc>
        <w:tc>
          <w:tcPr>
            <w:tcW w:w="707" w:type="pct"/>
            <w:shd w:val="clear" w:color="auto" w:fill="FFFFFF" w:themeFill="background1"/>
            <w:noWrap/>
            <w:hideMark/>
          </w:tcPr>
          <w:p w14:paraId="4C178F61" w14:textId="77777777" w:rsidR="00333B2E" w:rsidRPr="00DB116D" w:rsidRDefault="00333B2E" w:rsidP="005D42AC">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-0,6</w:t>
            </w:r>
          </w:p>
        </w:tc>
        <w:tc>
          <w:tcPr>
            <w:tcW w:w="707" w:type="pct"/>
            <w:shd w:val="clear" w:color="auto" w:fill="FFFFFF" w:themeFill="background1"/>
            <w:noWrap/>
            <w:hideMark/>
          </w:tcPr>
          <w:p w14:paraId="3EE4642A"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-0,6</w:t>
            </w:r>
          </w:p>
        </w:tc>
        <w:tc>
          <w:tcPr>
            <w:tcW w:w="707" w:type="pct"/>
            <w:shd w:val="clear" w:color="auto" w:fill="FFFFFF" w:themeFill="background1"/>
            <w:noWrap/>
            <w:hideMark/>
          </w:tcPr>
          <w:p w14:paraId="5AE3769F"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w:t>
            </w:r>
          </w:p>
        </w:tc>
      </w:tr>
      <w:tr w:rsidR="00333B2E" w:rsidRPr="00417419" w14:paraId="01FE65D3"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4269701C"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Фискална стратегија 2021–2023</w:t>
            </w:r>
          </w:p>
        </w:tc>
        <w:tc>
          <w:tcPr>
            <w:tcW w:w="707" w:type="pct"/>
            <w:shd w:val="clear" w:color="auto" w:fill="FFFFFF" w:themeFill="background1"/>
            <w:noWrap/>
            <w:hideMark/>
          </w:tcPr>
          <w:p w14:paraId="61FECA65"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06A777EF"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61B0CD3C"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56BE6697"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617288FE"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333B2E" w:rsidRPr="00417419" w14:paraId="30EA139B"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1794F232"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Приходи</w:t>
            </w:r>
          </w:p>
        </w:tc>
        <w:tc>
          <w:tcPr>
            <w:tcW w:w="707" w:type="pct"/>
            <w:shd w:val="clear" w:color="auto" w:fill="FFFFFF" w:themeFill="background1"/>
            <w:noWrap/>
            <w:hideMark/>
          </w:tcPr>
          <w:p w14:paraId="481C37E4"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42,1</w:t>
            </w:r>
          </w:p>
        </w:tc>
        <w:tc>
          <w:tcPr>
            <w:tcW w:w="707" w:type="pct"/>
            <w:shd w:val="clear" w:color="auto" w:fill="FFFFFF" w:themeFill="background1"/>
            <w:noWrap/>
            <w:hideMark/>
          </w:tcPr>
          <w:p w14:paraId="7D98FA7E"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40,3</w:t>
            </w:r>
          </w:p>
        </w:tc>
        <w:tc>
          <w:tcPr>
            <w:tcW w:w="707" w:type="pct"/>
            <w:shd w:val="clear" w:color="auto" w:fill="FFFFFF" w:themeFill="background1"/>
            <w:noWrap/>
            <w:hideMark/>
          </w:tcPr>
          <w:p w14:paraId="70CEBDB7" w14:textId="0BD31DD3" w:rsidR="00333B2E" w:rsidRPr="00DB116D" w:rsidRDefault="00711E47"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40,4</w:t>
            </w:r>
          </w:p>
        </w:tc>
        <w:tc>
          <w:tcPr>
            <w:tcW w:w="707" w:type="pct"/>
            <w:shd w:val="clear" w:color="auto" w:fill="FFFFFF" w:themeFill="background1"/>
            <w:noWrap/>
            <w:hideMark/>
          </w:tcPr>
          <w:p w14:paraId="4650FEC1"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40,5</w:t>
            </w:r>
          </w:p>
        </w:tc>
        <w:tc>
          <w:tcPr>
            <w:tcW w:w="707" w:type="pct"/>
            <w:shd w:val="clear" w:color="auto" w:fill="FFFFFF" w:themeFill="background1"/>
            <w:noWrap/>
            <w:hideMark/>
          </w:tcPr>
          <w:p w14:paraId="2C4A13E5"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39,7</w:t>
            </w:r>
          </w:p>
        </w:tc>
      </w:tr>
      <w:tr w:rsidR="00333B2E" w:rsidRPr="00417419" w14:paraId="0CFD4F73"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1EFEEBDD"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Расходи</w:t>
            </w:r>
          </w:p>
        </w:tc>
        <w:tc>
          <w:tcPr>
            <w:tcW w:w="707" w:type="pct"/>
            <w:shd w:val="clear" w:color="auto" w:fill="FFFFFF" w:themeFill="background1"/>
            <w:noWrap/>
            <w:hideMark/>
          </w:tcPr>
          <w:p w14:paraId="34AB4CDC"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42,3</w:t>
            </w:r>
          </w:p>
        </w:tc>
        <w:tc>
          <w:tcPr>
            <w:tcW w:w="707" w:type="pct"/>
            <w:shd w:val="clear" w:color="auto" w:fill="FFFFFF" w:themeFill="background1"/>
            <w:noWrap/>
            <w:hideMark/>
          </w:tcPr>
          <w:p w14:paraId="2AB06A04"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49,2</w:t>
            </w:r>
          </w:p>
        </w:tc>
        <w:tc>
          <w:tcPr>
            <w:tcW w:w="707" w:type="pct"/>
            <w:shd w:val="clear" w:color="auto" w:fill="FFFFFF" w:themeFill="background1"/>
            <w:noWrap/>
            <w:hideMark/>
          </w:tcPr>
          <w:p w14:paraId="4CDFE9FA" w14:textId="2F58D8D7" w:rsidR="00333B2E" w:rsidRPr="00DB116D" w:rsidRDefault="00711E47"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43,4</w:t>
            </w:r>
          </w:p>
        </w:tc>
        <w:tc>
          <w:tcPr>
            <w:tcW w:w="707" w:type="pct"/>
            <w:shd w:val="clear" w:color="auto" w:fill="FFFFFF" w:themeFill="background1"/>
            <w:noWrap/>
            <w:hideMark/>
          </w:tcPr>
          <w:p w14:paraId="45200372"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42,1</w:t>
            </w:r>
          </w:p>
        </w:tc>
        <w:tc>
          <w:tcPr>
            <w:tcW w:w="707" w:type="pct"/>
            <w:shd w:val="clear" w:color="auto" w:fill="FFFFFF" w:themeFill="background1"/>
            <w:noWrap/>
            <w:hideMark/>
          </w:tcPr>
          <w:p w14:paraId="78310E44"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40,7</w:t>
            </w:r>
          </w:p>
        </w:tc>
      </w:tr>
      <w:tr w:rsidR="00333B2E" w:rsidRPr="00417419" w14:paraId="17A857D4"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6CDDB548"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Резултат</w:t>
            </w:r>
          </w:p>
        </w:tc>
        <w:tc>
          <w:tcPr>
            <w:tcW w:w="707" w:type="pct"/>
            <w:shd w:val="clear" w:color="auto" w:fill="FFFFFF" w:themeFill="background1"/>
            <w:noWrap/>
            <w:hideMark/>
          </w:tcPr>
          <w:p w14:paraId="10808871"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-0,2</w:t>
            </w:r>
          </w:p>
        </w:tc>
        <w:tc>
          <w:tcPr>
            <w:tcW w:w="707" w:type="pct"/>
            <w:shd w:val="clear" w:color="auto" w:fill="FFFFFF" w:themeFill="background1"/>
            <w:noWrap/>
            <w:hideMark/>
          </w:tcPr>
          <w:p w14:paraId="2DFEFF24"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-8,9</w:t>
            </w:r>
          </w:p>
        </w:tc>
        <w:tc>
          <w:tcPr>
            <w:tcW w:w="707" w:type="pct"/>
            <w:shd w:val="clear" w:color="auto" w:fill="FFFFFF" w:themeFill="background1"/>
            <w:noWrap/>
            <w:hideMark/>
          </w:tcPr>
          <w:p w14:paraId="2A8EC260"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-3,0</w:t>
            </w:r>
          </w:p>
        </w:tc>
        <w:tc>
          <w:tcPr>
            <w:tcW w:w="707" w:type="pct"/>
            <w:shd w:val="clear" w:color="auto" w:fill="FFFFFF" w:themeFill="background1"/>
            <w:noWrap/>
            <w:hideMark/>
          </w:tcPr>
          <w:p w14:paraId="41C39C7D"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-1,6</w:t>
            </w:r>
          </w:p>
        </w:tc>
        <w:tc>
          <w:tcPr>
            <w:tcW w:w="707" w:type="pct"/>
            <w:shd w:val="clear" w:color="auto" w:fill="FFFFFF" w:themeFill="background1"/>
            <w:noWrap/>
            <w:hideMark/>
          </w:tcPr>
          <w:p w14:paraId="0857496C"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color w:val="002060"/>
                <w:sz w:val="18"/>
                <w:szCs w:val="18"/>
                <w:lang w:val="sr-Cyrl-RS"/>
              </w:rPr>
              <w:t>-1,0</w:t>
            </w:r>
          </w:p>
        </w:tc>
      </w:tr>
      <w:tr w:rsidR="00333B2E" w:rsidRPr="00417419" w14:paraId="1AC6A5A4"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303E1E35"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Разлика</w:t>
            </w:r>
          </w:p>
        </w:tc>
        <w:tc>
          <w:tcPr>
            <w:tcW w:w="707" w:type="pct"/>
            <w:shd w:val="clear" w:color="auto" w:fill="FFFFFF" w:themeFill="background1"/>
            <w:noWrap/>
            <w:hideMark/>
          </w:tcPr>
          <w:p w14:paraId="5A19A7F3"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254D072C"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1718DA0F"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2F723855"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07" w:type="pct"/>
            <w:shd w:val="clear" w:color="auto" w:fill="FFFFFF" w:themeFill="background1"/>
            <w:noWrap/>
            <w:hideMark/>
          </w:tcPr>
          <w:p w14:paraId="4BE7E846"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333B2E" w:rsidRPr="00417419" w14:paraId="7315F387"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51CD40BF"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Приходи</w:t>
            </w:r>
          </w:p>
        </w:tc>
        <w:tc>
          <w:tcPr>
            <w:tcW w:w="707" w:type="pct"/>
            <w:shd w:val="clear" w:color="auto" w:fill="FFFFFF" w:themeFill="background1"/>
            <w:noWrap/>
            <w:hideMark/>
          </w:tcPr>
          <w:p w14:paraId="4A39B3C1"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0,7</w:t>
            </w:r>
          </w:p>
        </w:tc>
        <w:tc>
          <w:tcPr>
            <w:tcW w:w="707" w:type="pct"/>
            <w:shd w:val="clear" w:color="auto" w:fill="FFFFFF" w:themeFill="background1"/>
            <w:noWrap/>
            <w:hideMark/>
          </w:tcPr>
          <w:p w14:paraId="22B1E12F"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-2,1</w:t>
            </w:r>
          </w:p>
        </w:tc>
        <w:tc>
          <w:tcPr>
            <w:tcW w:w="707" w:type="pct"/>
            <w:shd w:val="clear" w:color="auto" w:fill="FFFFFF" w:themeFill="background1"/>
            <w:noWrap/>
            <w:hideMark/>
          </w:tcPr>
          <w:p w14:paraId="1D189B66" w14:textId="51A2B844" w:rsidR="00333B2E" w:rsidRPr="00DB116D" w:rsidRDefault="00711E47"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-0,7</w:t>
            </w:r>
          </w:p>
        </w:tc>
        <w:tc>
          <w:tcPr>
            <w:tcW w:w="707" w:type="pct"/>
            <w:shd w:val="clear" w:color="auto" w:fill="FFFFFF" w:themeFill="background1"/>
            <w:noWrap/>
            <w:hideMark/>
          </w:tcPr>
          <w:p w14:paraId="540E4AEE"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-0,2</w:t>
            </w:r>
          </w:p>
        </w:tc>
        <w:tc>
          <w:tcPr>
            <w:tcW w:w="707" w:type="pct"/>
            <w:shd w:val="clear" w:color="auto" w:fill="FFFFFF" w:themeFill="background1"/>
            <w:noWrap/>
            <w:hideMark/>
          </w:tcPr>
          <w:p w14:paraId="435D731D"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w:t>
            </w:r>
          </w:p>
        </w:tc>
      </w:tr>
      <w:tr w:rsidR="00333B2E" w:rsidRPr="00417419" w14:paraId="43EB9247"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bottom w:val="nil"/>
            </w:tcBorders>
            <w:shd w:val="clear" w:color="auto" w:fill="FFFFFF" w:themeFill="background1"/>
            <w:noWrap/>
            <w:hideMark/>
          </w:tcPr>
          <w:p w14:paraId="2C2C73A3"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Расходи</w:t>
            </w:r>
          </w:p>
        </w:tc>
        <w:tc>
          <w:tcPr>
            <w:tcW w:w="707" w:type="pct"/>
            <w:tcBorders>
              <w:bottom w:val="nil"/>
            </w:tcBorders>
            <w:shd w:val="clear" w:color="auto" w:fill="FFFFFF" w:themeFill="background1"/>
            <w:noWrap/>
            <w:hideMark/>
          </w:tcPr>
          <w:p w14:paraId="405CF5C7"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0,4</w:t>
            </w:r>
          </w:p>
        </w:tc>
        <w:tc>
          <w:tcPr>
            <w:tcW w:w="707" w:type="pct"/>
            <w:tcBorders>
              <w:bottom w:val="nil"/>
            </w:tcBorders>
            <w:shd w:val="clear" w:color="auto" w:fill="FFFFFF" w:themeFill="background1"/>
            <w:noWrap/>
            <w:hideMark/>
          </w:tcPr>
          <w:p w14:paraId="494DAAA9"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6,3</w:t>
            </w:r>
          </w:p>
        </w:tc>
        <w:tc>
          <w:tcPr>
            <w:tcW w:w="707" w:type="pct"/>
            <w:tcBorders>
              <w:bottom w:val="nil"/>
            </w:tcBorders>
            <w:shd w:val="clear" w:color="auto" w:fill="FFFFFF" w:themeFill="background1"/>
            <w:noWrap/>
            <w:hideMark/>
          </w:tcPr>
          <w:p w14:paraId="4398E74B" w14:textId="712A3778" w:rsidR="00333B2E" w:rsidRPr="00DB116D" w:rsidRDefault="00711E47"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1,7</w:t>
            </w:r>
          </w:p>
        </w:tc>
        <w:tc>
          <w:tcPr>
            <w:tcW w:w="707" w:type="pct"/>
            <w:tcBorders>
              <w:bottom w:val="nil"/>
            </w:tcBorders>
            <w:shd w:val="clear" w:color="auto" w:fill="FFFFFF" w:themeFill="background1"/>
            <w:noWrap/>
            <w:hideMark/>
          </w:tcPr>
          <w:p w14:paraId="5BEDF02D"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0,8</w:t>
            </w:r>
          </w:p>
        </w:tc>
        <w:tc>
          <w:tcPr>
            <w:tcW w:w="707" w:type="pct"/>
            <w:tcBorders>
              <w:bottom w:val="nil"/>
            </w:tcBorders>
            <w:shd w:val="clear" w:color="auto" w:fill="FFFFFF" w:themeFill="background1"/>
            <w:noWrap/>
            <w:hideMark/>
          </w:tcPr>
          <w:p w14:paraId="5223D692" w14:textId="77777777" w:rsidR="00333B2E" w:rsidRPr="00DB116D" w:rsidRDefault="00333B2E" w:rsidP="00C130D2">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w:t>
            </w:r>
          </w:p>
        </w:tc>
      </w:tr>
      <w:tr w:rsidR="00333B2E" w:rsidRPr="00417419" w14:paraId="75D083CB"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nil"/>
              <w:bottom w:val="single" w:sz="4" w:space="0" w:color="002060"/>
            </w:tcBorders>
            <w:shd w:val="clear" w:color="auto" w:fill="FFFFFF" w:themeFill="background1"/>
            <w:noWrap/>
            <w:hideMark/>
          </w:tcPr>
          <w:p w14:paraId="3F579592" w14:textId="77777777" w:rsidR="00333B2E" w:rsidRPr="00DB116D" w:rsidRDefault="00333B2E" w:rsidP="00C130D2">
            <w:pPr>
              <w:keepNext/>
              <w:widowControl w:val="0"/>
              <w:shd w:val="clear" w:color="auto" w:fill="FFFFFF" w:themeFill="background1"/>
              <w:spacing w:line="276" w:lineRule="auto"/>
              <w:rPr>
                <w:rFonts w:eastAsia="Times New Roman" w:cstheme="minorHAnsi"/>
                <w:b w:val="0"/>
                <w:color w:val="002060"/>
                <w:sz w:val="18"/>
                <w:szCs w:val="18"/>
                <w:lang w:val="sr-Cyrl-RS"/>
              </w:rPr>
            </w:pPr>
            <w:r w:rsidRPr="00DB116D">
              <w:rPr>
                <w:rFonts w:eastAsia="Times New Roman" w:cstheme="minorHAnsi"/>
                <w:b w:val="0"/>
                <w:color w:val="002060"/>
                <w:sz w:val="18"/>
                <w:szCs w:val="18"/>
                <w:lang w:val="sr-Cyrl-RS"/>
              </w:rPr>
              <w:t>Резултат</w:t>
            </w:r>
          </w:p>
        </w:tc>
        <w:tc>
          <w:tcPr>
            <w:tcW w:w="707" w:type="pct"/>
            <w:tcBorders>
              <w:top w:val="nil"/>
              <w:bottom w:val="single" w:sz="4" w:space="0" w:color="002060"/>
            </w:tcBorders>
            <w:shd w:val="clear" w:color="auto" w:fill="FFFFFF" w:themeFill="background1"/>
            <w:noWrap/>
            <w:hideMark/>
          </w:tcPr>
          <w:p w14:paraId="1E11CB79"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0,3</w:t>
            </w:r>
          </w:p>
        </w:tc>
        <w:tc>
          <w:tcPr>
            <w:tcW w:w="707" w:type="pct"/>
            <w:tcBorders>
              <w:top w:val="nil"/>
              <w:bottom w:val="single" w:sz="4" w:space="0" w:color="002060"/>
            </w:tcBorders>
            <w:shd w:val="clear" w:color="auto" w:fill="FFFFFF" w:themeFill="background1"/>
            <w:noWrap/>
            <w:hideMark/>
          </w:tcPr>
          <w:p w14:paraId="2BB794BC"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-8,4</w:t>
            </w:r>
          </w:p>
        </w:tc>
        <w:tc>
          <w:tcPr>
            <w:tcW w:w="707" w:type="pct"/>
            <w:tcBorders>
              <w:top w:val="nil"/>
              <w:bottom w:val="single" w:sz="4" w:space="0" w:color="002060"/>
            </w:tcBorders>
            <w:shd w:val="clear" w:color="auto" w:fill="FFFFFF" w:themeFill="background1"/>
            <w:noWrap/>
            <w:hideMark/>
          </w:tcPr>
          <w:p w14:paraId="3CD1B77B"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-2,4</w:t>
            </w:r>
          </w:p>
        </w:tc>
        <w:tc>
          <w:tcPr>
            <w:tcW w:w="707" w:type="pct"/>
            <w:tcBorders>
              <w:top w:val="nil"/>
              <w:bottom w:val="single" w:sz="4" w:space="0" w:color="002060"/>
            </w:tcBorders>
            <w:shd w:val="clear" w:color="auto" w:fill="FFFFFF" w:themeFill="background1"/>
            <w:noWrap/>
            <w:hideMark/>
          </w:tcPr>
          <w:p w14:paraId="5478B297" w14:textId="77777777" w:rsidR="00333B2E" w:rsidRPr="00DB116D" w:rsidRDefault="00333B2E" w:rsidP="005D42AC">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-1,0</w:t>
            </w:r>
          </w:p>
        </w:tc>
        <w:tc>
          <w:tcPr>
            <w:tcW w:w="707" w:type="pct"/>
            <w:tcBorders>
              <w:top w:val="nil"/>
              <w:bottom w:val="single" w:sz="4" w:space="0" w:color="002060"/>
            </w:tcBorders>
            <w:shd w:val="clear" w:color="auto" w:fill="FFFFFF" w:themeFill="background1"/>
            <w:noWrap/>
            <w:hideMark/>
          </w:tcPr>
          <w:p w14:paraId="35681A95" w14:textId="77777777" w:rsidR="00333B2E" w:rsidRPr="00DB116D" w:rsidRDefault="00333B2E" w:rsidP="00C130D2">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DB116D">
              <w:rPr>
                <w:rFonts w:eastAsia="Times New Roman" w:cstheme="minorHAnsi"/>
                <w:bCs/>
                <w:color w:val="002060"/>
                <w:sz w:val="18"/>
                <w:szCs w:val="18"/>
                <w:lang w:val="sr-Cyrl-RS"/>
              </w:rPr>
              <w:t>–</w:t>
            </w:r>
          </w:p>
        </w:tc>
      </w:tr>
    </w:tbl>
    <w:p w14:paraId="5B5CEF64" w14:textId="77777777" w:rsidR="00333B2E" w:rsidRPr="00EA3D8C" w:rsidRDefault="00333B2E" w:rsidP="00783F09">
      <w:pPr>
        <w:spacing w:before="40" w:after="120" w:line="276" w:lineRule="auto"/>
        <w:rPr>
          <w:rFonts w:cstheme="minorHAnsi"/>
          <w:sz w:val="16"/>
          <w:szCs w:val="20"/>
          <w:lang w:val="sr-Cyrl-RS"/>
        </w:rPr>
      </w:pPr>
      <w:r w:rsidRPr="00EA3D8C">
        <w:rPr>
          <w:rFonts w:eastAsia="Calibri" w:cstheme="minorHAnsi"/>
          <w:bCs/>
          <w:sz w:val="16"/>
          <w:szCs w:val="20"/>
          <w:lang w:val="sr-Cyrl-RS" w:eastAsia="ja-JP"/>
        </w:rPr>
        <w:t xml:space="preserve">Извор: </w:t>
      </w:r>
      <w:r w:rsidRPr="00EA3D8C">
        <w:rPr>
          <w:rFonts w:cstheme="minorHAnsi"/>
          <w:sz w:val="16"/>
          <w:szCs w:val="20"/>
          <w:lang w:val="sr-Cyrl-RS"/>
        </w:rPr>
        <w:t>Министарство финансија</w:t>
      </w:r>
    </w:p>
    <w:p w14:paraId="1758B7DB" w14:textId="77777777" w:rsidR="00333B2E" w:rsidRPr="00EA3D8C" w:rsidRDefault="00333B2E" w:rsidP="00E255B2">
      <w:pPr>
        <w:spacing w:line="276" w:lineRule="auto"/>
        <w:rPr>
          <w:rFonts w:cstheme="minorHAnsi"/>
          <w:bCs/>
          <w:szCs w:val="20"/>
          <w:lang w:val="sr-Cyrl-RS"/>
        </w:rPr>
        <w:sectPr w:rsidR="00333B2E" w:rsidRPr="00EA3D8C" w:rsidSect="00AE40EB">
          <w:type w:val="continuous"/>
          <w:pgSz w:w="12240" w:h="15840" w:code="1"/>
          <w:pgMar w:top="1440" w:right="1440" w:bottom="1440" w:left="1440" w:header="720" w:footer="720" w:gutter="0"/>
          <w:cols w:space="720"/>
          <w:docGrid w:linePitch="360"/>
        </w:sectPr>
      </w:pPr>
    </w:p>
    <w:p w14:paraId="44D03396" w14:textId="17746DD4" w:rsidR="00FE1A26" w:rsidRPr="00EA3D8C" w:rsidRDefault="00FE1A26" w:rsidP="00E255B2">
      <w:pPr>
        <w:rPr>
          <w:lang w:val="sr-Cyrl-RS" w:eastAsia="ja-JP"/>
        </w:rPr>
        <w:sectPr w:rsidR="00FE1A26" w:rsidRPr="00EA3D8C" w:rsidSect="00AE40EB">
          <w:headerReference w:type="even" r:id="rId140"/>
          <w:headerReference w:type="default" r:id="rId141"/>
          <w:footerReference w:type="even" r:id="rId142"/>
          <w:footerReference w:type="default" r:id="rId143"/>
          <w:headerReference w:type="first" r:id="rId144"/>
          <w:type w:val="continuous"/>
          <w:pgSz w:w="12240" w:h="15840" w:code="1"/>
          <w:pgMar w:top="1440" w:right="1440" w:bottom="1440" w:left="1440" w:header="720" w:footer="720" w:gutter="0"/>
          <w:cols w:space="720"/>
          <w:docGrid w:linePitch="360"/>
        </w:sectPr>
      </w:pPr>
      <w:bookmarkStart w:id="27" w:name="_Toc499650053"/>
      <w:bookmarkStart w:id="28" w:name="_Toc530635109"/>
      <w:bookmarkStart w:id="29" w:name="_Toc11155995"/>
    </w:p>
    <w:p w14:paraId="0257EB12" w14:textId="77777777" w:rsidR="00FE1A26" w:rsidRPr="00EA3D8C" w:rsidRDefault="00FE1A26" w:rsidP="00E255B2">
      <w:pPr>
        <w:keepNext/>
        <w:keepLines/>
        <w:spacing w:after="120"/>
        <w:jc w:val="center"/>
        <w:outlineLvl w:val="1"/>
        <w:rPr>
          <w:rFonts w:eastAsia="MS PGothic" w:cstheme="minorHAnsi"/>
          <w:b/>
          <w:color w:val="2F5496" w:themeColor="accent1" w:themeShade="BF"/>
          <w:sz w:val="24"/>
          <w:szCs w:val="26"/>
          <w:lang w:val="sr-Cyrl-RS" w:eastAsia="ja-JP"/>
        </w:rPr>
      </w:pPr>
      <w:bookmarkStart w:id="30" w:name="_Toc23342469"/>
      <w:bookmarkStart w:id="31" w:name="_Toc56667079"/>
      <w:r w:rsidRPr="00EA3D8C">
        <w:rPr>
          <w:rFonts w:eastAsia="MS PGothic" w:cstheme="minorHAnsi"/>
          <w:b/>
          <w:color w:val="2F5496" w:themeColor="accent1" w:themeShade="BF"/>
          <w:sz w:val="24"/>
          <w:szCs w:val="26"/>
          <w:lang w:val="sr-Cyrl-RS" w:eastAsia="ja-JP"/>
        </w:rPr>
        <w:lastRenderedPageBreak/>
        <w:t>5. Фискални ризици</w:t>
      </w:r>
      <w:bookmarkEnd w:id="30"/>
      <w:bookmarkEnd w:id="31"/>
    </w:p>
    <w:p w14:paraId="36E52C17" w14:textId="77777777" w:rsidR="003F3C4D" w:rsidRPr="00EA3D8C" w:rsidRDefault="003F3C4D" w:rsidP="00FE1A26">
      <w:pPr>
        <w:spacing w:after="120" w:line="276" w:lineRule="auto"/>
        <w:rPr>
          <w:rFonts w:eastAsia="MS PGothic" w:cstheme="minorHAnsi"/>
          <w:szCs w:val="20"/>
          <w:lang w:val="sr-Cyrl-RS" w:eastAsia="ja-JP"/>
        </w:rPr>
        <w:sectPr w:rsidR="003F3C4D" w:rsidRPr="00EA3D8C" w:rsidSect="00AE40EB">
          <w:headerReference w:type="even" r:id="rId145"/>
          <w:headerReference w:type="default" r:id="rId146"/>
          <w:footerReference w:type="even" r:id="rId147"/>
          <w:footerReference w:type="default" r:id="rId148"/>
          <w:headerReference w:type="first" r:id="rId149"/>
          <w:pgSz w:w="12240" w:h="15840" w:code="1"/>
          <w:pgMar w:top="1440" w:right="1440" w:bottom="1440" w:left="1440" w:header="720" w:footer="720" w:gutter="0"/>
          <w:cols w:space="720"/>
          <w:docGrid w:linePitch="360"/>
        </w:sectPr>
      </w:pPr>
    </w:p>
    <w:p w14:paraId="4CEB60A7" w14:textId="27C7CBE1"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lastRenderedPageBreak/>
        <w:t>Република Србија је као и већина земаља у свету у 2020. години погођена здравственом али и економском кризом, изазваном пандемијом вируса SARS-Cov-2. Економска криза је у врло кратком времену обухватила глобалну агрегатну понуду и агрегатну тражњу, захваљујући, између осталог, високом степену међузависности глобалне економије. Поједини сектори, попут угоститељства, туризма, авиопревоза, али и низа различитих услуга готово преко ноћи су морали у потпуности да обуставе рад, како би се смањило, односно успорило ширење вируса. Пандемија је ограничила или зауставила производњу, што због прекинутих ланаца снабдевања и недостатка сировина, што због немогућности да се производња организује на, са епидемиолошког гледишта, безбедан начин.</w:t>
      </w:r>
    </w:p>
    <w:p w14:paraId="7CE7CDD6"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Као одговор на економску кризу изазвану пандемијом вируса SARS-CoV-2 Република Србија је реаговала снажним интервентним мерама. У циљу отклањања штетних последица услед болести COVID-19, донет је свеобухватни пакет економских мера са циљем смањења незапослености и очувања ликвидности предузећа, одржавања инвестиционих улагања, опстанка појединих секторских грана (туризам, пољопривреда, итд.). Обезбеђена је помоћ одређеним категоријама становништва (пензионери, здравствени радници), као и исплата директног давања свим пунолетним грађанима.</w:t>
      </w:r>
    </w:p>
    <w:p w14:paraId="63D087DF"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Као средњорочни циљ фискалне политике Влада је дефинисала низак и одржив дефицит од 0,5% БДП, који обезбеђује даље смањење јавног дуга. У претходном периоду успешно је спроведен програм фискалне консолидације, обезбеђена је стабилност јавних финансија и као циљ фискалне политике у наредном периоду дефинисано је одржање фискалне стабилности, уз спровођење мера које би пружиле подршку привредном расту. У неизвесним околностима, посебна пажња мора се посветити управљању фискалним ризицима чија реализација може угрозити остварење постављеног средњорочног циља фискалне политике. Управо у овој години, у циљу пре свега подршке у функционисању и обезбеђивању потребних капацитета у јавном здравству, али и </w:t>
      </w:r>
      <w:r w:rsidRPr="00EA3D8C">
        <w:rPr>
          <w:rFonts w:eastAsia="MS PGothic" w:cstheme="minorHAnsi"/>
          <w:szCs w:val="20"/>
          <w:lang w:val="sr-Cyrl-RS" w:eastAsia="ja-JP"/>
        </w:rPr>
        <w:lastRenderedPageBreak/>
        <w:t>отклањању штетних економских последица пандемије дошло је до драстичног једнократног одступања од средњорочног циљаног дефицита за око 8,4 п.п.</w:t>
      </w:r>
    </w:p>
    <w:p w14:paraId="51F95D0A"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 наредном периоду, након једнократног одступања, очекује се постепени повратак на одрживи ниво дефицита, те наставак опадајуће путање јавног дуга у БДП.</w:t>
      </w:r>
    </w:p>
    <w:p w14:paraId="6673191B"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6896FDCB"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У претходној деценији Република Србија суочила се са реализацијом бројних ризика који су озбиљно угрозили њену фискалну позицију. Финансијска криза и рецесија погоршале су стање јавних финансија, узрокујући високе дефиците и убрзан раст јавног дуга. Глобална финансијска криза, као спољни фактор, активирала је и унутрашње ризике, те су отплате по основу гарантованих кредита, извршења судских одлука, решавања питања државних финансијских институција и преузимање обавеза јавних предузећа у јавни дуг, додатно погоршали фискалну позицију. Република Србија се у 2014. години суочила и са катастрофалним последицама поплава. Укупна штета (са губицима) процењена је </w:t>
      </w:r>
      <w:r w:rsidRPr="00EA3D8C">
        <w:rPr>
          <w:rFonts w:eastAsia="MS PGothic" w:cstheme="minorHAnsi"/>
          <w:szCs w:val="20"/>
          <w:lang w:val="sr-Cyrl-RS" w:eastAsia="ja-JP"/>
        </w:rPr>
        <w:lastRenderedPageBreak/>
        <w:t>на више од 1,7 млрд евра</w:t>
      </w:r>
      <w:r w:rsidRPr="00EA3D8C">
        <w:rPr>
          <w:rFonts w:eastAsia="MS PGothic" w:cstheme="minorHAnsi"/>
          <w:szCs w:val="20"/>
          <w:vertAlign w:val="superscript"/>
          <w:lang w:val="sr-Cyrl-RS" w:eastAsia="ja-JP"/>
        </w:rPr>
        <w:footnoteReference w:id="6"/>
      </w:r>
      <w:r w:rsidRPr="00EA3D8C">
        <w:rPr>
          <w:rFonts w:eastAsia="MS PGothic" w:cstheme="minorHAnsi"/>
          <w:szCs w:val="20"/>
          <w:lang w:val="sr-Cyrl-RS" w:eastAsia="ja-JP"/>
        </w:rPr>
        <w:t>. Имајући у виду претходно искуство и значајно погоршање фискалне позиције изазвано материјализацијом наведених фискалних ризика, од одлучујућег је значаја повратак на одрживи ниво дефицита, након кризе изазване пандемијом.</w:t>
      </w:r>
    </w:p>
    <w:p w14:paraId="03933E8D"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Организациона јединица за управљање фискалним ризицима у Министарству финансија основана је са циљем да ради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42D3469E" w14:textId="77777777" w:rsidR="00FE1A26" w:rsidRPr="00EA3D8C" w:rsidRDefault="00FE1A26" w:rsidP="002D1432">
      <w:pPr>
        <w:jc w:val="left"/>
        <w:rPr>
          <w:b/>
          <w:color w:val="2F5496" w:themeColor="accent1" w:themeShade="BF"/>
          <w:sz w:val="22"/>
          <w:szCs w:val="24"/>
          <w:lang w:val="sr-Cyrl-RS"/>
        </w:rPr>
      </w:pPr>
      <w:r w:rsidRPr="00EA3D8C">
        <w:rPr>
          <w:b/>
          <w:color w:val="2F5496" w:themeColor="accent1" w:themeShade="BF"/>
          <w:sz w:val="22"/>
          <w:szCs w:val="24"/>
          <w:lang w:val="sr-Cyrl-RS"/>
        </w:rPr>
        <w:t>Државне гаранције</w:t>
      </w:r>
    </w:p>
    <w:p w14:paraId="3E48F95C"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 део индиректних обавеза и у укупном износу </w:t>
      </w:r>
      <w:r w:rsidRPr="00EA3D8C">
        <w:rPr>
          <w:rFonts w:eastAsia="MS PGothic" w:cstheme="minorHAnsi"/>
          <w:szCs w:val="20"/>
          <w:lang w:val="sr-Cyrl-RS" w:eastAsia="ja-JP"/>
        </w:rPr>
        <w:lastRenderedPageBreak/>
        <w:t>се укључују у јавни дуг</w:t>
      </w:r>
      <w:r w:rsidRPr="00EA3D8C">
        <w:rPr>
          <w:rFonts w:eastAsia="MS PGothic" w:cstheme="minorHAnsi"/>
          <w:szCs w:val="20"/>
          <w:vertAlign w:val="superscript"/>
          <w:lang w:val="sr-Cyrl-RS" w:eastAsia="ja-JP"/>
        </w:rPr>
        <w:footnoteReference w:id="7"/>
      </w:r>
      <w:r w:rsidRPr="00EA3D8C">
        <w:rPr>
          <w:rFonts w:eastAsia="MS PGothic" w:cstheme="minorHAnsi"/>
          <w:szCs w:val="20"/>
          <w:lang w:val="sr-Cyrl-RS" w:eastAsia="ja-JP"/>
        </w:rPr>
        <w:t>.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6,2% у укупном јавном дугу, према националној методологији, на крају 2019. године. Учешће ових обавеза у јавном дугу опада и у текућој години, те на крају септембра 2020. године оне чине 5,3 укупног јавног дуга. Највеће учешће ових обавеза у јавном дугу, нешто изнад 14% у просеку забележено је између 2009. и 2013. године.</w:t>
      </w:r>
    </w:p>
    <w:p w14:paraId="10930FB9" w14:textId="77777777" w:rsidR="00FE1A26" w:rsidRPr="00EA3D8C" w:rsidRDefault="00FE1A26" w:rsidP="00A5233F">
      <w:pPr>
        <w:jc w:val="left"/>
        <w:rPr>
          <w:b/>
          <w:color w:val="2F5496" w:themeColor="accent1" w:themeShade="BF"/>
          <w:sz w:val="22"/>
          <w:szCs w:val="24"/>
          <w:lang w:val="sr-Cyrl-RS"/>
        </w:rPr>
      </w:pPr>
      <w:r w:rsidRPr="00EA3D8C">
        <w:rPr>
          <w:b/>
          <w:color w:val="2F5496" w:themeColor="accent1" w:themeShade="BF"/>
          <w:sz w:val="22"/>
          <w:szCs w:val="24"/>
          <w:lang w:val="sr-Cyrl-RS"/>
        </w:rPr>
        <w:t>Учешће индиректног дуга у укупном јавном дугу Републике Србије</w:t>
      </w:r>
    </w:p>
    <w:p w14:paraId="236ADBBF" w14:textId="77777777" w:rsidR="003F3C4D" w:rsidRPr="00EA3D8C" w:rsidRDefault="00FE1A26" w:rsidP="002D1432">
      <w:pPr>
        <w:rPr>
          <w:lang w:val="sr-Cyrl-RS"/>
        </w:rPr>
        <w:sectPr w:rsidR="003F3C4D" w:rsidRPr="00EA3D8C" w:rsidSect="00AE40EB">
          <w:type w:val="continuous"/>
          <w:pgSz w:w="12240" w:h="15840" w:code="1"/>
          <w:pgMar w:top="1440" w:right="1440" w:bottom="1440" w:left="1440" w:header="720" w:footer="720" w:gutter="0"/>
          <w:cols w:num="2" w:space="720"/>
          <w:docGrid w:linePitch="360"/>
          <w15:footnoteColumns w:val="1"/>
        </w:sectPr>
      </w:pPr>
      <w:r w:rsidRPr="00EA3D8C">
        <w:rPr>
          <w:rFonts w:eastAsia="MS PGothic" w:cstheme="minorHAnsi"/>
          <w:szCs w:val="20"/>
          <w:lang w:val="sr-Cyrl-RS" w:eastAsia="ja-JP"/>
        </w:rPr>
        <w:t>На крају 2019. године стање дуга по основу издатих гаранција износило је 1,488 млрд евра, односно 3,2% БДП. Стање дуга по овом основу смањено је за близу 36 милиона евра у односу на крај 2018. године. До септембра текуће године стање дуга по гаранцијама смањено је за 79 милиона евра, у односу на крај 2019. године и износи 1,409 млрд евра на дан 30.09.2020. године.</w:t>
      </w:r>
      <w:r w:rsidRPr="00EA3D8C">
        <w:rPr>
          <w:lang w:val="sr-Cyrl-RS"/>
        </w:rPr>
        <w:t xml:space="preserve"> </w:t>
      </w:r>
      <w:r w:rsidRPr="00EA3D8C">
        <w:rPr>
          <w:noProof/>
        </w:rPr>
        <w:drawing>
          <wp:inline distT="0" distB="0" distL="0" distR="0" wp14:anchorId="58BF3F4C" wp14:editId="47885436">
            <wp:extent cx="2756848" cy="1911350"/>
            <wp:effectExtent l="0" t="0" r="571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803274" cy="1943538"/>
                    </a:xfrm>
                    <a:prstGeom prst="rect">
                      <a:avLst/>
                    </a:prstGeom>
                    <a:noFill/>
                    <a:ln>
                      <a:noFill/>
                    </a:ln>
                  </pic:spPr>
                </pic:pic>
              </a:graphicData>
            </a:graphic>
          </wp:inline>
        </w:drawing>
      </w:r>
    </w:p>
    <w:p w14:paraId="74CEE2C0" w14:textId="76D6A452" w:rsidR="00FE1A26" w:rsidRPr="00EA3D8C" w:rsidRDefault="00FE1A26" w:rsidP="00FE1A26">
      <w:pPr>
        <w:spacing w:after="120" w:line="276" w:lineRule="auto"/>
        <w:rPr>
          <w:rFonts w:eastAsia="MS PGothic" w:cstheme="minorHAnsi"/>
          <w:szCs w:val="20"/>
          <w:lang w:val="sr-Cyrl-RS" w:eastAsia="ja-JP"/>
        </w:rPr>
        <w:sectPr w:rsidR="00FE1A26" w:rsidRPr="00EA3D8C" w:rsidSect="00AE40EB">
          <w:type w:val="continuous"/>
          <w:pgSz w:w="12240" w:h="15840" w:code="1"/>
          <w:pgMar w:top="1440" w:right="1440" w:bottom="1440" w:left="1440" w:header="720" w:footer="720" w:gutter="0"/>
          <w:cols w:num="2" w:space="720"/>
          <w:docGrid w:linePitch="360"/>
        </w:sectPr>
      </w:pPr>
    </w:p>
    <w:p w14:paraId="3F3E55DE" w14:textId="5E7D141D" w:rsidR="00FE1A26" w:rsidRPr="00EA3D8C" w:rsidRDefault="00EC4017" w:rsidP="00FE1A26">
      <w:pPr>
        <w:spacing w:line="240"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13</w:t>
      </w:r>
      <w:r w:rsidR="00FE1A26" w:rsidRPr="00EA3D8C">
        <w:rPr>
          <w:rFonts w:eastAsia="MS PGothic" w:cstheme="minorHAnsi"/>
          <w:b/>
          <w:color w:val="002060"/>
          <w:szCs w:val="20"/>
          <w:lang w:val="sr-Cyrl-RS" w:eastAsia="ja-JP"/>
        </w:rPr>
        <w:t>. Стање дуга по основу издатих гаранција у мил. евра</w:t>
      </w:r>
    </w:p>
    <w:tbl>
      <w:tblPr>
        <w:tblW w:w="9356" w:type="dxa"/>
        <w:tblLook w:val="04A0" w:firstRow="1" w:lastRow="0" w:firstColumn="1" w:lastColumn="0" w:noHBand="0" w:noVBand="1"/>
      </w:tblPr>
      <w:tblGrid>
        <w:gridCol w:w="7088"/>
        <w:gridCol w:w="2268"/>
      </w:tblGrid>
      <w:tr w:rsidR="00FE1A26" w:rsidRPr="00EA3D8C" w14:paraId="00C49563" w14:textId="77777777" w:rsidTr="003B33D2">
        <w:trPr>
          <w:trHeight w:val="20"/>
        </w:trPr>
        <w:tc>
          <w:tcPr>
            <w:tcW w:w="7088" w:type="dxa"/>
            <w:tcBorders>
              <w:top w:val="single" w:sz="4" w:space="0" w:color="002060"/>
              <w:left w:val="nil"/>
              <w:bottom w:val="single" w:sz="4" w:space="0" w:color="002060"/>
              <w:right w:val="nil"/>
            </w:tcBorders>
            <w:shd w:val="clear" w:color="auto" w:fill="auto"/>
            <w:noWrap/>
            <w:vAlign w:val="center"/>
            <w:hideMark/>
          </w:tcPr>
          <w:p w14:paraId="55710A34"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Корисник</w:t>
            </w:r>
          </w:p>
        </w:tc>
        <w:tc>
          <w:tcPr>
            <w:tcW w:w="2268" w:type="dxa"/>
            <w:tcBorders>
              <w:top w:val="single" w:sz="4" w:space="0" w:color="002060"/>
              <w:left w:val="nil"/>
              <w:bottom w:val="single" w:sz="4" w:space="0" w:color="002060"/>
              <w:right w:val="nil"/>
            </w:tcBorders>
            <w:shd w:val="clear" w:color="auto" w:fill="auto"/>
            <w:vAlign w:val="center"/>
            <w:hideMark/>
          </w:tcPr>
          <w:p w14:paraId="6CA13D96"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30.9.2020.</w:t>
            </w:r>
          </w:p>
        </w:tc>
      </w:tr>
      <w:tr w:rsidR="00FE1A26" w:rsidRPr="00EA3D8C" w14:paraId="47ADB2DA" w14:textId="77777777" w:rsidTr="003B33D2">
        <w:trPr>
          <w:trHeight w:val="20"/>
        </w:trPr>
        <w:tc>
          <w:tcPr>
            <w:tcW w:w="7088" w:type="dxa"/>
            <w:tcBorders>
              <w:top w:val="single" w:sz="4" w:space="0" w:color="002060"/>
              <w:left w:val="nil"/>
              <w:bottom w:val="nil"/>
              <w:right w:val="nil"/>
            </w:tcBorders>
            <w:shd w:val="clear" w:color="auto" w:fill="auto"/>
            <w:noWrap/>
            <w:vAlign w:val="center"/>
            <w:hideMark/>
          </w:tcPr>
          <w:p w14:paraId="10A3AE0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 xml:space="preserve">ЈП „Србијагас” </w:t>
            </w:r>
          </w:p>
        </w:tc>
        <w:tc>
          <w:tcPr>
            <w:tcW w:w="2268" w:type="dxa"/>
            <w:tcBorders>
              <w:top w:val="single" w:sz="4" w:space="0" w:color="002060"/>
              <w:left w:val="nil"/>
              <w:bottom w:val="nil"/>
              <w:right w:val="nil"/>
            </w:tcBorders>
            <w:shd w:val="clear" w:color="auto" w:fill="auto"/>
            <w:noWrap/>
            <w:vAlign w:val="center"/>
            <w:hideMark/>
          </w:tcPr>
          <w:p w14:paraId="72587C83"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180,5</w:t>
            </w:r>
          </w:p>
        </w:tc>
      </w:tr>
      <w:tr w:rsidR="00FE1A26" w:rsidRPr="00EA3D8C" w14:paraId="72B1FD16" w14:textId="77777777" w:rsidTr="00455EB5">
        <w:trPr>
          <w:trHeight w:val="20"/>
        </w:trPr>
        <w:tc>
          <w:tcPr>
            <w:tcW w:w="7088" w:type="dxa"/>
            <w:tcBorders>
              <w:top w:val="nil"/>
              <w:left w:val="nil"/>
              <w:bottom w:val="nil"/>
              <w:right w:val="nil"/>
            </w:tcBorders>
            <w:shd w:val="clear" w:color="auto" w:fill="auto"/>
            <w:noWrap/>
            <w:vAlign w:val="center"/>
            <w:hideMark/>
          </w:tcPr>
          <w:p w14:paraId="6DB31DCC"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„Путеви Србије”</w:t>
            </w:r>
          </w:p>
        </w:tc>
        <w:tc>
          <w:tcPr>
            <w:tcW w:w="2268" w:type="dxa"/>
            <w:tcBorders>
              <w:top w:val="nil"/>
              <w:left w:val="nil"/>
              <w:bottom w:val="nil"/>
              <w:right w:val="nil"/>
            </w:tcBorders>
            <w:shd w:val="clear" w:color="auto" w:fill="auto"/>
            <w:noWrap/>
            <w:vAlign w:val="center"/>
            <w:hideMark/>
          </w:tcPr>
          <w:p w14:paraId="0B8B1BB1"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286,6</w:t>
            </w:r>
          </w:p>
        </w:tc>
      </w:tr>
      <w:tr w:rsidR="00FE1A26" w:rsidRPr="00EA3D8C" w14:paraId="380CBF99" w14:textId="77777777" w:rsidTr="00455EB5">
        <w:trPr>
          <w:trHeight w:val="20"/>
        </w:trPr>
        <w:tc>
          <w:tcPr>
            <w:tcW w:w="7088" w:type="dxa"/>
            <w:tcBorders>
              <w:top w:val="nil"/>
              <w:left w:val="nil"/>
              <w:bottom w:val="nil"/>
              <w:right w:val="nil"/>
            </w:tcBorders>
            <w:shd w:val="clear" w:color="auto" w:fill="auto"/>
            <w:noWrap/>
            <w:vAlign w:val="center"/>
            <w:hideMark/>
          </w:tcPr>
          <w:p w14:paraId="31472024"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АД Железнице Србије</w:t>
            </w:r>
          </w:p>
        </w:tc>
        <w:tc>
          <w:tcPr>
            <w:tcW w:w="2268" w:type="dxa"/>
            <w:tcBorders>
              <w:top w:val="nil"/>
              <w:left w:val="nil"/>
              <w:bottom w:val="nil"/>
              <w:right w:val="nil"/>
            </w:tcBorders>
            <w:shd w:val="clear" w:color="auto" w:fill="auto"/>
            <w:noWrap/>
            <w:vAlign w:val="center"/>
            <w:hideMark/>
          </w:tcPr>
          <w:p w14:paraId="10A8D554"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166,6</w:t>
            </w:r>
          </w:p>
        </w:tc>
      </w:tr>
      <w:tr w:rsidR="00FE1A26" w:rsidRPr="00EA3D8C" w14:paraId="36572A53" w14:textId="77777777" w:rsidTr="00455EB5">
        <w:trPr>
          <w:trHeight w:val="20"/>
        </w:trPr>
        <w:tc>
          <w:tcPr>
            <w:tcW w:w="7088" w:type="dxa"/>
            <w:tcBorders>
              <w:top w:val="nil"/>
              <w:left w:val="nil"/>
              <w:bottom w:val="nil"/>
              <w:right w:val="nil"/>
            </w:tcBorders>
            <w:shd w:val="clear" w:color="auto" w:fill="auto"/>
            <w:noWrap/>
            <w:vAlign w:val="center"/>
            <w:hideMark/>
          </w:tcPr>
          <w:p w14:paraId="5C1F2061"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АД Инфраструктура Србија</w:t>
            </w:r>
          </w:p>
        </w:tc>
        <w:tc>
          <w:tcPr>
            <w:tcW w:w="2268" w:type="dxa"/>
            <w:tcBorders>
              <w:top w:val="nil"/>
              <w:left w:val="nil"/>
              <w:bottom w:val="nil"/>
              <w:right w:val="nil"/>
            </w:tcBorders>
            <w:shd w:val="clear" w:color="auto" w:fill="auto"/>
            <w:noWrap/>
            <w:vAlign w:val="center"/>
            <w:hideMark/>
          </w:tcPr>
          <w:p w14:paraId="312A143D"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58,8</w:t>
            </w:r>
          </w:p>
        </w:tc>
      </w:tr>
      <w:tr w:rsidR="00FE1A26" w:rsidRPr="00EA3D8C" w14:paraId="653E8586" w14:textId="77777777" w:rsidTr="00455EB5">
        <w:trPr>
          <w:trHeight w:val="20"/>
        </w:trPr>
        <w:tc>
          <w:tcPr>
            <w:tcW w:w="7088" w:type="dxa"/>
            <w:tcBorders>
              <w:top w:val="nil"/>
              <w:left w:val="nil"/>
              <w:bottom w:val="nil"/>
              <w:right w:val="nil"/>
            </w:tcBorders>
            <w:shd w:val="clear" w:color="auto" w:fill="auto"/>
            <w:noWrap/>
            <w:vAlign w:val="center"/>
            <w:hideMark/>
          </w:tcPr>
          <w:p w14:paraId="48FF748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Воз” а.д</w:t>
            </w:r>
          </w:p>
        </w:tc>
        <w:tc>
          <w:tcPr>
            <w:tcW w:w="2268" w:type="dxa"/>
            <w:tcBorders>
              <w:top w:val="nil"/>
              <w:left w:val="nil"/>
              <w:bottom w:val="nil"/>
              <w:right w:val="nil"/>
            </w:tcBorders>
            <w:shd w:val="clear" w:color="auto" w:fill="auto"/>
            <w:noWrap/>
            <w:vAlign w:val="center"/>
            <w:hideMark/>
          </w:tcPr>
          <w:p w14:paraId="0B26A96E"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21,2</w:t>
            </w:r>
          </w:p>
        </w:tc>
      </w:tr>
      <w:tr w:rsidR="00FE1A26" w:rsidRPr="00EA3D8C" w14:paraId="3C5B4970" w14:textId="77777777" w:rsidTr="00455EB5">
        <w:trPr>
          <w:trHeight w:val="20"/>
        </w:trPr>
        <w:tc>
          <w:tcPr>
            <w:tcW w:w="7088" w:type="dxa"/>
            <w:tcBorders>
              <w:top w:val="nil"/>
              <w:left w:val="nil"/>
              <w:bottom w:val="nil"/>
              <w:right w:val="nil"/>
            </w:tcBorders>
            <w:shd w:val="clear" w:color="auto" w:fill="auto"/>
            <w:noWrap/>
            <w:vAlign w:val="center"/>
            <w:hideMark/>
          </w:tcPr>
          <w:p w14:paraId="2A955819"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Карго” а.д.</w:t>
            </w:r>
          </w:p>
        </w:tc>
        <w:tc>
          <w:tcPr>
            <w:tcW w:w="2268" w:type="dxa"/>
            <w:tcBorders>
              <w:top w:val="nil"/>
              <w:left w:val="nil"/>
              <w:bottom w:val="nil"/>
              <w:right w:val="nil"/>
            </w:tcBorders>
            <w:shd w:val="clear" w:color="auto" w:fill="auto"/>
            <w:noWrap/>
            <w:vAlign w:val="center"/>
            <w:hideMark/>
          </w:tcPr>
          <w:p w14:paraId="3E617892"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52,2</w:t>
            </w:r>
          </w:p>
        </w:tc>
      </w:tr>
      <w:tr w:rsidR="00FE1A26" w:rsidRPr="00EA3D8C" w14:paraId="18992873" w14:textId="77777777" w:rsidTr="00455EB5">
        <w:trPr>
          <w:trHeight w:val="20"/>
        </w:trPr>
        <w:tc>
          <w:tcPr>
            <w:tcW w:w="7088" w:type="dxa"/>
            <w:tcBorders>
              <w:top w:val="nil"/>
              <w:left w:val="nil"/>
              <w:bottom w:val="nil"/>
              <w:right w:val="nil"/>
            </w:tcBorders>
            <w:shd w:val="clear" w:color="auto" w:fill="auto"/>
            <w:noWrap/>
            <w:vAlign w:val="center"/>
            <w:hideMark/>
          </w:tcPr>
          <w:p w14:paraId="151D23B5"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„Електропривреда Србије”</w:t>
            </w:r>
          </w:p>
        </w:tc>
        <w:tc>
          <w:tcPr>
            <w:tcW w:w="2268" w:type="dxa"/>
            <w:tcBorders>
              <w:top w:val="nil"/>
              <w:left w:val="nil"/>
              <w:bottom w:val="nil"/>
              <w:right w:val="nil"/>
            </w:tcBorders>
            <w:shd w:val="clear" w:color="auto" w:fill="auto"/>
            <w:noWrap/>
            <w:vAlign w:val="center"/>
            <w:hideMark/>
          </w:tcPr>
          <w:p w14:paraId="19EF9E50"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380,4</w:t>
            </w:r>
          </w:p>
        </w:tc>
      </w:tr>
      <w:tr w:rsidR="00FE1A26" w:rsidRPr="00EA3D8C" w14:paraId="0AC35CC3" w14:textId="77777777" w:rsidTr="00455EB5">
        <w:trPr>
          <w:trHeight w:val="20"/>
        </w:trPr>
        <w:tc>
          <w:tcPr>
            <w:tcW w:w="7088" w:type="dxa"/>
            <w:tcBorders>
              <w:top w:val="nil"/>
              <w:left w:val="nil"/>
              <w:bottom w:val="nil"/>
              <w:right w:val="nil"/>
            </w:tcBorders>
            <w:shd w:val="clear" w:color="auto" w:fill="auto"/>
            <w:noWrap/>
            <w:vAlign w:val="center"/>
            <w:hideMark/>
          </w:tcPr>
          <w:p w14:paraId="46B17EE5"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„Електромрежа Србије” а.д.</w:t>
            </w:r>
          </w:p>
        </w:tc>
        <w:tc>
          <w:tcPr>
            <w:tcW w:w="2268" w:type="dxa"/>
            <w:tcBorders>
              <w:top w:val="nil"/>
              <w:left w:val="nil"/>
              <w:bottom w:val="nil"/>
              <w:right w:val="nil"/>
            </w:tcBorders>
            <w:shd w:val="clear" w:color="auto" w:fill="auto"/>
            <w:noWrap/>
            <w:vAlign w:val="center"/>
            <w:hideMark/>
          </w:tcPr>
          <w:p w14:paraId="225DFD19"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32,2</w:t>
            </w:r>
          </w:p>
        </w:tc>
      </w:tr>
      <w:tr w:rsidR="00FE1A26" w:rsidRPr="00EA3D8C" w14:paraId="0B27C0A4" w14:textId="77777777" w:rsidTr="00455EB5">
        <w:trPr>
          <w:trHeight w:val="20"/>
        </w:trPr>
        <w:tc>
          <w:tcPr>
            <w:tcW w:w="7088" w:type="dxa"/>
            <w:tcBorders>
              <w:top w:val="nil"/>
              <w:left w:val="nil"/>
              <w:bottom w:val="nil"/>
              <w:right w:val="nil"/>
            </w:tcBorders>
            <w:shd w:val="clear" w:color="auto" w:fill="auto"/>
            <w:noWrap/>
            <w:vAlign w:val="center"/>
            <w:hideMark/>
          </w:tcPr>
          <w:p w14:paraId="03CA4C8E"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Јединице локалне самоуправе (градови и општине)</w:t>
            </w:r>
          </w:p>
        </w:tc>
        <w:tc>
          <w:tcPr>
            <w:tcW w:w="2268" w:type="dxa"/>
            <w:tcBorders>
              <w:top w:val="nil"/>
              <w:left w:val="nil"/>
              <w:bottom w:val="nil"/>
              <w:right w:val="nil"/>
            </w:tcBorders>
            <w:shd w:val="clear" w:color="auto" w:fill="auto"/>
            <w:noWrap/>
            <w:vAlign w:val="center"/>
            <w:hideMark/>
          </w:tcPr>
          <w:p w14:paraId="02E7A168"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200,8</w:t>
            </w:r>
          </w:p>
        </w:tc>
      </w:tr>
      <w:tr w:rsidR="00FE1A26" w:rsidRPr="00EA3D8C" w14:paraId="2D544801" w14:textId="77777777" w:rsidTr="00455EB5">
        <w:trPr>
          <w:trHeight w:val="20"/>
        </w:trPr>
        <w:tc>
          <w:tcPr>
            <w:tcW w:w="7088" w:type="dxa"/>
            <w:tcBorders>
              <w:top w:val="nil"/>
              <w:left w:val="nil"/>
              <w:bottom w:val="nil"/>
              <w:right w:val="nil"/>
            </w:tcBorders>
            <w:shd w:val="clear" w:color="auto" w:fill="auto"/>
            <w:noWrap/>
            <w:vAlign w:val="center"/>
            <w:hideMark/>
          </w:tcPr>
          <w:p w14:paraId="0F160D5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ФИАТ Аутомобили Србија ДОО</w:t>
            </w:r>
          </w:p>
        </w:tc>
        <w:tc>
          <w:tcPr>
            <w:tcW w:w="2268" w:type="dxa"/>
            <w:tcBorders>
              <w:top w:val="nil"/>
              <w:left w:val="nil"/>
              <w:bottom w:val="nil"/>
              <w:right w:val="nil"/>
            </w:tcBorders>
            <w:shd w:val="clear" w:color="auto" w:fill="auto"/>
            <w:noWrap/>
            <w:vAlign w:val="center"/>
            <w:hideMark/>
          </w:tcPr>
          <w:p w14:paraId="5C0B01E3"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6,3</w:t>
            </w:r>
          </w:p>
        </w:tc>
      </w:tr>
      <w:tr w:rsidR="00FE1A26" w:rsidRPr="00EA3D8C" w14:paraId="369BA370" w14:textId="77777777" w:rsidTr="00455EB5">
        <w:trPr>
          <w:trHeight w:val="20"/>
        </w:trPr>
        <w:tc>
          <w:tcPr>
            <w:tcW w:w="7088" w:type="dxa"/>
            <w:tcBorders>
              <w:top w:val="nil"/>
              <w:left w:val="nil"/>
              <w:bottom w:val="nil"/>
              <w:right w:val="nil"/>
            </w:tcBorders>
            <w:shd w:val="clear" w:color="auto" w:fill="auto"/>
            <w:noWrap/>
            <w:vAlign w:val="center"/>
            <w:hideMark/>
          </w:tcPr>
          <w:p w14:paraId="155B2B21"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„Југоимпорт – СДПР”</w:t>
            </w:r>
          </w:p>
        </w:tc>
        <w:tc>
          <w:tcPr>
            <w:tcW w:w="2268" w:type="dxa"/>
            <w:tcBorders>
              <w:top w:val="nil"/>
              <w:left w:val="nil"/>
              <w:bottom w:val="nil"/>
              <w:right w:val="nil"/>
            </w:tcBorders>
            <w:shd w:val="clear" w:color="auto" w:fill="auto"/>
            <w:noWrap/>
            <w:vAlign w:val="center"/>
            <w:hideMark/>
          </w:tcPr>
          <w:p w14:paraId="65923F84"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10,7</w:t>
            </w:r>
          </w:p>
        </w:tc>
      </w:tr>
      <w:tr w:rsidR="00FE1A26" w:rsidRPr="00EA3D8C" w14:paraId="23328E80" w14:textId="77777777" w:rsidTr="00455EB5">
        <w:trPr>
          <w:trHeight w:val="20"/>
        </w:trPr>
        <w:tc>
          <w:tcPr>
            <w:tcW w:w="7088" w:type="dxa"/>
            <w:tcBorders>
              <w:top w:val="nil"/>
              <w:left w:val="nil"/>
              <w:bottom w:val="nil"/>
              <w:right w:val="nil"/>
            </w:tcBorders>
            <w:shd w:val="clear" w:color="auto" w:fill="auto"/>
            <w:noWrap/>
            <w:vAlign w:val="center"/>
            <w:hideMark/>
          </w:tcPr>
          <w:p w14:paraId="0BD9DC87"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Агенција за контролу летења Србије и Црне Горе</w:t>
            </w:r>
          </w:p>
        </w:tc>
        <w:tc>
          <w:tcPr>
            <w:tcW w:w="2268" w:type="dxa"/>
            <w:tcBorders>
              <w:top w:val="nil"/>
              <w:left w:val="nil"/>
              <w:bottom w:val="nil"/>
              <w:right w:val="nil"/>
            </w:tcBorders>
            <w:shd w:val="clear" w:color="auto" w:fill="auto"/>
            <w:noWrap/>
            <w:vAlign w:val="center"/>
            <w:hideMark/>
          </w:tcPr>
          <w:p w14:paraId="3FEDDC8B"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1,3</w:t>
            </w:r>
          </w:p>
        </w:tc>
      </w:tr>
      <w:tr w:rsidR="00FE1A26" w:rsidRPr="00EA3D8C" w14:paraId="4285EF3E" w14:textId="77777777" w:rsidTr="00455EB5">
        <w:trPr>
          <w:trHeight w:val="20"/>
        </w:trPr>
        <w:tc>
          <w:tcPr>
            <w:tcW w:w="7088" w:type="dxa"/>
            <w:tcBorders>
              <w:top w:val="nil"/>
              <w:left w:val="nil"/>
              <w:bottom w:val="nil"/>
              <w:right w:val="nil"/>
            </w:tcBorders>
            <w:shd w:val="clear" w:color="auto" w:fill="auto"/>
            <w:noWrap/>
            <w:vAlign w:val="center"/>
            <w:hideMark/>
          </w:tcPr>
          <w:p w14:paraId="65917B58"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„ЈАТ Техника” д.о.о.</w:t>
            </w:r>
          </w:p>
        </w:tc>
        <w:tc>
          <w:tcPr>
            <w:tcW w:w="2268" w:type="dxa"/>
            <w:tcBorders>
              <w:top w:val="nil"/>
              <w:left w:val="nil"/>
              <w:bottom w:val="nil"/>
              <w:right w:val="nil"/>
            </w:tcBorders>
            <w:shd w:val="clear" w:color="auto" w:fill="auto"/>
            <w:noWrap/>
            <w:vAlign w:val="center"/>
            <w:hideMark/>
          </w:tcPr>
          <w:p w14:paraId="1935DDAD"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2,8</w:t>
            </w:r>
          </w:p>
        </w:tc>
      </w:tr>
      <w:tr w:rsidR="00FE1A26" w:rsidRPr="00EA3D8C" w14:paraId="7909623D" w14:textId="77777777" w:rsidTr="003B33D2">
        <w:trPr>
          <w:trHeight w:val="20"/>
        </w:trPr>
        <w:tc>
          <w:tcPr>
            <w:tcW w:w="7088" w:type="dxa"/>
            <w:tcBorders>
              <w:top w:val="nil"/>
              <w:left w:val="nil"/>
              <w:right w:val="nil"/>
            </w:tcBorders>
            <w:shd w:val="clear" w:color="auto" w:fill="auto"/>
            <w:noWrap/>
            <w:vAlign w:val="center"/>
            <w:hideMark/>
          </w:tcPr>
          <w:p w14:paraId="2737FC9C"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„Емисиона техника и везе”</w:t>
            </w:r>
          </w:p>
        </w:tc>
        <w:tc>
          <w:tcPr>
            <w:tcW w:w="2268" w:type="dxa"/>
            <w:tcBorders>
              <w:top w:val="nil"/>
              <w:left w:val="nil"/>
              <w:right w:val="nil"/>
            </w:tcBorders>
            <w:shd w:val="clear" w:color="auto" w:fill="auto"/>
            <w:noWrap/>
            <w:vAlign w:val="center"/>
            <w:hideMark/>
          </w:tcPr>
          <w:p w14:paraId="29E2B368"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8,9</w:t>
            </w:r>
          </w:p>
        </w:tc>
      </w:tr>
      <w:tr w:rsidR="00FE1A26" w:rsidRPr="00EA3D8C" w14:paraId="50064D5E" w14:textId="77777777" w:rsidTr="003B33D2">
        <w:trPr>
          <w:trHeight w:val="20"/>
        </w:trPr>
        <w:tc>
          <w:tcPr>
            <w:tcW w:w="7088" w:type="dxa"/>
            <w:tcBorders>
              <w:top w:val="nil"/>
              <w:left w:val="nil"/>
              <w:bottom w:val="single" w:sz="4" w:space="0" w:color="002060"/>
              <w:right w:val="nil"/>
            </w:tcBorders>
            <w:shd w:val="clear" w:color="auto" w:fill="auto"/>
            <w:noWrap/>
            <w:vAlign w:val="center"/>
            <w:hideMark/>
          </w:tcPr>
          <w:p w14:paraId="780AA69B"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c>
          <w:tcPr>
            <w:tcW w:w="2268" w:type="dxa"/>
            <w:tcBorders>
              <w:top w:val="nil"/>
              <w:left w:val="nil"/>
              <w:bottom w:val="single" w:sz="4" w:space="0" w:color="002060"/>
              <w:right w:val="nil"/>
            </w:tcBorders>
            <w:shd w:val="clear" w:color="auto" w:fill="auto"/>
            <w:noWrap/>
            <w:vAlign w:val="center"/>
            <w:hideMark/>
          </w:tcPr>
          <w:p w14:paraId="4BA6909A"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 xml:space="preserve">1.409,4 </w:t>
            </w:r>
          </w:p>
        </w:tc>
      </w:tr>
    </w:tbl>
    <w:p w14:paraId="65857DF2" w14:textId="557CEEE6" w:rsidR="00FE1A26" w:rsidRPr="00EA3D8C" w:rsidRDefault="00FE1A26" w:rsidP="00F725A2">
      <w:pPr>
        <w:spacing w:before="40" w:after="360" w:line="240" w:lineRule="auto"/>
        <w:rPr>
          <w:rFonts w:eastAsia="Calibri" w:cstheme="minorHAnsi"/>
          <w:color w:val="auto"/>
          <w:szCs w:val="20"/>
          <w:lang w:val="sr-Cyrl-RS" w:eastAsia="ja-JP"/>
        </w:rPr>
      </w:pPr>
      <w:r w:rsidRPr="00EA3D8C">
        <w:rPr>
          <w:rFonts w:cstheme="minorHAnsi"/>
          <w:bCs/>
          <w:sz w:val="16"/>
          <w:szCs w:val="72"/>
          <w:lang w:val="sr-Cyrl-RS"/>
        </w:rPr>
        <w:t>Извор: Министарство финансија, Управа за јавни дуг</w:t>
      </w:r>
    </w:p>
    <w:p w14:paraId="7061055E" w14:textId="77777777" w:rsidR="003F3C4D" w:rsidRPr="00EA3D8C" w:rsidRDefault="003F3C4D" w:rsidP="002D1432">
      <w:pPr>
        <w:spacing w:after="360" w:line="276" w:lineRule="auto"/>
        <w:rPr>
          <w:rFonts w:eastAsia="MS PGothic" w:cstheme="minorHAnsi"/>
          <w:szCs w:val="20"/>
          <w:lang w:val="sr-Cyrl-RS" w:eastAsia="ja-JP"/>
        </w:rPr>
        <w:sectPr w:rsidR="003F3C4D" w:rsidRPr="00EA3D8C" w:rsidSect="00AE40EB">
          <w:pgSz w:w="12240" w:h="15840" w:code="1"/>
          <w:pgMar w:top="1440" w:right="1440" w:bottom="1440" w:left="1440" w:header="720" w:footer="720" w:gutter="0"/>
          <w:cols w:space="720"/>
          <w:docGrid w:linePitch="360"/>
        </w:sectPr>
      </w:pPr>
    </w:p>
    <w:p w14:paraId="4D3DA2B3" w14:textId="31C4DEF3"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lastRenderedPageBreak/>
        <w:t>Укупна отплата главнице по основу гарантованих кредита у 2019. години износила је 15 млрд динара, од чега 11 млрд</w:t>
      </w:r>
      <w:r w:rsidR="00AE096F">
        <w:rPr>
          <w:rFonts w:eastAsia="MS PGothic" w:cstheme="minorHAnsi"/>
          <w:szCs w:val="20"/>
          <w:lang w:val="sr-Cyrl-RS" w:eastAsia="ja-JP"/>
        </w:rPr>
        <w:t xml:space="preserve"> динара</w:t>
      </w:r>
      <w:r w:rsidRPr="00EA3D8C">
        <w:rPr>
          <w:rFonts w:eastAsia="MS PGothic" w:cstheme="minorHAnsi"/>
          <w:szCs w:val="20"/>
          <w:lang w:val="sr-Cyrl-RS" w:eastAsia="ja-JP"/>
        </w:rPr>
        <w:t xml:space="preserve"> утиче на дефицит. Рачуноводствена методологија, до 2014. године, није у расходе укључивала отплате по основу гаранција</w:t>
      </w:r>
      <w:r w:rsidRPr="00EA3D8C">
        <w:rPr>
          <w:rFonts w:eastAsia="MS PGothic" w:cstheme="minorHAnsi"/>
          <w:szCs w:val="20"/>
          <w:vertAlign w:val="superscript"/>
          <w:lang w:val="sr-Cyrl-RS" w:eastAsia="ja-JP"/>
        </w:rPr>
        <w:footnoteReference w:id="8"/>
      </w:r>
      <w:r w:rsidRPr="00EA3D8C">
        <w:rPr>
          <w:rFonts w:eastAsia="MS PGothic" w:cstheme="minorHAnsi"/>
          <w:szCs w:val="20"/>
          <w:lang w:val="sr-Cyrl-RS" w:eastAsia="ja-JP"/>
        </w:rPr>
        <w:t>. Од 2014. године део ових расхода је укључен у расходе буџета</w:t>
      </w:r>
      <w:r w:rsidRPr="00EA3D8C">
        <w:rPr>
          <w:rFonts w:eastAsia="MS PGothic" w:cstheme="minorHAnsi"/>
          <w:szCs w:val="20"/>
          <w:vertAlign w:val="superscript"/>
          <w:lang w:val="sr-Cyrl-RS" w:eastAsia="ja-JP"/>
        </w:rPr>
        <w:footnoteReference w:id="9"/>
      </w:r>
      <w:r w:rsidRPr="00EA3D8C">
        <w:rPr>
          <w:rFonts w:eastAsia="MS PGothic" w:cstheme="minorHAnsi"/>
          <w:szCs w:val="20"/>
          <w:lang w:val="sr-Cyrl-RS" w:eastAsia="ja-JP"/>
        </w:rPr>
        <w:t>. Независно од буџетског и рачуноводственог приказа, дуг који уместо главног дужника плаћа држава повећава укупне потребе за задуживањем.</w:t>
      </w:r>
    </w:p>
    <w:p w14:paraId="633720A0" w14:textId="45A2108F" w:rsidR="00FE1A26" w:rsidRPr="00EA3D8C" w:rsidRDefault="00FE1A26" w:rsidP="001A0449">
      <w:pPr>
        <w:spacing w:after="0"/>
        <w:jc w:val="center"/>
        <w:rPr>
          <w:rFonts w:cstheme="minorHAnsi"/>
          <w:b/>
          <w:color w:val="auto"/>
          <w:lang w:val="sr-Cyrl-RS"/>
        </w:rPr>
        <w:sectPr w:rsidR="00FE1A26" w:rsidRPr="00EA3D8C" w:rsidSect="00AE40EB">
          <w:type w:val="continuous"/>
          <w:pgSz w:w="12240" w:h="15840" w:code="1"/>
          <w:pgMar w:top="1440" w:right="1440" w:bottom="1440" w:left="1440" w:header="720" w:footer="720" w:gutter="0"/>
          <w:cols w:num="2" w:space="720"/>
          <w:docGrid w:linePitch="360"/>
          <w15:footnoteColumns w:val="1"/>
        </w:sectPr>
      </w:pPr>
      <w:r w:rsidRPr="00EA3D8C">
        <w:rPr>
          <w:rFonts w:cstheme="minorHAnsi"/>
          <w:b/>
          <w:color w:val="auto"/>
          <w:lang w:val="sr-Cyrl-RS"/>
        </w:rPr>
        <w:br w:type="column"/>
      </w:r>
      <w:r w:rsidRPr="00EA3D8C">
        <w:rPr>
          <w:rFonts w:cstheme="minorHAnsi"/>
          <w:b/>
          <w:color w:val="002060"/>
          <w:lang w:val="sr-Cyrl-RS"/>
        </w:rPr>
        <w:lastRenderedPageBreak/>
        <w:t>Отплата дуга по основу активираних гаранција, млрд динара</w:t>
      </w:r>
      <w:r w:rsidRPr="00EA3D8C">
        <w:rPr>
          <w:rFonts w:cstheme="minorHAnsi"/>
          <w:b/>
          <w:noProof/>
          <w:color w:val="auto"/>
        </w:rPr>
        <w:drawing>
          <wp:inline distT="0" distB="0" distL="0" distR="0" wp14:anchorId="6EA8364C" wp14:editId="4637F898">
            <wp:extent cx="2981031" cy="1761168"/>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2993444" cy="1768501"/>
                    </a:xfrm>
                    <a:prstGeom prst="rect">
                      <a:avLst/>
                    </a:prstGeom>
                    <a:noFill/>
                    <a:ln>
                      <a:noFill/>
                    </a:ln>
                  </pic:spPr>
                </pic:pic>
              </a:graphicData>
            </a:graphic>
          </wp:inline>
        </w:drawing>
      </w:r>
    </w:p>
    <w:p w14:paraId="69C0C5E6" w14:textId="1AB97350" w:rsidR="00FE1A26" w:rsidRPr="00EA3D8C" w:rsidRDefault="00EC4017" w:rsidP="00FE1A26">
      <w:pPr>
        <w:spacing w:line="240"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14</w:t>
      </w:r>
      <w:r w:rsidR="00FE1A26" w:rsidRPr="00EA3D8C">
        <w:rPr>
          <w:rFonts w:eastAsia="MS PGothic" w:cstheme="minorHAnsi"/>
          <w:b/>
          <w:color w:val="002060"/>
          <w:szCs w:val="20"/>
          <w:lang w:val="sr-Cyrl-RS" w:eastAsia="ja-JP"/>
        </w:rPr>
        <w:t>. Укупно плаћене обавезе по основу гаранција по корисницима, млрд динара</w:t>
      </w:r>
    </w:p>
    <w:tbl>
      <w:tblPr>
        <w:tblW w:w="9356" w:type="dxa"/>
        <w:tblLayout w:type="fixed"/>
        <w:tblLook w:val="04A0" w:firstRow="1" w:lastRow="0" w:firstColumn="1" w:lastColumn="0" w:noHBand="0" w:noVBand="1"/>
      </w:tblPr>
      <w:tblGrid>
        <w:gridCol w:w="2430"/>
        <w:gridCol w:w="1127"/>
        <w:gridCol w:w="1127"/>
        <w:gridCol w:w="1128"/>
        <w:gridCol w:w="1181"/>
        <w:gridCol w:w="1181"/>
        <w:gridCol w:w="1182"/>
      </w:tblGrid>
      <w:tr w:rsidR="00FE1A26" w:rsidRPr="00EA3D8C" w14:paraId="22E32E65" w14:textId="77777777" w:rsidTr="003B33D2">
        <w:trPr>
          <w:trHeight w:val="20"/>
          <w:tblHeader/>
        </w:trPr>
        <w:tc>
          <w:tcPr>
            <w:tcW w:w="2430" w:type="dxa"/>
            <w:tcBorders>
              <w:top w:val="single" w:sz="4" w:space="0" w:color="002060"/>
              <w:left w:val="nil"/>
              <w:bottom w:val="single" w:sz="8" w:space="0" w:color="FFFFFF"/>
              <w:right w:val="nil"/>
            </w:tcBorders>
            <w:shd w:val="clear" w:color="auto" w:fill="auto"/>
            <w:noWrap/>
            <w:vAlign w:val="center"/>
            <w:hideMark/>
          </w:tcPr>
          <w:p w14:paraId="2374EDC9"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 </w:t>
            </w:r>
          </w:p>
        </w:tc>
        <w:tc>
          <w:tcPr>
            <w:tcW w:w="3382" w:type="dxa"/>
            <w:gridSpan w:val="3"/>
            <w:tcBorders>
              <w:top w:val="single" w:sz="4" w:space="0" w:color="002060"/>
              <w:left w:val="nil"/>
              <w:bottom w:val="single" w:sz="4" w:space="0" w:color="002060"/>
              <w:right w:val="nil"/>
            </w:tcBorders>
            <w:shd w:val="clear" w:color="auto" w:fill="auto"/>
            <w:noWrap/>
            <w:vAlign w:val="center"/>
            <w:hideMark/>
          </w:tcPr>
          <w:p w14:paraId="57D2FAB4"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2019</w:t>
            </w:r>
          </w:p>
        </w:tc>
        <w:tc>
          <w:tcPr>
            <w:tcW w:w="3544" w:type="dxa"/>
            <w:gridSpan w:val="3"/>
            <w:tcBorders>
              <w:top w:val="single" w:sz="4" w:space="0" w:color="002060"/>
              <w:left w:val="nil"/>
              <w:bottom w:val="single" w:sz="4" w:space="0" w:color="002060"/>
              <w:right w:val="nil"/>
            </w:tcBorders>
            <w:shd w:val="clear" w:color="auto" w:fill="auto"/>
            <w:noWrap/>
            <w:vAlign w:val="center"/>
            <w:hideMark/>
          </w:tcPr>
          <w:p w14:paraId="53E8BE8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2020 (до 30.09.)</w:t>
            </w:r>
          </w:p>
        </w:tc>
      </w:tr>
      <w:tr w:rsidR="00FE1A26" w:rsidRPr="00EA3D8C" w14:paraId="0199FE37" w14:textId="77777777" w:rsidTr="003B33D2">
        <w:trPr>
          <w:trHeight w:val="20"/>
          <w:tblHeader/>
        </w:trPr>
        <w:tc>
          <w:tcPr>
            <w:tcW w:w="2430" w:type="dxa"/>
            <w:tcBorders>
              <w:top w:val="single" w:sz="8" w:space="0" w:color="FFFFFF"/>
              <w:left w:val="nil"/>
              <w:bottom w:val="single" w:sz="4" w:space="0" w:color="002060"/>
              <w:right w:val="nil"/>
            </w:tcBorders>
            <w:shd w:val="clear" w:color="auto" w:fill="auto"/>
            <w:noWrap/>
            <w:vAlign w:val="center"/>
            <w:hideMark/>
          </w:tcPr>
          <w:p w14:paraId="0077A63F"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Корисник</w:t>
            </w:r>
          </w:p>
        </w:tc>
        <w:tc>
          <w:tcPr>
            <w:tcW w:w="1127" w:type="dxa"/>
            <w:tcBorders>
              <w:top w:val="single" w:sz="4" w:space="0" w:color="002060"/>
              <w:left w:val="nil"/>
              <w:bottom w:val="single" w:sz="4" w:space="0" w:color="002060"/>
              <w:right w:val="nil"/>
            </w:tcBorders>
            <w:shd w:val="clear" w:color="auto" w:fill="auto"/>
            <w:noWrap/>
            <w:vAlign w:val="center"/>
            <w:hideMark/>
          </w:tcPr>
          <w:p w14:paraId="0931724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Главница</w:t>
            </w:r>
          </w:p>
        </w:tc>
        <w:tc>
          <w:tcPr>
            <w:tcW w:w="1127" w:type="dxa"/>
            <w:tcBorders>
              <w:top w:val="single" w:sz="4" w:space="0" w:color="002060"/>
              <w:left w:val="nil"/>
              <w:bottom w:val="single" w:sz="4" w:space="0" w:color="002060"/>
              <w:right w:val="nil"/>
            </w:tcBorders>
            <w:shd w:val="clear" w:color="auto" w:fill="auto"/>
            <w:noWrap/>
            <w:vAlign w:val="center"/>
            <w:hideMark/>
          </w:tcPr>
          <w:p w14:paraId="48FA4B96"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Камата</w:t>
            </w:r>
          </w:p>
        </w:tc>
        <w:tc>
          <w:tcPr>
            <w:tcW w:w="1128" w:type="dxa"/>
            <w:tcBorders>
              <w:top w:val="single" w:sz="4" w:space="0" w:color="002060"/>
              <w:left w:val="nil"/>
              <w:bottom w:val="single" w:sz="4" w:space="0" w:color="002060"/>
              <w:right w:val="nil"/>
            </w:tcBorders>
            <w:shd w:val="clear" w:color="auto" w:fill="auto"/>
            <w:noWrap/>
            <w:vAlign w:val="center"/>
            <w:hideMark/>
          </w:tcPr>
          <w:p w14:paraId="4532A281"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c>
          <w:tcPr>
            <w:tcW w:w="1181" w:type="dxa"/>
            <w:tcBorders>
              <w:top w:val="single" w:sz="4" w:space="0" w:color="002060"/>
              <w:left w:val="nil"/>
              <w:bottom w:val="single" w:sz="4" w:space="0" w:color="002060"/>
              <w:right w:val="nil"/>
            </w:tcBorders>
            <w:shd w:val="clear" w:color="auto" w:fill="auto"/>
            <w:noWrap/>
            <w:vAlign w:val="center"/>
            <w:hideMark/>
          </w:tcPr>
          <w:p w14:paraId="42910B5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Главница</w:t>
            </w:r>
          </w:p>
        </w:tc>
        <w:tc>
          <w:tcPr>
            <w:tcW w:w="1181" w:type="dxa"/>
            <w:tcBorders>
              <w:top w:val="single" w:sz="4" w:space="0" w:color="002060"/>
              <w:left w:val="nil"/>
              <w:bottom w:val="single" w:sz="4" w:space="0" w:color="002060"/>
              <w:right w:val="nil"/>
            </w:tcBorders>
            <w:shd w:val="clear" w:color="auto" w:fill="auto"/>
            <w:noWrap/>
            <w:vAlign w:val="center"/>
            <w:hideMark/>
          </w:tcPr>
          <w:p w14:paraId="516C4E89"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Камата</w:t>
            </w:r>
          </w:p>
        </w:tc>
        <w:tc>
          <w:tcPr>
            <w:tcW w:w="1182" w:type="dxa"/>
            <w:tcBorders>
              <w:top w:val="single" w:sz="4" w:space="0" w:color="002060"/>
              <w:left w:val="nil"/>
              <w:bottom w:val="single" w:sz="4" w:space="0" w:color="002060"/>
              <w:right w:val="nil"/>
            </w:tcBorders>
            <w:shd w:val="clear" w:color="auto" w:fill="auto"/>
            <w:noWrap/>
            <w:vAlign w:val="center"/>
            <w:hideMark/>
          </w:tcPr>
          <w:p w14:paraId="430DC060"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r>
      <w:tr w:rsidR="00FE1A26" w:rsidRPr="00EA3D8C" w14:paraId="73F83594" w14:textId="77777777" w:rsidTr="003B33D2">
        <w:trPr>
          <w:trHeight w:val="20"/>
        </w:trPr>
        <w:tc>
          <w:tcPr>
            <w:tcW w:w="2430" w:type="dxa"/>
            <w:tcBorders>
              <w:top w:val="single" w:sz="4" w:space="0" w:color="002060"/>
              <w:left w:val="nil"/>
              <w:bottom w:val="nil"/>
              <w:right w:val="nil"/>
            </w:tcBorders>
            <w:shd w:val="clear" w:color="auto" w:fill="auto"/>
            <w:noWrap/>
            <w:vAlign w:val="center"/>
            <w:hideMark/>
          </w:tcPr>
          <w:p w14:paraId="0BBA4792"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 xml:space="preserve">ЈП „Србијагас” </w:t>
            </w:r>
          </w:p>
        </w:tc>
        <w:tc>
          <w:tcPr>
            <w:tcW w:w="1127" w:type="dxa"/>
            <w:tcBorders>
              <w:top w:val="single" w:sz="4" w:space="0" w:color="002060"/>
              <w:left w:val="nil"/>
              <w:bottom w:val="nil"/>
              <w:right w:val="nil"/>
            </w:tcBorders>
            <w:shd w:val="clear" w:color="auto" w:fill="auto"/>
            <w:noWrap/>
            <w:vAlign w:val="center"/>
            <w:hideMark/>
          </w:tcPr>
          <w:p w14:paraId="04585960"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4,6</w:t>
            </w:r>
          </w:p>
        </w:tc>
        <w:tc>
          <w:tcPr>
            <w:tcW w:w="1127" w:type="dxa"/>
            <w:tcBorders>
              <w:top w:val="single" w:sz="4" w:space="0" w:color="002060"/>
              <w:left w:val="nil"/>
              <w:bottom w:val="nil"/>
              <w:right w:val="nil"/>
            </w:tcBorders>
            <w:shd w:val="clear" w:color="auto" w:fill="auto"/>
            <w:noWrap/>
            <w:vAlign w:val="center"/>
            <w:hideMark/>
          </w:tcPr>
          <w:p w14:paraId="4C6972B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0,1</w:t>
            </w:r>
          </w:p>
        </w:tc>
        <w:tc>
          <w:tcPr>
            <w:tcW w:w="1128" w:type="dxa"/>
            <w:tcBorders>
              <w:top w:val="single" w:sz="4" w:space="0" w:color="002060"/>
              <w:left w:val="nil"/>
              <w:bottom w:val="nil"/>
              <w:right w:val="nil"/>
            </w:tcBorders>
            <w:shd w:val="clear" w:color="auto" w:fill="auto"/>
            <w:noWrap/>
            <w:vAlign w:val="center"/>
            <w:hideMark/>
          </w:tcPr>
          <w:p w14:paraId="046350A2"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4,7</w:t>
            </w:r>
          </w:p>
        </w:tc>
        <w:tc>
          <w:tcPr>
            <w:tcW w:w="1181" w:type="dxa"/>
            <w:tcBorders>
              <w:top w:val="single" w:sz="4" w:space="0" w:color="002060"/>
              <w:left w:val="nil"/>
              <w:bottom w:val="nil"/>
              <w:right w:val="nil"/>
            </w:tcBorders>
            <w:shd w:val="clear" w:color="auto" w:fill="auto"/>
            <w:noWrap/>
            <w:vAlign w:val="center"/>
            <w:hideMark/>
          </w:tcPr>
          <w:p w14:paraId="711906C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0,3</w:t>
            </w:r>
          </w:p>
        </w:tc>
        <w:tc>
          <w:tcPr>
            <w:tcW w:w="1181" w:type="dxa"/>
            <w:tcBorders>
              <w:top w:val="single" w:sz="4" w:space="0" w:color="002060"/>
              <w:left w:val="nil"/>
              <w:bottom w:val="nil"/>
              <w:right w:val="nil"/>
            </w:tcBorders>
            <w:shd w:val="clear" w:color="auto" w:fill="auto"/>
            <w:noWrap/>
            <w:vAlign w:val="center"/>
            <w:hideMark/>
          </w:tcPr>
          <w:p w14:paraId="6826F04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single" w:sz="4" w:space="0" w:color="002060"/>
              <w:left w:val="nil"/>
              <w:bottom w:val="nil"/>
              <w:right w:val="nil"/>
            </w:tcBorders>
            <w:shd w:val="clear" w:color="auto" w:fill="auto"/>
            <w:noWrap/>
            <w:vAlign w:val="center"/>
            <w:hideMark/>
          </w:tcPr>
          <w:p w14:paraId="38DC3C0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0,3</w:t>
            </w:r>
          </w:p>
        </w:tc>
      </w:tr>
      <w:tr w:rsidR="00FE1A26" w:rsidRPr="00EA3D8C" w14:paraId="5BE60C14" w14:textId="77777777" w:rsidTr="00455EB5">
        <w:trPr>
          <w:trHeight w:val="20"/>
        </w:trPr>
        <w:tc>
          <w:tcPr>
            <w:tcW w:w="2430" w:type="dxa"/>
            <w:tcBorders>
              <w:top w:val="nil"/>
              <w:left w:val="nil"/>
              <w:bottom w:val="nil"/>
              <w:right w:val="nil"/>
            </w:tcBorders>
            <w:shd w:val="clear" w:color="auto" w:fill="auto"/>
            <w:noWrap/>
            <w:vAlign w:val="center"/>
            <w:hideMark/>
          </w:tcPr>
          <w:p w14:paraId="142C68D4"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„Путеви Србије”</w:t>
            </w:r>
          </w:p>
        </w:tc>
        <w:tc>
          <w:tcPr>
            <w:tcW w:w="1127" w:type="dxa"/>
            <w:tcBorders>
              <w:top w:val="nil"/>
              <w:left w:val="nil"/>
              <w:bottom w:val="nil"/>
              <w:right w:val="nil"/>
            </w:tcBorders>
            <w:shd w:val="clear" w:color="auto" w:fill="auto"/>
            <w:noWrap/>
            <w:vAlign w:val="center"/>
            <w:hideMark/>
          </w:tcPr>
          <w:p w14:paraId="06BE3C7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4,2</w:t>
            </w:r>
          </w:p>
        </w:tc>
        <w:tc>
          <w:tcPr>
            <w:tcW w:w="1127" w:type="dxa"/>
            <w:tcBorders>
              <w:top w:val="nil"/>
              <w:left w:val="nil"/>
              <w:bottom w:val="nil"/>
              <w:right w:val="nil"/>
            </w:tcBorders>
            <w:shd w:val="clear" w:color="auto" w:fill="auto"/>
            <w:noWrap/>
            <w:vAlign w:val="center"/>
            <w:hideMark/>
          </w:tcPr>
          <w:p w14:paraId="4B21BA6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1,4</w:t>
            </w:r>
          </w:p>
        </w:tc>
        <w:tc>
          <w:tcPr>
            <w:tcW w:w="1128" w:type="dxa"/>
            <w:tcBorders>
              <w:top w:val="nil"/>
              <w:left w:val="nil"/>
              <w:bottom w:val="nil"/>
              <w:right w:val="nil"/>
            </w:tcBorders>
            <w:shd w:val="clear" w:color="auto" w:fill="auto"/>
            <w:noWrap/>
            <w:vAlign w:val="center"/>
            <w:hideMark/>
          </w:tcPr>
          <w:p w14:paraId="67F9DFB5"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5,6</w:t>
            </w:r>
          </w:p>
        </w:tc>
        <w:tc>
          <w:tcPr>
            <w:tcW w:w="1181" w:type="dxa"/>
            <w:tcBorders>
              <w:top w:val="nil"/>
              <w:left w:val="nil"/>
              <w:bottom w:val="nil"/>
              <w:right w:val="nil"/>
            </w:tcBorders>
            <w:shd w:val="clear" w:color="auto" w:fill="auto"/>
            <w:noWrap/>
            <w:vAlign w:val="center"/>
            <w:hideMark/>
          </w:tcPr>
          <w:p w14:paraId="7808031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3,9</w:t>
            </w:r>
          </w:p>
        </w:tc>
        <w:tc>
          <w:tcPr>
            <w:tcW w:w="1181" w:type="dxa"/>
            <w:tcBorders>
              <w:top w:val="nil"/>
              <w:left w:val="nil"/>
              <w:bottom w:val="nil"/>
              <w:right w:val="nil"/>
            </w:tcBorders>
            <w:shd w:val="clear" w:color="auto" w:fill="auto"/>
            <w:noWrap/>
            <w:vAlign w:val="center"/>
            <w:hideMark/>
          </w:tcPr>
          <w:p w14:paraId="666C39A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w:t>
            </w:r>
          </w:p>
        </w:tc>
        <w:tc>
          <w:tcPr>
            <w:tcW w:w="1182" w:type="dxa"/>
            <w:tcBorders>
              <w:top w:val="nil"/>
              <w:left w:val="nil"/>
              <w:bottom w:val="nil"/>
              <w:right w:val="nil"/>
            </w:tcBorders>
            <w:shd w:val="clear" w:color="auto" w:fill="auto"/>
            <w:noWrap/>
            <w:vAlign w:val="center"/>
            <w:hideMark/>
          </w:tcPr>
          <w:p w14:paraId="60EC14C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5,1</w:t>
            </w:r>
          </w:p>
        </w:tc>
      </w:tr>
      <w:tr w:rsidR="00FE1A26" w:rsidRPr="00EA3D8C" w14:paraId="55704C65" w14:textId="77777777" w:rsidTr="00455EB5">
        <w:trPr>
          <w:trHeight w:val="20"/>
        </w:trPr>
        <w:tc>
          <w:tcPr>
            <w:tcW w:w="2430" w:type="dxa"/>
            <w:tcBorders>
              <w:top w:val="nil"/>
              <w:left w:val="nil"/>
              <w:bottom w:val="nil"/>
              <w:right w:val="nil"/>
            </w:tcBorders>
            <w:shd w:val="clear" w:color="auto" w:fill="auto"/>
            <w:noWrap/>
            <w:vAlign w:val="center"/>
            <w:hideMark/>
          </w:tcPr>
          <w:p w14:paraId="236A49C9" w14:textId="3E3313B7" w:rsidR="00FE1A26" w:rsidRPr="00EA3D8C" w:rsidRDefault="002D1432" w:rsidP="00FE1A26">
            <w:pPr>
              <w:spacing w:after="0" w:line="240" w:lineRule="auto"/>
              <w:rPr>
                <w:rFonts w:ascii="Calibri" w:eastAsia="Times New Roman" w:hAnsi="Calibri" w:cs="Calibri"/>
                <w:color w:val="002060"/>
                <w:sz w:val="18"/>
                <w:szCs w:val="18"/>
                <w:lang w:val="sr-Cyrl-RS" w:eastAsia="sr-Cyrl-RS"/>
              </w:rPr>
            </w:pPr>
            <w:r>
              <w:rPr>
                <w:rFonts w:ascii="Calibri" w:eastAsia="Times New Roman" w:hAnsi="Calibri" w:cs="Calibri"/>
                <w:color w:val="002060"/>
                <w:sz w:val="18"/>
                <w:szCs w:val="18"/>
                <w:lang w:val="sr-Cyrl-RS" w:eastAsia="sr-Cyrl-RS"/>
              </w:rPr>
              <w:t>Железнице Србије а.</w:t>
            </w:r>
            <w:r w:rsidR="00FE1A26" w:rsidRPr="00EA3D8C">
              <w:rPr>
                <w:rFonts w:ascii="Calibri" w:eastAsia="Times New Roman" w:hAnsi="Calibri" w:cs="Calibri"/>
                <w:color w:val="002060"/>
                <w:sz w:val="18"/>
                <w:szCs w:val="18"/>
                <w:lang w:val="sr-Cyrl-RS" w:eastAsia="sr-Cyrl-RS"/>
              </w:rPr>
              <w:t>д.</w:t>
            </w:r>
          </w:p>
        </w:tc>
        <w:tc>
          <w:tcPr>
            <w:tcW w:w="1127" w:type="dxa"/>
            <w:tcBorders>
              <w:top w:val="nil"/>
              <w:left w:val="nil"/>
              <w:bottom w:val="nil"/>
              <w:right w:val="nil"/>
            </w:tcBorders>
            <w:shd w:val="clear" w:color="auto" w:fill="auto"/>
            <w:noWrap/>
            <w:vAlign w:val="center"/>
            <w:hideMark/>
          </w:tcPr>
          <w:p w14:paraId="3F9D7AC9"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4,7</w:t>
            </w:r>
          </w:p>
        </w:tc>
        <w:tc>
          <w:tcPr>
            <w:tcW w:w="1127" w:type="dxa"/>
            <w:tcBorders>
              <w:top w:val="nil"/>
              <w:left w:val="nil"/>
              <w:bottom w:val="nil"/>
              <w:right w:val="nil"/>
            </w:tcBorders>
            <w:shd w:val="clear" w:color="auto" w:fill="auto"/>
            <w:noWrap/>
            <w:vAlign w:val="center"/>
            <w:hideMark/>
          </w:tcPr>
          <w:p w14:paraId="177C57E6"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0,6</w:t>
            </w:r>
          </w:p>
        </w:tc>
        <w:tc>
          <w:tcPr>
            <w:tcW w:w="1128" w:type="dxa"/>
            <w:tcBorders>
              <w:top w:val="nil"/>
              <w:left w:val="nil"/>
              <w:bottom w:val="nil"/>
              <w:right w:val="nil"/>
            </w:tcBorders>
            <w:shd w:val="clear" w:color="auto" w:fill="auto"/>
            <w:noWrap/>
            <w:vAlign w:val="center"/>
            <w:hideMark/>
          </w:tcPr>
          <w:p w14:paraId="1844D518"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5,3</w:t>
            </w:r>
          </w:p>
        </w:tc>
        <w:tc>
          <w:tcPr>
            <w:tcW w:w="1181" w:type="dxa"/>
            <w:tcBorders>
              <w:top w:val="nil"/>
              <w:left w:val="nil"/>
              <w:bottom w:val="nil"/>
              <w:right w:val="nil"/>
            </w:tcBorders>
            <w:shd w:val="clear" w:color="auto" w:fill="auto"/>
            <w:noWrap/>
            <w:vAlign w:val="center"/>
            <w:hideMark/>
          </w:tcPr>
          <w:p w14:paraId="23AFB896"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3,6</w:t>
            </w:r>
          </w:p>
        </w:tc>
        <w:tc>
          <w:tcPr>
            <w:tcW w:w="1181" w:type="dxa"/>
            <w:tcBorders>
              <w:top w:val="nil"/>
              <w:left w:val="nil"/>
              <w:bottom w:val="nil"/>
              <w:right w:val="nil"/>
            </w:tcBorders>
            <w:shd w:val="clear" w:color="auto" w:fill="auto"/>
            <w:noWrap/>
            <w:vAlign w:val="center"/>
            <w:hideMark/>
          </w:tcPr>
          <w:p w14:paraId="2749152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0,4</w:t>
            </w:r>
          </w:p>
        </w:tc>
        <w:tc>
          <w:tcPr>
            <w:tcW w:w="1182" w:type="dxa"/>
            <w:tcBorders>
              <w:top w:val="nil"/>
              <w:left w:val="nil"/>
              <w:bottom w:val="nil"/>
              <w:right w:val="nil"/>
            </w:tcBorders>
            <w:shd w:val="clear" w:color="auto" w:fill="auto"/>
            <w:noWrap/>
            <w:vAlign w:val="center"/>
            <w:hideMark/>
          </w:tcPr>
          <w:p w14:paraId="39BE528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4,0</w:t>
            </w:r>
          </w:p>
        </w:tc>
      </w:tr>
      <w:tr w:rsidR="00FE1A26" w:rsidRPr="00EA3D8C" w14:paraId="3338B9CE" w14:textId="77777777" w:rsidTr="00455EB5">
        <w:trPr>
          <w:trHeight w:val="20"/>
        </w:trPr>
        <w:tc>
          <w:tcPr>
            <w:tcW w:w="2430" w:type="dxa"/>
            <w:tcBorders>
              <w:top w:val="nil"/>
              <w:left w:val="nil"/>
              <w:bottom w:val="nil"/>
              <w:right w:val="nil"/>
            </w:tcBorders>
            <w:shd w:val="clear" w:color="auto" w:fill="auto"/>
            <w:noWrap/>
            <w:vAlign w:val="center"/>
            <w:hideMark/>
          </w:tcPr>
          <w:p w14:paraId="502FB29B"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ЈАТ</w:t>
            </w:r>
          </w:p>
        </w:tc>
        <w:tc>
          <w:tcPr>
            <w:tcW w:w="1127" w:type="dxa"/>
            <w:tcBorders>
              <w:top w:val="nil"/>
              <w:left w:val="nil"/>
              <w:bottom w:val="nil"/>
              <w:right w:val="nil"/>
            </w:tcBorders>
            <w:shd w:val="clear" w:color="auto" w:fill="auto"/>
            <w:noWrap/>
            <w:vAlign w:val="center"/>
            <w:hideMark/>
          </w:tcPr>
          <w:p w14:paraId="50E3BE12"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0,2</w:t>
            </w:r>
          </w:p>
        </w:tc>
        <w:tc>
          <w:tcPr>
            <w:tcW w:w="1127" w:type="dxa"/>
            <w:tcBorders>
              <w:top w:val="nil"/>
              <w:left w:val="nil"/>
              <w:bottom w:val="nil"/>
              <w:right w:val="nil"/>
            </w:tcBorders>
            <w:shd w:val="clear" w:color="auto" w:fill="auto"/>
            <w:noWrap/>
            <w:vAlign w:val="center"/>
            <w:hideMark/>
          </w:tcPr>
          <w:p w14:paraId="4BFFA99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28" w:type="dxa"/>
            <w:tcBorders>
              <w:top w:val="nil"/>
              <w:left w:val="nil"/>
              <w:bottom w:val="nil"/>
              <w:right w:val="nil"/>
            </w:tcBorders>
            <w:shd w:val="clear" w:color="auto" w:fill="auto"/>
            <w:noWrap/>
            <w:vAlign w:val="center"/>
            <w:hideMark/>
          </w:tcPr>
          <w:p w14:paraId="2A1A7CD2"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0,2</w:t>
            </w:r>
          </w:p>
        </w:tc>
        <w:tc>
          <w:tcPr>
            <w:tcW w:w="1181" w:type="dxa"/>
            <w:tcBorders>
              <w:top w:val="nil"/>
              <w:left w:val="nil"/>
              <w:bottom w:val="nil"/>
              <w:right w:val="nil"/>
            </w:tcBorders>
            <w:shd w:val="clear" w:color="auto" w:fill="auto"/>
            <w:noWrap/>
            <w:vAlign w:val="center"/>
            <w:hideMark/>
          </w:tcPr>
          <w:p w14:paraId="5533522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bottom w:val="nil"/>
              <w:right w:val="nil"/>
            </w:tcBorders>
            <w:shd w:val="clear" w:color="auto" w:fill="auto"/>
            <w:noWrap/>
            <w:vAlign w:val="center"/>
            <w:hideMark/>
          </w:tcPr>
          <w:p w14:paraId="2CE2FE5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2" w:type="dxa"/>
            <w:tcBorders>
              <w:top w:val="nil"/>
              <w:left w:val="nil"/>
              <w:bottom w:val="nil"/>
              <w:right w:val="nil"/>
            </w:tcBorders>
            <w:shd w:val="clear" w:color="auto" w:fill="auto"/>
            <w:noWrap/>
            <w:vAlign w:val="center"/>
            <w:hideMark/>
          </w:tcPr>
          <w:p w14:paraId="1B44A348"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r>
      <w:tr w:rsidR="00FE1A26" w:rsidRPr="00EA3D8C" w14:paraId="17B00CA4" w14:textId="77777777" w:rsidTr="00455EB5">
        <w:trPr>
          <w:trHeight w:val="20"/>
        </w:trPr>
        <w:tc>
          <w:tcPr>
            <w:tcW w:w="2430" w:type="dxa"/>
            <w:tcBorders>
              <w:top w:val="nil"/>
              <w:left w:val="nil"/>
              <w:bottom w:val="nil"/>
              <w:right w:val="nil"/>
            </w:tcBorders>
            <w:shd w:val="clear" w:color="auto" w:fill="auto"/>
            <w:noWrap/>
            <w:vAlign w:val="center"/>
            <w:hideMark/>
          </w:tcPr>
          <w:p w14:paraId="223CD39A" w14:textId="1ABC3C50" w:rsidR="00FE1A26" w:rsidRPr="00EA3D8C" w:rsidRDefault="002D1432" w:rsidP="00FE1A26">
            <w:pPr>
              <w:spacing w:after="0" w:line="240" w:lineRule="auto"/>
              <w:rPr>
                <w:rFonts w:ascii="Calibri" w:eastAsia="Times New Roman" w:hAnsi="Calibri" w:cs="Calibri"/>
                <w:color w:val="002060"/>
                <w:sz w:val="18"/>
                <w:szCs w:val="18"/>
                <w:lang w:val="sr-Cyrl-RS" w:eastAsia="sr-Cyrl-RS"/>
              </w:rPr>
            </w:pPr>
            <w:r>
              <w:rPr>
                <w:rFonts w:ascii="Calibri" w:eastAsia="Times New Roman" w:hAnsi="Calibri" w:cs="Calibri"/>
                <w:color w:val="002060"/>
                <w:sz w:val="18"/>
                <w:szCs w:val="18"/>
                <w:lang w:val="sr-Cyrl-RS" w:eastAsia="sr-Cyrl-RS"/>
              </w:rPr>
              <w:t>„Галеника” а.</w:t>
            </w:r>
            <w:r w:rsidR="00FE1A26" w:rsidRPr="00EA3D8C">
              <w:rPr>
                <w:rFonts w:ascii="Calibri" w:eastAsia="Times New Roman" w:hAnsi="Calibri" w:cs="Calibri"/>
                <w:color w:val="002060"/>
                <w:sz w:val="18"/>
                <w:szCs w:val="18"/>
                <w:lang w:val="sr-Cyrl-RS" w:eastAsia="sr-Cyrl-RS"/>
              </w:rPr>
              <w:t>д.</w:t>
            </w:r>
          </w:p>
        </w:tc>
        <w:tc>
          <w:tcPr>
            <w:tcW w:w="1127" w:type="dxa"/>
            <w:tcBorders>
              <w:top w:val="nil"/>
              <w:left w:val="nil"/>
              <w:bottom w:val="nil"/>
              <w:right w:val="nil"/>
            </w:tcBorders>
            <w:shd w:val="clear" w:color="auto" w:fill="auto"/>
            <w:noWrap/>
            <w:vAlign w:val="center"/>
            <w:hideMark/>
          </w:tcPr>
          <w:p w14:paraId="128E848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0,5</w:t>
            </w:r>
          </w:p>
        </w:tc>
        <w:tc>
          <w:tcPr>
            <w:tcW w:w="1127" w:type="dxa"/>
            <w:tcBorders>
              <w:top w:val="nil"/>
              <w:left w:val="nil"/>
              <w:bottom w:val="nil"/>
              <w:right w:val="nil"/>
            </w:tcBorders>
            <w:shd w:val="clear" w:color="auto" w:fill="auto"/>
            <w:noWrap/>
            <w:vAlign w:val="center"/>
            <w:hideMark/>
          </w:tcPr>
          <w:p w14:paraId="007EF0C2"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28" w:type="dxa"/>
            <w:tcBorders>
              <w:top w:val="nil"/>
              <w:left w:val="nil"/>
              <w:bottom w:val="nil"/>
              <w:right w:val="nil"/>
            </w:tcBorders>
            <w:shd w:val="clear" w:color="auto" w:fill="auto"/>
            <w:noWrap/>
            <w:vAlign w:val="center"/>
            <w:hideMark/>
          </w:tcPr>
          <w:p w14:paraId="20E7016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0,5</w:t>
            </w:r>
          </w:p>
        </w:tc>
        <w:tc>
          <w:tcPr>
            <w:tcW w:w="1181" w:type="dxa"/>
            <w:tcBorders>
              <w:top w:val="nil"/>
              <w:left w:val="nil"/>
              <w:bottom w:val="nil"/>
              <w:right w:val="nil"/>
            </w:tcBorders>
            <w:shd w:val="clear" w:color="auto" w:fill="auto"/>
            <w:noWrap/>
            <w:vAlign w:val="center"/>
            <w:hideMark/>
          </w:tcPr>
          <w:p w14:paraId="592E2F8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bottom w:val="nil"/>
              <w:right w:val="nil"/>
            </w:tcBorders>
            <w:shd w:val="clear" w:color="auto" w:fill="auto"/>
            <w:noWrap/>
            <w:vAlign w:val="center"/>
            <w:hideMark/>
          </w:tcPr>
          <w:p w14:paraId="5BE22239"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nil"/>
              <w:left w:val="nil"/>
              <w:bottom w:val="nil"/>
              <w:right w:val="nil"/>
            </w:tcBorders>
            <w:shd w:val="clear" w:color="auto" w:fill="auto"/>
            <w:noWrap/>
            <w:vAlign w:val="center"/>
            <w:hideMark/>
          </w:tcPr>
          <w:p w14:paraId="0D47D481"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r>
      <w:tr w:rsidR="00FE1A26" w:rsidRPr="00EA3D8C" w14:paraId="12DE8655" w14:textId="77777777" w:rsidTr="00455EB5">
        <w:trPr>
          <w:trHeight w:val="20"/>
        </w:trPr>
        <w:tc>
          <w:tcPr>
            <w:tcW w:w="2430" w:type="dxa"/>
            <w:tcBorders>
              <w:top w:val="nil"/>
              <w:left w:val="nil"/>
              <w:bottom w:val="nil"/>
              <w:right w:val="nil"/>
            </w:tcBorders>
            <w:shd w:val="clear" w:color="auto" w:fill="auto"/>
            <w:noWrap/>
            <w:vAlign w:val="center"/>
            <w:hideMark/>
          </w:tcPr>
          <w:p w14:paraId="57E1B6C2"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Аеродром Никола Тесла</w:t>
            </w:r>
          </w:p>
        </w:tc>
        <w:tc>
          <w:tcPr>
            <w:tcW w:w="1127" w:type="dxa"/>
            <w:tcBorders>
              <w:top w:val="nil"/>
              <w:left w:val="nil"/>
              <w:bottom w:val="nil"/>
              <w:right w:val="nil"/>
            </w:tcBorders>
            <w:shd w:val="clear" w:color="auto" w:fill="auto"/>
            <w:noWrap/>
            <w:vAlign w:val="center"/>
            <w:hideMark/>
          </w:tcPr>
          <w:p w14:paraId="092D1FC0"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0,5</w:t>
            </w:r>
          </w:p>
        </w:tc>
        <w:tc>
          <w:tcPr>
            <w:tcW w:w="1127" w:type="dxa"/>
            <w:tcBorders>
              <w:top w:val="nil"/>
              <w:left w:val="nil"/>
              <w:bottom w:val="nil"/>
              <w:right w:val="nil"/>
            </w:tcBorders>
            <w:shd w:val="clear" w:color="auto" w:fill="auto"/>
            <w:noWrap/>
            <w:vAlign w:val="center"/>
            <w:hideMark/>
          </w:tcPr>
          <w:p w14:paraId="2327B21D"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28" w:type="dxa"/>
            <w:tcBorders>
              <w:top w:val="nil"/>
              <w:left w:val="nil"/>
              <w:bottom w:val="nil"/>
              <w:right w:val="nil"/>
            </w:tcBorders>
            <w:shd w:val="clear" w:color="auto" w:fill="auto"/>
            <w:noWrap/>
            <w:vAlign w:val="center"/>
            <w:hideMark/>
          </w:tcPr>
          <w:p w14:paraId="44E8C03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0,5</w:t>
            </w:r>
          </w:p>
        </w:tc>
        <w:tc>
          <w:tcPr>
            <w:tcW w:w="1181" w:type="dxa"/>
            <w:tcBorders>
              <w:top w:val="nil"/>
              <w:left w:val="nil"/>
              <w:bottom w:val="nil"/>
              <w:right w:val="nil"/>
            </w:tcBorders>
            <w:shd w:val="clear" w:color="auto" w:fill="auto"/>
            <w:noWrap/>
            <w:vAlign w:val="center"/>
            <w:hideMark/>
          </w:tcPr>
          <w:p w14:paraId="3022512D"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bottom w:val="nil"/>
              <w:right w:val="nil"/>
            </w:tcBorders>
            <w:shd w:val="clear" w:color="auto" w:fill="auto"/>
            <w:noWrap/>
            <w:vAlign w:val="center"/>
            <w:hideMark/>
          </w:tcPr>
          <w:p w14:paraId="2F90ED5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2" w:type="dxa"/>
            <w:tcBorders>
              <w:top w:val="nil"/>
              <w:left w:val="nil"/>
              <w:bottom w:val="nil"/>
              <w:right w:val="nil"/>
            </w:tcBorders>
            <w:shd w:val="clear" w:color="auto" w:fill="auto"/>
            <w:noWrap/>
            <w:vAlign w:val="center"/>
            <w:hideMark/>
          </w:tcPr>
          <w:p w14:paraId="65EEBD3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r>
      <w:tr w:rsidR="00FE1A26" w:rsidRPr="00EA3D8C" w14:paraId="022E6E39" w14:textId="77777777" w:rsidTr="00455EB5">
        <w:trPr>
          <w:trHeight w:val="20"/>
        </w:trPr>
        <w:tc>
          <w:tcPr>
            <w:tcW w:w="2430" w:type="dxa"/>
            <w:tcBorders>
              <w:top w:val="nil"/>
              <w:left w:val="nil"/>
              <w:bottom w:val="nil"/>
              <w:right w:val="nil"/>
            </w:tcBorders>
            <w:shd w:val="clear" w:color="auto" w:fill="auto"/>
            <w:noWrap/>
            <w:vAlign w:val="center"/>
          </w:tcPr>
          <w:p w14:paraId="7DD4350E"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Емисиона техника и везе</w:t>
            </w:r>
          </w:p>
        </w:tc>
        <w:tc>
          <w:tcPr>
            <w:tcW w:w="1127" w:type="dxa"/>
            <w:tcBorders>
              <w:top w:val="nil"/>
              <w:left w:val="nil"/>
              <w:bottom w:val="nil"/>
              <w:right w:val="nil"/>
            </w:tcBorders>
            <w:shd w:val="clear" w:color="auto" w:fill="auto"/>
            <w:noWrap/>
            <w:vAlign w:val="center"/>
          </w:tcPr>
          <w:p w14:paraId="5104538B"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0,3</w:t>
            </w:r>
          </w:p>
        </w:tc>
        <w:tc>
          <w:tcPr>
            <w:tcW w:w="1127" w:type="dxa"/>
            <w:tcBorders>
              <w:top w:val="nil"/>
              <w:left w:val="nil"/>
              <w:bottom w:val="nil"/>
              <w:right w:val="nil"/>
            </w:tcBorders>
            <w:shd w:val="clear" w:color="auto" w:fill="auto"/>
            <w:noWrap/>
            <w:vAlign w:val="center"/>
          </w:tcPr>
          <w:p w14:paraId="2E05E645"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28" w:type="dxa"/>
            <w:tcBorders>
              <w:top w:val="nil"/>
              <w:left w:val="nil"/>
              <w:bottom w:val="nil"/>
              <w:right w:val="nil"/>
            </w:tcBorders>
            <w:shd w:val="clear" w:color="auto" w:fill="auto"/>
            <w:noWrap/>
            <w:vAlign w:val="center"/>
          </w:tcPr>
          <w:p w14:paraId="335FB8B0"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0,3</w:t>
            </w:r>
          </w:p>
        </w:tc>
        <w:tc>
          <w:tcPr>
            <w:tcW w:w="1181" w:type="dxa"/>
            <w:tcBorders>
              <w:top w:val="nil"/>
              <w:left w:val="nil"/>
              <w:bottom w:val="nil"/>
              <w:right w:val="nil"/>
            </w:tcBorders>
            <w:shd w:val="clear" w:color="auto" w:fill="auto"/>
            <w:noWrap/>
            <w:vAlign w:val="center"/>
          </w:tcPr>
          <w:p w14:paraId="7A3D06AF"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0,1</w:t>
            </w:r>
          </w:p>
        </w:tc>
        <w:tc>
          <w:tcPr>
            <w:tcW w:w="1181" w:type="dxa"/>
            <w:tcBorders>
              <w:top w:val="nil"/>
              <w:left w:val="nil"/>
              <w:bottom w:val="nil"/>
              <w:right w:val="nil"/>
            </w:tcBorders>
            <w:shd w:val="clear" w:color="auto" w:fill="auto"/>
            <w:noWrap/>
            <w:vAlign w:val="center"/>
          </w:tcPr>
          <w:p w14:paraId="1236641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nil"/>
              <w:left w:val="nil"/>
              <w:bottom w:val="nil"/>
              <w:right w:val="nil"/>
            </w:tcBorders>
            <w:shd w:val="clear" w:color="auto" w:fill="auto"/>
            <w:noWrap/>
            <w:vAlign w:val="center"/>
          </w:tcPr>
          <w:p w14:paraId="4BAB3574"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0,1</w:t>
            </w:r>
          </w:p>
        </w:tc>
      </w:tr>
      <w:tr w:rsidR="00FE1A26" w:rsidRPr="00EA3D8C" w14:paraId="756FDC96" w14:textId="77777777" w:rsidTr="00455EB5">
        <w:trPr>
          <w:trHeight w:val="20"/>
        </w:trPr>
        <w:tc>
          <w:tcPr>
            <w:tcW w:w="2430" w:type="dxa"/>
            <w:tcBorders>
              <w:top w:val="nil"/>
              <w:left w:val="nil"/>
              <w:bottom w:val="nil"/>
              <w:right w:val="nil"/>
            </w:tcBorders>
            <w:shd w:val="clear" w:color="auto" w:fill="auto"/>
            <w:noWrap/>
            <w:vAlign w:val="center"/>
          </w:tcPr>
          <w:p w14:paraId="4A473455"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Инфраструктура Железнице</w:t>
            </w:r>
          </w:p>
        </w:tc>
        <w:tc>
          <w:tcPr>
            <w:tcW w:w="1127" w:type="dxa"/>
            <w:tcBorders>
              <w:top w:val="nil"/>
              <w:left w:val="nil"/>
              <w:bottom w:val="nil"/>
              <w:right w:val="nil"/>
            </w:tcBorders>
            <w:shd w:val="clear" w:color="auto" w:fill="auto"/>
            <w:noWrap/>
            <w:vAlign w:val="center"/>
          </w:tcPr>
          <w:p w14:paraId="28AF807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7" w:type="dxa"/>
            <w:tcBorders>
              <w:top w:val="nil"/>
              <w:left w:val="nil"/>
              <w:bottom w:val="nil"/>
              <w:right w:val="nil"/>
            </w:tcBorders>
            <w:shd w:val="clear" w:color="auto" w:fill="auto"/>
            <w:noWrap/>
            <w:vAlign w:val="center"/>
          </w:tcPr>
          <w:p w14:paraId="6FE1238F"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8" w:type="dxa"/>
            <w:tcBorders>
              <w:top w:val="nil"/>
              <w:left w:val="nil"/>
              <w:bottom w:val="nil"/>
              <w:right w:val="nil"/>
            </w:tcBorders>
            <w:shd w:val="clear" w:color="auto" w:fill="auto"/>
            <w:noWrap/>
            <w:vAlign w:val="center"/>
          </w:tcPr>
          <w:p w14:paraId="2B1E1139"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bottom w:val="nil"/>
              <w:right w:val="nil"/>
            </w:tcBorders>
            <w:shd w:val="clear" w:color="auto" w:fill="auto"/>
            <w:noWrap/>
            <w:vAlign w:val="center"/>
          </w:tcPr>
          <w:p w14:paraId="3B877D51"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w:t>
            </w:r>
          </w:p>
        </w:tc>
        <w:tc>
          <w:tcPr>
            <w:tcW w:w="1181" w:type="dxa"/>
            <w:tcBorders>
              <w:top w:val="nil"/>
              <w:left w:val="nil"/>
              <w:bottom w:val="nil"/>
              <w:right w:val="nil"/>
            </w:tcBorders>
            <w:shd w:val="clear" w:color="auto" w:fill="auto"/>
            <w:noWrap/>
            <w:vAlign w:val="center"/>
          </w:tcPr>
          <w:p w14:paraId="57DF5C7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nil"/>
              <w:left w:val="nil"/>
              <w:bottom w:val="nil"/>
              <w:right w:val="nil"/>
            </w:tcBorders>
            <w:shd w:val="clear" w:color="auto" w:fill="auto"/>
            <w:noWrap/>
            <w:vAlign w:val="center"/>
          </w:tcPr>
          <w:p w14:paraId="2EEA8151"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w:t>
            </w:r>
          </w:p>
        </w:tc>
      </w:tr>
      <w:tr w:rsidR="00FE1A26" w:rsidRPr="00EA3D8C" w14:paraId="5C8BF6D5" w14:textId="77777777" w:rsidTr="00455EB5">
        <w:trPr>
          <w:trHeight w:val="20"/>
        </w:trPr>
        <w:tc>
          <w:tcPr>
            <w:tcW w:w="2430" w:type="dxa"/>
            <w:tcBorders>
              <w:top w:val="nil"/>
              <w:left w:val="nil"/>
              <w:bottom w:val="nil"/>
              <w:right w:val="nil"/>
            </w:tcBorders>
            <w:shd w:val="clear" w:color="auto" w:fill="auto"/>
            <w:noWrap/>
            <w:vAlign w:val="center"/>
          </w:tcPr>
          <w:p w14:paraId="5F6E505D"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воз</w:t>
            </w:r>
          </w:p>
        </w:tc>
        <w:tc>
          <w:tcPr>
            <w:tcW w:w="1127" w:type="dxa"/>
            <w:tcBorders>
              <w:top w:val="nil"/>
              <w:left w:val="nil"/>
              <w:bottom w:val="nil"/>
              <w:right w:val="nil"/>
            </w:tcBorders>
            <w:shd w:val="clear" w:color="auto" w:fill="auto"/>
            <w:noWrap/>
            <w:vAlign w:val="center"/>
          </w:tcPr>
          <w:p w14:paraId="260DF2F4"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7" w:type="dxa"/>
            <w:tcBorders>
              <w:top w:val="nil"/>
              <w:left w:val="nil"/>
              <w:bottom w:val="nil"/>
              <w:right w:val="nil"/>
            </w:tcBorders>
            <w:shd w:val="clear" w:color="auto" w:fill="auto"/>
            <w:noWrap/>
            <w:vAlign w:val="center"/>
          </w:tcPr>
          <w:p w14:paraId="002E351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8" w:type="dxa"/>
            <w:tcBorders>
              <w:top w:val="nil"/>
              <w:left w:val="nil"/>
              <w:bottom w:val="nil"/>
              <w:right w:val="nil"/>
            </w:tcBorders>
            <w:shd w:val="clear" w:color="auto" w:fill="auto"/>
            <w:noWrap/>
            <w:vAlign w:val="center"/>
          </w:tcPr>
          <w:p w14:paraId="07B75A8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bottom w:val="nil"/>
              <w:right w:val="nil"/>
            </w:tcBorders>
            <w:shd w:val="clear" w:color="auto" w:fill="auto"/>
            <w:noWrap/>
            <w:vAlign w:val="center"/>
          </w:tcPr>
          <w:p w14:paraId="20196044"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0,1</w:t>
            </w:r>
          </w:p>
        </w:tc>
        <w:tc>
          <w:tcPr>
            <w:tcW w:w="1181" w:type="dxa"/>
            <w:tcBorders>
              <w:top w:val="nil"/>
              <w:left w:val="nil"/>
              <w:bottom w:val="nil"/>
              <w:right w:val="nil"/>
            </w:tcBorders>
            <w:shd w:val="clear" w:color="auto" w:fill="auto"/>
            <w:noWrap/>
            <w:vAlign w:val="center"/>
          </w:tcPr>
          <w:p w14:paraId="088EC36D"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nil"/>
              <w:left w:val="nil"/>
              <w:bottom w:val="nil"/>
              <w:right w:val="nil"/>
            </w:tcBorders>
            <w:shd w:val="clear" w:color="auto" w:fill="auto"/>
            <w:noWrap/>
            <w:vAlign w:val="center"/>
          </w:tcPr>
          <w:p w14:paraId="67EBCFB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0,1</w:t>
            </w:r>
          </w:p>
        </w:tc>
      </w:tr>
      <w:tr w:rsidR="00FE1A26" w:rsidRPr="00EA3D8C" w14:paraId="5DDF54BA" w14:textId="77777777" w:rsidTr="003B33D2">
        <w:trPr>
          <w:trHeight w:val="20"/>
        </w:trPr>
        <w:tc>
          <w:tcPr>
            <w:tcW w:w="2430" w:type="dxa"/>
            <w:tcBorders>
              <w:top w:val="nil"/>
              <w:left w:val="nil"/>
              <w:right w:val="nil"/>
            </w:tcBorders>
            <w:shd w:val="clear" w:color="auto" w:fill="auto"/>
            <w:noWrap/>
            <w:vAlign w:val="center"/>
          </w:tcPr>
          <w:p w14:paraId="008921A6"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карго</w:t>
            </w:r>
          </w:p>
        </w:tc>
        <w:tc>
          <w:tcPr>
            <w:tcW w:w="1127" w:type="dxa"/>
            <w:tcBorders>
              <w:top w:val="nil"/>
              <w:left w:val="nil"/>
              <w:right w:val="nil"/>
            </w:tcBorders>
            <w:shd w:val="clear" w:color="auto" w:fill="auto"/>
            <w:noWrap/>
            <w:vAlign w:val="center"/>
          </w:tcPr>
          <w:p w14:paraId="27DC8FB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7" w:type="dxa"/>
            <w:tcBorders>
              <w:top w:val="nil"/>
              <w:left w:val="nil"/>
              <w:right w:val="nil"/>
            </w:tcBorders>
            <w:shd w:val="clear" w:color="auto" w:fill="auto"/>
            <w:noWrap/>
            <w:vAlign w:val="center"/>
          </w:tcPr>
          <w:p w14:paraId="5382DC24"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28" w:type="dxa"/>
            <w:tcBorders>
              <w:top w:val="nil"/>
              <w:left w:val="nil"/>
              <w:right w:val="nil"/>
            </w:tcBorders>
            <w:shd w:val="clear" w:color="auto" w:fill="auto"/>
            <w:noWrap/>
            <w:vAlign w:val="center"/>
          </w:tcPr>
          <w:p w14:paraId="5E4422F0"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181" w:type="dxa"/>
            <w:tcBorders>
              <w:top w:val="nil"/>
              <w:left w:val="nil"/>
              <w:right w:val="nil"/>
            </w:tcBorders>
            <w:shd w:val="clear" w:color="auto" w:fill="auto"/>
            <w:noWrap/>
            <w:vAlign w:val="center"/>
          </w:tcPr>
          <w:p w14:paraId="76FD28DA"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0,6</w:t>
            </w:r>
          </w:p>
        </w:tc>
        <w:tc>
          <w:tcPr>
            <w:tcW w:w="1181" w:type="dxa"/>
            <w:tcBorders>
              <w:top w:val="nil"/>
              <w:left w:val="nil"/>
              <w:right w:val="nil"/>
            </w:tcBorders>
            <w:shd w:val="clear" w:color="auto" w:fill="auto"/>
            <w:noWrap/>
            <w:vAlign w:val="center"/>
          </w:tcPr>
          <w:p w14:paraId="691520F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0,0</w:t>
            </w:r>
          </w:p>
        </w:tc>
        <w:tc>
          <w:tcPr>
            <w:tcW w:w="1182" w:type="dxa"/>
            <w:tcBorders>
              <w:top w:val="nil"/>
              <w:left w:val="nil"/>
              <w:right w:val="nil"/>
            </w:tcBorders>
            <w:shd w:val="clear" w:color="auto" w:fill="auto"/>
            <w:noWrap/>
            <w:vAlign w:val="center"/>
          </w:tcPr>
          <w:p w14:paraId="6A9E819D"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0,6</w:t>
            </w:r>
          </w:p>
        </w:tc>
      </w:tr>
      <w:tr w:rsidR="00FE1A26" w:rsidRPr="00EA3D8C" w14:paraId="1C6A84EC" w14:textId="77777777" w:rsidTr="003B33D2">
        <w:trPr>
          <w:trHeight w:val="20"/>
        </w:trPr>
        <w:tc>
          <w:tcPr>
            <w:tcW w:w="2430" w:type="dxa"/>
            <w:tcBorders>
              <w:top w:val="nil"/>
              <w:left w:val="nil"/>
              <w:bottom w:val="single" w:sz="4" w:space="0" w:color="002060"/>
              <w:right w:val="nil"/>
            </w:tcBorders>
            <w:shd w:val="clear" w:color="auto" w:fill="auto"/>
            <w:noWrap/>
            <w:vAlign w:val="center"/>
            <w:hideMark/>
          </w:tcPr>
          <w:p w14:paraId="5BC2449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c>
          <w:tcPr>
            <w:tcW w:w="1127" w:type="dxa"/>
            <w:tcBorders>
              <w:top w:val="nil"/>
              <w:left w:val="nil"/>
              <w:bottom w:val="single" w:sz="4" w:space="0" w:color="002060"/>
              <w:right w:val="nil"/>
            </w:tcBorders>
            <w:shd w:val="clear" w:color="auto" w:fill="auto"/>
            <w:noWrap/>
            <w:vAlign w:val="center"/>
            <w:hideMark/>
          </w:tcPr>
          <w:p w14:paraId="46CEAA67"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15,0</w:t>
            </w:r>
          </w:p>
        </w:tc>
        <w:tc>
          <w:tcPr>
            <w:tcW w:w="1127" w:type="dxa"/>
            <w:tcBorders>
              <w:top w:val="nil"/>
              <w:left w:val="nil"/>
              <w:bottom w:val="single" w:sz="4" w:space="0" w:color="002060"/>
              <w:right w:val="nil"/>
            </w:tcBorders>
            <w:shd w:val="clear" w:color="auto" w:fill="auto"/>
            <w:noWrap/>
            <w:vAlign w:val="center"/>
            <w:hideMark/>
          </w:tcPr>
          <w:p w14:paraId="016BFED3"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2,1</w:t>
            </w:r>
          </w:p>
        </w:tc>
        <w:tc>
          <w:tcPr>
            <w:tcW w:w="1128" w:type="dxa"/>
            <w:tcBorders>
              <w:top w:val="nil"/>
              <w:left w:val="nil"/>
              <w:bottom w:val="single" w:sz="4" w:space="0" w:color="002060"/>
              <w:right w:val="nil"/>
            </w:tcBorders>
            <w:shd w:val="clear" w:color="auto" w:fill="auto"/>
            <w:noWrap/>
            <w:vAlign w:val="center"/>
            <w:hideMark/>
          </w:tcPr>
          <w:p w14:paraId="271B8A1E"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17,1</w:t>
            </w:r>
          </w:p>
        </w:tc>
        <w:tc>
          <w:tcPr>
            <w:tcW w:w="1181" w:type="dxa"/>
            <w:tcBorders>
              <w:top w:val="nil"/>
              <w:left w:val="nil"/>
              <w:bottom w:val="single" w:sz="4" w:space="0" w:color="002060"/>
              <w:right w:val="nil"/>
            </w:tcBorders>
            <w:shd w:val="clear" w:color="auto" w:fill="auto"/>
            <w:noWrap/>
            <w:vAlign w:val="center"/>
            <w:hideMark/>
          </w:tcPr>
          <w:p w14:paraId="668E73D8"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9,6</w:t>
            </w:r>
          </w:p>
        </w:tc>
        <w:tc>
          <w:tcPr>
            <w:tcW w:w="1181" w:type="dxa"/>
            <w:tcBorders>
              <w:top w:val="nil"/>
              <w:left w:val="nil"/>
              <w:bottom w:val="single" w:sz="4" w:space="0" w:color="002060"/>
              <w:right w:val="nil"/>
            </w:tcBorders>
            <w:shd w:val="clear" w:color="auto" w:fill="auto"/>
            <w:noWrap/>
            <w:vAlign w:val="center"/>
            <w:hideMark/>
          </w:tcPr>
          <w:p w14:paraId="01FF0DBC"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1,6</w:t>
            </w:r>
          </w:p>
        </w:tc>
        <w:tc>
          <w:tcPr>
            <w:tcW w:w="1182" w:type="dxa"/>
            <w:tcBorders>
              <w:top w:val="nil"/>
              <w:left w:val="nil"/>
              <w:bottom w:val="single" w:sz="4" w:space="0" w:color="002060"/>
              <w:right w:val="nil"/>
            </w:tcBorders>
            <w:shd w:val="clear" w:color="auto" w:fill="auto"/>
            <w:noWrap/>
            <w:vAlign w:val="center"/>
            <w:hideMark/>
          </w:tcPr>
          <w:p w14:paraId="30BEA271" w14:textId="77777777" w:rsidR="00FE1A26" w:rsidRPr="00EA3D8C" w:rsidRDefault="00FE1A26" w:rsidP="00FE1A26">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11,2</w:t>
            </w:r>
          </w:p>
        </w:tc>
      </w:tr>
    </w:tbl>
    <w:p w14:paraId="2C52B223" w14:textId="77777777" w:rsidR="00AE40EB" w:rsidRPr="00EA3D8C" w:rsidRDefault="00FE1A26" w:rsidP="00F725A2">
      <w:pPr>
        <w:spacing w:before="40" w:after="240" w:line="240" w:lineRule="auto"/>
        <w:jc w:val="left"/>
        <w:rPr>
          <w:rFonts w:cstheme="minorHAnsi"/>
          <w:bCs/>
          <w:sz w:val="16"/>
          <w:szCs w:val="72"/>
          <w:lang w:val="sr-Cyrl-RS"/>
        </w:rPr>
        <w:sectPr w:rsidR="00AE40EB" w:rsidRPr="00EA3D8C" w:rsidSect="00AE40EB">
          <w:pgSz w:w="12240" w:h="15840" w:code="1"/>
          <w:pgMar w:top="1440" w:right="1440" w:bottom="1440" w:left="1440" w:header="720" w:footer="720" w:gutter="0"/>
          <w:cols w:space="720"/>
          <w:docGrid w:linePitch="360"/>
        </w:sectPr>
      </w:pPr>
      <w:r w:rsidRPr="00EA3D8C">
        <w:rPr>
          <w:rFonts w:cstheme="minorHAnsi"/>
          <w:bCs/>
          <w:sz w:val="16"/>
          <w:szCs w:val="72"/>
          <w:lang w:val="sr-Cyrl-RS"/>
        </w:rPr>
        <w:t>Извор: Министарство финансија</w:t>
      </w:r>
    </w:p>
    <w:p w14:paraId="1159C9ED" w14:textId="6CAC62AF"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lastRenderedPageBreak/>
        <w:t>План отплате по основу гаранција (укупно главница и камата) у ребалансу буџета за 2020. годину износи 16,4 млрд динара, од чега се у расходе који утичу на резултат укључује 8,8 млрд динара за отплату главнице по гаранцијама. Закључно са 30. септембром 2020. године укупна отплата по основу гарантованих кредита износила је 11,2 млрд динара.</w:t>
      </w:r>
    </w:p>
    <w:p w14:paraId="3CA43561"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Растући 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w:t>
      </w:r>
      <w:r w:rsidRPr="00EA3D8C">
        <w:rPr>
          <w:rFonts w:eastAsia="MS PGothic" w:cstheme="minorHAnsi"/>
          <w:szCs w:val="20"/>
          <w:lang w:val="sr-Cyrl-RS" w:eastAsia="ja-JP"/>
        </w:rPr>
        <w:lastRenderedPageBreak/>
        <w:t>онемогућено је даље давање контрагаранција за гаранције издате од стране Фонда за развој Републике Србије.</w:t>
      </w:r>
    </w:p>
    <w:p w14:paraId="02A0B17E"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Поред ограничења у издавању државних гаранција кључни корак у смањењу и отклањању фискалних ризика по овом основу је у реформи државних и јавних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4435C5F4" w14:textId="77777777" w:rsidR="00AE40EB" w:rsidRPr="00EA3D8C" w:rsidRDefault="00FE1A26" w:rsidP="002D1432">
      <w:pPr>
        <w:rPr>
          <w:rFonts w:eastAsia="MS PGothic" w:cstheme="minorHAnsi"/>
          <w:szCs w:val="20"/>
          <w:lang w:val="sr-Cyrl-RS" w:eastAsia="ja-JP"/>
        </w:rPr>
        <w:sectPr w:rsidR="00AE40EB" w:rsidRPr="00EA3D8C"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zCs w:val="20"/>
          <w:lang w:val="sr-Cyrl-RS" w:eastAsia="ja-JP"/>
        </w:rPr>
        <w:t>Ребалансом буџета за 2020. годину планирано је издавање гаранција највише до 108 млрд динара и то за кредите намењене реализацији инфраструктурних пројеката.</w:t>
      </w:r>
    </w:p>
    <w:p w14:paraId="69C5EDC9" w14:textId="7B88A52E" w:rsidR="00FE1A26" w:rsidRPr="00EA3D8C" w:rsidRDefault="00FE1A26" w:rsidP="00FE1A26">
      <w:pPr>
        <w:spacing w:after="120" w:line="276" w:lineRule="auto"/>
        <w:rPr>
          <w:rFonts w:eastAsia="MS PGothic" w:cstheme="minorHAnsi"/>
          <w:szCs w:val="20"/>
          <w:lang w:val="sr-Cyrl-RS" w:eastAsia="ja-JP"/>
        </w:rPr>
        <w:sectPr w:rsidR="00FE1A26" w:rsidRPr="00EA3D8C" w:rsidSect="00AE40EB">
          <w:type w:val="continuous"/>
          <w:pgSz w:w="12240" w:h="15840" w:code="1"/>
          <w:pgMar w:top="1440" w:right="1440" w:bottom="1440" w:left="1440" w:header="720" w:footer="720" w:gutter="0"/>
          <w:cols w:num="2" w:space="720"/>
          <w:docGrid w:linePitch="360"/>
        </w:sectPr>
      </w:pPr>
    </w:p>
    <w:p w14:paraId="5E583B4A" w14:textId="34C23B6E" w:rsidR="00FE1A26" w:rsidRPr="00EA3D8C" w:rsidRDefault="00EC4017" w:rsidP="0093003A">
      <w:pPr>
        <w:spacing w:after="120" w:line="240"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15</w:t>
      </w:r>
      <w:r w:rsidR="00FE1A26" w:rsidRPr="00EA3D8C">
        <w:rPr>
          <w:rFonts w:eastAsia="MS PGothic" w:cstheme="minorHAnsi"/>
          <w:b/>
          <w:color w:val="002060"/>
          <w:szCs w:val="20"/>
          <w:lang w:val="sr-Cyrl-RS" w:eastAsia="ja-JP"/>
        </w:rPr>
        <w:t>. План издавања гаранција у 2020. години</w:t>
      </w:r>
    </w:p>
    <w:tbl>
      <w:tblPr>
        <w:tblW w:w="5183" w:type="pct"/>
        <w:tblLook w:val="04A0" w:firstRow="1" w:lastRow="0" w:firstColumn="1" w:lastColumn="0" w:noHBand="0" w:noVBand="1"/>
      </w:tblPr>
      <w:tblGrid>
        <w:gridCol w:w="775"/>
        <w:gridCol w:w="4896"/>
        <w:gridCol w:w="1558"/>
        <w:gridCol w:w="1277"/>
        <w:gridCol w:w="1197"/>
      </w:tblGrid>
      <w:tr w:rsidR="00AE40EB" w:rsidRPr="008C36EA" w14:paraId="1468BAF6" w14:textId="77777777" w:rsidTr="0014307F">
        <w:trPr>
          <w:trHeight w:val="423"/>
          <w:tblHeader/>
        </w:trPr>
        <w:tc>
          <w:tcPr>
            <w:tcW w:w="399" w:type="pct"/>
            <w:tcBorders>
              <w:top w:val="single" w:sz="4" w:space="0" w:color="002060"/>
              <w:left w:val="nil"/>
              <w:bottom w:val="single" w:sz="4" w:space="0" w:color="002060"/>
              <w:right w:val="nil"/>
            </w:tcBorders>
            <w:shd w:val="clear" w:color="auto" w:fill="auto"/>
            <w:vAlign w:val="center"/>
            <w:hideMark/>
          </w:tcPr>
          <w:p w14:paraId="79E75E5F" w14:textId="77777777" w:rsidR="00FE1A26" w:rsidRPr="00EA3D8C" w:rsidRDefault="00FE1A26" w:rsidP="00FE1A26">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Ред. Број</w:t>
            </w:r>
          </w:p>
        </w:tc>
        <w:tc>
          <w:tcPr>
            <w:tcW w:w="2522" w:type="pct"/>
            <w:tcBorders>
              <w:top w:val="single" w:sz="4" w:space="0" w:color="002060"/>
              <w:left w:val="nil"/>
              <w:bottom w:val="single" w:sz="4" w:space="0" w:color="002060"/>
              <w:right w:val="nil"/>
            </w:tcBorders>
            <w:shd w:val="clear" w:color="auto" w:fill="auto"/>
            <w:vAlign w:val="center"/>
            <w:hideMark/>
          </w:tcPr>
          <w:p w14:paraId="3C1C5035"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803" w:type="pct"/>
            <w:tcBorders>
              <w:top w:val="single" w:sz="4" w:space="0" w:color="002060"/>
              <w:left w:val="nil"/>
              <w:bottom w:val="single" w:sz="4" w:space="0" w:color="002060"/>
              <w:right w:val="nil"/>
            </w:tcBorders>
            <w:shd w:val="clear" w:color="auto" w:fill="auto"/>
            <w:vAlign w:val="center"/>
            <w:hideMark/>
          </w:tcPr>
          <w:p w14:paraId="253DD819" w14:textId="77777777" w:rsidR="00FE1A26" w:rsidRPr="00EA3D8C" w:rsidRDefault="00FE1A26" w:rsidP="00FE1A26">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Износ у динарима</w:t>
            </w:r>
          </w:p>
        </w:tc>
        <w:tc>
          <w:tcPr>
            <w:tcW w:w="658" w:type="pct"/>
            <w:tcBorders>
              <w:top w:val="single" w:sz="4" w:space="0" w:color="002060"/>
              <w:left w:val="nil"/>
              <w:bottom w:val="single" w:sz="4" w:space="0" w:color="002060"/>
              <w:right w:val="nil"/>
            </w:tcBorders>
            <w:shd w:val="clear" w:color="auto" w:fill="auto"/>
            <w:vAlign w:val="center"/>
            <w:hideMark/>
          </w:tcPr>
          <w:p w14:paraId="5097FE90" w14:textId="77777777" w:rsidR="00FE1A26" w:rsidRPr="00EA3D8C" w:rsidRDefault="00FE1A26" w:rsidP="00FE1A26">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Оригинална валута</w:t>
            </w:r>
          </w:p>
        </w:tc>
        <w:tc>
          <w:tcPr>
            <w:tcW w:w="617" w:type="pct"/>
            <w:tcBorders>
              <w:top w:val="single" w:sz="4" w:space="0" w:color="002060"/>
              <w:left w:val="nil"/>
              <w:bottom w:val="single" w:sz="4" w:space="0" w:color="002060"/>
              <w:right w:val="nil"/>
            </w:tcBorders>
            <w:shd w:val="clear" w:color="auto" w:fill="auto"/>
            <w:vAlign w:val="center"/>
            <w:hideMark/>
          </w:tcPr>
          <w:p w14:paraId="720DBF17" w14:textId="77777777" w:rsidR="00FE1A26" w:rsidRPr="00EA3D8C" w:rsidRDefault="00FE1A26" w:rsidP="00FE1A26">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Износ у оригиналној валути</w:t>
            </w:r>
          </w:p>
        </w:tc>
      </w:tr>
      <w:tr w:rsidR="00AE40EB" w:rsidRPr="008C36EA" w14:paraId="0D3629E5" w14:textId="77777777" w:rsidTr="00D56871">
        <w:trPr>
          <w:trHeight w:val="20"/>
        </w:trPr>
        <w:tc>
          <w:tcPr>
            <w:tcW w:w="399" w:type="pct"/>
            <w:tcBorders>
              <w:top w:val="single" w:sz="4" w:space="0" w:color="002060"/>
              <w:left w:val="nil"/>
              <w:bottom w:val="nil"/>
              <w:right w:val="nil"/>
            </w:tcBorders>
            <w:shd w:val="clear" w:color="000000" w:fill="E7E6E6"/>
            <w:vAlign w:val="center"/>
            <w:hideMark/>
          </w:tcPr>
          <w:p w14:paraId="2B915B1A"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I.</w:t>
            </w:r>
          </w:p>
        </w:tc>
        <w:tc>
          <w:tcPr>
            <w:tcW w:w="2522" w:type="pct"/>
            <w:tcBorders>
              <w:top w:val="single" w:sz="4" w:space="0" w:color="002060"/>
              <w:left w:val="nil"/>
              <w:bottom w:val="nil"/>
              <w:right w:val="nil"/>
            </w:tcBorders>
            <w:shd w:val="clear" w:color="000000" w:fill="E7E6E6"/>
            <w:hideMark/>
          </w:tcPr>
          <w:p w14:paraId="0260CC1E"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Европској банци за обнову и развој</w:t>
            </w:r>
          </w:p>
        </w:tc>
        <w:tc>
          <w:tcPr>
            <w:tcW w:w="803" w:type="pct"/>
            <w:tcBorders>
              <w:top w:val="single" w:sz="4" w:space="0" w:color="002060"/>
              <w:left w:val="nil"/>
              <w:bottom w:val="nil"/>
              <w:right w:val="nil"/>
            </w:tcBorders>
            <w:shd w:val="clear" w:color="000000" w:fill="E7E6E6"/>
            <w:hideMark/>
          </w:tcPr>
          <w:p w14:paraId="56833BF1"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single" w:sz="4" w:space="0" w:color="002060"/>
              <w:left w:val="nil"/>
              <w:bottom w:val="nil"/>
              <w:right w:val="nil"/>
            </w:tcBorders>
            <w:shd w:val="clear" w:color="000000" w:fill="E7E6E6"/>
            <w:hideMark/>
          </w:tcPr>
          <w:p w14:paraId="039F6A5E" w14:textId="78C75F81"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single" w:sz="4" w:space="0" w:color="002060"/>
              <w:left w:val="nil"/>
              <w:bottom w:val="nil"/>
              <w:right w:val="nil"/>
            </w:tcBorders>
            <w:shd w:val="clear" w:color="000000" w:fill="E7E6E6"/>
            <w:hideMark/>
          </w:tcPr>
          <w:p w14:paraId="15C04C2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7AC6CC31" w14:textId="77777777" w:rsidTr="00D56871">
        <w:trPr>
          <w:trHeight w:val="20"/>
        </w:trPr>
        <w:tc>
          <w:tcPr>
            <w:tcW w:w="399" w:type="pct"/>
            <w:tcBorders>
              <w:top w:val="nil"/>
              <w:left w:val="nil"/>
              <w:bottom w:val="nil"/>
              <w:right w:val="nil"/>
            </w:tcBorders>
            <w:shd w:val="clear" w:color="auto" w:fill="auto"/>
            <w:hideMark/>
          </w:tcPr>
          <w:p w14:paraId="71F1F2BB"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69F9E724"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Акционарско друштво за железнички превоз путника „Србија Воз”, Београд – (Набавка возних средстава за Србија Воз)</w:t>
            </w:r>
          </w:p>
        </w:tc>
        <w:tc>
          <w:tcPr>
            <w:tcW w:w="803" w:type="pct"/>
            <w:tcBorders>
              <w:top w:val="nil"/>
              <w:left w:val="nil"/>
              <w:bottom w:val="nil"/>
              <w:right w:val="nil"/>
            </w:tcBorders>
            <w:shd w:val="clear" w:color="auto" w:fill="auto"/>
            <w:hideMark/>
          </w:tcPr>
          <w:p w14:paraId="33254FFB"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11.830.000.000</w:t>
            </w:r>
          </w:p>
        </w:tc>
        <w:tc>
          <w:tcPr>
            <w:tcW w:w="658" w:type="pct"/>
            <w:tcBorders>
              <w:top w:val="nil"/>
              <w:left w:val="nil"/>
              <w:bottom w:val="nil"/>
              <w:right w:val="nil"/>
            </w:tcBorders>
            <w:shd w:val="clear" w:color="auto" w:fill="auto"/>
            <w:hideMark/>
          </w:tcPr>
          <w:p w14:paraId="397A2C59"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1F0415D8"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100.000.000</w:t>
            </w:r>
          </w:p>
        </w:tc>
      </w:tr>
      <w:tr w:rsidR="002E197B" w:rsidRPr="008C36EA" w14:paraId="774AED4C" w14:textId="77777777" w:rsidTr="00D56871">
        <w:trPr>
          <w:trHeight w:val="211"/>
        </w:trPr>
        <w:tc>
          <w:tcPr>
            <w:tcW w:w="399" w:type="pct"/>
            <w:tcBorders>
              <w:top w:val="nil"/>
              <w:left w:val="nil"/>
              <w:right w:val="nil"/>
            </w:tcBorders>
            <w:shd w:val="clear" w:color="auto" w:fill="auto"/>
            <w:vAlign w:val="center"/>
            <w:hideMark/>
          </w:tcPr>
          <w:p w14:paraId="37947401" w14:textId="77777777" w:rsidR="002E197B" w:rsidRPr="00EA3D8C" w:rsidRDefault="002E197B" w:rsidP="00FE1A26">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w:t>
            </w:r>
          </w:p>
        </w:tc>
        <w:tc>
          <w:tcPr>
            <w:tcW w:w="2522" w:type="pct"/>
            <w:tcBorders>
              <w:top w:val="nil"/>
              <w:left w:val="nil"/>
              <w:bottom w:val="nil"/>
              <w:right w:val="nil"/>
            </w:tcBorders>
            <w:shd w:val="clear" w:color="auto" w:fill="auto"/>
            <w:hideMark/>
          </w:tcPr>
          <w:p w14:paraId="55331C1C" w14:textId="77777777" w:rsidR="002E197B" w:rsidRPr="00EA3D8C" w:rsidRDefault="002E197B"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„Електропривреда Србије” – Пројекат за паметна бројила</w:t>
            </w:r>
          </w:p>
        </w:tc>
        <w:tc>
          <w:tcPr>
            <w:tcW w:w="803" w:type="pct"/>
            <w:tcBorders>
              <w:top w:val="nil"/>
              <w:left w:val="nil"/>
              <w:bottom w:val="nil"/>
              <w:right w:val="nil"/>
            </w:tcBorders>
            <w:shd w:val="clear" w:color="auto" w:fill="auto"/>
            <w:hideMark/>
          </w:tcPr>
          <w:p w14:paraId="24CA3E88" w14:textId="77777777" w:rsidR="002E197B" w:rsidRPr="00EA3D8C" w:rsidRDefault="002E197B"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4.732.000.000</w:t>
            </w:r>
          </w:p>
        </w:tc>
        <w:tc>
          <w:tcPr>
            <w:tcW w:w="658" w:type="pct"/>
            <w:tcBorders>
              <w:top w:val="nil"/>
              <w:left w:val="nil"/>
              <w:bottom w:val="nil"/>
              <w:right w:val="nil"/>
            </w:tcBorders>
            <w:shd w:val="clear" w:color="auto" w:fill="auto"/>
            <w:hideMark/>
          </w:tcPr>
          <w:p w14:paraId="7DCDB182" w14:textId="77777777" w:rsidR="002E197B" w:rsidRPr="00EA3D8C" w:rsidRDefault="002E197B"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571FBAB7" w14:textId="77777777" w:rsidR="002E197B" w:rsidRPr="00EA3D8C" w:rsidRDefault="002E197B"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40.000.000</w:t>
            </w:r>
          </w:p>
        </w:tc>
      </w:tr>
      <w:tr w:rsidR="00AE40EB" w:rsidRPr="008C36EA" w14:paraId="2B9B20F2" w14:textId="77777777" w:rsidTr="00D56871">
        <w:trPr>
          <w:trHeight w:val="20"/>
        </w:trPr>
        <w:tc>
          <w:tcPr>
            <w:tcW w:w="399" w:type="pct"/>
            <w:tcBorders>
              <w:top w:val="nil"/>
              <w:left w:val="nil"/>
              <w:bottom w:val="nil"/>
              <w:right w:val="nil"/>
            </w:tcBorders>
            <w:shd w:val="clear" w:color="auto" w:fill="auto"/>
            <w:vAlign w:val="center"/>
            <w:hideMark/>
          </w:tcPr>
          <w:p w14:paraId="30C6E26A" w14:textId="77777777" w:rsidR="00FE1A26" w:rsidRPr="00EA3D8C" w:rsidRDefault="00FE1A26" w:rsidP="00FE1A26">
            <w:pPr>
              <w:spacing w:after="0" w:line="240" w:lineRule="auto"/>
              <w:jc w:val="lef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58E8D7B2"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77A7A3AC"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16.562.000.000</w:t>
            </w:r>
          </w:p>
        </w:tc>
        <w:tc>
          <w:tcPr>
            <w:tcW w:w="658" w:type="pct"/>
            <w:tcBorders>
              <w:top w:val="nil"/>
              <w:left w:val="nil"/>
              <w:bottom w:val="nil"/>
              <w:right w:val="nil"/>
            </w:tcBorders>
            <w:shd w:val="clear" w:color="auto" w:fill="auto"/>
            <w:hideMark/>
          </w:tcPr>
          <w:p w14:paraId="753EFFC8"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0CE79711"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140.000.000</w:t>
            </w:r>
          </w:p>
        </w:tc>
      </w:tr>
      <w:tr w:rsidR="00AE40EB" w:rsidRPr="008C36EA" w14:paraId="467EAFBB" w14:textId="77777777" w:rsidTr="00D56871">
        <w:trPr>
          <w:trHeight w:val="20"/>
        </w:trPr>
        <w:tc>
          <w:tcPr>
            <w:tcW w:w="399" w:type="pct"/>
            <w:tcBorders>
              <w:top w:val="nil"/>
              <w:left w:val="nil"/>
              <w:bottom w:val="nil"/>
              <w:right w:val="nil"/>
            </w:tcBorders>
            <w:shd w:val="clear" w:color="000000" w:fill="E7E6E6"/>
            <w:vAlign w:val="center"/>
            <w:hideMark/>
          </w:tcPr>
          <w:p w14:paraId="794BBF79"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II.</w:t>
            </w:r>
          </w:p>
        </w:tc>
        <w:tc>
          <w:tcPr>
            <w:tcW w:w="2522" w:type="pct"/>
            <w:tcBorders>
              <w:top w:val="nil"/>
              <w:left w:val="nil"/>
              <w:bottom w:val="nil"/>
              <w:right w:val="nil"/>
            </w:tcBorders>
            <w:shd w:val="clear" w:color="000000" w:fill="E7E6E6"/>
            <w:hideMark/>
          </w:tcPr>
          <w:p w14:paraId="69FD83CF"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Немачкој развојној банци (KfW)</w:t>
            </w:r>
          </w:p>
        </w:tc>
        <w:tc>
          <w:tcPr>
            <w:tcW w:w="803" w:type="pct"/>
            <w:tcBorders>
              <w:top w:val="nil"/>
              <w:left w:val="nil"/>
              <w:bottom w:val="nil"/>
              <w:right w:val="nil"/>
            </w:tcBorders>
            <w:shd w:val="clear" w:color="000000" w:fill="E7E6E6"/>
            <w:hideMark/>
          </w:tcPr>
          <w:p w14:paraId="3DB689F8"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1ED7CCE8" w14:textId="13A7BF31"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57DCA3A4"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2AE2C7E9" w14:textId="77777777" w:rsidTr="00D56871">
        <w:trPr>
          <w:trHeight w:val="20"/>
        </w:trPr>
        <w:tc>
          <w:tcPr>
            <w:tcW w:w="399" w:type="pct"/>
            <w:tcBorders>
              <w:top w:val="nil"/>
              <w:left w:val="nil"/>
              <w:bottom w:val="nil"/>
              <w:right w:val="nil"/>
            </w:tcBorders>
            <w:shd w:val="clear" w:color="auto" w:fill="auto"/>
            <w:hideMark/>
          </w:tcPr>
          <w:p w14:paraId="05287B05"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7D04195F"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АД „Електромрежа Србије” – Трансбалкански коридор секција 3-2x400KV Обреновац–Бајина Башта и подизање ТЦ Бајина Башта на 400KV</w:t>
            </w:r>
          </w:p>
        </w:tc>
        <w:tc>
          <w:tcPr>
            <w:tcW w:w="803" w:type="pct"/>
            <w:tcBorders>
              <w:top w:val="nil"/>
              <w:left w:val="nil"/>
              <w:bottom w:val="nil"/>
              <w:right w:val="nil"/>
            </w:tcBorders>
            <w:shd w:val="clear" w:color="auto" w:fill="auto"/>
            <w:hideMark/>
          </w:tcPr>
          <w:p w14:paraId="214E584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4.732.000.000</w:t>
            </w:r>
          </w:p>
        </w:tc>
        <w:tc>
          <w:tcPr>
            <w:tcW w:w="658" w:type="pct"/>
            <w:tcBorders>
              <w:top w:val="nil"/>
              <w:left w:val="nil"/>
              <w:bottom w:val="nil"/>
              <w:right w:val="nil"/>
            </w:tcBorders>
            <w:shd w:val="clear" w:color="auto" w:fill="auto"/>
            <w:hideMark/>
          </w:tcPr>
          <w:p w14:paraId="559E9FD8"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416716C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40.000.000</w:t>
            </w:r>
          </w:p>
        </w:tc>
      </w:tr>
      <w:tr w:rsidR="00AE40EB" w:rsidRPr="008C36EA" w14:paraId="68EBF289" w14:textId="77777777" w:rsidTr="00D56871">
        <w:trPr>
          <w:trHeight w:val="20"/>
        </w:trPr>
        <w:tc>
          <w:tcPr>
            <w:tcW w:w="399" w:type="pct"/>
            <w:tcBorders>
              <w:top w:val="nil"/>
              <w:left w:val="nil"/>
              <w:bottom w:val="nil"/>
              <w:right w:val="nil"/>
            </w:tcBorders>
            <w:shd w:val="clear" w:color="auto" w:fill="auto"/>
            <w:vAlign w:val="center"/>
            <w:hideMark/>
          </w:tcPr>
          <w:p w14:paraId="591BFEC6"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2209D68F"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6E79039D"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4.732.000.000</w:t>
            </w:r>
          </w:p>
        </w:tc>
        <w:tc>
          <w:tcPr>
            <w:tcW w:w="658" w:type="pct"/>
            <w:tcBorders>
              <w:top w:val="nil"/>
              <w:left w:val="nil"/>
              <w:bottom w:val="nil"/>
              <w:right w:val="nil"/>
            </w:tcBorders>
            <w:shd w:val="clear" w:color="auto" w:fill="auto"/>
            <w:hideMark/>
          </w:tcPr>
          <w:p w14:paraId="338C8BCE"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31DC3BB9"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40.000.000</w:t>
            </w:r>
          </w:p>
        </w:tc>
      </w:tr>
      <w:tr w:rsidR="00AE40EB" w:rsidRPr="008C36EA" w14:paraId="46FD9B72" w14:textId="77777777" w:rsidTr="00D56871">
        <w:trPr>
          <w:trHeight w:val="20"/>
        </w:trPr>
        <w:tc>
          <w:tcPr>
            <w:tcW w:w="399" w:type="pct"/>
            <w:tcBorders>
              <w:top w:val="nil"/>
              <w:left w:val="nil"/>
              <w:bottom w:val="nil"/>
              <w:right w:val="nil"/>
            </w:tcBorders>
            <w:shd w:val="clear" w:color="000000" w:fill="E7E6E6"/>
            <w:vAlign w:val="center"/>
            <w:hideMark/>
          </w:tcPr>
          <w:p w14:paraId="3EC452CD"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III.</w:t>
            </w:r>
          </w:p>
        </w:tc>
        <w:tc>
          <w:tcPr>
            <w:tcW w:w="2522" w:type="pct"/>
            <w:tcBorders>
              <w:top w:val="nil"/>
              <w:left w:val="nil"/>
              <w:bottom w:val="nil"/>
              <w:right w:val="nil"/>
            </w:tcBorders>
            <w:shd w:val="clear" w:color="000000" w:fill="E7E6E6"/>
            <w:hideMark/>
          </w:tcPr>
          <w:p w14:paraId="0CA964EF"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Европској инвестиционој банци</w:t>
            </w:r>
          </w:p>
        </w:tc>
        <w:tc>
          <w:tcPr>
            <w:tcW w:w="803" w:type="pct"/>
            <w:tcBorders>
              <w:top w:val="nil"/>
              <w:left w:val="nil"/>
              <w:bottom w:val="nil"/>
              <w:right w:val="nil"/>
            </w:tcBorders>
            <w:shd w:val="clear" w:color="000000" w:fill="E7E6E6"/>
            <w:hideMark/>
          </w:tcPr>
          <w:p w14:paraId="5991CBDC"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4946A91D" w14:textId="255E80DC"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36D2907B"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6FBD8BA6" w14:textId="77777777" w:rsidTr="00D56871">
        <w:trPr>
          <w:trHeight w:val="20"/>
        </w:trPr>
        <w:tc>
          <w:tcPr>
            <w:tcW w:w="399" w:type="pct"/>
            <w:tcBorders>
              <w:top w:val="nil"/>
              <w:left w:val="nil"/>
              <w:bottom w:val="nil"/>
              <w:right w:val="nil"/>
            </w:tcBorders>
            <w:shd w:val="clear" w:color="auto" w:fill="auto"/>
            <w:hideMark/>
          </w:tcPr>
          <w:p w14:paraId="0A413950"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03405DD3"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Акционарско друштво за управљање јавном железничком инфраструктуром „Инфраструктура железнице Србије”, Београд – Пројекат реконструкције и изградње другог колосека на прузи Београд–Младеновац–Ниш–Прешево–државна граница, деоница Сталаћ–Ђунис</w:t>
            </w:r>
          </w:p>
        </w:tc>
        <w:tc>
          <w:tcPr>
            <w:tcW w:w="803" w:type="pct"/>
            <w:tcBorders>
              <w:top w:val="nil"/>
              <w:left w:val="nil"/>
              <w:bottom w:val="nil"/>
              <w:right w:val="nil"/>
            </w:tcBorders>
            <w:shd w:val="clear" w:color="auto" w:fill="auto"/>
            <w:hideMark/>
          </w:tcPr>
          <w:p w14:paraId="575C1E20"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20.702.500.000</w:t>
            </w:r>
          </w:p>
        </w:tc>
        <w:tc>
          <w:tcPr>
            <w:tcW w:w="658" w:type="pct"/>
            <w:tcBorders>
              <w:top w:val="nil"/>
              <w:left w:val="nil"/>
              <w:bottom w:val="nil"/>
              <w:right w:val="nil"/>
            </w:tcBorders>
            <w:shd w:val="clear" w:color="auto" w:fill="auto"/>
            <w:hideMark/>
          </w:tcPr>
          <w:p w14:paraId="03FC8D7E"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0ACCD96B"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175.000.000</w:t>
            </w:r>
          </w:p>
        </w:tc>
      </w:tr>
      <w:tr w:rsidR="00AE40EB" w:rsidRPr="008C36EA" w14:paraId="6A5100B7" w14:textId="77777777" w:rsidTr="00D56871">
        <w:trPr>
          <w:trHeight w:val="20"/>
        </w:trPr>
        <w:tc>
          <w:tcPr>
            <w:tcW w:w="399" w:type="pct"/>
            <w:tcBorders>
              <w:top w:val="nil"/>
              <w:left w:val="nil"/>
              <w:bottom w:val="nil"/>
              <w:right w:val="nil"/>
            </w:tcBorders>
            <w:shd w:val="clear" w:color="auto" w:fill="auto"/>
            <w:vAlign w:val="center"/>
            <w:hideMark/>
          </w:tcPr>
          <w:p w14:paraId="55A35ED5"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7779F136"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1C278AAC"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20.702.500.000</w:t>
            </w:r>
          </w:p>
        </w:tc>
        <w:tc>
          <w:tcPr>
            <w:tcW w:w="658" w:type="pct"/>
            <w:tcBorders>
              <w:top w:val="nil"/>
              <w:left w:val="nil"/>
              <w:bottom w:val="nil"/>
              <w:right w:val="nil"/>
            </w:tcBorders>
            <w:shd w:val="clear" w:color="auto" w:fill="auto"/>
            <w:hideMark/>
          </w:tcPr>
          <w:p w14:paraId="33FFAB3F"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725963A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175.000.000</w:t>
            </w:r>
          </w:p>
        </w:tc>
      </w:tr>
      <w:tr w:rsidR="00AE40EB" w:rsidRPr="008C36EA" w14:paraId="0256CBCE" w14:textId="77777777" w:rsidTr="00D56871">
        <w:trPr>
          <w:trHeight w:val="20"/>
        </w:trPr>
        <w:tc>
          <w:tcPr>
            <w:tcW w:w="399" w:type="pct"/>
            <w:tcBorders>
              <w:top w:val="nil"/>
              <w:left w:val="nil"/>
              <w:bottom w:val="nil"/>
              <w:right w:val="nil"/>
            </w:tcBorders>
            <w:shd w:val="clear" w:color="000000" w:fill="E7E6E6"/>
            <w:vAlign w:val="center"/>
            <w:hideMark/>
          </w:tcPr>
          <w:p w14:paraId="409560D8" w14:textId="77777777" w:rsidR="00FE1A26" w:rsidRPr="00EA3D8C" w:rsidRDefault="00FE1A26" w:rsidP="0093003A">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IV.</w:t>
            </w:r>
          </w:p>
        </w:tc>
        <w:tc>
          <w:tcPr>
            <w:tcW w:w="2522" w:type="pct"/>
            <w:tcBorders>
              <w:top w:val="nil"/>
              <w:left w:val="nil"/>
              <w:bottom w:val="nil"/>
              <w:right w:val="nil"/>
            </w:tcBorders>
            <w:shd w:val="clear" w:color="000000" w:fill="E7E6E6"/>
            <w:hideMark/>
          </w:tcPr>
          <w:p w14:paraId="3DB11BAE"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Пословним банкама</w:t>
            </w:r>
          </w:p>
        </w:tc>
        <w:tc>
          <w:tcPr>
            <w:tcW w:w="803" w:type="pct"/>
            <w:tcBorders>
              <w:top w:val="nil"/>
              <w:left w:val="nil"/>
              <w:bottom w:val="nil"/>
              <w:right w:val="nil"/>
            </w:tcBorders>
            <w:shd w:val="clear" w:color="000000" w:fill="E7E6E6"/>
            <w:hideMark/>
          </w:tcPr>
          <w:p w14:paraId="4E7FBA8D"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152492FC" w14:textId="35824B65"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37278645"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04CC13EB" w14:textId="77777777" w:rsidTr="00D56871">
        <w:trPr>
          <w:trHeight w:val="20"/>
        </w:trPr>
        <w:tc>
          <w:tcPr>
            <w:tcW w:w="399" w:type="pct"/>
            <w:tcBorders>
              <w:top w:val="nil"/>
              <w:left w:val="nil"/>
              <w:bottom w:val="nil"/>
              <w:right w:val="nil"/>
            </w:tcBorders>
            <w:shd w:val="clear" w:color="auto" w:fill="auto"/>
            <w:hideMark/>
          </w:tcPr>
          <w:p w14:paraId="56D53CEE"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4D8F5EEA"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„Србијагас” – Изградња гасовода на територији Рeпублике Србије од границе са Републиком Бугарском до границе са Мађарском и другим суседним земљама са Републиком Србијом кроз улагање у капитал акционарског друштва South Stream Serbia AG, Zug, Швајцарска</w:t>
            </w:r>
          </w:p>
        </w:tc>
        <w:tc>
          <w:tcPr>
            <w:tcW w:w="803" w:type="pct"/>
            <w:tcBorders>
              <w:top w:val="nil"/>
              <w:left w:val="nil"/>
              <w:bottom w:val="nil"/>
              <w:right w:val="nil"/>
            </w:tcBorders>
            <w:shd w:val="clear" w:color="auto" w:fill="auto"/>
            <w:hideMark/>
          </w:tcPr>
          <w:p w14:paraId="1039096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8.281.000.000</w:t>
            </w:r>
          </w:p>
        </w:tc>
        <w:tc>
          <w:tcPr>
            <w:tcW w:w="658" w:type="pct"/>
            <w:tcBorders>
              <w:top w:val="nil"/>
              <w:left w:val="nil"/>
              <w:bottom w:val="nil"/>
              <w:right w:val="nil"/>
            </w:tcBorders>
            <w:shd w:val="clear" w:color="auto" w:fill="auto"/>
            <w:hideMark/>
          </w:tcPr>
          <w:p w14:paraId="772B934E"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5DBF0913"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70.000.000</w:t>
            </w:r>
          </w:p>
        </w:tc>
      </w:tr>
      <w:tr w:rsidR="00AE40EB" w:rsidRPr="008C36EA" w14:paraId="3C2ADCD2" w14:textId="77777777" w:rsidTr="00D56871">
        <w:trPr>
          <w:trHeight w:val="20"/>
        </w:trPr>
        <w:tc>
          <w:tcPr>
            <w:tcW w:w="399" w:type="pct"/>
            <w:tcBorders>
              <w:top w:val="nil"/>
              <w:left w:val="nil"/>
              <w:bottom w:val="nil"/>
              <w:right w:val="nil"/>
            </w:tcBorders>
            <w:shd w:val="clear" w:color="auto" w:fill="auto"/>
            <w:hideMark/>
          </w:tcPr>
          <w:p w14:paraId="2424D512"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w:t>
            </w:r>
          </w:p>
        </w:tc>
        <w:tc>
          <w:tcPr>
            <w:tcW w:w="2522" w:type="pct"/>
            <w:tcBorders>
              <w:top w:val="nil"/>
              <w:left w:val="nil"/>
              <w:bottom w:val="nil"/>
              <w:right w:val="nil"/>
            </w:tcBorders>
            <w:shd w:val="clear" w:color="auto" w:fill="auto"/>
            <w:hideMark/>
          </w:tcPr>
          <w:p w14:paraId="39654E8D" w14:textId="53F9A83D"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„Србијагас” – Изградња гасовода на територији Рeпублике Србије од границе са Републиком Бугарском до границе са Мађарском и другим суседним земљама са Републиком Србијом кроз улагање у капитал акционарског друштва South Stream Serbia AG, Zug, Швајцарска</w:t>
            </w:r>
          </w:p>
        </w:tc>
        <w:tc>
          <w:tcPr>
            <w:tcW w:w="803" w:type="pct"/>
            <w:tcBorders>
              <w:top w:val="nil"/>
              <w:left w:val="nil"/>
              <w:bottom w:val="nil"/>
              <w:right w:val="nil"/>
            </w:tcBorders>
            <w:shd w:val="clear" w:color="auto" w:fill="auto"/>
            <w:hideMark/>
          </w:tcPr>
          <w:p w14:paraId="7E83558E"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6.506.500.000</w:t>
            </w:r>
          </w:p>
        </w:tc>
        <w:tc>
          <w:tcPr>
            <w:tcW w:w="658" w:type="pct"/>
            <w:tcBorders>
              <w:top w:val="nil"/>
              <w:left w:val="nil"/>
              <w:bottom w:val="nil"/>
              <w:right w:val="nil"/>
            </w:tcBorders>
            <w:shd w:val="clear" w:color="auto" w:fill="auto"/>
            <w:hideMark/>
          </w:tcPr>
          <w:p w14:paraId="0F761CBA"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4138D40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55.000.000</w:t>
            </w:r>
          </w:p>
        </w:tc>
      </w:tr>
      <w:tr w:rsidR="00AE40EB" w:rsidRPr="008C36EA" w14:paraId="41B76F9A" w14:textId="77777777" w:rsidTr="00D56871">
        <w:trPr>
          <w:trHeight w:val="20"/>
        </w:trPr>
        <w:tc>
          <w:tcPr>
            <w:tcW w:w="399" w:type="pct"/>
            <w:tcBorders>
              <w:top w:val="nil"/>
              <w:left w:val="nil"/>
              <w:bottom w:val="nil"/>
              <w:right w:val="nil"/>
            </w:tcBorders>
            <w:shd w:val="clear" w:color="auto" w:fill="auto"/>
            <w:hideMark/>
          </w:tcPr>
          <w:p w14:paraId="53663AAE"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3.</w:t>
            </w:r>
          </w:p>
        </w:tc>
        <w:tc>
          <w:tcPr>
            <w:tcW w:w="2522" w:type="pct"/>
            <w:tcBorders>
              <w:top w:val="nil"/>
              <w:left w:val="nil"/>
              <w:bottom w:val="nil"/>
              <w:right w:val="nil"/>
            </w:tcBorders>
            <w:shd w:val="clear" w:color="auto" w:fill="auto"/>
            <w:hideMark/>
          </w:tcPr>
          <w:p w14:paraId="13E60F9D"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„Србијагас” – Изградња гасовода на територији Рeпублике Србије - Гасна интерконекција Србија – Бугарска</w:t>
            </w:r>
          </w:p>
        </w:tc>
        <w:tc>
          <w:tcPr>
            <w:tcW w:w="803" w:type="pct"/>
            <w:tcBorders>
              <w:top w:val="nil"/>
              <w:left w:val="nil"/>
              <w:bottom w:val="nil"/>
              <w:right w:val="nil"/>
            </w:tcBorders>
            <w:shd w:val="clear" w:color="auto" w:fill="auto"/>
            <w:hideMark/>
          </w:tcPr>
          <w:p w14:paraId="7BF1AAC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2.957.500.000</w:t>
            </w:r>
          </w:p>
        </w:tc>
        <w:tc>
          <w:tcPr>
            <w:tcW w:w="658" w:type="pct"/>
            <w:tcBorders>
              <w:top w:val="nil"/>
              <w:left w:val="nil"/>
              <w:bottom w:val="nil"/>
              <w:right w:val="nil"/>
            </w:tcBorders>
            <w:shd w:val="clear" w:color="auto" w:fill="auto"/>
            <w:hideMark/>
          </w:tcPr>
          <w:p w14:paraId="0132D0EC"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15859BD1"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25.000.000</w:t>
            </w:r>
          </w:p>
        </w:tc>
      </w:tr>
      <w:tr w:rsidR="00AE40EB" w:rsidRPr="008C36EA" w14:paraId="6BDEF831" w14:textId="77777777" w:rsidTr="00D56871">
        <w:trPr>
          <w:trHeight w:val="20"/>
        </w:trPr>
        <w:tc>
          <w:tcPr>
            <w:tcW w:w="399" w:type="pct"/>
            <w:tcBorders>
              <w:top w:val="nil"/>
              <w:left w:val="nil"/>
              <w:bottom w:val="nil"/>
              <w:right w:val="nil"/>
            </w:tcBorders>
            <w:shd w:val="clear" w:color="auto" w:fill="auto"/>
            <w:hideMark/>
          </w:tcPr>
          <w:p w14:paraId="354141A6"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4.</w:t>
            </w:r>
          </w:p>
        </w:tc>
        <w:tc>
          <w:tcPr>
            <w:tcW w:w="2522" w:type="pct"/>
            <w:tcBorders>
              <w:top w:val="nil"/>
              <w:left w:val="nil"/>
              <w:bottom w:val="nil"/>
              <w:right w:val="nil"/>
            </w:tcBorders>
            <w:shd w:val="clear" w:color="auto" w:fill="auto"/>
            <w:hideMark/>
          </w:tcPr>
          <w:p w14:paraId="23803F3E"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„Скијалишта Србије” - изградња гондоле Брзеће - Мали Караман</w:t>
            </w:r>
          </w:p>
        </w:tc>
        <w:tc>
          <w:tcPr>
            <w:tcW w:w="803" w:type="pct"/>
            <w:tcBorders>
              <w:top w:val="nil"/>
              <w:left w:val="nil"/>
              <w:bottom w:val="nil"/>
              <w:right w:val="nil"/>
            </w:tcBorders>
            <w:shd w:val="clear" w:color="auto" w:fill="auto"/>
            <w:hideMark/>
          </w:tcPr>
          <w:p w14:paraId="0A07015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3.194.100.000</w:t>
            </w:r>
          </w:p>
        </w:tc>
        <w:tc>
          <w:tcPr>
            <w:tcW w:w="658" w:type="pct"/>
            <w:tcBorders>
              <w:top w:val="nil"/>
              <w:left w:val="nil"/>
              <w:bottom w:val="nil"/>
              <w:right w:val="nil"/>
            </w:tcBorders>
            <w:shd w:val="clear" w:color="auto" w:fill="auto"/>
            <w:hideMark/>
          </w:tcPr>
          <w:p w14:paraId="49CC56CE"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3F2AE6A4"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27.000.000</w:t>
            </w:r>
          </w:p>
        </w:tc>
      </w:tr>
      <w:tr w:rsidR="00AE40EB" w:rsidRPr="008C36EA" w14:paraId="1D9C166D" w14:textId="77777777" w:rsidTr="00D56871">
        <w:trPr>
          <w:trHeight w:val="20"/>
        </w:trPr>
        <w:tc>
          <w:tcPr>
            <w:tcW w:w="399" w:type="pct"/>
            <w:tcBorders>
              <w:top w:val="nil"/>
              <w:left w:val="nil"/>
              <w:bottom w:val="nil"/>
              <w:right w:val="nil"/>
            </w:tcBorders>
            <w:shd w:val="clear" w:color="auto" w:fill="auto"/>
            <w:vAlign w:val="center"/>
            <w:hideMark/>
          </w:tcPr>
          <w:p w14:paraId="63E46F1A"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4D8729A9"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555623D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20.939.100.000</w:t>
            </w:r>
          </w:p>
        </w:tc>
        <w:tc>
          <w:tcPr>
            <w:tcW w:w="658" w:type="pct"/>
            <w:tcBorders>
              <w:top w:val="nil"/>
              <w:left w:val="nil"/>
              <w:bottom w:val="nil"/>
              <w:right w:val="nil"/>
            </w:tcBorders>
            <w:shd w:val="clear" w:color="auto" w:fill="auto"/>
            <w:hideMark/>
          </w:tcPr>
          <w:p w14:paraId="64A9DB13"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63465E4A"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177.000.000</w:t>
            </w:r>
          </w:p>
        </w:tc>
      </w:tr>
      <w:tr w:rsidR="00AE40EB" w:rsidRPr="008C36EA" w14:paraId="30518FB2" w14:textId="77777777" w:rsidTr="00D56871">
        <w:trPr>
          <w:trHeight w:val="20"/>
        </w:trPr>
        <w:tc>
          <w:tcPr>
            <w:tcW w:w="399" w:type="pct"/>
            <w:tcBorders>
              <w:top w:val="nil"/>
              <w:left w:val="nil"/>
              <w:bottom w:val="nil"/>
              <w:right w:val="nil"/>
            </w:tcBorders>
            <w:shd w:val="clear" w:color="000000" w:fill="E7E6E6"/>
            <w:vAlign w:val="center"/>
            <w:hideMark/>
          </w:tcPr>
          <w:p w14:paraId="08150966"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V.</w:t>
            </w:r>
          </w:p>
        </w:tc>
        <w:tc>
          <w:tcPr>
            <w:tcW w:w="2522" w:type="pct"/>
            <w:tcBorders>
              <w:top w:val="nil"/>
              <w:left w:val="nil"/>
              <w:bottom w:val="nil"/>
              <w:right w:val="nil"/>
            </w:tcBorders>
            <w:shd w:val="clear" w:color="000000" w:fill="E7E6E6"/>
            <w:hideMark/>
          </w:tcPr>
          <w:p w14:paraId="2A165191"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Кувајтски фонд за арапски економски развој</w:t>
            </w:r>
          </w:p>
        </w:tc>
        <w:tc>
          <w:tcPr>
            <w:tcW w:w="803" w:type="pct"/>
            <w:tcBorders>
              <w:top w:val="nil"/>
              <w:left w:val="nil"/>
              <w:bottom w:val="nil"/>
              <w:right w:val="nil"/>
            </w:tcBorders>
            <w:shd w:val="clear" w:color="000000" w:fill="E7E6E6"/>
            <w:hideMark/>
          </w:tcPr>
          <w:p w14:paraId="3543F46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0B03ED43" w14:textId="62932281"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30B1CEA6"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25A78ACE" w14:textId="77777777" w:rsidTr="00D56871">
        <w:trPr>
          <w:trHeight w:val="20"/>
        </w:trPr>
        <w:tc>
          <w:tcPr>
            <w:tcW w:w="399" w:type="pct"/>
            <w:tcBorders>
              <w:top w:val="nil"/>
              <w:left w:val="nil"/>
              <w:bottom w:val="nil"/>
              <w:right w:val="nil"/>
            </w:tcBorders>
            <w:shd w:val="clear" w:color="auto" w:fill="auto"/>
            <w:hideMark/>
          </w:tcPr>
          <w:p w14:paraId="44026DE4"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2C3E8F95"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Акционарско друштво за управљање јавном железничком инфраструктуром „Инфраструктура железнице Србијеˮ – Изградња станичне зграде железничке станице Београд Центар – Фаза II</w:t>
            </w:r>
          </w:p>
        </w:tc>
        <w:tc>
          <w:tcPr>
            <w:tcW w:w="803" w:type="pct"/>
            <w:tcBorders>
              <w:top w:val="nil"/>
              <w:left w:val="nil"/>
              <w:bottom w:val="nil"/>
              <w:right w:val="nil"/>
            </w:tcBorders>
            <w:shd w:val="clear" w:color="auto" w:fill="auto"/>
            <w:hideMark/>
          </w:tcPr>
          <w:p w14:paraId="7717131A"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6.378.022.800</w:t>
            </w:r>
          </w:p>
        </w:tc>
        <w:tc>
          <w:tcPr>
            <w:tcW w:w="658" w:type="pct"/>
            <w:tcBorders>
              <w:top w:val="nil"/>
              <w:left w:val="nil"/>
              <w:bottom w:val="nil"/>
              <w:right w:val="nil"/>
            </w:tcBorders>
            <w:shd w:val="clear" w:color="auto" w:fill="auto"/>
            <w:hideMark/>
          </w:tcPr>
          <w:p w14:paraId="4B44D3B1"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KWD</w:t>
            </w:r>
          </w:p>
        </w:tc>
        <w:tc>
          <w:tcPr>
            <w:tcW w:w="617" w:type="pct"/>
            <w:tcBorders>
              <w:top w:val="nil"/>
              <w:left w:val="nil"/>
              <w:bottom w:val="nil"/>
              <w:right w:val="nil"/>
            </w:tcBorders>
            <w:shd w:val="clear" w:color="auto" w:fill="auto"/>
            <w:hideMark/>
          </w:tcPr>
          <w:p w14:paraId="2A7A01E5"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18.000.000</w:t>
            </w:r>
          </w:p>
        </w:tc>
      </w:tr>
      <w:tr w:rsidR="00AE40EB" w:rsidRPr="008C36EA" w14:paraId="4DDD96BE" w14:textId="77777777" w:rsidTr="00D56871">
        <w:trPr>
          <w:trHeight w:val="20"/>
        </w:trPr>
        <w:tc>
          <w:tcPr>
            <w:tcW w:w="399" w:type="pct"/>
            <w:tcBorders>
              <w:top w:val="nil"/>
              <w:left w:val="nil"/>
              <w:bottom w:val="nil"/>
              <w:right w:val="nil"/>
            </w:tcBorders>
            <w:shd w:val="clear" w:color="auto" w:fill="auto"/>
            <w:vAlign w:val="center"/>
            <w:hideMark/>
          </w:tcPr>
          <w:p w14:paraId="2784C7CB"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2BF1911C"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6D58BB42"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6.378.022.800</w:t>
            </w:r>
          </w:p>
        </w:tc>
        <w:tc>
          <w:tcPr>
            <w:tcW w:w="658" w:type="pct"/>
            <w:tcBorders>
              <w:top w:val="nil"/>
              <w:left w:val="nil"/>
              <w:bottom w:val="nil"/>
              <w:right w:val="nil"/>
            </w:tcBorders>
            <w:shd w:val="clear" w:color="auto" w:fill="auto"/>
            <w:hideMark/>
          </w:tcPr>
          <w:p w14:paraId="0014B5E3"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KWD</w:t>
            </w:r>
          </w:p>
        </w:tc>
        <w:tc>
          <w:tcPr>
            <w:tcW w:w="617" w:type="pct"/>
            <w:tcBorders>
              <w:top w:val="nil"/>
              <w:left w:val="nil"/>
              <w:bottom w:val="nil"/>
              <w:right w:val="nil"/>
            </w:tcBorders>
            <w:shd w:val="clear" w:color="auto" w:fill="auto"/>
            <w:hideMark/>
          </w:tcPr>
          <w:p w14:paraId="35926FF3"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18.000.000</w:t>
            </w:r>
          </w:p>
        </w:tc>
      </w:tr>
      <w:tr w:rsidR="00AE40EB" w:rsidRPr="008C36EA" w14:paraId="4D20FA60" w14:textId="77777777" w:rsidTr="00D56871">
        <w:trPr>
          <w:trHeight w:val="20"/>
        </w:trPr>
        <w:tc>
          <w:tcPr>
            <w:tcW w:w="399" w:type="pct"/>
            <w:tcBorders>
              <w:top w:val="nil"/>
              <w:left w:val="nil"/>
              <w:bottom w:val="nil"/>
              <w:right w:val="nil"/>
            </w:tcBorders>
            <w:shd w:val="clear" w:color="000000" w:fill="E7E6E6"/>
            <w:vAlign w:val="center"/>
            <w:hideMark/>
          </w:tcPr>
          <w:p w14:paraId="48ECD9DB"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VI.</w:t>
            </w:r>
          </w:p>
        </w:tc>
        <w:tc>
          <w:tcPr>
            <w:tcW w:w="2522" w:type="pct"/>
            <w:tcBorders>
              <w:top w:val="nil"/>
              <w:left w:val="nil"/>
              <w:bottom w:val="nil"/>
              <w:right w:val="nil"/>
            </w:tcBorders>
            <w:shd w:val="clear" w:color="000000" w:fill="E7E6E6"/>
            <w:hideMark/>
          </w:tcPr>
          <w:p w14:paraId="416E7070"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Руској Федерацији (Државна развојна корпорација „VEB.RF”)</w:t>
            </w:r>
          </w:p>
        </w:tc>
        <w:tc>
          <w:tcPr>
            <w:tcW w:w="803" w:type="pct"/>
            <w:tcBorders>
              <w:top w:val="nil"/>
              <w:left w:val="nil"/>
              <w:bottom w:val="nil"/>
              <w:right w:val="nil"/>
            </w:tcBorders>
            <w:shd w:val="clear" w:color="000000" w:fill="E7E6E6"/>
            <w:hideMark/>
          </w:tcPr>
          <w:p w14:paraId="44DC5646"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53E6903F" w14:textId="419F8D46"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4F38B267"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0DF42242" w14:textId="77777777" w:rsidTr="00D56871">
        <w:trPr>
          <w:trHeight w:val="20"/>
        </w:trPr>
        <w:tc>
          <w:tcPr>
            <w:tcW w:w="399" w:type="pct"/>
            <w:tcBorders>
              <w:top w:val="nil"/>
              <w:left w:val="nil"/>
              <w:bottom w:val="nil"/>
              <w:right w:val="nil"/>
            </w:tcBorders>
            <w:shd w:val="clear" w:color="auto" w:fill="auto"/>
            <w:hideMark/>
          </w:tcPr>
          <w:p w14:paraId="0532105E"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6CAA914E"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„Електропривреда Србије” - Ревитализација хидроелектране „Ђердап 2"</w:t>
            </w:r>
          </w:p>
        </w:tc>
        <w:tc>
          <w:tcPr>
            <w:tcW w:w="803" w:type="pct"/>
            <w:tcBorders>
              <w:top w:val="nil"/>
              <w:left w:val="nil"/>
              <w:bottom w:val="nil"/>
              <w:right w:val="nil"/>
            </w:tcBorders>
            <w:shd w:val="clear" w:color="auto" w:fill="auto"/>
            <w:hideMark/>
          </w:tcPr>
          <w:p w14:paraId="66954F26"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23.660.000.000</w:t>
            </w:r>
          </w:p>
        </w:tc>
        <w:tc>
          <w:tcPr>
            <w:tcW w:w="658" w:type="pct"/>
            <w:tcBorders>
              <w:top w:val="nil"/>
              <w:left w:val="nil"/>
              <w:bottom w:val="nil"/>
              <w:right w:val="nil"/>
            </w:tcBorders>
            <w:shd w:val="clear" w:color="auto" w:fill="auto"/>
            <w:hideMark/>
          </w:tcPr>
          <w:p w14:paraId="090A61B7"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6E535516"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200.000.000</w:t>
            </w:r>
          </w:p>
        </w:tc>
      </w:tr>
      <w:tr w:rsidR="00AE40EB" w:rsidRPr="008C36EA" w14:paraId="56EEBE8F" w14:textId="77777777" w:rsidTr="00D56871">
        <w:trPr>
          <w:trHeight w:val="20"/>
        </w:trPr>
        <w:tc>
          <w:tcPr>
            <w:tcW w:w="399" w:type="pct"/>
            <w:tcBorders>
              <w:top w:val="nil"/>
              <w:left w:val="nil"/>
              <w:bottom w:val="nil"/>
              <w:right w:val="nil"/>
            </w:tcBorders>
            <w:shd w:val="clear" w:color="auto" w:fill="auto"/>
            <w:vAlign w:val="center"/>
            <w:hideMark/>
          </w:tcPr>
          <w:p w14:paraId="69D2FBCA"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bottom w:val="nil"/>
              <w:right w:val="nil"/>
            </w:tcBorders>
            <w:shd w:val="clear" w:color="auto" w:fill="auto"/>
            <w:hideMark/>
          </w:tcPr>
          <w:p w14:paraId="5E126EF7"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auto" w:fill="auto"/>
            <w:hideMark/>
          </w:tcPr>
          <w:p w14:paraId="0437D9DE"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23.660.000.000</w:t>
            </w:r>
          </w:p>
        </w:tc>
        <w:tc>
          <w:tcPr>
            <w:tcW w:w="658" w:type="pct"/>
            <w:tcBorders>
              <w:top w:val="nil"/>
              <w:left w:val="nil"/>
              <w:bottom w:val="nil"/>
              <w:right w:val="nil"/>
            </w:tcBorders>
            <w:shd w:val="clear" w:color="auto" w:fill="auto"/>
            <w:hideMark/>
          </w:tcPr>
          <w:p w14:paraId="6DADCED8"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3FE53353"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200.000.000</w:t>
            </w:r>
          </w:p>
        </w:tc>
      </w:tr>
      <w:tr w:rsidR="00AE40EB" w:rsidRPr="008C36EA" w14:paraId="68F92B0D" w14:textId="77777777" w:rsidTr="00D56871">
        <w:trPr>
          <w:trHeight w:val="20"/>
        </w:trPr>
        <w:tc>
          <w:tcPr>
            <w:tcW w:w="399" w:type="pct"/>
            <w:tcBorders>
              <w:top w:val="nil"/>
              <w:left w:val="nil"/>
              <w:bottom w:val="nil"/>
              <w:right w:val="nil"/>
            </w:tcBorders>
            <w:shd w:val="clear" w:color="000000" w:fill="E7E6E6"/>
            <w:vAlign w:val="center"/>
            <w:hideMark/>
          </w:tcPr>
          <w:p w14:paraId="201151C3" w14:textId="77777777" w:rsidR="00FE1A26" w:rsidRPr="00EA3D8C" w:rsidRDefault="00FE1A26"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VI.</w:t>
            </w:r>
          </w:p>
        </w:tc>
        <w:tc>
          <w:tcPr>
            <w:tcW w:w="2522" w:type="pct"/>
            <w:tcBorders>
              <w:top w:val="nil"/>
              <w:left w:val="nil"/>
              <w:bottom w:val="nil"/>
              <w:right w:val="nil"/>
            </w:tcBorders>
            <w:shd w:val="clear" w:color="000000" w:fill="E7E6E6"/>
            <w:hideMark/>
          </w:tcPr>
          <w:p w14:paraId="537A6933"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Републици Француској (Трезор)</w:t>
            </w:r>
          </w:p>
        </w:tc>
        <w:tc>
          <w:tcPr>
            <w:tcW w:w="803" w:type="pct"/>
            <w:tcBorders>
              <w:top w:val="nil"/>
              <w:left w:val="nil"/>
              <w:bottom w:val="nil"/>
              <w:right w:val="nil"/>
            </w:tcBorders>
            <w:shd w:val="clear" w:color="000000" w:fill="E7E6E6"/>
            <w:hideMark/>
          </w:tcPr>
          <w:p w14:paraId="1A22AEAF"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3F942B4B" w14:textId="20FB8B2D"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p>
        </w:tc>
        <w:tc>
          <w:tcPr>
            <w:tcW w:w="617" w:type="pct"/>
            <w:tcBorders>
              <w:top w:val="nil"/>
              <w:left w:val="nil"/>
              <w:bottom w:val="nil"/>
              <w:right w:val="nil"/>
            </w:tcBorders>
            <w:shd w:val="clear" w:color="000000" w:fill="E7E6E6"/>
            <w:hideMark/>
          </w:tcPr>
          <w:p w14:paraId="324DAD2B"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r>
      <w:tr w:rsidR="00AE40EB" w:rsidRPr="008C36EA" w14:paraId="2237855D" w14:textId="77777777" w:rsidTr="00D56871">
        <w:trPr>
          <w:trHeight w:val="20"/>
        </w:trPr>
        <w:tc>
          <w:tcPr>
            <w:tcW w:w="399" w:type="pct"/>
            <w:tcBorders>
              <w:top w:val="nil"/>
              <w:left w:val="nil"/>
              <w:bottom w:val="nil"/>
              <w:right w:val="nil"/>
            </w:tcBorders>
            <w:shd w:val="clear" w:color="auto" w:fill="auto"/>
            <w:hideMark/>
          </w:tcPr>
          <w:p w14:paraId="39F58929" w14:textId="77777777" w:rsidR="00FE1A26" w:rsidRPr="00EA3D8C" w:rsidRDefault="00FE1A26" w:rsidP="0014307F">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w:t>
            </w:r>
          </w:p>
        </w:tc>
        <w:tc>
          <w:tcPr>
            <w:tcW w:w="2522" w:type="pct"/>
            <w:tcBorders>
              <w:top w:val="nil"/>
              <w:left w:val="nil"/>
              <w:bottom w:val="nil"/>
              <w:right w:val="nil"/>
            </w:tcBorders>
            <w:shd w:val="clear" w:color="auto" w:fill="auto"/>
            <w:hideMark/>
          </w:tcPr>
          <w:p w14:paraId="1B9BB1E7"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ЈП „Електропривреда Србије” - Пројекат аутоматизације средњенапонске дистрибутивне мреже</w:t>
            </w:r>
          </w:p>
        </w:tc>
        <w:tc>
          <w:tcPr>
            <w:tcW w:w="803" w:type="pct"/>
            <w:tcBorders>
              <w:top w:val="nil"/>
              <w:left w:val="nil"/>
              <w:bottom w:val="nil"/>
              <w:right w:val="nil"/>
            </w:tcBorders>
            <w:shd w:val="clear" w:color="auto" w:fill="auto"/>
            <w:hideMark/>
          </w:tcPr>
          <w:p w14:paraId="3F04B3C0"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15.024.100.000</w:t>
            </w:r>
          </w:p>
        </w:tc>
        <w:tc>
          <w:tcPr>
            <w:tcW w:w="658" w:type="pct"/>
            <w:tcBorders>
              <w:top w:val="nil"/>
              <w:left w:val="nil"/>
              <w:bottom w:val="nil"/>
              <w:right w:val="nil"/>
            </w:tcBorders>
            <w:shd w:val="clear" w:color="auto" w:fill="auto"/>
            <w:hideMark/>
          </w:tcPr>
          <w:p w14:paraId="32709582"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auto" w:fill="auto"/>
            <w:hideMark/>
          </w:tcPr>
          <w:p w14:paraId="24245E04"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127.000.000</w:t>
            </w:r>
          </w:p>
        </w:tc>
      </w:tr>
      <w:tr w:rsidR="00AE40EB" w:rsidRPr="008C36EA" w14:paraId="35ED13B3" w14:textId="77777777" w:rsidTr="00D56871">
        <w:trPr>
          <w:trHeight w:val="20"/>
        </w:trPr>
        <w:tc>
          <w:tcPr>
            <w:tcW w:w="399" w:type="pct"/>
            <w:tcBorders>
              <w:top w:val="nil"/>
              <w:left w:val="nil"/>
              <w:right w:val="nil"/>
            </w:tcBorders>
            <w:shd w:val="clear" w:color="auto" w:fill="auto"/>
            <w:vAlign w:val="center"/>
            <w:hideMark/>
          </w:tcPr>
          <w:p w14:paraId="47040652" w14:textId="77777777" w:rsidR="00FE1A26" w:rsidRPr="00EA3D8C" w:rsidRDefault="00FE1A26" w:rsidP="00FE1A26">
            <w:pPr>
              <w:spacing w:after="0" w:line="240" w:lineRule="auto"/>
              <w:jc w:val="right"/>
              <w:rPr>
                <w:rFonts w:ascii="Calibri" w:eastAsia="Times New Roman" w:hAnsi="Calibri" w:cs="Times New Roman"/>
                <w:color w:val="002060"/>
                <w:sz w:val="18"/>
                <w:szCs w:val="18"/>
                <w:lang w:val="sr-Cyrl-RS"/>
              </w:rPr>
            </w:pPr>
          </w:p>
        </w:tc>
        <w:tc>
          <w:tcPr>
            <w:tcW w:w="2522" w:type="pct"/>
            <w:tcBorders>
              <w:top w:val="nil"/>
              <w:left w:val="nil"/>
              <w:right w:val="nil"/>
            </w:tcBorders>
            <w:shd w:val="clear" w:color="auto" w:fill="auto"/>
            <w:hideMark/>
          </w:tcPr>
          <w:p w14:paraId="007340D9" w14:textId="77777777" w:rsidR="00FE1A26" w:rsidRPr="00EA3D8C" w:rsidRDefault="00FE1A26" w:rsidP="00D56871">
            <w:pPr>
              <w:spacing w:after="0" w:line="240" w:lineRule="auto"/>
              <w:jc w:val="lef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right w:val="nil"/>
            </w:tcBorders>
            <w:shd w:val="clear" w:color="auto" w:fill="auto"/>
            <w:hideMark/>
          </w:tcPr>
          <w:p w14:paraId="608B7C21"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15.024.100.000</w:t>
            </w:r>
          </w:p>
        </w:tc>
        <w:tc>
          <w:tcPr>
            <w:tcW w:w="658" w:type="pct"/>
            <w:tcBorders>
              <w:top w:val="nil"/>
              <w:left w:val="nil"/>
              <w:right w:val="nil"/>
            </w:tcBorders>
            <w:shd w:val="clear" w:color="auto" w:fill="auto"/>
            <w:hideMark/>
          </w:tcPr>
          <w:p w14:paraId="6225D9C6" w14:textId="77777777" w:rsidR="00FE1A26" w:rsidRPr="00EA3D8C" w:rsidRDefault="00FE1A26"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right w:val="nil"/>
            </w:tcBorders>
            <w:shd w:val="clear" w:color="auto" w:fill="auto"/>
            <w:hideMark/>
          </w:tcPr>
          <w:p w14:paraId="612079CA" w14:textId="77777777" w:rsidR="00FE1A26" w:rsidRPr="00EA3D8C" w:rsidRDefault="00FE1A26"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127.000.000</w:t>
            </w:r>
          </w:p>
        </w:tc>
      </w:tr>
      <w:tr w:rsidR="0093003A" w:rsidRPr="008C36EA" w14:paraId="207410BC" w14:textId="77777777" w:rsidTr="00D56871">
        <w:trPr>
          <w:trHeight w:val="20"/>
        </w:trPr>
        <w:tc>
          <w:tcPr>
            <w:tcW w:w="399" w:type="pct"/>
            <w:tcBorders>
              <w:top w:val="nil"/>
              <w:left w:val="nil"/>
              <w:bottom w:val="nil"/>
              <w:right w:val="nil"/>
            </w:tcBorders>
            <w:shd w:val="clear" w:color="auto" w:fill="E7E6E6"/>
            <w:vAlign w:val="center"/>
            <w:hideMark/>
          </w:tcPr>
          <w:p w14:paraId="63198148" w14:textId="77777777" w:rsidR="0093003A" w:rsidRPr="00EA3D8C" w:rsidRDefault="0093003A"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2522" w:type="pct"/>
            <w:vMerge w:val="restart"/>
            <w:tcBorders>
              <w:top w:val="nil"/>
              <w:left w:val="nil"/>
              <w:right w:val="nil"/>
            </w:tcBorders>
            <w:shd w:val="clear" w:color="auto" w:fill="E7E6E6"/>
            <w:vAlign w:val="center"/>
            <w:hideMark/>
          </w:tcPr>
          <w:p w14:paraId="64819D64" w14:textId="77777777" w:rsidR="0093003A" w:rsidRPr="00EA3D8C" w:rsidRDefault="0093003A"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УКУПНО:</w:t>
            </w:r>
          </w:p>
        </w:tc>
        <w:tc>
          <w:tcPr>
            <w:tcW w:w="803" w:type="pct"/>
            <w:tcBorders>
              <w:top w:val="nil"/>
              <w:left w:val="nil"/>
              <w:bottom w:val="nil"/>
              <w:right w:val="nil"/>
            </w:tcBorders>
            <w:shd w:val="clear" w:color="000000" w:fill="E7E6E6"/>
            <w:hideMark/>
          </w:tcPr>
          <w:p w14:paraId="5B7FF74B" w14:textId="77777777" w:rsidR="0093003A" w:rsidRPr="00EA3D8C" w:rsidRDefault="0093003A"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658" w:type="pct"/>
            <w:tcBorders>
              <w:top w:val="nil"/>
              <w:left w:val="nil"/>
              <w:bottom w:val="nil"/>
              <w:right w:val="nil"/>
            </w:tcBorders>
            <w:shd w:val="clear" w:color="000000" w:fill="E7E6E6"/>
            <w:hideMark/>
          </w:tcPr>
          <w:p w14:paraId="573EDCA6" w14:textId="77777777" w:rsidR="0093003A" w:rsidRPr="00EA3D8C" w:rsidRDefault="0093003A"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EUR</w:t>
            </w:r>
          </w:p>
        </w:tc>
        <w:tc>
          <w:tcPr>
            <w:tcW w:w="617" w:type="pct"/>
            <w:tcBorders>
              <w:top w:val="nil"/>
              <w:left w:val="nil"/>
              <w:bottom w:val="nil"/>
              <w:right w:val="nil"/>
            </w:tcBorders>
            <w:shd w:val="clear" w:color="000000" w:fill="E7E6E6"/>
            <w:hideMark/>
          </w:tcPr>
          <w:p w14:paraId="21A3B56E" w14:textId="77777777" w:rsidR="0093003A" w:rsidRPr="00EA3D8C" w:rsidRDefault="0093003A"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859.000.000</w:t>
            </w:r>
          </w:p>
        </w:tc>
      </w:tr>
      <w:tr w:rsidR="0093003A" w:rsidRPr="008C36EA" w14:paraId="6CA005C0" w14:textId="77777777" w:rsidTr="00D56871">
        <w:trPr>
          <w:trHeight w:val="20"/>
        </w:trPr>
        <w:tc>
          <w:tcPr>
            <w:tcW w:w="399" w:type="pct"/>
            <w:tcBorders>
              <w:top w:val="nil"/>
              <w:left w:val="nil"/>
              <w:bottom w:val="single" w:sz="4" w:space="0" w:color="002060"/>
              <w:right w:val="nil"/>
            </w:tcBorders>
            <w:shd w:val="clear" w:color="000000" w:fill="E7E6E6"/>
            <w:vAlign w:val="center"/>
            <w:hideMark/>
          </w:tcPr>
          <w:p w14:paraId="1FB2B29F" w14:textId="77777777" w:rsidR="0093003A" w:rsidRPr="00EA3D8C" w:rsidRDefault="0093003A" w:rsidP="00FE1A26">
            <w:pPr>
              <w:spacing w:after="0" w:line="240" w:lineRule="auto"/>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 </w:t>
            </w:r>
          </w:p>
        </w:tc>
        <w:tc>
          <w:tcPr>
            <w:tcW w:w="2522" w:type="pct"/>
            <w:vMerge/>
            <w:tcBorders>
              <w:left w:val="nil"/>
              <w:bottom w:val="single" w:sz="4" w:space="0" w:color="002060"/>
              <w:right w:val="nil"/>
            </w:tcBorders>
            <w:shd w:val="clear" w:color="auto" w:fill="E7E6E6"/>
            <w:vAlign w:val="center"/>
            <w:hideMark/>
          </w:tcPr>
          <w:p w14:paraId="257B4BB0" w14:textId="77777777" w:rsidR="0093003A" w:rsidRPr="00EA3D8C" w:rsidRDefault="0093003A" w:rsidP="0093003A">
            <w:pPr>
              <w:spacing w:after="0" w:line="240" w:lineRule="auto"/>
              <w:rPr>
                <w:rFonts w:ascii="Calibri" w:eastAsia="Times New Roman" w:hAnsi="Calibri" w:cs="Times New Roman"/>
                <w:color w:val="002060"/>
                <w:sz w:val="18"/>
                <w:szCs w:val="18"/>
                <w:lang w:val="sr-Cyrl-RS"/>
              </w:rPr>
            </w:pPr>
          </w:p>
        </w:tc>
        <w:tc>
          <w:tcPr>
            <w:tcW w:w="803" w:type="pct"/>
            <w:tcBorders>
              <w:top w:val="nil"/>
              <w:left w:val="nil"/>
              <w:bottom w:val="single" w:sz="4" w:space="0" w:color="002060"/>
              <w:right w:val="nil"/>
            </w:tcBorders>
            <w:shd w:val="clear" w:color="000000" w:fill="E7E6E6"/>
            <w:hideMark/>
          </w:tcPr>
          <w:p w14:paraId="0613752F" w14:textId="77777777" w:rsidR="0093003A" w:rsidRPr="00EA3D8C" w:rsidRDefault="0093003A"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107.997.722.800</w:t>
            </w:r>
          </w:p>
        </w:tc>
        <w:tc>
          <w:tcPr>
            <w:tcW w:w="658" w:type="pct"/>
            <w:tcBorders>
              <w:top w:val="nil"/>
              <w:left w:val="nil"/>
              <w:bottom w:val="single" w:sz="4" w:space="0" w:color="002060"/>
              <w:right w:val="nil"/>
            </w:tcBorders>
            <w:shd w:val="clear" w:color="000000" w:fill="E7E6E6"/>
            <w:hideMark/>
          </w:tcPr>
          <w:p w14:paraId="3383422C" w14:textId="77777777" w:rsidR="0093003A" w:rsidRPr="00EA3D8C" w:rsidRDefault="0093003A" w:rsidP="00D56871">
            <w:pPr>
              <w:spacing w:after="0" w:line="240" w:lineRule="auto"/>
              <w:jc w:val="center"/>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KWD</w:t>
            </w:r>
          </w:p>
        </w:tc>
        <w:tc>
          <w:tcPr>
            <w:tcW w:w="617" w:type="pct"/>
            <w:tcBorders>
              <w:top w:val="nil"/>
              <w:left w:val="nil"/>
              <w:bottom w:val="single" w:sz="4" w:space="0" w:color="002060"/>
              <w:right w:val="nil"/>
            </w:tcBorders>
            <w:shd w:val="clear" w:color="000000" w:fill="E7E6E6"/>
            <w:hideMark/>
          </w:tcPr>
          <w:p w14:paraId="4D8E715E" w14:textId="77777777" w:rsidR="0093003A" w:rsidRPr="00EA3D8C" w:rsidRDefault="0093003A" w:rsidP="00D56871">
            <w:pPr>
              <w:spacing w:after="0" w:line="240" w:lineRule="auto"/>
              <w:jc w:val="right"/>
              <w:rPr>
                <w:rFonts w:ascii="Calibri" w:eastAsia="Times New Roman" w:hAnsi="Calibri" w:cs="Times New Roman"/>
                <w:color w:val="002060"/>
                <w:sz w:val="18"/>
                <w:szCs w:val="18"/>
                <w:lang w:val="sr-Cyrl-RS"/>
              </w:rPr>
            </w:pPr>
            <w:r w:rsidRPr="00EA3D8C">
              <w:rPr>
                <w:rFonts w:ascii="Calibri" w:eastAsia="Times New Roman" w:hAnsi="Calibri" w:cs="Times New Roman"/>
                <w:color w:val="002060"/>
                <w:sz w:val="18"/>
                <w:szCs w:val="18"/>
                <w:lang w:val="sr-Cyrl-RS"/>
              </w:rPr>
              <w:t>18.000.000</w:t>
            </w:r>
          </w:p>
        </w:tc>
      </w:tr>
    </w:tbl>
    <w:p w14:paraId="204551C4" w14:textId="77777777" w:rsidR="00AE40EB" w:rsidRPr="00EA3D8C" w:rsidRDefault="00FE1A26" w:rsidP="00F725A2">
      <w:pPr>
        <w:spacing w:before="40" w:after="240" w:line="240" w:lineRule="auto"/>
        <w:jc w:val="left"/>
        <w:rPr>
          <w:rFonts w:cstheme="minorHAnsi"/>
          <w:bCs/>
          <w:sz w:val="16"/>
          <w:szCs w:val="72"/>
          <w:lang w:val="sr-Cyrl-RS"/>
        </w:rPr>
        <w:sectPr w:rsidR="00AE40EB" w:rsidRPr="00EA3D8C" w:rsidSect="00AE40EB">
          <w:pgSz w:w="12240" w:h="15840" w:code="1"/>
          <w:pgMar w:top="1440" w:right="1440" w:bottom="1440" w:left="1440" w:header="720" w:footer="720" w:gutter="0"/>
          <w:cols w:space="720"/>
          <w:docGrid w:linePitch="360"/>
        </w:sectPr>
      </w:pPr>
      <w:r w:rsidRPr="00EA3D8C">
        <w:rPr>
          <w:rFonts w:cstheme="minorHAnsi"/>
          <w:bCs/>
          <w:sz w:val="16"/>
          <w:szCs w:val="72"/>
          <w:lang w:val="sr-Cyrl-RS"/>
        </w:rPr>
        <w:t>Извор: Министарство финансија</w:t>
      </w:r>
    </w:p>
    <w:p w14:paraId="552A5DCD" w14:textId="0E0CE8A2"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lastRenderedPageBreak/>
        <w:t>У наредним годинама планирана је отплата по основу гаранција, али са опадајућим трендом тако да њихово учешће у БДП опада са 0,2% БДП у 2019. години на 0,1% БДП у 2023. години.</w:t>
      </w:r>
    </w:p>
    <w:p w14:paraId="555D5C23" w14:textId="63B3BBEB"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Структурне реформе јавних и државних предузећа, њихово оспособљавање за тржишну утакмицу и финансијску одрживост, с једне стране, и 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p w14:paraId="79A47C4F" w14:textId="47E45384" w:rsidR="00FE1A26" w:rsidRPr="00EA3D8C" w:rsidRDefault="00FE1A26" w:rsidP="00FE1A26">
      <w:pPr>
        <w:jc w:val="left"/>
        <w:rPr>
          <w:b/>
          <w:color w:val="2F5496" w:themeColor="accent1" w:themeShade="BF"/>
          <w:sz w:val="22"/>
          <w:szCs w:val="24"/>
          <w:lang w:val="sr-Cyrl-RS"/>
        </w:rPr>
      </w:pPr>
      <w:r w:rsidRPr="00EA3D8C">
        <w:rPr>
          <w:b/>
          <w:color w:val="2F5496" w:themeColor="accent1" w:themeShade="BF"/>
          <w:sz w:val="22"/>
          <w:szCs w:val="24"/>
          <w:lang w:val="sr-Cyrl-RS"/>
        </w:rPr>
        <w:t>Јавна предузећа</w:t>
      </w:r>
    </w:p>
    <w:p w14:paraId="3641DB7C"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Пословање јавних предузећа представља значајан извор фискалних ризика, како на страни буџетских прихода, тако и на страни расхода. Јавна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уточиште у случају неликвидности. Постоји неколико канала кроз које се могу материјализовати фискални ризици везани за пословање јавних предузећа. Највећи, али не и једини ризик, су државне гаранције дате за кредите јавних предузећа. 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ниво пореза које уплаћују у буџет.</w:t>
      </w:r>
    </w:p>
    <w:p w14:paraId="178DF665" w14:textId="77777777" w:rsidR="00FE1A26" w:rsidRPr="00595FF9" w:rsidRDefault="00FE1A26" w:rsidP="002D1432">
      <w:pPr>
        <w:rPr>
          <w:rFonts w:eastAsia="MS PGothic" w:cstheme="minorHAnsi"/>
          <w:szCs w:val="20"/>
          <w:lang w:val="sr-Cyrl-RS" w:eastAsia="ja-JP"/>
        </w:rPr>
      </w:pPr>
      <w:r w:rsidRPr="00595FF9">
        <w:rPr>
          <w:rFonts w:eastAsia="MS PGothic" w:cstheme="minorHAnsi"/>
          <w:szCs w:val="20"/>
          <w:lang w:val="sr-Cyrl-RS" w:eastAsia="ja-JP"/>
        </w:rPr>
        <w:t xml:space="preserve">Јавна предузећа представљају значајан сегмент српске привреде који запошљава око 81 хиљаду </w:t>
      </w:r>
      <w:r w:rsidRPr="00595FF9">
        <w:rPr>
          <w:rFonts w:eastAsia="MS PGothic" w:cstheme="minorHAnsi"/>
          <w:szCs w:val="20"/>
          <w:lang w:val="sr-Cyrl-RS" w:eastAsia="ja-JP"/>
        </w:rPr>
        <w:lastRenderedPageBreak/>
        <w:t>људи. Јавна 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3C324C12" w14:textId="77777777" w:rsidR="00FE1A26" w:rsidRPr="00EA3D8C" w:rsidRDefault="00FE1A26" w:rsidP="00E07895">
      <w:pPr>
        <w:spacing w:after="120" w:line="276" w:lineRule="auto"/>
        <w:jc w:val="left"/>
        <w:rPr>
          <w:b/>
          <w:color w:val="2F5496" w:themeColor="accent1" w:themeShade="BF"/>
          <w:sz w:val="22"/>
          <w:szCs w:val="24"/>
          <w:lang w:val="sr-Cyrl-RS"/>
        </w:rPr>
      </w:pPr>
      <w:r w:rsidRPr="00EA3D8C">
        <w:rPr>
          <w:b/>
          <w:color w:val="2F5496" w:themeColor="accent1" w:themeShade="BF"/>
          <w:sz w:val="22"/>
          <w:szCs w:val="24"/>
          <w:lang w:val="sr-Cyrl-RS"/>
        </w:rPr>
        <w:t xml:space="preserve">Кључни финансијски показатељи </w:t>
      </w:r>
      <w:r w:rsidRPr="00EA3D8C">
        <w:rPr>
          <w:rFonts w:cstheme="minorHAnsi"/>
          <w:b/>
          <w:bCs/>
          <w:color w:val="2F5496" w:themeColor="accent1" w:themeShade="BF"/>
          <w:sz w:val="22"/>
          <w:szCs w:val="20"/>
          <w:lang w:val="sr-Cyrl-RS"/>
        </w:rPr>
        <w:t>пословања</w:t>
      </w:r>
      <w:r w:rsidRPr="00EA3D8C">
        <w:rPr>
          <w:b/>
          <w:color w:val="2F5496" w:themeColor="accent1" w:themeShade="BF"/>
          <w:sz w:val="22"/>
          <w:szCs w:val="24"/>
          <w:lang w:val="sr-Cyrl-RS"/>
        </w:rPr>
        <w:t xml:space="preserve"> јавних предузећа</w:t>
      </w:r>
    </w:p>
    <w:p w14:paraId="709D1E09" w14:textId="77777777" w:rsidR="00FE1A26" w:rsidRPr="00EA3D8C" w:rsidRDefault="00FE1A26" w:rsidP="00FE1A26">
      <w:pPr>
        <w:jc w:val="left"/>
        <w:rPr>
          <w:b/>
          <w:color w:val="2F5496" w:themeColor="accent1" w:themeShade="BF"/>
          <w:lang w:val="sr-Cyrl-RS"/>
        </w:rPr>
      </w:pPr>
      <w:r w:rsidRPr="00EA3D8C">
        <w:rPr>
          <w:b/>
          <w:color w:val="2F5496" w:themeColor="accent1" w:themeShade="BF"/>
          <w:lang w:val="sr-Cyrl-RS"/>
        </w:rPr>
        <w:t>Резултати пословања јавних предузећа у 2019. години</w:t>
      </w:r>
    </w:p>
    <w:p w14:paraId="45AB0B10" w14:textId="77777777" w:rsidR="005623C1" w:rsidRDefault="00FE1A26" w:rsidP="005623C1">
      <w:pPr>
        <w:rPr>
          <w:rFonts w:eastAsia="MS PGothic" w:cstheme="minorHAnsi"/>
          <w:color w:val="auto"/>
          <w:lang w:val="sr-Cyrl-RS"/>
        </w:rPr>
      </w:pPr>
      <w:r w:rsidRPr="00EA3D8C">
        <w:rPr>
          <w:rFonts w:eastAsia="MS PGothic" w:cstheme="minorHAnsi"/>
          <w:szCs w:val="20"/>
          <w:lang w:val="sr-Cyrl-RS" w:eastAsia="ja-JP"/>
        </w:rPr>
        <w:t>Укупан капитал републичких јавних предузећа на крају 2019. године износио је 1.751 млрд динара, док је као крајњи резултат остварен нето губитак у износу од 18,1 млрд динара</w:t>
      </w:r>
      <w:r w:rsidRPr="00EA3D8C">
        <w:rPr>
          <w:rFonts w:eastAsia="MS PGothic" w:cstheme="minorHAnsi"/>
          <w:color w:val="auto"/>
          <w:lang w:val="sr-Cyrl-RS"/>
        </w:rPr>
        <w:t>.</w:t>
      </w:r>
    </w:p>
    <w:p w14:paraId="5D9A9183" w14:textId="7E66B7ED" w:rsidR="00FE1A26" w:rsidRPr="00EA3D8C" w:rsidRDefault="00EC4017" w:rsidP="005623C1">
      <w:pPr>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t>Табела 16</w:t>
      </w:r>
      <w:r w:rsidR="00FE1A26" w:rsidRPr="00EA3D8C">
        <w:rPr>
          <w:rFonts w:eastAsia="MS PGothic" w:cstheme="minorHAnsi"/>
          <w:b/>
          <w:color w:val="002060"/>
          <w:szCs w:val="20"/>
          <w:lang w:val="sr-Cyrl-RS" w:eastAsia="ja-JP"/>
        </w:rPr>
        <w:t>. Главни финансијски показа</w:t>
      </w:r>
      <w:r w:rsidR="00AE096F">
        <w:rPr>
          <w:rFonts w:eastAsia="MS PGothic" w:cstheme="minorHAnsi"/>
          <w:b/>
          <w:color w:val="002060"/>
          <w:szCs w:val="20"/>
          <w:lang w:val="sr-Cyrl-RS" w:eastAsia="ja-JP"/>
        </w:rPr>
        <w:t>тељи пословања јавних предузећа</w:t>
      </w:r>
      <w:r w:rsidR="00FE1A26" w:rsidRPr="00EA3D8C">
        <w:rPr>
          <w:rFonts w:eastAsia="MS PGothic" w:cstheme="minorHAnsi"/>
          <w:b/>
          <w:color w:val="002060"/>
          <w:szCs w:val="20"/>
          <w:lang w:val="sr-Cyrl-RS" w:eastAsia="ja-JP"/>
        </w:rPr>
        <w:t>, млрд дин</w:t>
      </w:r>
      <w:r w:rsidR="00AE096F">
        <w:rPr>
          <w:rFonts w:eastAsia="MS PGothic" w:cstheme="minorHAnsi"/>
          <w:b/>
          <w:color w:val="002060"/>
          <w:szCs w:val="20"/>
          <w:lang w:val="sr-Cyrl-RS" w:eastAsia="ja-JP"/>
        </w:rPr>
        <w:t>ара</w:t>
      </w:r>
    </w:p>
    <w:tbl>
      <w:tblPr>
        <w:tblW w:w="4395" w:type="dxa"/>
        <w:tblLayout w:type="fixed"/>
        <w:tblLook w:val="04A0" w:firstRow="1" w:lastRow="0" w:firstColumn="1" w:lastColumn="0" w:noHBand="0" w:noVBand="1"/>
      </w:tblPr>
      <w:tblGrid>
        <w:gridCol w:w="2977"/>
        <w:gridCol w:w="709"/>
        <w:gridCol w:w="709"/>
      </w:tblGrid>
      <w:tr w:rsidR="00FE1A26" w:rsidRPr="00EA3D8C" w14:paraId="595734F9" w14:textId="77777777" w:rsidTr="005623C1">
        <w:trPr>
          <w:trHeight w:val="20"/>
        </w:trPr>
        <w:tc>
          <w:tcPr>
            <w:tcW w:w="2977" w:type="dxa"/>
            <w:tcBorders>
              <w:top w:val="single" w:sz="4" w:space="0" w:color="002060"/>
              <w:left w:val="nil"/>
              <w:bottom w:val="single" w:sz="4" w:space="0" w:color="002060"/>
              <w:right w:val="nil"/>
            </w:tcBorders>
            <w:shd w:val="clear" w:color="auto" w:fill="auto"/>
            <w:noWrap/>
            <w:hideMark/>
          </w:tcPr>
          <w:p w14:paraId="0DCD33F9"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Опис</w:t>
            </w:r>
          </w:p>
        </w:tc>
        <w:tc>
          <w:tcPr>
            <w:tcW w:w="709" w:type="dxa"/>
            <w:tcBorders>
              <w:top w:val="single" w:sz="4" w:space="0" w:color="002060"/>
              <w:left w:val="nil"/>
              <w:bottom w:val="single" w:sz="4" w:space="0" w:color="002060"/>
              <w:right w:val="nil"/>
            </w:tcBorders>
            <w:shd w:val="clear" w:color="auto" w:fill="auto"/>
            <w:noWrap/>
            <w:hideMark/>
          </w:tcPr>
          <w:p w14:paraId="144F81B8"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2018</w:t>
            </w:r>
          </w:p>
        </w:tc>
        <w:tc>
          <w:tcPr>
            <w:tcW w:w="709" w:type="dxa"/>
            <w:tcBorders>
              <w:top w:val="single" w:sz="4" w:space="0" w:color="002060"/>
              <w:left w:val="nil"/>
              <w:bottom w:val="single" w:sz="4" w:space="0" w:color="002060"/>
              <w:right w:val="nil"/>
            </w:tcBorders>
            <w:shd w:val="clear" w:color="auto" w:fill="auto"/>
            <w:noWrap/>
            <w:hideMark/>
          </w:tcPr>
          <w:p w14:paraId="49303467"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2019</w:t>
            </w:r>
          </w:p>
        </w:tc>
      </w:tr>
      <w:tr w:rsidR="00FE1A26" w:rsidRPr="00EA3D8C" w14:paraId="47AC820D" w14:textId="77777777" w:rsidTr="005623C1">
        <w:trPr>
          <w:trHeight w:val="20"/>
        </w:trPr>
        <w:tc>
          <w:tcPr>
            <w:tcW w:w="2977" w:type="dxa"/>
            <w:tcBorders>
              <w:top w:val="single" w:sz="4" w:space="0" w:color="002060"/>
              <w:left w:val="nil"/>
              <w:bottom w:val="nil"/>
              <w:right w:val="nil"/>
            </w:tcBorders>
            <w:shd w:val="clear" w:color="auto" w:fill="auto"/>
            <w:noWrap/>
            <w:hideMark/>
          </w:tcPr>
          <w:p w14:paraId="01982155"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Укупна имовина</w:t>
            </w:r>
          </w:p>
        </w:tc>
        <w:tc>
          <w:tcPr>
            <w:tcW w:w="709" w:type="dxa"/>
            <w:tcBorders>
              <w:top w:val="single" w:sz="4" w:space="0" w:color="002060"/>
              <w:left w:val="nil"/>
              <w:bottom w:val="nil"/>
              <w:right w:val="nil"/>
            </w:tcBorders>
            <w:shd w:val="clear" w:color="auto" w:fill="auto"/>
            <w:noWrap/>
            <w:hideMark/>
          </w:tcPr>
          <w:p w14:paraId="44436A6F"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2.805</w:t>
            </w:r>
          </w:p>
        </w:tc>
        <w:tc>
          <w:tcPr>
            <w:tcW w:w="709" w:type="dxa"/>
            <w:tcBorders>
              <w:top w:val="single" w:sz="4" w:space="0" w:color="002060"/>
              <w:left w:val="nil"/>
              <w:bottom w:val="nil"/>
              <w:right w:val="nil"/>
            </w:tcBorders>
            <w:shd w:val="clear" w:color="auto" w:fill="auto"/>
            <w:noWrap/>
            <w:hideMark/>
          </w:tcPr>
          <w:p w14:paraId="6956F2C6"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2.854 </w:t>
            </w:r>
          </w:p>
        </w:tc>
      </w:tr>
      <w:tr w:rsidR="00FE1A26" w:rsidRPr="00EA3D8C" w14:paraId="29811791" w14:textId="77777777" w:rsidTr="005623C1">
        <w:trPr>
          <w:trHeight w:val="20"/>
        </w:trPr>
        <w:tc>
          <w:tcPr>
            <w:tcW w:w="2977" w:type="dxa"/>
            <w:tcBorders>
              <w:top w:val="nil"/>
              <w:left w:val="nil"/>
              <w:bottom w:val="nil"/>
              <w:right w:val="nil"/>
            </w:tcBorders>
            <w:shd w:val="clear" w:color="auto" w:fill="auto"/>
            <w:noWrap/>
            <w:hideMark/>
          </w:tcPr>
          <w:p w14:paraId="40060AAF"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Сопствени капитал</w:t>
            </w:r>
          </w:p>
        </w:tc>
        <w:tc>
          <w:tcPr>
            <w:tcW w:w="709" w:type="dxa"/>
            <w:tcBorders>
              <w:top w:val="nil"/>
              <w:left w:val="nil"/>
              <w:bottom w:val="nil"/>
              <w:right w:val="nil"/>
            </w:tcBorders>
            <w:shd w:val="clear" w:color="auto" w:fill="auto"/>
            <w:noWrap/>
            <w:hideMark/>
          </w:tcPr>
          <w:p w14:paraId="42D4ACDF"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1.795</w:t>
            </w:r>
          </w:p>
        </w:tc>
        <w:tc>
          <w:tcPr>
            <w:tcW w:w="709" w:type="dxa"/>
            <w:tcBorders>
              <w:top w:val="nil"/>
              <w:left w:val="nil"/>
              <w:bottom w:val="nil"/>
              <w:right w:val="nil"/>
            </w:tcBorders>
            <w:shd w:val="clear" w:color="auto" w:fill="auto"/>
            <w:noWrap/>
            <w:hideMark/>
          </w:tcPr>
          <w:p w14:paraId="73F8C3EC"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1.751 </w:t>
            </w:r>
          </w:p>
        </w:tc>
      </w:tr>
      <w:tr w:rsidR="00FE1A26" w:rsidRPr="00EA3D8C" w14:paraId="721F9E30" w14:textId="77777777" w:rsidTr="005623C1">
        <w:trPr>
          <w:trHeight w:val="20"/>
        </w:trPr>
        <w:tc>
          <w:tcPr>
            <w:tcW w:w="2977" w:type="dxa"/>
            <w:tcBorders>
              <w:top w:val="nil"/>
              <w:left w:val="nil"/>
              <w:bottom w:val="nil"/>
              <w:right w:val="nil"/>
            </w:tcBorders>
            <w:shd w:val="clear" w:color="auto" w:fill="auto"/>
            <w:noWrap/>
            <w:hideMark/>
          </w:tcPr>
          <w:p w14:paraId="5871DFA1"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Укупни приходи</w:t>
            </w:r>
          </w:p>
        </w:tc>
        <w:tc>
          <w:tcPr>
            <w:tcW w:w="709" w:type="dxa"/>
            <w:tcBorders>
              <w:top w:val="nil"/>
              <w:left w:val="nil"/>
              <w:bottom w:val="nil"/>
              <w:right w:val="nil"/>
            </w:tcBorders>
            <w:shd w:val="clear" w:color="auto" w:fill="auto"/>
            <w:noWrap/>
            <w:hideMark/>
          </w:tcPr>
          <w:p w14:paraId="239D080B"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509,9</w:t>
            </w:r>
          </w:p>
        </w:tc>
        <w:tc>
          <w:tcPr>
            <w:tcW w:w="709" w:type="dxa"/>
            <w:tcBorders>
              <w:top w:val="nil"/>
              <w:left w:val="nil"/>
              <w:bottom w:val="nil"/>
              <w:right w:val="nil"/>
            </w:tcBorders>
            <w:shd w:val="clear" w:color="auto" w:fill="auto"/>
            <w:noWrap/>
            <w:hideMark/>
          </w:tcPr>
          <w:p w14:paraId="5A4A5EB1"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524,3 </w:t>
            </w:r>
          </w:p>
        </w:tc>
      </w:tr>
      <w:tr w:rsidR="00FE1A26" w:rsidRPr="00EA3D8C" w14:paraId="6F7DC56D" w14:textId="77777777" w:rsidTr="005623C1">
        <w:trPr>
          <w:trHeight w:val="20"/>
        </w:trPr>
        <w:tc>
          <w:tcPr>
            <w:tcW w:w="2977" w:type="dxa"/>
            <w:tcBorders>
              <w:top w:val="nil"/>
              <w:left w:val="nil"/>
              <w:bottom w:val="nil"/>
              <w:right w:val="nil"/>
            </w:tcBorders>
            <w:shd w:val="clear" w:color="auto" w:fill="auto"/>
            <w:noWrap/>
            <w:hideMark/>
          </w:tcPr>
          <w:p w14:paraId="42049B3D"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Нето добитак</w:t>
            </w:r>
          </w:p>
        </w:tc>
        <w:tc>
          <w:tcPr>
            <w:tcW w:w="709" w:type="dxa"/>
            <w:tcBorders>
              <w:top w:val="nil"/>
              <w:left w:val="nil"/>
              <w:bottom w:val="nil"/>
              <w:right w:val="nil"/>
            </w:tcBorders>
            <w:shd w:val="clear" w:color="auto" w:fill="auto"/>
            <w:noWrap/>
            <w:hideMark/>
          </w:tcPr>
          <w:p w14:paraId="45C43A1E"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-1,9</w:t>
            </w:r>
          </w:p>
        </w:tc>
        <w:tc>
          <w:tcPr>
            <w:tcW w:w="709" w:type="dxa"/>
            <w:tcBorders>
              <w:top w:val="nil"/>
              <w:left w:val="nil"/>
              <w:bottom w:val="nil"/>
              <w:right w:val="nil"/>
            </w:tcBorders>
            <w:shd w:val="clear" w:color="auto" w:fill="auto"/>
            <w:noWrap/>
            <w:hideMark/>
          </w:tcPr>
          <w:p w14:paraId="13F66B44"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-18,1</w:t>
            </w:r>
          </w:p>
        </w:tc>
      </w:tr>
      <w:tr w:rsidR="00FE1A26" w:rsidRPr="00EA3D8C" w14:paraId="53216652" w14:textId="77777777" w:rsidTr="005623C1">
        <w:trPr>
          <w:trHeight w:val="20"/>
        </w:trPr>
        <w:tc>
          <w:tcPr>
            <w:tcW w:w="2977" w:type="dxa"/>
            <w:tcBorders>
              <w:top w:val="nil"/>
              <w:left w:val="nil"/>
              <w:bottom w:val="nil"/>
              <w:right w:val="nil"/>
            </w:tcBorders>
            <w:shd w:val="clear" w:color="auto" w:fill="auto"/>
            <w:noWrap/>
            <w:hideMark/>
          </w:tcPr>
          <w:p w14:paraId="470BC981"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Субвенције</w:t>
            </w:r>
          </w:p>
        </w:tc>
        <w:tc>
          <w:tcPr>
            <w:tcW w:w="709" w:type="dxa"/>
            <w:tcBorders>
              <w:top w:val="nil"/>
              <w:left w:val="nil"/>
              <w:bottom w:val="nil"/>
              <w:right w:val="nil"/>
            </w:tcBorders>
            <w:shd w:val="clear" w:color="auto" w:fill="auto"/>
            <w:noWrap/>
            <w:hideMark/>
          </w:tcPr>
          <w:p w14:paraId="2A3E2AB6"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30,8</w:t>
            </w:r>
          </w:p>
        </w:tc>
        <w:tc>
          <w:tcPr>
            <w:tcW w:w="709" w:type="dxa"/>
            <w:tcBorders>
              <w:top w:val="nil"/>
              <w:left w:val="nil"/>
              <w:bottom w:val="nil"/>
              <w:right w:val="nil"/>
            </w:tcBorders>
            <w:shd w:val="clear" w:color="auto" w:fill="auto"/>
            <w:noWrap/>
            <w:hideMark/>
          </w:tcPr>
          <w:p w14:paraId="2DF96195"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33,4 </w:t>
            </w:r>
          </w:p>
        </w:tc>
      </w:tr>
      <w:tr w:rsidR="00FE1A26" w:rsidRPr="00EA3D8C" w14:paraId="70B24249" w14:textId="77777777" w:rsidTr="005623C1">
        <w:trPr>
          <w:trHeight w:val="20"/>
        </w:trPr>
        <w:tc>
          <w:tcPr>
            <w:tcW w:w="2977" w:type="dxa"/>
            <w:tcBorders>
              <w:top w:val="nil"/>
              <w:left w:val="nil"/>
              <w:bottom w:val="single" w:sz="4" w:space="0" w:color="002060"/>
              <w:right w:val="nil"/>
            </w:tcBorders>
            <w:shd w:val="clear" w:color="auto" w:fill="auto"/>
            <w:noWrap/>
            <w:hideMark/>
          </w:tcPr>
          <w:p w14:paraId="435F45C9" w14:textId="77777777" w:rsidR="00FE1A26" w:rsidRPr="00EA3D8C" w:rsidRDefault="00FE1A26" w:rsidP="006D5C20">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Субвенције, без ЈП „Путеви Србије”</w:t>
            </w:r>
          </w:p>
        </w:tc>
        <w:tc>
          <w:tcPr>
            <w:tcW w:w="709" w:type="dxa"/>
            <w:tcBorders>
              <w:top w:val="nil"/>
              <w:left w:val="nil"/>
              <w:bottom w:val="single" w:sz="4" w:space="0" w:color="002060"/>
              <w:right w:val="nil"/>
            </w:tcBorders>
            <w:shd w:val="clear" w:color="auto" w:fill="auto"/>
            <w:noWrap/>
            <w:hideMark/>
          </w:tcPr>
          <w:p w14:paraId="3904FC5F"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23,0</w:t>
            </w:r>
          </w:p>
        </w:tc>
        <w:tc>
          <w:tcPr>
            <w:tcW w:w="709" w:type="dxa"/>
            <w:tcBorders>
              <w:top w:val="nil"/>
              <w:left w:val="nil"/>
              <w:bottom w:val="single" w:sz="4" w:space="0" w:color="002060"/>
              <w:right w:val="nil"/>
            </w:tcBorders>
            <w:shd w:val="clear" w:color="auto" w:fill="auto"/>
            <w:noWrap/>
            <w:hideMark/>
          </w:tcPr>
          <w:p w14:paraId="0F52A5E0"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24,3 </w:t>
            </w:r>
          </w:p>
        </w:tc>
      </w:tr>
      <w:tr w:rsidR="00FE1A26" w:rsidRPr="00EA3D8C" w14:paraId="3A08AE64" w14:textId="77777777" w:rsidTr="005623C1">
        <w:trPr>
          <w:trHeight w:val="227"/>
        </w:trPr>
        <w:tc>
          <w:tcPr>
            <w:tcW w:w="2977" w:type="dxa"/>
            <w:tcBorders>
              <w:top w:val="single" w:sz="4" w:space="0" w:color="002060"/>
              <w:left w:val="nil"/>
              <w:bottom w:val="single" w:sz="4" w:space="0" w:color="002060"/>
              <w:right w:val="nil"/>
            </w:tcBorders>
            <w:shd w:val="clear" w:color="auto" w:fill="auto"/>
            <w:noWrap/>
            <w:hideMark/>
          </w:tcPr>
          <w:p w14:paraId="01A5E867" w14:textId="77777777" w:rsidR="00FE1A26" w:rsidRPr="00EA3D8C" w:rsidRDefault="00FE1A26" w:rsidP="005623C1">
            <w:pPr>
              <w:spacing w:after="0" w:line="240" w:lineRule="auto"/>
              <w:jc w:val="lef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Субвенције, % укупних прихода</w:t>
            </w:r>
          </w:p>
        </w:tc>
        <w:tc>
          <w:tcPr>
            <w:tcW w:w="709" w:type="dxa"/>
            <w:tcBorders>
              <w:top w:val="single" w:sz="4" w:space="0" w:color="002060"/>
              <w:left w:val="nil"/>
              <w:bottom w:val="single" w:sz="4" w:space="0" w:color="002060"/>
              <w:right w:val="nil"/>
            </w:tcBorders>
            <w:shd w:val="clear" w:color="auto" w:fill="auto"/>
            <w:noWrap/>
            <w:hideMark/>
          </w:tcPr>
          <w:p w14:paraId="54D170E3"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5,9%</w:t>
            </w:r>
          </w:p>
        </w:tc>
        <w:tc>
          <w:tcPr>
            <w:tcW w:w="709" w:type="dxa"/>
            <w:tcBorders>
              <w:top w:val="single" w:sz="4" w:space="0" w:color="002060"/>
              <w:left w:val="nil"/>
              <w:bottom w:val="single" w:sz="4" w:space="0" w:color="002060"/>
              <w:right w:val="nil"/>
            </w:tcBorders>
            <w:shd w:val="clear" w:color="auto" w:fill="auto"/>
            <w:noWrap/>
            <w:hideMark/>
          </w:tcPr>
          <w:p w14:paraId="01E49A86"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6,4%</w:t>
            </w:r>
          </w:p>
        </w:tc>
      </w:tr>
    </w:tbl>
    <w:p w14:paraId="7AB56769" w14:textId="655DC61F" w:rsidR="005623C1" w:rsidRPr="005623C1" w:rsidRDefault="00FE1A26" w:rsidP="00F725A2">
      <w:pPr>
        <w:spacing w:before="40" w:line="240" w:lineRule="auto"/>
        <w:rPr>
          <w:rFonts w:cstheme="minorHAnsi"/>
          <w:bCs/>
          <w:sz w:val="16"/>
          <w:szCs w:val="72"/>
          <w:lang w:val="sr-Cyrl-RS"/>
        </w:rPr>
      </w:pPr>
      <w:r w:rsidRPr="00EA3D8C">
        <w:rPr>
          <w:rFonts w:cstheme="minorHAnsi"/>
          <w:bCs/>
          <w:sz w:val="16"/>
          <w:szCs w:val="72"/>
          <w:lang w:val="sr-Cyrl-RS"/>
        </w:rPr>
        <w:t>Извор: Финансијски извештаји за 2018. и 2019. годину</w:t>
      </w:r>
    </w:p>
    <w:p w14:paraId="45D2C65A" w14:textId="3406910A" w:rsidR="00595FF9" w:rsidRDefault="00FE1A26" w:rsidP="002D1432">
      <w:pPr>
        <w:rPr>
          <w:rFonts w:eastAsia="MS PGothic" w:cstheme="minorHAnsi"/>
          <w:spacing w:val="-2"/>
          <w:szCs w:val="20"/>
          <w:lang w:val="sr-Cyrl-RS" w:eastAsia="ja-JP"/>
        </w:rPr>
        <w:sectPr w:rsidR="00595FF9"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pacing w:val="-2"/>
          <w:szCs w:val="20"/>
          <w:lang w:val="sr-Cyrl-RS" w:eastAsia="ja-JP"/>
        </w:rPr>
        <w:t>У 2019. години субвенције су, изражене у проценту укупних прихода, на нешто вишем нивоу у односу на претходну годину и чине 6,4% укупних прихода јавних предузећа. Одређене субвенције имају капитални карактер као што су субвенције за ЈП „Путеви Србијеˮ, које су намењене реконструкцији путне инфраструктуре.</w:t>
      </w:r>
    </w:p>
    <w:p w14:paraId="4B2A28BA" w14:textId="02D52400" w:rsidR="00FE1A26" w:rsidRPr="00EA3D8C" w:rsidRDefault="00FE1A26" w:rsidP="002D1432">
      <w:pPr>
        <w:rPr>
          <w:rFonts w:eastAsia="MS PGothic" w:cstheme="minorHAnsi"/>
          <w:spacing w:val="-2"/>
          <w:szCs w:val="20"/>
          <w:lang w:val="sr-Cyrl-RS" w:eastAsia="ja-JP"/>
        </w:rPr>
      </w:pPr>
    </w:p>
    <w:p w14:paraId="0206775F" w14:textId="77777777" w:rsidR="00595FF9" w:rsidRDefault="00595FF9">
      <w:pPr>
        <w:jc w:val="left"/>
        <w:rPr>
          <w:b/>
          <w:color w:val="2F5496" w:themeColor="accent1" w:themeShade="BF"/>
          <w:lang w:val="sr-Cyrl-RS"/>
        </w:rPr>
      </w:pPr>
      <w:r>
        <w:rPr>
          <w:b/>
          <w:color w:val="2F5496" w:themeColor="accent1" w:themeShade="BF"/>
          <w:lang w:val="sr-Cyrl-RS"/>
        </w:rPr>
        <w:br w:type="page"/>
      </w:r>
    </w:p>
    <w:p w14:paraId="2B693BDE" w14:textId="09F11D87" w:rsidR="00FE1A26" w:rsidRPr="00EA3D8C" w:rsidRDefault="00FE1A26" w:rsidP="00FE1A26">
      <w:pPr>
        <w:jc w:val="left"/>
        <w:rPr>
          <w:b/>
          <w:color w:val="2F5496" w:themeColor="accent1" w:themeShade="BF"/>
          <w:lang w:val="sr-Cyrl-RS"/>
        </w:rPr>
      </w:pPr>
      <w:r w:rsidRPr="00EA3D8C">
        <w:rPr>
          <w:b/>
          <w:color w:val="2F5496" w:themeColor="accent1" w:themeShade="BF"/>
          <w:lang w:val="sr-Cyrl-RS"/>
        </w:rPr>
        <w:lastRenderedPageBreak/>
        <w:t>Резултати пословања јавних предузећа у првој половини 2020. године</w:t>
      </w:r>
    </w:p>
    <w:p w14:paraId="7F2A7462" w14:textId="3DDF53BE" w:rsidR="00FE1A26" w:rsidRDefault="00FE1A26" w:rsidP="00595FF9">
      <w:pPr>
        <w:spacing w:after="360"/>
        <w:rPr>
          <w:rFonts w:eastAsia="MS PGothic" w:cstheme="minorHAnsi"/>
          <w:szCs w:val="20"/>
          <w:lang w:val="sr-Cyrl-RS" w:eastAsia="ja-JP"/>
        </w:rPr>
      </w:pPr>
      <w:r w:rsidRPr="00EA3D8C">
        <w:rPr>
          <w:rFonts w:eastAsia="MS PGothic" w:cstheme="minorHAnsi"/>
          <w:szCs w:val="20"/>
          <w:lang w:val="sr-Cyrl-RS" w:eastAsia="ja-JP"/>
        </w:rPr>
        <w:t xml:space="preserve">Укупан нето резултат утврђен у првој половини је добит у износу од 8,9 млрд динара. Резултат </w:t>
      </w:r>
      <w:r w:rsidRPr="00EA3D8C">
        <w:rPr>
          <w:rFonts w:eastAsia="MS PGothic" w:cstheme="minorHAnsi"/>
          <w:szCs w:val="20"/>
          <w:lang w:val="sr-Cyrl-RS" w:eastAsia="ja-JP"/>
        </w:rPr>
        <w:lastRenderedPageBreak/>
        <w:t>текуће године је прецењен за трошкове амортизације ЈП „Путеви Србијеˮ, јер предузеће ове трошкове књижи тек на крају године у це</w:t>
      </w:r>
      <w:r w:rsidR="00595FF9">
        <w:rPr>
          <w:rFonts w:eastAsia="MS PGothic" w:cstheme="minorHAnsi"/>
          <w:szCs w:val="20"/>
          <w:lang w:val="sr-Cyrl-RS" w:eastAsia="ja-JP"/>
        </w:rPr>
        <w:t>локупном износу за дату годину.</w:t>
      </w:r>
    </w:p>
    <w:p w14:paraId="23785C72" w14:textId="77777777" w:rsidR="00595FF9" w:rsidRPr="00EA3D8C" w:rsidRDefault="00595FF9" w:rsidP="002D1432">
      <w:pPr>
        <w:spacing w:after="240"/>
        <w:rPr>
          <w:rFonts w:eastAsia="MS PGothic" w:cstheme="minorHAnsi"/>
          <w:szCs w:val="20"/>
          <w:lang w:val="sr-Cyrl-RS" w:eastAsia="ja-JP"/>
        </w:rPr>
        <w:sectPr w:rsidR="00595FF9" w:rsidRPr="00EA3D8C" w:rsidSect="00AE40EB">
          <w:type w:val="continuous"/>
          <w:pgSz w:w="12240" w:h="15840" w:code="1"/>
          <w:pgMar w:top="1440" w:right="1440" w:bottom="1440" w:left="1440" w:header="720" w:footer="720" w:gutter="0"/>
          <w:cols w:num="2" w:space="720"/>
          <w:docGrid w:linePitch="360"/>
        </w:sectPr>
      </w:pPr>
    </w:p>
    <w:p w14:paraId="1ABFD169" w14:textId="2B8648F5" w:rsidR="00FE1A26" w:rsidRPr="00EA3D8C" w:rsidRDefault="00EC4017" w:rsidP="00FE1A26">
      <w:pPr>
        <w:spacing w:line="240"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17</w:t>
      </w:r>
      <w:r w:rsidR="00FE1A26" w:rsidRPr="00EA3D8C">
        <w:rPr>
          <w:rFonts w:eastAsia="MS PGothic" w:cstheme="minorHAnsi"/>
          <w:b/>
          <w:color w:val="002060"/>
          <w:szCs w:val="20"/>
          <w:lang w:val="sr-Cyrl-RS" w:eastAsia="ja-JP"/>
        </w:rPr>
        <w:t>. Основни показатељи пословања ЈП на дан 30.6.2020. год, у млрд динара</w:t>
      </w:r>
    </w:p>
    <w:tbl>
      <w:tblPr>
        <w:tblW w:w="9356" w:type="dxa"/>
        <w:tblLayout w:type="fixed"/>
        <w:tblLook w:val="04A0" w:firstRow="1" w:lastRow="0" w:firstColumn="1" w:lastColumn="0" w:noHBand="0" w:noVBand="1"/>
      </w:tblPr>
      <w:tblGrid>
        <w:gridCol w:w="3994"/>
        <w:gridCol w:w="1787"/>
        <w:gridCol w:w="1787"/>
        <w:gridCol w:w="1788"/>
      </w:tblGrid>
      <w:tr w:rsidR="00FE1A26" w:rsidRPr="00EA3D8C" w14:paraId="3E5ACD14" w14:textId="77777777" w:rsidTr="001940DA">
        <w:trPr>
          <w:trHeight w:val="20"/>
        </w:trPr>
        <w:tc>
          <w:tcPr>
            <w:tcW w:w="3994" w:type="dxa"/>
            <w:tcBorders>
              <w:top w:val="single" w:sz="4" w:space="0" w:color="002060"/>
              <w:left w:val="nil"/>
              <w:bottom w:val="single" w:sz="4" w:space="0" w:color="002060"/>
              <w:right w:val="nil"/>
            </w:tcBorders>
            <w:shd w:val="clear" w:color="auto" w:fill="auto"/>
            <w:noWrap/>
            <w:vAlign w:val="center"/>
            <w:hideMark/>
          </w:tcPr>
          <w:p w14:paraId="4BD15BB9"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Показатељи пословања</w:t>
            </w:r>
          </w:p>
        </w:tc>
        <w:tc>
          <w:tcPr>
            <w:tcW w:w="1787" w:type="dxa"/>
            <w:tcBorders>
              <w:top w:val="single" w:sz="4" w:space="0" w:color="002060"/>
              <w:left w:val="nil"/>
              <w:bottom w:val="single" w:sz="4" w:space="0" w:color="002060"/>
              <w:right w:val="nil"/>
            </w:tcBorders>
            <w:shd w:val="clear" w:color="auto" w:fill="auto"/>
            <w:noWrap/>
            <w:vAlign w:val="center"/>
            <w:hideMark/>
          </w:tcPr>
          <w:p w14:paraId="39B892FC"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2018</w:t>
            </w:r>
          </w:p>
        </w:tc>
        <w:tc>
          <w:tcPr>
            <w:tcW w:w="1787" w:type="dxa"/>
            <w:tcBorders>
              <w:top w:val="single" w:sz="4" w:space="0" w:color="002060"/>
              <w:left w:val="nil"/>
              <w:bottom w:val="single" w:sz="4" w:space="0" w:color="002060"/>
              <w:right w:val="nil"/>
            </w:tcBorders>
            <w:shd w:val="clear" w:color="auto" w:fill="auto"/>
            <w:noWrap/>
            <w:vAlign w:val="center"/>
            <w:hideMark/>
          </w:tcPr>
          <w:p w14:paraId="78EBB206"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2019</w:t>
            </w:r>
          </w:p>
        </w:tc>
        <w:tc>
          <w:tcPr>
            <w:tcW w:w="1788" w:type="dxa"/>
            <w:tcBorders>
              <w:top w:val="single" w:sz="4" w:space="0" w:color="002060"/>
              <w:left w:val="nil"/>
              <w:bottom w:val="single" w:sz="4" w:space="0" w:color="002060"/>
              <w:right w:val="nil"/>
            </w:tcBorders>
            <w:shd w:val="clear" w:color="auto" w:fill="auto"/>
            <w:noWrap/>
            <w:vAlign w:val="center"/>
            <w:hideMark/>
          </w:tcPr>
          <w:p w14:paraId="05198047"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1.1–30.6.2020.</w:t>
            </w:r>
          </w:p>
        </w:tc>
      </w:tr>
      <w:tr w:rsidR="00FE1A26" w:rsidRPr="00EA3D8C" w14:paraId="2D1E60AF" w14:textId="77777777" w:rsidTr="001940DA">
        <w:trPr>
          <w:trHeight w:val="20"/>
        </w:trPr>
        <w:tc>
          <w:tcPr>
            <w:tcW w:w="3994" w:type="dxa"/>
            <w:tcBorders>
              <w:top w:val="single" w:sz="4" w:space="0" w:color="002060"/>
              <w:left w:val="nil"/>
              <w:bottom w:val="nil"/>
              <w:right w:val="nil"/>
            </w:tcBorders>
            <w:shd w:val="clear" w:color="auto" w:fill="auto"/>
            <w:noWrap/>
            <w:vAlign w:val="center"/>
            <w:hideMark/>
          </w:tcPr>
          <w:p w14:paraId="3C7A5554"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Пословни приходи</w:t>
            </w:r>
          </w:p>
        </w:tc>
        <w:tc>
          <w:tcPr>
            <w:tcW w:w="1787" w:type="dxa"/>
            <w:tcBorders>
              <w:top w:val="single" w:sz="4" w:space="0" w:color="002060"/>
              <w:left w:val="nil"/>
              <w:bottom w:val="nil"/>
              <w:right w:val="nil"/>
            </w:tcBorders>
            <w:shd w:val="clear" w:color="auto" w:fill="auto"/>
            <w:noWrap/>
            <w:hideMark/>
          </w:tcPr>
          <w:p w14:paraId="3C2841EC"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469,1</w:t>
            </w:r>
          </w:p>
        </w:tc>
        <w:tc>
          <w:tcPr>
            <w:tcW w:w="1787" w:type="dxa"/>
            <w:tcBorders>
              <w:top w:val="single" w:sz="4" w:space="0" w:color="002060"/>
              <w:left w:val="nil"/>
              <w:bottom w:val="nil"/>
              <w:right w:val="nil"/>
            </w:tcBorders>
            <w:shd w:val="clear" w:color="auto" w:fill="auto"/>
            <w:noWrap/>
            <w:hideMark/>
          </w:tcPr>
          <w:p w14:paraId="6F75BC5E"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496,7 </w:t>
            </w:r>
          </w:p>
        </w:tc>
        <w:tc>
          <w:tcPr>
            <w:tcW w:w="1788" w:type="dxa"/>
            <w:tcBorders>
              <w:top w:val="single" w:sz="4" w:space="0" w:color="002060"/>
              <w:left w:val="nil"/>
              <w:bottom w:val="nil"/>
              <w:right w:val="nil"/>
            </w:tcBorders>
            <w:shd w:val="clear" w:color="auto" w:fill="auto"/>
            <w:noWrap/>
            <w:hideMark/>
          </w:tcPr>
          <w:p w14:paraId="12C866D9"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243,4 </w:t>
            </w:r>
          </w:p>
        </w:tc>
      </w:tr>
      <w:tr w:rsidR="00FE1A26" w:rsidRPr="00EA3D8C" w14:paraId="450ADB6C" w14:textId="77777777" w:rsidTr="001940DA">
        <w:trPr>
          <w:trHeight w:val="20"/>
        </w:trPr>
        <w:tc>
          <w:tcPr>
            <w:tcW w:w="3994" w:type="dxa"/>
            <w:tcBorders>
              <w:top w:val="nil"/>
              <w:left w:val="nil"/>
              <w:bottom w:val="nil"/>
              <w:right w:val="nil"/>
            </w:tcBorders>
            <w:shd w:val="clear" w:color="auto" w:fill="auto"/>
            <w:noWrap/>
            <w:vAlign w:val="center"/>
            <w:hideMark/>
          </w:tcPr>
          <w:p w14:paraId="016FE8D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Пословни расходи</w:t>
            </w:r>
          </w:p>
        </w:tc>
        <w:tc>
          <w:tcPr>
            <w:tcW w:w="1787" w:type="dxa"/>
            <w:tcBorders>
              <w:top w:val="nil"/>
              <w:left w:val="nil"/>
              <w:bottom w:val="nil"/>
              <w:right w:val="nil"/>
            </w:tcBorders>
            <w:shd w:val="clear" w:color="auto" w:fill="auto"/>
            <w:noWrap/>
            <w:hideMark/>
          </w:tcPr>
          <w:p w14:paraId="3D44AD6A"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454,1</w:t>
            </w:r>
          </w:p>
        </w:tc>
        <w:tc>
          <w:tcPr>
            <w:tcW w:w="1787" w:type="dxa"/>
            <w:tcBorders>
              <w:top w:val="nil"/>
              <w:left w:val="nil"/>
              <w:bottom w:val="nil"/>
              <w:right w:val="nil"/>
            </w:tcBorders>
            <w:shd w:val="clear" w:color="auto" w:fill="auto"/>
            <w:noWrap/>
            <w:hideMark/>
          </w:tcPr>
          <w:p w14:paraId="0EBD9A85"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490,9 </w:t>
            </w:r>
          </w:p>
        </w:tc>
        <w:tc>
          <w:tcPr>
            <w:tcW w:w="1788" w:type="dxa"/>
            <w:tcBorders>
              <w:top w:val="nil"/>
              <w:left w:val="nil"/>
              <w:bottom w:val="nil"/>
              <w:right w:val="nil"/>
            </w:tcBorders>
            <w:shd w:val="clear" w:color="auto" w:fill="auto"/>
            <w:noWrap/>
            <w:hideMark/>
          </w:tcPr>
          <w:p w14:paraId="1ADDAB8C"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223,9 </w:t>
            </w:r>
          </w:p>
        </w:tc>
      </w:tr>
      <w:tr w:rsidR="00FE1A26" w:rsidRPr="00EA3D8C" w14:paraId="48B45808" w14:textId="77777777" w:rsidTr="001940DA">
        <w:trPr>
          <w:trHeight w:val="20"/>
        </w:trPr>
        <w:tc>
          <w:tcPr>
            <w:tcW w:w="3994" w:type="dxa"/>
            <w:tcBorders>
              <w:top w:val="nil"/>
              <w:left w:val="nil"/>
              <w:bottom w:val="nil"/>
              <w:right w:val="nil"/>
            </w:tcBorders>
            <w:shd w:val="clear" w:color="auto" w:fill="auto"/>
            <w:noWrap/>
            <w:vAlign w:val="center"/>
            <w:hideMark/>
          </w:tcPr>
          <w:p w14:paraId="4C90959A"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Пословна добит</w:t>
            </w:r>
          </w:p>
        </w:tc>
        <w:tc>
          <w:tcPr>
            <w:tcW w:w="1787" w:type="dxa"/>
            <w:tcBorders>
              <w:top w:val="nil"/>
              <w:left w:val="nil"/>
              <w:bottom w:val="nil"/>
              <w:right w:val="nil"/>
            </w:tcBorders>
            <w:shd w:val="clear" w:color="auto" w:fill="auto"/>
            <w:noWrap/>
            <w:hideMark/>
          </w:tcPr>
          <w:p w14:paraId="61C806D7"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15</w:t>
            </w:r>
          </w:p>
        </w:tc>
        <w:tc>
          <w:tcPr>
            <w:tcW w:w="1787" w:type="dxa"/>
            <w:tcBorders>
              <w:top w:val="nil"/>
              <w:left w:val="nil"/>
              <w:bottom w:val="nil"/>
              <w:right w:val="nil"/>
            </w:tcBorders>
            <w:shd w:val="clear" w:color="auto" w:fill="auto"/>
            <w:noWrap/>
            <w:hideMark/>
          </w:tcPr>
          <w:p w14:paraId="51BB5466"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6 </w:t>
            </w:r>
          </w:p>
        </w:tc>
        <w:tc>
          <w:tcPr>
            <w:tcW w:w="1788" w:type="dxa"/>
            <w:tcBorders>
              <w:top w:val="nil"/>
              <w:left w:val="nil"/>
              <w:bottom w:val="nil"/>
              <w:right w:val="nil"/>
            </w:tcBorders>
            <w:shd w:val="clear" w:color="auto" w:fill="auto"/>
            <w:noWrap/>
            <w:hideMark/>
          </w:tcPr>
          <w:p w14:paraId="1AA1B548"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20 </w:t>
            </w:r>
          </w:p>
        </w:tc>
      </w:tr>
      <w:tr w:rsidR="00FE1A26" w:rsidRPr="00EA3D8C" w14:paraId="1DBF8244" w14:textId="77777777" w:rsidTr="001940DA">
        <w:trPr>
          <w:trHeight w:val="20"/>
        </w:trPr>
        <w:tc>
          <w:tcPr>
            <w:tcW w:w="3994" w:type="dxa"/>
            <w:tcBorders>
              <w:top w:val="nil"/>
              <w:left w:val="nil"/>
              <w:bottom w:val="nil"/>
              <w:right w:val="nil"/>
            </w:tcBorders>
            <w:shd w:val="clear" w:color="auto" w:fill="auto"/>
            <w:noWrap/>
            <w:vAlign w:val="center"/>
            <w:hideMark/>
          </w:tcPr>
          <w:p w14:paraId="49A212AF"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Нето добит</w:t>
            </w:r>
          </w:p>
        </w:tc>
        <w:tc>
          <w:tcPr>
            <w:tcW w:w="1787" w:type="dxa"/>
            <w:tcBorders>
              <w:top w:val="nil"/>
              <w:left w:val="nil"/>
              <w:bottom w:val="nil"/>
              <w:right w:val="nil"/>
            </w:tcBorders>
            <w:shd w:val="clear" w:color="auto" w:fill="auto"/>
            <w:noWrap/>
            <w:hideMark/>
          </w:tcPr>
          <w:p w14:paraId="69B38D00"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-1,9</w:t>
            </w:r>
          </w:p>
        </w:tc>
        <w:tc>
          <w:tcPr>
            <w:tcW w:w="1787" w:type="dxa"/>
            <w:tcBorders>
              <w:top w:val="nil"/>
              <w:left w:val="nil"/>
              <w:bottom w:val="nil"/>
              <w:right w:val="nil"/>
            </w:tcBorders>
            <w:shd w:val="clear" w:color="auto" w:fill="auto"/>
            <w:noWrap/>
            <w:hideMark/>
          </w:tcPr>
          <w:p w14:paraId="28353981"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-18,1</w:t>
            </w:r>
          </w:p>
        </w:tc>
        <w:tc>
          <w:tcPr>
            <w:tcW w:w="1788" w:type="dxa"/>
            <w:tcBorders>
              <w:top w:val="nil"/>
              <w:left w:val="nil"/>
              <w:bottom w:val="nil"/>
              <w:right w:val="nil"/>
            </w:tcBorders>
            <w:shd w:val="clear" w:color="auto" w:fill="auto"/>
            <w:noWrap/>
            <w:hideMark/>
          </w:tcPr>
          <w:p w14:paraId="1CEBD10C"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8,9 </w:t>
            </w:r>
          </w:p>
        </w:tc>
      </w:tr>
      <w:tr w:rsidR="00FE1A26" w:rsidRPr="00EA3D8C" w14:paraId="2D339E5E" w14:textId="77777777" w:rsidTr="001940DA">
        <w:trPr>
          <w:trHeight w:val="20"/>
        </w:trPr>
        <w:tc>
          <w:tcPr>
            <w:tcW w:w="3994" w:type="dxa"/>
            <w:tcBorders>
              <w:top w:val="nil"/>
              <w:left w:val="nil"/>
              <w:right w:val="nil"/>
            </w:tcBorders>
            <w:shd w:val="clear" w:color="auto" w:fill="auto"/>
            <w:noWrap/>
            <w:vAlign w:val="center"/>
            <w:hideMark/>
          </w:tcPr>
          <w:p w14:paraId="56F53A6D"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Трошкови зарада*</w:t>
            </w:r>
          </w:p>
        </w:tc>
        <w:tc>
          <w:tcPr>
            <w:tcW w:w="1787" w:type="dxa"/>
            <w:tcBorders>
              <w:top w:val="nil"/>
              <w:left w:val="nil"/>
              <w:right w:val="nil"/>
            </w:tcBorders>
            <w:shd w:val="clear" w:color="auto" w:fill="auto"/>
            <w:noWrap/>
            <w:hideMark/>
          </w:tcPr>
          <w:p w14:paraId="18CF4BA1"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113,3</w:t>
            </w:r>
          </w:p>
        </w:tc>
        <w:tc>
          <w:tcPr>
            <w:tcW w:w="1787" w:type="dxa"/>
            <w:tcBorders>
              <w:top w:val="nil"/>
              <w:left w:val="nil"/>
              <w:right w:val="nil"/>
            </w:tcBorders>
            <w:shd w:val="clear" w:color="auto" w:fill="auto"/>
            <w:noWrap/>
            <w:hideMark/>
          </w:tcPr>
          <w:p w14:paraId="639525C5"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111,9 </w:t>
            </w:r>
          </w:p>
        </w:tc>
        <w:tc>
          <w:tcPr>
            <w:tcW w:w="1788" w:type="dxa"/>
            <w:tcBorders>
              <w:top w:val="nil"/>
              <w:left w:val="nil"/>
              <w:right w:val="nil"/>
            </w:tcBorders>
            <w:shd w:val="clear" w:color="auto" w:fill="auto"/>
            <w:noWrap/>
            <w:hideMark/>
          </w:tcPr>
          <w:p w14:paraId="6BD6DEF0"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 xml:space="preserve"> 54,4 </w:t>
            </w:r>
          </w:p>
        </w:tc>
      </w:tr>
      <w:tr w:rsidR="00FE1A26" w:rsidRPr="00EA3D8C" w14:paraId="28E3805E" w14:textId="77777777" w:rsidTr="001940DA">
        <w:trPr>
          <w:trHeight w:val="20"/>
        </w:trPr>
        <w:tc>
          <w:tcPr>
            <w:tcW w:w="3994" w:type="dxa"/>
            <w:tcBorders>
              <w:top w:val="nil"/>
              <w:left w:val="nil"/>
              <w:bottom w:val="single" w:sz="4" w:space="0" w:color="002060"/>
              <w:right w:val="nil"/>
            </w:tcBorders>
            <w:shd w:val="clear" w:color="auto" w:fill="auto"/>
            <w:noWrap/>
            <w:vAlign w:val="center"/>
            <w:hideMark/>
          </w:tcPr>
          <w:p w14:paraId="304F3552" w14:textId="77777777" w:rsidR="00FE1A26" w:rsidRPr="00EA3D8C" w:rsidRDefault="00FE1A26" w:rsidP="00FE1A26">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Број ЈП која су остварила добит</w:t>
            </w:r>
          </w:p>
        </w:tc>
        <w:tc>
          <w:tcPr>
            <w:tcW w:w="1787" w:type="dxa"/>
            <w:tcBorders>
              <w:top w:val="nil"/>
              <w:left w:val="nil"/>
              <w:bottom w:val="single" w:sz="4" w:space="0" w:color="002060"/>
              <w:right w:val="nil"/>
            </w:tcBorders>
            <w:shd w:val="clear" w:color="auto" w:fill="auto"/>
            <w:noWrap/>
            <w:hideMark/>
          </w:tcPr>
          <w:p w14:paraId="69BD54F7"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hAnsi="Calibri"/>
                <w:color w:val="002060"/>
                <w:sz w:val="18"/>
                <w:szCs w:val="18"/>
                <w:lang w:val="sr-Cyrl-RS"/>
              </w:rPr>
              <w:t>28</w:t>
            </w:r>
          </w:p>
        </w:tc>
        <w:tc>
          <w:tcPr>
            <w:tcW w:w="1787" w:type="dxa"/>
            <w:tcBorders>
              <w:top w:val="nil"/>
              <w:left w:val="nil"/>
              <w:bottom w:val="single" w:sz="4" w:space="0" w:color="002060"/>
              <w:right w:val="nil"/>
            </w:tcBorders>
            <w:shd w:val="clear" w:color="auto" w:fill="auto"/>
            <w:noWrap/>
            <w:hideMark/>
          </w:tcPr>
          <w:p w14:paraId="1F718131"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25</w:t>
            </w:r>
          </w:p>
        </w:tc>
        <w:tc>
          <w:tcPr>
            <w:tcW w:w="1788" w:type="dxa"/>
            <w:tcBorders>
              <w:top w:val="nil"/>
              <w:left w:val="nil"/>
              <w:bottom w:val="single" w:sz="4" w:space="0" w:color="002060"/>
              <w:right w:val="nil"/>
            </w:tcBorders>
            <w:shd w:val="clear" w:color="auto" w:fill="auto"/>
            <w:noWrap/>
            <w:hideMark/>
          </w:tcPr>
          <w:p w14:paraId="6075F922" w14:textId="77777777" w:rsidR="00FE1A26" w:rsidRPr="00EA3D8C" w:rsidRDefault="00FE1A26" w:rsidP="002C675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22</w:t>
            </w:r>
          </w:p>
        </w:tc>
      </w:tr>
    </w:tbl>
    <w:p w14:paraId="3AC06905" w14:textId="77777777" w:rsidR="00FE1A26" w:rsidRPr="00EA3D8C" w:rsidRDefault="00FE1A26" w:rsidP="00F725A2">
      <w:pPr>
        <w:spacing w:before="40" w:after="0" w:line="240" w:lineRule="auto"/>
        <w:rPr>
          <w:rFonts w:cstheme="minorHAnsi"/>
          <w:bCs/>
          <w:sz w:val="16"/>
          <w:szCs w:val="72"/>
          <w:lang w:val="sr-Cyrl-RS"/>
        </w:rPr>
      </w:pPr>
      <w:r w:rsidRPr="00EA3D8C">
        <w:rPr>
          <w:rFonts w:cstheme="minorHAnsi"/>
          <w:bCs/>
          <w:sz w:val="16"/>
          <w:szCs w:val="72"/>
          <w:lang w:val="sr-Cyrl-RS"/>
        </w:rPr>
        <w:t>*Трошкови зарада, накнада зарада и остали лични расходи</w:t>
      </w:r>
    </w:p>
    <w:p w14:paraId="78C8CBAF" w14:textId="3DEC0AE4" w:rsidR="00FE1A26" w:rsidRPr="00EA3D8C" w:rsidRDefault="00FE1A26" w:rsidP="00AE40EB">
      <w:pPr>
        <w:spacing w:line="240" w:lineRule="auto"/>
        <w:rPr>
          <w:rFonts w:eastAsia="MS PGothic" w:cstheme="minorHAnsi"/>
          <w:color w:val="auto"/>
          <w:lang w:val="sr-Cyrl-RS"/>
        </w:rPr>
      </w:pPr>
      <w:r w:rsidRPr="00EA3D8C">
        <w:rPr>
          <w:rFonts w:cstheme="minorHAnsi"/>
          <w:bCs/>
          <w:sz w:val="16"/>
          <w:szCs w:val="72"/>
          <w:lang w:val="sr-Cyrl-RS"/>
        </w:rPr>
        <w:t>Извор: Финансијски извештаји за 2018. и 2019. годину и квартални извештаји Министарства привреде за 2020. годину</w:t>
      </w:r>
    </w:p>
    <w:p w14:paraId="4A3AF0B0" w14:textId="77777777" w:rsidR="00FE1A26" w:rsidRPr="00EA3D8C" w:rsidRDefault="00FE1A26" w:rsidP="00AE40EB">
      <w:pPr>
        <w:spacing w:line="276" w:lineRule="auto"/>
        <w:ind w:firstLine="720"/>
        <w:rPr>
          <w:rFonts w:eastAsia="MS PGothic" w:cstheme="minorHAnsi"/>
          <w:color w:val="auto"/>
          <w:lang w:val="sr-Cyrl-RS"/>
        </w:rPr>
        <w:sectPr w:rsidR="00FE1A26" w:rsidRPr="00EA3D8C" w:rsidSect="00AE40EB">
          <w:type w:val="continuous"/>
          <w:pgSz w:w="12240" w:h="15840" w:code="1"/>
          <w:pgMar w:top="1440" w:right="1440" w:bottom="1440" w:left="1440" w:header="720" w:footer="720" w:gutter="0"/>
          <w:cols w:space="720"/>
          <w:docGrid w:linePitch="360"/>
        </w:sectPr>
      </w:pPr>
    </w:p>
    <w:p w14:paraId="7A836E73" w14:textId="77777777" w:rsidR="00802C14" w:rsidRPr="00EA3D8C" w:rsidRDefault="00FE1A26" w:rsidP="002D1432">
      <w:pPr>
        <w:rPr>
          <w:rFonts w:eastAsia="MS PGothic" w:cstheme="minorHAnsi"/>
          <w:szCs w:val="20"/>
          <w:lang w:val="sr-Cyrl-RS" w:eastAsia="ja-JP"/>
        </w:rPr>
        <w:sectPr w:rsidR="00802C14" w:rsidRPr="00EA3D8C" w:rsidSect="00AE40EB">
          <w:headerReference w:type="even" r:id="rId152"/>
          <w:footerReference w:type="even" r:id="rId153"/>
          <w:footerReference w:type="default" r:id="rId154"/>
          <w:headerReference w:type="first" r:id="rId155"/>
          <w:type w:val="continuous"/>
          <w:pgSz w:w="12240" w:h="15840" w:code="1"/>
          <w:pgMar w:top="1440" w:right="1440" w:bottom="1440" w:left="1440" w:header="720" w:footer="720" w:gutter="0"/>
          <w:cols w:num="2" w:space="720"/>
          <w:docGrid w:linePitch="360"/>
        </w:sectPr>
      </w:pPr>
      <w:r w:rsidRPr="00EA3D8C">
        <w:rPr>
          <w:rFonts w:eastAsia="MS PGothic" w:cstheme="minorHAnsi"/>
          <w:szCs w:val="20"/>
          <w:lang w:val="sr-Cyrl-RS" w:eastAsia="ja-JP"/>
        </w:rPr>
        <w:lastRenderedPageBreak/>
        <w:t xml:space="preserve">У првој половини године добит је остварило 22 предузећа у укупном износу од 11,5 млрд динара. Овај резултат је виши од плана у овом периоду (5,5 млрд динара). Највећи утицај на позитиван нето </w:t>
      </w:r>
      <w:r w:rsidRPr="00EA3D8C">
        <w:rPr>
          <w:rFonts w:eastAsia="MS PGothic" w:cstheme="minorHAnsi"/>
          <w:szCs w:val="20"/>
          <w:lang w:val="sr-Cyrl-RS" w:eastAsia="ja-JP"/>
        </w:rPr>
        <w:lastRenderedPageBreak/>
        <w:t>резултат у посматраном периоду има ЈП „ЕПСˮ, које је остварило нето добит у износу од 7,9 млрд динара. На другом месту је ЈП „Путеви Србијеˮ са оствареном добити од 1,4 млрд динара.</w:t>
      </w:r>
    </w:p>
    <w:p w14:paraId="6AA6759E" w14:textId="7F64B5F7" w:rsidR="00FE1A26" w:rsidRPr="00EA3D8C" w:rsidRDefault="00EC4017" w:rsidP="0062573C">
      <w:pPr>
        <w:spacing w:before="360"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18</w:t>
      </w:r>
      <w:r w:rsidR="00FE1A26" w:rsidRPr="00EA3D8C">
        <w:rPr>
          <w:rFonts w:eastAsia="MS PGothic" w:cstheme="minorHAnsi"/>
          <w:b/>
          <w:color w:val="002060"/>
          <w:szCs w:val="20"/>
          <w:lang w:val="sr-Cyrl-RS" w:eastAsia="ja-JP"/>
        </w:rPr>
        <w:t>. Јавна предузећа која су остварила нето добит у периоду 1.1–30.6.2020. године, у хиљ. динара</w:t>
      </w:r>
    </w:p>
    <w:tbl>
      <w:tblPr>
        <w:tblW w:w="9518" w:type="dxa"/>
        <w:tblLayout w:type="fixed"/>
        <w:tblLook w:val="04A0" w:firstRow="1" w:lastRow="0" w:firstColumn="1" w:lastColumn="0" w:noHBand="0" w:noVBand="1"/>
      </w:tblPr>
      <w:tblGrid>
        <w:gridCol w:w="3828"/>
        <w:gridCol w:w="1896"/>
        <w:gridCol w:w="1897"/>
        <w:gridCol w:w="1897"/>
      </w:tblGrid>
      <w:tr w:rsidR="00FE1A26" w:rsidRPr="00EA3D8C" w14:paraId="32799A59" w14:textId="77777777" w:rsidTr="003E2EFC">
        <w:trPr>
          <w:trHeight w:val="423"/>
          <w:tblHeader/>
        </w:trPr>
        <w:tc>
          <w:tcPr>
            <w:tcW w:w="3828" w:type="dxa"/>
            <w:vMerge w:val="restart"/>
            <w:tcBorders>
              <w:top w:val="single" w:sz="4" w:space="0" w:color="002060"/>
              <w:left w:val="nil"/>
              <w:bottom w:val="single" w:sz="4" w:space="0" w:color="002060"/>
              <w:right w:val="nil"/>
            </w:tcBorders>
            <w:shd w:val="clear" w:color="auto" w:fill="auto"/>
            <w:noWrap/>
            <w:vAlign w:val="center"/>
            <w:hideMark/>
          </w:tcPr>
          <w:p w14:paraId="0EFB2F47"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Предузеће</w:t>
            </w:r>
          </w:p>
        </w:tc>
        <w:tc>
          <w:tcPr>
            <w:tcW w:w="1896" w:type="dxa"/>
            <w:vMerge w:val="restart"/>
            <w:tcBorders>
              <w:top w:val="single" w:sz="4" w:space="0" w:color="002060"/>
              <w:left w:val="nil"/>
              <w:bottom w:val="single" w:sz="4" w:space="0" w:color="002060"/>
              <w:right w:val="nil"/>
            </w:tcBorders>
            <w:shd w:val="clear" w:color="auto" w:fill="auto"/>
            <w:vAlign w:val="center"/>
            <w:hideMark/>
          </w:tcPr>
          <w:p w14:paraId="55517A74" w14:textId="77777777" w:rsidR="00FE1A26" w:rsidRPr="00EA3D8C" w:rsidRDefault="00FE1A26" w:rsidP="00E4657F">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Реализација</w:t>
            </w:r>
          </w:p>
          <w:p w14:paraId="31D38ECE" w14:textId="77777777" w:rsidR="00FE1A26" w:rsidRPr="00EA3D8C" w:rsidRDefault="00FE1A26" w:rsidP="00E4657F">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2019. година</w:t>
            </w:r>
          </w:p>
        </w:tc>
        <w:tc>
          <w:tcPr>
            <w:tcW w:w="1897" w:type="dxa"/>
            <w:vMerge w:val="restart"/>
            <w:tcBorders>
              <w:top w:val="single" w:sz="4" w:space="0" w:color="002060"/>
              <w:left w:val="nil"/>
              <w:bottom w:val="single" w:sz="4" w:space="0" w:color="002060"/>
              <w:right w:val="nil"/>
            </w:tcBorders>
            <w:shd w:val="clear" w:color="auto" w:fill="auto"/>
            <w:vAlign w:val="center"/>
            <w:hideMark/>
          </w:tcPr>
          <w:p w14:paraId="370CE2BF" w14:textId="683AD516" w:rsidR="00FE1A26" w:rsidRPr="00EA3D8C" w:rsidRDefault="00FE1A26" w:rsidP="003E2EFC">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План</w:t>
            </w:r>
            <w:r w:rsidR="003E2EFC">
              <w:rPr>
                <w:rFonts w:ascii="Calibri" w:eastAsia="Times New Roman" w:hAnsi="Calibri" w:cs="Calibri"/>
                <w:color w:val="002060"/>
                <w:sz w:val="18"/>
                <w:szCs w:val="18"/>
                <w:lang w:val="sr-Cyrl-RS" w:eastAsia="sr-Cyrl-RS"/>
              </w:rPr>
              <w:br w:type="textWrapping" w:clear="all"/>
            </w:r>
            <w:r w:rsidRPr="00EA3D8C">
              <w:rPr>
                <w:rFonts w:ascii="Calibri" w:eastAsia="Times New Roman" w:hAnsi="Calibri" w:cs="Calibri"/>
                <w:color w:val="002060"/>
                <w:sz w:val="18"/>
                <w:szCs w:val="18"/>
                <w:lang w:val="sr-Cyrl-RS" w:eastAsia="sr-Cyrl-RS"/>
              </w:rPr>
              <w:t>1.1–30.6.2020.</w:t>
            </w:r>
          </w:p>
        </w:tc>
        <w:tc>
          <w:tcPr>
            <w:tcW w:w="1897" w:type="dxa"/>
            <w:vMerge w:val="restart"/>
            <w:tcBorders>
              <w:top w:val="single" w:sz="4" w:space="0" w:color="002060"/>
              <w:left w:val="nil"/>
              <w:bottom w:val="single" w:sz="4" w:space="0" w:color="002060"/>
              <w:right w:val="nil"/>
            </w:tcBorders>
            <w:shd w:val="clear" w:color="auto" w:fill="auto"/>
            <w:vAlign w:val="center"/>
            <w:hideMark/>
          </w:tcPr>
          <w:p w14:paraId="79F476AC" w14:textId="1D9C72A9" w:rsidR="00FE1A26" w:rsidRPr="00EA3D8C" w:rsidRDefault="00FE1A26" w:rsidP="003E2EFC">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Реализација</w:t>
            </w:r>
            <w:r w:rsidR="003E2EFC">
              <w:rPr>
                <w:rFonts w:ascii="Calibri" w:eastAsia="Times New Roman" w:hAnsi="Calibri" w:cs="Calibri"/>
                <w:color w:val="002060"/>
                <w:sz w:val="18"/>
                <w:szCs w:val="18"/>
                <w:lang w:val="sr-Cyrl-RS" w:eastAsia="sr-Cyrl-RS"/>
              </w:rPr>
              <w:br w:type="textWrapping" w:clear="all"/>
            </w:r>
            <w:r w:rsidRPr="00EA3D8C">
              <w:rPr>
                <w:rFonts w:ascii="Calibri" w:eastAsia="Times New Roman" w:hAnsi="Calibri" w:cs="Calibri"/>
                <w:color w:val="002060"/>
                <w:sz w:val="18"/>
                <w:szCs w:val="18"/>
                <w:lang w:val="sr-Cyrl-RS" w:eastAsia="sr-Cyrl-RS"/>
              </w:rPr>
              <w:t>1.1–30.6.2020.</w:t>
            </w:r>
          </w:p>
        </w:tc>
      </w:tr>
      <w:tr w:rsidR="00FE1A26" w:rsidRPr="00EA3D8C" w14:paraId="0C0B7260" w14:textId="77777777" w:rsidTr="003E2EFC">
        <w:trPr>
          <w:trHeight w:val="423"/>
        </w:trPr>
        <w:tc>
          <w:tcPr>
            <w:tcW w:w="3828" w:type="dxa"/>
            <w:vMerge/>
            <w:tcBorders>
              <w:left w:val="nil"/>
              <w:bottom w:val="single" w:sz="4" w:space="0" w:color="002060"/>
              <w:right w:val="nil"/>
            </w:tcBorders>
            <w:vAlign w:val="center"/>
            <w:hideMark/>
          </w:tcPr>
          <w:p w14:paraId="7E231787"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96" w:type="dxa"/>
            <w:vMerge/>
            <w:tcBorders>
              <w:left w:val="nil"/>
              <w:bottom w:val="single" w:sz="4" w:space="0" w:color="002060"/>
              <w:right w:val="nil"/>
            </w:tcBorders>
            <w:vAlign w:val="center"/>
            <w:hideMark/>
          </w:tcPr>
          <w:p w14:paraId="234A9606"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97" w:type="dxa"/>
            <w:vMerge/>
            <w:tcBorders>
              <w:left w:val="nil"/>
              <w:bottom w:val="single" w:sz="4" w:space="0" w:color="002060"/>
              <w:right w:val="nil"/>
            </w:tcBorders>
            <w:vAlign w:val="center"/>
            <w:hideMark/>
          </w:tcPr>
          <w:p w14:paraId="7F6A20F1"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97" w:type="dxa"/>
            <w:vMerge/>
            <w:tcBorders>
              <w:left w:val="nil"/>
              <w:bottom w:val="single" w:sz="4" w:space="0" w:color="002060"/>
              <w:right w:val="nil"/>
            </w:tcBorders>
            <w:vAlign w:val="center"/>
            <w:hideMark/>
          </w:tcPr>
          <w:p w14:paraId="257EC9AB"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r>
      <w:tr w:rsidR="00FE1A26" w:rsidRPr="00EA3D8C" w14:paraId="33553E77" w14:textId="77777777" w:rsidTr="003E2EFC">
        <w:trPr>
          <w:trHeight w:val="20"/>
        </w:trPr>
        <w:tc>
          <w:tcPr>
            <w:tcW w:w="3828" w:type="dxa"/>
            <w:tcBorders>
              <w:top w:val="single" w:sz="4" w:space="0" w:color="002060"/>
              <w:left w:val="nil"/>
              <w:bottom w:val="nil"/>
              <w:right w:val="nil"/>
            </w:tcBorders>
            <w:shd w:val="clear" w:color="auto" w:fill="auto"/>
            <w:noWrap/>
            <w:vAlign w:val="center"/>
            <w:hideMark/>
          </w:tcPr>
          <w:p w14:paraId="2E2F8AC4"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„Србијагасˮ</w:t>
            </w:r>
          </w:p>
        </w:tc>
        <w:tc>
          <w:tcPr>
            <w:tcW w:w="1896" w:type="dxa"/>
            <w:tcBorders>
              <w:top w:val="single" w:sz="4" w:space="0" w:color="002060"/>
              <w:left w:val="nil"/>
              <w:bottom w:val="nil"/>
              <w:right w:val="nil"/>
            </w:tcBorders>
            <w:shd w:val="clear" w:color="auto" w:fill="auto"/>
            <w:noWrap/>
            <w:vAlign w:val="center"/>
            <w:hideMark/>
          </w:tcPr>
          <w:p w14:paraId="70EB5C6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4.771.689</w:t>
            </w:r>
          </w:p>
        </w:tc>
        <w:tc>
          <w:tcPr>
            <w:tcW w:w="1897" w:type="dxa"/>
            <w:tcBorders>
              <w:top w:val="single" w:sz="4" w:space="0" w:color="002060"/>
              <w:left w:val="nil"/>
              <w:bottom w:val="nil"/>
              <w:right w:val="nil"/>
            </w:tcBorders>
            <w:shd w:val="clear" w:color="auto" w:fill="auto"/>
            <w:noWrap/>
            <w:vAlign w:val="center"/>
          </w:tcPr>
          <w:p w14:paraId="10444458"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1.066.980</w:t>
            </w:r>
          </w:p>
        </w:tc>
        <w:tc>
          <w:tcPr>
            <w:tcW w:w="1897" w:type="dxa"/>
            <w:tcBorders>
              <w:top w:val="single" w:sz="4" w:space="0" w:color="002060"/>
              <w:left w:val="nil"/>
              <w:bottom w:val="nil"/>
              <w:right w:val="nil"/>
            </w:tcBorders>
            <w:shd w:val="clear" w:color="auto" w:fill="auto"/>
            <w:noWrap/>
            <w:vAlign w:val="center"/>
          </w:tcPr>
          <w:p w14:paraId="25FE998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145.616</w:t>
            </w:r>
          </w:p>
        </w:tc>
      </w:tr>
      <w:tr w:rsidR="00FE1A26" w:rsidRPr="00EA3D8C" w14:paraId="393B8DB5" w14:textId="77777777" w:rsidTr="003E2EFC">
        <w:trPr>
          <w:trHeight w:val="20"/>
        </w:trPr>
        <w:tc>
          <w:tcPr>
            <w:tcW w:w="3828" w:type="dxa"/>
            <w:tcBorders>
              <w:top w:val="nil"/>
              <w:left w:val="nil"/>
              <w:bottom w:val="nil"/>
              <w:right w:val="nil"/>
            </w:tcBorders>
            <w:shd w:val="clear" w:color="auto" w:fill="auto"/>
            <w:noWrap/>
            <w:vAlign w:val="center"/>
            <w:hideMark/>
          </w:tcPr>
          <w:p w14:paraId="684A3451"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Мрежа мост</w:t>
            </w:r>
          </w:p>
        </w:tc>
        <w:tc>
          <w:tcPr>
            <w:tcW w:w="1896" w:type="dxa"/>
            <w:tcBorders>
              <w:top w:val="nil"/>
              <w:left w:val="nil"/>
              <w:bottom w:val="nil"/>
              <w:right w:val="nil"/>
            </w:tcBorders>
            <w:shd w:val="clear" w:color="auto" w:fill="auto"/>
            <w:noWrap/>
            <w:vAlign w:val="center"/>
            <w:hideMark/>
          </w:tcPr>
          <w:p w14:paraId="01C60682"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9.902</w:t>
            </w:r>
          </w:p>
        </w:tc>
        <w:tc>
          <w:tcPr>
            <w:tcW w:w="1897" w:type="dxa"/>
            <w:tcBorders>
              <w:top w:val="nil"/>
              <w:left w:val="nil"/>
              <w:bottom w:val="nil"/>
              <w:right w:val="nil"/>
            </w:tcBorders>
            <w:shd w:val="clear" w:color="auto" w:fill="auto"/>
            <w:noWrap/>
            <w:vAlign w:val="center"/>
          </w:tcPr>
          <w:p w14:paraId="24F45F1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w:t>
            </w:r>
          </w:p>
        </w:tc>
        <w:tc>
          <w:tcPr>
            <w:tcW w:w="1897" w:type="dxa"/>
            <w:tcBorders>
              <w:top w:val="nil"/>
              <w:left w:val="nil"/>
              <w:bottom w:val="nil"/>
              <w:right w:val="nil"/>
            </w:tcBorders>
            <w:shd w:val="clear" w:color="auto" w:fill="auto"/>
            <w:noWrap/>
            <w:vAlign w:val="center"/>
          </w:tcPr>
          <w:p w14:paraId="4DF132ED"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7.036</w:t>
            </w:r>
          </w:p>
        </w:tc>
      </w:tr>
      <w:tr w:rsidR="00FE1A26" w:rsidRPr="00EA3D8C" w14:paraId="2D2F3C60" w14:textId="77777777" w:rsidTr="003E2EFC">
        <w:trPr>
          <w:trHeight w:val="20"/>
        </w:trPr>
        <w:tc>
          <w:tcPr>
            <w:tcW w:w="3828" w:type="dxa"/>
            <w:tcBorders>
              <w:top w:val="nil"/>
              <w:left w:val="nil"/>
              <w:bottom w:val="nil"/>
              <w:right w:val="nil"/>
            </w:tcBorders>
            <w:shd w:val="clear" w:color="auto" w:fill="auto"/>
            <w:noWrap/>
            <w:vAlign w:val="center"/>
            <w:hideMark/>
          </w:tcPr>
          <w:p w14:paraId="3CB829E7"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„НП Ђердапˮ</w:t>
            </w:r>
          </w:p>
        </w:tc>
        <w:tc>
          <w:tcPr>
            <w:tcW w:w="1896" w:type="dxa"/>
            <w:tcBorders>
              <w:top w:val="nil"/>
              <w:left w:val="nil"/>
              <w:bottom w:val="nil"/>
              <w:right w:val="nil"/>
            </w:tcBorders>
            <w:shd w:val="clear" w:color="auto" w:fill="auto"/>
            <w:noWrap/>
            <w:vAlign w:val="center"/>
            <w:hideMark/>
          </w:tcPr>
          <w:p w14:paraId="002C51E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9.759</w:t>
            </w:r>
          </w:p>
        </w:tc>
        <w:tc>
          <w:tcPr>
            <w:tcW w:w="1897" w:type="dxa"/>
            <w:tcBorders>
              <w:top w:val="nil"/>
              <w:left w:val="nil"/>
              <w:bottom w:val="nil"/>
              <w:right w:val="nil"/>
            </w:tcBorders>
            <w:shd w:val="clear" w:color="auto" w:fill="auto"/>
            <w:noWrap/>
            <w:vAlign w:val="center"/>
          </w:tcPr>
          <w:p w14:paraId="3F4E82E7"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4.814</w:t>
            </w:r>
          </w:p>
        </w:tc>
        <w:tc>
          <w:tcPr>
            <w:tcW w:w="1897" w:type="dxa"/>
            <w:tcBorders>
              <w:top w:val="nil"/>
              <w:left w:val="nil"/>
              <w:bottom w:val="nil"/>
              <w:right w:val="nil"/>
            </w:tcBorders>
            <w:shd w:val="clear" w:color="auto" w:fill="auto"/>
            <w:noWrap/>
            <w:vAlign w:val="center"/>
          </w:tcPr>
          <w:p w14:paraId="4200A10D"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11.084</w:t>
            </w:r>
          </w:p>
        </w:tc>
      </w:tr>
      <w:tr w:rsidR="00FE1A26" w:rsidRPr="00EA3D8C" w14:paraId="35BACFC9" w14:textId="77777777" w:rsidTr="003E2EFC">
        <w:trPr>
          <w:trHeight w:val="20"/>
        </w:trPr>
        <w:tc>
          <w:tcPr>
            <w:tcW w:w="3828" w:type="dxa"/>
            <w:tcBorders>
              <w:top w:val="nil"/>
              <w:left w:val="nil"/>
              <w:bottom w:val="nil"/>
              <w:right w:val="nil"/>
            </w:tcBorders>
            <w:shd w:val="clear" w:color="auto" w:fill="auto"/>
            <w:noWrap/>
            <w:vAlign w:val="center"/>
            <w:hideMark/>
          </w:tcPr>
          <w:p w14:paraId="082C01C0"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„Скијалишта Србијеˮ</w:t>
            </w:r>
          </w:p>
        </w:tc>
        <w:tc>
          <w:tcPr>
            <w:tcW w:w="1896" w:type="dxa"/>
            <w:tcBorders>
              <w:top w:val="nil"/>
              <w:left w:val="nil"/>
              <w:bottom w:val="nil"/>
              <w:right w:val="nil"/>
            </w:tcBorders>
            <w:shd w:val="clear" w:color="auto" w:fill="auto"/>
            <w:noWrap/>
            <w:vAlign w:val="center"/>
            <w:hideMark/>
          </w:tcPr>
          <w:p w14:paraId="1B4BD22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313.961</w:t>
            </w:r>
          </w:p>
        </w:tc>
        <w:tc>
          <w:tcPr>
            <w:tcW w:w="1897" w:type="dxa"/>
            <w:tcBorders>
              <w:top w:val="nil"/>
              <w:left w:val="nil"/>
              <w:bottom w:val="nil"/>
              <w:right w:val="nil"/>
            </w:tcBorders>
            <w:shd w:val="clear" w:color="auto" w:fill="auto"/>
            <w:noWrap/>
            <w:vAlign w:val="center"/>
          </w:tcPr>
          <w:p w14:paraId="46CB07B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402.249</w:t>
            </w:r>
          </w:p>
        </w:tc>
        <w:tc>
          <w:tcPr>
            <w:tcW w:w="1897" w:type="dxa"/>
            <w:tcBorders>
              <w:top w:val="nil"/>
              <w:left w:val="nil"/>
              <w:bottom w:val="nil"/>
              <w:right w:val="nil"/>
            </w:tcBorders>
            <w:shd w:val="clear" w:color="auto" w:fill="auto"/>
            <w:noWrap/>
            <w:vAlign w:val="center"/>
          </w:tcPr>
          <w:p w14:paraId="75F43C5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580.636</w:t>
            </w:r>
          </w:p>
        </w:tc>
      </w:tr>
      <w:tr w:rsidR="00FE1A26" w:rsidRPr="00EA3D8C" w14:paraId="7F50A48D" w14:textId="77777777" w:rsidTr="003E2EFC">
        <w:trPr>
          <w:trHeight w:val="20"/>
        </w:trPr>
        <w:tc>
          <w:tcPr>
            <w:tcW w:w="3828" w:type="dxa"/>
            <w:tcBorders>
              <w:top w:val="nil"/>
              <w:left w:val="nil"/>
              <w:bottom w:val="nil"/>
              <w:right w:val="nil"/>
            </w:tcBorders>
            <w:shd w:val="clear" w:color="auto" w:fill="auto"/>
            <w:noWrap/>
            <w:vAlign w:val="center"/>
            <w:hideMark/>
          </w:tcPr>
          <w:p w14:paraId="5AC21C46" w14:textId="734A56FC"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„Tранснафта</w:t>
            </w:r>
            <w:r w:rsidR="00602707">
              <w:rPr>
                <w:rFonts w:ascii="Calibri" w:eastAsia="Times New Roman" w:hAnsi="Calibri" w:cs="Calibri"/>
                <w:color w:val="002060"/>
                <w:sz w:val="18"/>
                <w:szCs w:val="18"/>
                <w:lang w:val="sr-Latn-RS" w:eastAsia="sr-Cyrl-RS"/>
              </w:rPr>
              <w:t xml:space="preserve"> </w:t>
            </w:r>
            <w:r w:rsidR="00602707">
              <w:rPr>
                <w:rFonts w:ascii="Calibri" w:eastAsia="Times New Roman" w:hAnsi="Calibri" w:cs="Calibri"/>
                <w:color w:val="002060"/>
                <w:sz w:val="18"/>
                <w:szCs w:val="18"/>
                <w:lang w:val="sr-Cyrl-RS" w:eastAsia="sr-Cyrl-RS"/>
              </w:rPr>
              <w:t>а.д.</w:t>
            </w:r>
            <w:r w:rsidRPr="00EA3D8C">
              <w:rPr>
                <w:rFonts w:ascii="Calibri" w:eastAsia="Times New Roman" w:hAnsi="Calibri" w:cs="Calibri"/>
                <w:color w:val="002060"/>
                <w:sz w:val="18"/>
                <w:szCs w:val="18"/>
                <w:lang w:val="sr-Cyrl-RS" w:eastAsia="sr-Cyrl-RS"/>
              </w:rPr>
              <w:t>ˮ</w:t>
            </w:r>
          </w:p>
        </w:tc>
        <w:tc>
          <w:tcPr>
            <w:tcW w:w="1896" w:type="dxa"/>
            <w:tcBorders>
              <w:top w:val="nil"/>
              <w:left w:val="nil"/>
              <w:bottom w:val="nil"/>
              <w:right w:val="nil"/>
            </w:tcBorders>
            <w:shd w:val="clear" w:color="auto" w:fill="auto"/>
            <w:noWrap/>
            <w:vAlign w:val="center"/>
            <w:hideMark/>
          </w:tcPr>
          <w:p w14:paraId="63C3837E"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245.477</w:t>
            </w:r>
          </w:p>
        </w:tc>
        <w:tc>
          <w:tcPr>
            <w:tcW w:w="1897" w:type="dxa"/>
            <w:tcBorders>
              <w:top w:val="nil"/>
              <w:left w:val="nil"/>
              <w:bottom w:val="nil"/>
              <w:right w:val="nil"/>
            </w:tcBorders>
            <w:shd w:val="clear" w:color="auto" w:fill="auto"/>
            <w:noWrap/>
            <w:vAlign w:val="center"/>
          </w:tcPr>
          <w:p w14:paraId="5E985F5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53.326</w:t>
            </w:r>
          </w:p>
        </w:tc>
        <w:tc>
          <w:tcPr>
            <w:tcW w:w="1897" w:type="dxa"/>
            <w:tcBorders>
              <w:top w:val="nil"/>
              <w:left w:val="nil"/>
              <w:bottom w:val="nil"/>
              <w:right w:val="nil"/>
            </w:tcBorders>
            <w:shd w:val="clear" w:color="auto" w:fill="auto"/>
            <w:noWrap/>
            <w:vAlign w:val="center"/>
          </w:tcPr>
          <w:p w14:paraId="168ECCB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118.844</w:t>
            </w:r>
          </w:p>
        </w:tc>
      </w:tr>
      <w:tr w:rsidR="00FE1A26" w:rsidRPr="00EA3D8C" w14:paraId="706EDC9D" w14:textId="77777777" w:rsidTr="003E2EFC">
        <w:trPr>
          <w:trHeight w:val="20"/>
        </w:trPr>
        <w:tc>
          <w:tcPr>
            <w:tcW w:w="3828" w:type="dxa"/>
            <w:tcBorders>
              <w:top w:val="nil"/>
              <w:left w:val="nil"/>
              <w:bottom w:val="nil"/>
              <w:right w:val="nil"/>
            </w:tcBorders>
            <w:shd w:val="clear" w:color="auto" w:fill="auto"/>
            <w:noWrap/>
            <w:vAlign w:val="center"/>
          </w:tcPr>
          <w:p w14:paraId="53C5C323"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„Коридори Србијеˮ д.о.о.</w:t>
            </w:r>
          </w:p>
        </w:tc>
        <w:tc>
          <w:tcPr>
            <w:tcW w:w="1896" w:type="dxa"/>
            <w:tcBorders>
              <w:top w:val="nil"/>
              <w:left w:val="nil"/>
              <w:bottom w:val="nil"/>
              <w:right w:val="nil"/>
            </w:tcBorders>
            <w:shd w:val="clear" w:color="auto" w:fill="auto"/>
            <w:noWrap/>
            <w:vAlign w:val="center"/>
          </w:tcPr>
          <w:p w14:paraId="64DBF0C0"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w:t>
            </w:r>
          </w:p>
        </w:tc>
        <w:tc>
          <w:tcPr>
            <w:tcW w:w="1897" w:type="dxa"/>
            <w:tcBorders>
              <w:top w:val="nil"/>
              <w:left w:val="nil"/>
              <w:bottom w:val="nil"/>
              <w:right w:val="nil"/>
            </w:tcBorders>
            <w:shd w:val="clear" w:color="auto" w:fill="auto"/>
            <w:noWrap/>
            <w:vAlign w:val="center"/>
          </w:tcPr>
          <w:p w14:paraId="64AFEA3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w:t>
            </w:r>
          </w:p>
        </w:tc>
        <w:tc>
          <w:tcPr>
            <w:tcW w:w="1897" w:type="dxa"/>
            <w:tcBorders>
              <w:top w:val="nil"/>
              <w:left w:val="nil"/>
              <w:bottom w:val="nil"/>
              <w:right w:val="nil"/>
            </w:tcBorders>
            <w:shd w:val="clear" w:color="auto" w:fill="auto"/>
            <w:noWrap/>
            <w:vAlign w:val="center"/>
          </w:tcPr>
          <w:p w14:paraId="4BB8179E"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0</w:t>
            </w:r>
          </w:p>
        </w:tc>
      </w:tr>
      <w:tr w:rsidR="00FE1A26" w:rsidRPr="00EA3D8C" w14:paraId="71F4E9B2" w14:textId="77777777" w:rsidTr="003E2EFC">
        <w:trPr>
          <w:trHeight w:val="20"/>
        </w:trPr>
        <w:tc>
          <w:tcPr>
            <w:tcW w:w="3828" w:type="dxa"/>
            <w:tcBorders>
              <w:top w:val="nil"/>
              <w:left w:val="nil"/>
              <w:bottom w:val="nil"/>
              <w:right w:val="nil"/>
            </w:tcBorders>
            <w:shd w:val="clear" w:color="auto" w:fill="auto"/>
            <w:vAlign w:val="center"/>
            <w:hideMark/>
          </w:tcPr>
          <w:p w14:paraId="68127988"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„Резерват Увац” д.о.о.</w:t>
            </w:r>
          </w:p>
        </w:tc>
        <w:tc>
          <w:tcPr>
            <w:tcW w:w="1896" w:type="dxa"/>
            <w:tcBorders>
              <w:top w:val="nil"/>
              <w:left w:val="nil"/>
              <w:bottom w:val="nil"/>
              <w:right w:val="nil"/>
            </w:tcBorders>
            <w:shd w:val="clear" w:color="auto" w:fill="auto"/>
            <w:vAlign w:val="center"/>
            <w:hideMark/>
          </w:tcPr>
          <w:p w14:paraId="27CD320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960</w:t>
            </w:r>
          </w:p>
        </w:tc>
        <w:tc>
          <w:tcPr>
            <w:tcW w:w="1897" w:type="dxa"/>
            <w:tcBorders>
              <w:top w:val="nil"/>
              <w:left w:val="nil"/>
              <w:bottom w:val="nil"/>
              <w:right w:val="nil"/>
            </w:tcBorders>
            <w:shd w:val="clear" w:color="auto" w:fill="auto"/>
            <w:noWrap/>
            <w:vAlign w:val="center"/>
          </w:tcPr>
          <w:p w14:paraId="0605AF7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1.800</w:t>
            </w:r>
          </w:p>
        </w:tc>
        <w:tc>
          <w:tcPr>
            <w:tcW w:w="1897" w:type="dxa"/>
            <w:tcBorders>
              <w:top w:val="nil"/>
              <w:left w:val="nil"/>
              <w:bottom w:val="nil"/>
              <w:right w:val="nil"/>
            </w:tcBorders>
            <w:shd w:val="clear" w:color="auto" w:fill="auto"/>
            <w:noWrap/>
            <w:vAlign w:val="center"/>
          </w:tcPr>
          <w:p w14:paraId="2328DEB7"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2.758</w:t>
            </w:r>
          </w:p>
        </w:tc>
      </w:tr>
      <w:tr w:rsidR="00FE1A26" w:rsidRPr="00EA3D8C" w14:paraId="49B9DF23" w14:textId="77777777" w:rsidTr="003E2EFC">
        <w:trPr>
          <w:trHeight w:val="20"/>
        </w:trPr>
        <w:tc>
          <w:tcPr>
            <w:tcW w:w="3828" w:type="dxa"/>
            <w:tcBorders>
              <w:top w:val="nil"/>
              <w:left w:val="nil"/>
              <w:bottom w:val="nil"/>
              <w:right w:val="nil"/>
            </w:tcBorders>
            <w:shd w:val="clear" w:color="auto" w:fill="auto"/>
            <w:vAlign w:val="center"/>
            <w:hideMark/>
          </w:tcPr>
          <w:p w14:paraId="5BB63BFC"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„Просветни прегледˮ д.о.о.</w:t>
            </w:r>
          </w:p>
        </w:tc>
        <w:tc>
          <w:tcPr>
            <w:tcW w:w="1896" w:type="dxa"/>
            <w:tcBorders>
              <w:top w:val="nil"/>
              <w:left w:val="nil"/>
              <w:bottom w:val="nil"/>
              <w:right w:val="nil"/>
            </w:tcBorders>
            <w:shd w:val="clear" w:color="auto" w:fill="auto"/>
            <w:vAlign w:val="center"/>
            <w:hideMark/>
          </w:tcPr>
          <w:p w14:paraId="79282928"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10.735</w:t>
            </w:r>
          </w:p>
        </w:tc>
        <w:tc>
          <w:tcPr>
            <w:tcW w:w="1897" w:type="dxa"/>
            <w:tcBorders>
              <w:top w:val="nil"/>
              <w:left w:val="nil"/>
              <w:bottom w:val="nil"/>
              <w:right w:val="nil"/>
            </w:tcBorders>
            <w:shd w:val="clear" w:color="auto" w:fill="auto"/>
            <w:noWrap/>
            <w:vAlign w:val="center"/>
          </w:tcPr>
          <w:p w14:paraId="14BFD1F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25.480</w:t>
            </w:r>
          </w:p>
        </w:tc>
        <w:tc>
          <w:tcPr>
            <w:tcW w:w="1897" w:type="dxa"/>
            <w:tcBorders>
              <w:top w:val="nil"/>
              <w:left w:val="nil"/>
              <w:bottom w:val="nil"/>
              <w:right w:val="nil"/>
            </w:tcBorders>
            <w:shd w:val="clear" w:color="auto" w:fill="auto"/>
            <w:noWrap/>
            <w:vAlign w:val="center"/>
          </w:tcPr>
          <w:p w14:paraId="1DE733C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23.847</w:t>
            </w:r>
          </w:p>
        </w:tc>
      </w:tr>
      <w:tr w:rsidR="00FE1A26" w:rsidRPr="00EA3D8C" w14:paraId="379B495D" w14:textId="77777777" w:rsidTr="003E2EFC">
        <w:trPr>
          <w:trHeight w:val="20"/>
        </w:trPr>
        <w:tc>
          <w:tcPr>
            <w:tcW w:w="3828" w:type="dxa"/>
            <w:tcBorders>
              <w:top w:val="nil"/>
              <w:left w:val="nil"/>
              <w:bottom w:val="nil"/>
              <w:right w:val="nil"/>
            </w:tcBorders>
            <w:shd w:val="clear" w:color="auto" w:fill="auto"/>
            <w:noWrap/>
            <w:vAlign w:val="center"/>
            <w:hideMark/>
          </w:tcPr>
          <w:p w14:paraId="7AB221FF"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„Службени гласникˮ</w:t>
            </w:r>
          </w:p>
        </w:tc>
        <w:tc>
          <w:tcPr>
            <w:tcW w:w="1896" w:type="dxa"/>
            <w:tcBorders>
              <w:top w:val="nil"/>
              <w:left w:val="nil"/>
              <w:bottom w:val="nil"/>
              <w:right w:val="nil"/>
            </w:tcBorders>
            <w:shd w:val="clear" w:color="auto" w:fill="auto"/>
            <w:noWrap/>
            <w:vAlign w:val="center"/>
            <w:hideMark/>
          </w:tcPr>
          <w:p w14:paraId="1ECF1D2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58.160</w:t>
            </w:r>
          </w:p>
        </w:tc>
        <w:tc>
          <w:tcPr>
            <w:tcW w:w="1897" w:type="dxa"/>
            <w:tcBorders>
              <w:top w:val="nil"/>
              <w:left w:val="nil"/>
              <w:bottom w:val="nil"/>
              <w:right w:val="nil"/>
            </w:tcBorders>
            <w:shd w:val="clear" w:color="auto" w:fill="auto"/>
            <w:noWrap/>
            <w:vAlign w:val="center"/>
          </w:tcPr>
          <w:p w14:paraId="0A9D97F7"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55.486</w:t>
            </w:r>
          </w:p>
        </w:tc>
        <w:tc>
          <w:tcPr>
            <w:tcW w:w="1897" w:type="dxa"/>
            <w:tcBorders>
              <w:top w:val="nil"/>
              <w:left w:val="nil"/>
              <w:bottom w:val="nil"/>
              <w:right w:val="nil"/>
            </w:tcBorders>
            <w:shd w:val="clear" w:color="auto" w:fill="auto"/>
            <w:noWrap/>
            <w:vAlign w:val="center"/>
          </w:tcPr>
          <w:p w14:paraId="5ADBA6C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94.856</w:t>
            </w:r>
          </w:p>
        </w:tc>
      </w:tr>
      <w:tr w:rsidR="00FE1A26" w:rsidRPr="00EA3D8C" w14:paraId="5AE2C9E5" w14:textId="77777777" w:rsidTr="003E2EFC">
        <w:trPr>
          <w:trHeight w:val="20"/>
        </w:trPr>
        <w:tc>
          <w:tcPr>
            <w:tcW w:w="3828" w:type="dxa"/>
            <w:tcBorders>
              <w:top w:val="nil"/>
              <w:left w:val="nil"/>
              <w:bottom w:val="nil"/>
              <w:right w:val="nil"/>
            </w:tcBorders>
            <w:shd w:val="clear" w:color="auto" w:fill="auto"/>
            <w:vAlign w:val="center"/>
            <w:hideMark/>
          </w:tcPr>
          <w:p w14:paraId="5B5A396B" w14:textId="64642B2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w:t>
            </w:r>
            <w:r w:rsidR="00602707">
              <w:rPr>
                <w:rFonts w:ascii="Calibri" w:eastAsia="Times New Roman" w:hAnsi="Calibri" w:cs="Calibri"/>
                <w:color w:val="002060"/>
                <w:sz w:val="18"/>
                <w:szCs w:val="18"/>
                <w:lang w:val="sr-Cyrl-RS" w:eastAsia="sr-Cyrl-RS"/>
              </w:rPr>
              <w:t xml:space="preserve">НП </w:t>
            </w:r>
            <w:r w:rsidRPr="00EA3D8C">
              <w:rPr>
                <w:rFonts w:ascii="Calibri" w:eastAsia="Times New Roman" w:hAnsi="Calibri" w:cs="Calibri"/>
                <w:color w:val="002060"/>
                <w:sz w:val="18"/>
                <w:szCs w:val="18"/>
                <w:lang w:val="sr-Cyrl-RS" w:eastAsia="sr-Cyrl-RS"/>
              </w:rPr>
              <w:t>Фрушка гораˮ</w:t>
            </w:r>
          </w:p>
        </w:tc>
        <w:tc>
          <w:tcPr>
            <w:tcW w:w="1896" w:type="dxa"/>
            <w:tcBorders>
              <w:top w:val="nil"/>
              <w:left w:val="nil"/>
              <w:bottom w:val="nil"/>
              <w:right w:val="nil"/>
            </w:tcBorders>
            <w:shd w:val="clear" w:color="auto" w:fill="auto"/>
            <w:vAlign w:val="center"/>
            <w:hideMark/>
          </w:tcPr>
          <w:p w14:paraId="2F59A66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18.710</w:t>
            </w:r>
          </w:p>
        </w:tc>
        <w:tc>
          <w:tcPr>
            <w:tcW w:w="1897" w:type="dxa"/>
            <w:tcBorders>
              <w:top w:val="nil"/>
              <w:left w:val="nil"/>
              <w:bottom w:val="nil"/>
              <w:right w:val="nil"/>
            </w:tcBorders>
            <w:shd w:val="clear" w:color="auto" w:fill="auto"/>
            <w:noWrap/>
            <w:vAlign w:val="center"/>
          </w:tcPr>
          <w:p w14:paraId="1D515972"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1.713</w:t>
            </w:r>
          </w:p>
        </w:tc>
        <w:tc>
          <w:tcPr>
            <w:tcW w:w="1897" w:type="dxa"/>
            <w:tcBorders>
              <w:top w:val="nil"/>
              <w:left w:val="nil"/>
              <w:bottom w:val="nil"/>
              <w:right w:val="nil"/>
            </w:tcBorders>
            <w:shd w:val="clear" w:color="auto" w:fill="auto"/>
            <w:noWrap/>
            <w:vAlign w:val="center"/>
          </w:tcPr>
          <w:p w14:paraId="54E11B57"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3.811</w:t>
            </w:r>
          </w:p>
        </w:tc>
      </w:tr>
      <w:tr w:rsidR="00FE1A26" w:rsidRPr="00EA3D8C" w14:paraId="3CCAAE43" w14:textId="77777777" w:rsidTr="003E2EFC">
        <w:trPr>
          <w:trHeight w:val="20"/>
        </w:trPr>
        <w:tc>
          <w:tcPr>
            <w:tcW w:w="3828" w:type="dxa"/>
            <w:tcBorders>
              <w:top w:val="nil"/>
              <w:left w:val="nil"/>
              <w:bottom w:val="nil"/>
              <w:right w:val="nil"/>
            </w:tcBorders>
            <w:shd w:val="clear" w:color="auto" w:fill="auto"/>
            <w:noWrap/>
            <w:vAlign w:val="center"/>
            <w:hideMark/>
          </w:tcPr>
          <w:p w14:paraId="4968489B"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„Дипосˮ д.o.o.</w:t>
            </w:r>
          </w:p>
        </w:tc>
        <w:tc>
          <w:tcPr>
            <w:tcW w:w="1896" w:type="dxa"/>
            <w:tcBorders>
              <w:top w:val="nil"/>
              <w:left w:val="nil"/>
              <w:bottom w:val="nil"/>
              <w:right w:val="nil"/>
            </w:tcBorders>
            <w:shd w:val="clear" w:color="auto" w:fill="auto"/>
            <w:noWrap/>
            <w:vAlign w:val="center"/>
            <w:hideMark/>
          </w:tcPr>
          <w:p w14:paraId="40B64A29"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97.832</w:t>
            </w:r>
          </w:p>
        </w:tc>
        <w:tc>
          <w:tcPr>
            <w:tcW w:w="1897" w:type="dxa"/>
            <w:tcBorders>
              <w:top w:val="nil"/>
              <w:left w:val="nil"/>
              <w:bottom w:val="nil"/>
              <w:right w:val="nil"/>
            </w:tcBorders>
            <w:shd w:val="clear" w:color="auto" w:fill="auto"/>
            <w:noWrap/>
            <w:vAlign w:val="center"/>
          </w:tcPr>
          <w:p w14:paraId="2C47D74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-62.009</w:t>
            </w:r>
          </w:p>
        </w:tc>
        <w:tc>
          <w:tcPr>
            <w:tcW w:w="1897" w:type="dxa"/>
            <w:tcBorders>
              <w:top w:val="nil"/>
              <w:left w:val="nil"/>
              <w:bottom w:val="nil"/>
              <w:right w:val="nil"/>
            </w:tcBorders>
            <w:shd w:val="clear" w:color="auto" w:fill="auto"/>
            <w:noWrap/>
            <w:vAlign w:val="center"/>
          </w:tcPr>
          <w:p w14:paraId="5B1B2E4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122.019</w:t>
            </w:r>
          </w:p>
        </w:tc>
      </w:tr>
      <w:tr w:rsidR="00FE1A26" w:rsidRPr="00EA3D8C" w14:paraId="32788498" w14:textId="77777777" w:rsidTr="003E2EFC">
        <w:trPr>
          <w:trHeight w:val="20"/>
        </w:trPr>
        <w:tc>
          <w:tcPr>
            <w:tcW w:w="3828" w:type="dxa"/>
            <w:tcBorders>
              <w:top w:val="nil"/>
              <w:left w:val="nil"/>
              <w:bottom w:val="nil"/>
              <w:right w:val="nil"/>
            </w:tcBorders>
            <w:shd w:val="clear" w:color="auto" w:fill="auto"/>
            <w:vAlign w:val="center"/>
            <w:hideMark/>
          </w:tcPr>
          <w:p w14:paraId="468C05B9"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„Електромрежа Србијеˮ a.д.</w:t>
            </w:r>
          </w:p>
        </w:tc>
        <w:tc>
          <w:tcPr>
            <w:tcW w:w="1896" w:type="dxa"/>
            <w:tcBorders>
              <w:top w:val="nil"/>
              <w:left w:val="nil"/>
              <w:bottom w:val="nil"/>
              <w:right w:val="nil"/>
            </w:tcBorders>
            <w:shd w:val="clear" w:color="auto" w:fill="auto"/>
            <w:vAlign w:val="center"/>
            <w:hideMark/>
          </w:tcPr>
          <w:p w14:paraId="04C46BB1"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1.092.542</w:t>
            </w:r>
          </w:p>
        </w:tc>
        <w:tc>
          <w:tcPr>
            <w:tcW w:w="1897" w:type="dxa"/>
            <w:tcBorders>
              <w:top w:val="nil"/>
              <w:left w:val="nil"/>
              <w:bottom w:val="nil"/>
              <w:right w:val="nil"/>
            </w:tcBorders>
            <w:shd w:val="clear" w:color="auto" w:fill="auto"/>
            <w:noWrap/>
            <w:vAlign w:val="center"/>
          </w:tcPr>
          <w:p w14:paraId="7E6424D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251.330</w:t>
            </w:r>
          </w:p>
        </w:tc>
        <w:tc>
          <w:tcPr>
            <w:tcW w:w="1897" w:type="dxa"/>
            <w:tcBorders>
              <w:top w:val="nil"/>
              <w:left w:val="nil"/>
              <w:bottom w:val="nil"/>
              <w:right w:val="nil"/>
            </w:tcBorders>
            <w:shd w:val="clear" w:color="auto" w:fill="auto"/>
            <w:noWrap/>
            <w:vAlign w:val="center"/>
          </w:tcPr>
          <w:p w14:paraId="62E6272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647.552</w:t>
            </w:r>
          </w:p>
        </w:tc>
      </w:tr>
      <w:tr w:rsidR="00FE1A26" w:rsidRPr="00EA3D8C" w14:paraId="5B8DA241" w14:textId="77777777" w:rsidTr="003E2EFC">
        <w:trPr>
          <w:trHeight w:val="20"/>
        </w:trPr>
        <w:tc>
          <w:tcPr>
            <w:tcW w:w="3828" w:type="dxa"/>
            <w:tcBorders>
              <w:top w:val="nil"/>
              <w:left w:val="nil"/>
              <w:bottom w:val="nil"/>
              <w:right w:val="nil"/>
            </w:tcBorders>
            <w:shd w:val="clear" w:color="auto" w:fill="auto"/>
            <w:noWrap/>
            <w:vAlign w:val="center"/>
            <w:hideMark/>
          </w:tcPr>
          <w:p w14:paraId="54838001"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„НП Копаоникˮ</w:t>
            </w:r>
          </w:p>
        </w:tc>
        <w:tc>
          <w:tcPr>
            <w:tcW w:w="1896" w:type="dxa"/>
            <w:tcBorders>
              <w:top w:val="nil"/>
              <w:left w:val="nil"/>
              <w:bottom w:val="nil"/>
              <w:right w:val="nil"/>
            </w:tcBorders>
            <w:shd w:val="clear" w:color="auto" w:fill="auto"/>
            <w:noWrap/>
            <w:vAlign w:val="center"/>
            <w:hideMark/>
          </w:tcPr>
          <w:p w14:paraId="53D2767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21.935</w:t>
            </w:r>
          </w:p>
        </w:tc>
        <w:tc>
          <w:tcPr>
            <w:tcW w:w="1897" w:type="dxa"/>
            <w:tcBorders>
              <w:top w:val="nil"/>
              <w:left w:val="nil"/>
              <w:bottom w:val="nil"/>
              <w:right w:val="nil"/>
            </w:tcBorders>
            <w:shd w:val="clear" w:color="auto" w:fill="auto"/>
            <w:noWrap/>
            <w:vAlign w:val="center"/>
          </w:tcPr>
          <w:p w14:paraId="4C176D6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36.758</w:t>
            </w:r>
          </w:p>
        </w:tc>
        <w:tc>
          <w:tcPr>
            <w:tcW w:w="1897" w:type="dxa"/>
            <w:tcBorders>
              <w:top w:val="nil"/>
              <w:left w:val="nil"/>
              <w:bottom w:val="nil"/>
              <w:right w:val="nil"/>
            </w:tcBorders>
            <w:shd w:val="clear" w:color="auto" w:fill="auto"/>
            <w:noWrap/>
            <w:vAlign w:val="center"/>
          </w:tcPr>
          <w:p w14:paraId="39CBD3E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41.227</w:t>
            </w:r>
          </w:p>
        </w:tc>
      </w:tr>
      <w:tr w:rsidR="00FE1A26" w:rsidRPr="00EA3D8C" w14:paraId="4080938F" w14:textId="77777777" w:rsidTr="003E2EFC">
        <w:trPr>
          <w:trHeight w:val="20"/>
        </w:trPr>
        <w:tc>
          <w:tcPr>
            <w:tcW w:w="3828" w:type="dxa"/>
            <w:tcBorders>
              <w:top w:val="nil"/>
              <w:left w:val="nil"/>
              <w:bottom w:val="nil"/>
              <w:right w:val="nil"/>
            </w:tcBorders>
            <w:shd w:val="clear" w:color="auto" w:fill="auto"/>
            <w:vAlign w:val="center"/>
            <w:hideMark/>
          </w:tcPr>
          <w:p w14:paraId="6396872E"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„EПСˮ</w:t>
            </w:r>
          </w:p>
        </w:tc>
        <w:tc>
          <w:tcPr>
            <w:tcW w:w="1896" w:type="dxa"/>
            <w:tcBorders>
              <w:top w:val="nil"/>
              <w:left w:val="nil"/>
              <w:bottom w:val="nil"/>
              <w:right w:val="nil"/>
            </w:tcBorders>
            <w:shd w:val="clear" w:color="auto" w:fill="auto"/>
            <w:vAlign w:val="center"/>
            <w:hideMark/>
          </w:tcPr>
          <w:p w14:paraId="20CCDB4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-5.786.923</w:t>
            </w:r>
          </w:p>
        </w:tc>
        <w:tc>
          <w:tcPr>
            <w:tcW w:w="1897" w:type="dxa"/>
            <w:tcBorders>
              <w:top w:val="nil"/>
              <w:left w:val="nil"/>
              <w:bottom w:val="nil"/>
              <w:right w:val="nil"/>
            </w:tcBorders>
            <w:shd w:val="clear" w:color="auto" w:fill="auto"/>
            <w:noWrap/>
            <w:vAlign w:val="center"/>
          </w:tcPr>
          <w:p w14:paraId="6E06393E"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678.741</w:t>
            </w:r>
          </w:p>
        </w:tc>
        <w:tc>
          <w:tcPr>
            <w:tcW w:w="1897" w:type="dxa"/>
            <w:tcBorders>
              <w:top w:val="nil"/>
              <w:left w:val="nil"/>
              <w:bottom w:val="nil"/>
              <w:right w:val="nil"/>
            </w:tcBorders>
            <w:shd w:val="clear" w:color="auto" w:fill="auto"/>
            <w:noWrap/>
            <w:vAlign w:val="center"/>
          </w:tcPr>
          <w:p w14:paraId="7FCEEDA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7.898.456</w:t>
            </w:r>
          </w:p>
        </w:tc>
      </w:tr>
      <w:tr w:rsidR="00FE1A26" w:rsidRPr="00EA3D8C" w14:paraId="2357995F" w14:textId="77777777" w:rsidTr="003E2EFC">
        <w:trPr>
          <w:trHeight w:val="20"/>
        </w:trPr>
        <w:tc>
          <w:tcPr>
            <w:tcW w:w="3828" w:type="dxa"/>
            <w:tcBorders>
              <w:top w:val="nil"/>
              <w:left w:val="nil"/>
              <w:bottom w:val="nil"/>
              <w:right w:val="nil"/>
            </w:tcBorders>
            <w:shd w:val="clear" w:color="auto" w:fill="auto"/>
            <w:vAlign w:val="center"/>
            <w:hideMark/>
          </w:tcPr>
          <w:p w14:paraId="1FA9B815"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 xml:space="preserve">Државна лутрија Србије д.o.o. </w:t>
            </w:r>
          </w:p>
        </w:tc>
        <w:tc>
          <w:tcPr>
            <w:tcW w:w="1896" w:type="dxa"/>
            <w:tcBorders>
              <w:top w:val="nil"/>
              <w:left w:val="nil"/>
              <w:bottom w:val="nil"/>
              <w:right w:val="nil"/>
            </w:tcBorders>
            <w:shd w:val="clear" w:color="auto" w:fill="auto"/>
            <w:vAlign w:val="center"/>
            <w:hideMark/>
          </w:tcPr>
          <w:p w14:paraId="4D07BD0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113.357</w:t>
            </w:r>
          </w:p>
        </w:tc>
        <w:tc>
          <w:tcPr>
            <w:tcW w:w="1897" w:type="dxa"/>
            <w:tcBorders>
              <w:top w:val="nil"/>
              <w:left w:val="nil"/>
              <w:bottom w:val="nil"/>
              <w:right w:val="nil"/>
            </w:tcBorders>
            <w:shd w:val="clear" w:color="auto" w:fill="auto"/>
            <w:noWrap/>
            <w:vAlign w:val="center"/>
          </w:tcPr>
          <w:p w14:paraId="3CEB35E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7.010</w:t>
            </w:r>
          </w:p>
        </w:tc>
        <w:tc>
          <w:tcPr>
            <w:tcW w:w="1897" w:type="dxa"/>
            <w:tcBorders>
              <w:top w:val="nil"/>
              <w:left w:val="nil"/>
              <w:bottom w:val="nil"/>
              <w:right w:val="nil"/>
            </w:tcBorders>
            <w:shd w:val="clear" w:color="auto" w:fill="auto"/>
            <w:noWrap/>
            <w:vAlign w:val="center"/>
          </w:tcPr>
          <w:p w14:paraId="26804EB1"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60.468</w:t>
            </w:r>
          </w:p>
        </w:tc>
      </w:tr>
      <w:tr w:rsidR="00FE1A26" w:rsidRPr="00EA3D8C" w14:paraId="44AC1226" w14:textId="77777777" w:rsidTr="003E2EFC">
        <w:trPr>
          <w:trHeight w:val="20"/>
        </w:trPr>
        <w:tc>
          <w:tcPr>
            <w:tcW w:w="3828" w:type="dxa"/>
            <w:tcBorders>
              <w:top w:val="nil"/>
              <w:left w:val="nil"/>
              <w:bottom w:val="nil"/>
              <w:right w:val="nil"/>
            </w:tcBorders>
            <w:shd w:val="clear" w:color="auto" w:fill="auto"/>
            <w:vAlign w:val="center"/>
            <w:hideMark/>
          </w:tcPr>
          <w:p w14:paraId="72A38669"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„Национални парк Тараˮ</w:t>
            </w:r>
          </w:p>
        </w:tc>
        <w:tc>
          <w:tcPr>
            <w:tcW w:w="1896" w:type="dxa"/>
            <w:tcBorders>
              <w:top w:val="nil"/>
              <w:left w:val="nil"/>
              <w:bottom w:val="nil"/>
              <w:right w:val="nil"/>
            </w:tcBorders>
            <w:shd w:val="clear" w:color="auto" w:fill="auto"/>
            <w:vAlign w:val="center"/>
            <w:hideMark/>
          </w:tcPr>
          <w:p w14:paraId="06684D21"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17.007</w:t>
            </w:r>
          </w:p>
        </w:tc>
        <w:tc>
          <w:tcPr>
            <w:tcW w:w="1897" w:type="dxa"/>
            <w:tcBorders>
              <w:top w:val="nil"/>
              <w:left w:val="nil"/>
              <w:bottom w:val="nil"/>
              <w:right w:val="nil"/>
            </w:tcBorders>
            <w:shd w:val="clear" w:color="auto" w:fill="auto"/>
            <w:noWrap/>
            <w:vAlign w:val="center"/>
          </w:tcPr>
          <w:p w14:paraId="6A639C8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120</w:t>
            </w:r>
          </w:p>
        </w:tc>
        <w:tc>
          <w:tcPr>
            <w:tcW w:w="1897" w:type="dxa"/>
            <w:tcBorders>
              <w:top w:val="nil"/>
              <w:left w:val="nil"/>
              <w:bottom w:val="nil"/>
              <w:right w:val="nil"/>
            </w:tcBorders>
            <w:shd w:val="clear" w:color="auto" w:fill="auto"/>
            <w:noWrap/>
            <w:vAlign w:val="center"/>
          </w:tcPr>
          <w:p w14:paraId="0A78504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4.590</w:t>
            </w:r>
          </w:p>
        </w:tc>
      </w:tr>
      <w:tr w:rsidR="00FE1A26" w:rsidRPr="00EA3D8C" w14:paraId="7CEB562A" w14:textId="77777777" w:rsidTr="003E2EFC">
        <w:trPr>
          <w:trHeight w:val="20"/>
        </w:trPr>
        <w:tc>
          <w:tcPr>
            <w:tcW w:w="3828" w:type="dxa"/>
            <w:tcBorders>
              <w:top w:val="nil"/>
              <w:left w:val="nil"/>
              <w:bottom w:val="nil"/>
              <w:right w:val="nil"/>
            </w:tcBorders>
            <w:shd w:val="clear" w:color="auto" w:fill="auto"/>
            <w:noWrap/>
            <w:vAlign w:val="center"/>
            <w:hideMark/>
          </w:tcPr>
          <w:p w14:paraId="184126A8"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„Нуклеарни објекти Србијеˮ ВИНЧА</w:t>
            </w:r>
          </w:p>
        </w:tc>
        <w:tc>
          <w:tcPr>
            <w:tcW w:w="1896" w:type="dxa"/>
            <w:tcBorders>
              <w:top w:val="nil"/>
              <w:left w:val="nil"/>
              <w:bottom w:val="nil"/>
              <w:right w:val="nil"/>
            </w:tcBorders>
            <w:shd w:val="clear" w:color="auto" w:fill="auto"/>
            <w:noWrap/>
            <w:vAlign w:val="center"/>
            <w:hideMark/>
          </w:tcPr>
          <w:p w14:paraId="1674AF42"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902</w:t>
            </w:r>
          </w:p>
        </w:tc>
        <w:tc>
          <w:tcPr>
            <w:tcW w:w="1897" w:type="dxa"/>
            <w:tcBorders>
              <w:top w:val="nil"/>
              <w:left w:val="nil"/>
              <w:bottom w:val="nil"/>
              <w:right w:val="nil"/>
            </w:tcBorders>
            <w:shd w:val="clear" w:color="auto" w:fill="auto"/>
            <w:noWrap/>
            <w:vAlign w:val="center"/>
          </w:tcPr>
          <w:p w14:paraId="1574419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109</w:t>
            </w:r>
          </w:p>
        </w:tc>
        <w:tc>
          <w:tcPr>
            <w:tcW w:w="1897" w:type="dxa"/>
            <w:tcBorders>
              <w:top w:val="nil"/>
              <w:left w:val="nil"/>
              <w:bottom w:val="nil"/>
              <w:right w:val="nil"/>
            </w:tcBorders>
            <w:shd w:val="clear" w:color="auto" w:fill="auto"/>
            <w:noWrap/>
            <w:vAlign w:val="center"/>
          </w:tcPr>
          <w:p w14:paraId="2805ADD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11.700</w:t>
            </w:r>
          </w:p>
        </w:tc>
      </w:tr>
      <w:tr w:rsidR="00FE1A26" w:rsidRPr="00EA3D8C" w14:paraId="4F0FE841" w14:textId="77777777" w:rsidTr="003E2EFC">
        <w:trPr>
          <w:trHeight w:val="20"/>
        </w:trPr>
        <w:tc>
          <w:tcPr>
            <w:tcW w:w="3828" w:type="dxa"/>
            <w:tcBorders>
              <w:top w:val="nil"/>
              <w:left w:val="nil"/>
              <w:bottom w:val="nil"/>
              <w:right w:val="nil"/>
            </w:tcBorders>
            <w:shd w:val="clear" w:color="auto" w:fill="auto"/>
            <w:noWrap/>
            <w:vAlign w:val="center"/>
            <w:hideMark/>
          </w:tcPr>
          <w:p w14:paraId="6B557E85"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„Инфраструктура железнице Србијеˮ a.д.</w:t>
            </w:r>
          </w:p>
        </w:tc>
        <w:tc>
          <w:tcPr>
            <w:tcW w:w="1896" w:type="dxa"/>
            <w:tcBorders>
              <w:top w:val="nil"/>
              <w:left w:val="nil"/>
              <w:bottom w:val="nil"/>
              <w:right w:val="nil"/>
            </w:tcBorders>
            <w:shd w:val="clear" w:color="auto" w:fill="auto"/>
            <w:noWrap/>
            <w:vAlign w:val="center"/>
            <w:hideMark/>
          </w:tcPr>
          <w:p w14:paraId="49E3987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-780.149</w:t>
            </w:r>
          </w:p>
        </w:tc>
        <w:tc>
          <w:tcPr>
            <w:tcW w:w="1897" w:type="dxa"/>
            <w:tcBorders>
              <w:top w:val="nil"/>
              <w:left w:val="nil"/>
              <w:bottom w:val="nil"/>
              <w:right w:val="nil"/>
            </w:tcBorders>
            <w:shd w:val="clear" w:color="auto" w:fill="auto"/>
            <w:noWrap/>
            <w:vAlign w:val="center"/>
          </w:tcPr>
          <w:p w14:paraId="3B5E146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-1.206.098</w:t>
            </w:r>
          </w:p>
        </w:tc>
        <w:tc>
          <w:tcPr>
            <w:tcW w:w="1897" w:type="dxa"/>
            <w:tcBorders>
              <w:top w:val="nil"/>
              <w:left w:val="nil"/>
              <w:bottom w:val="nil"/>
              <w:right w:val="nil"/>
            </w:tcBorders>
            <w:shd w:val="clear" w:color="auto" w:fill="auto"/>
            <w:noWrap/>
            <w:vAlign w:val="center"/>
          </w:tcPr>
          <w:p w14:paraId="2342A71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79.978</w:t>
            </w:r>
          </w:p>
        </w:tc>
      </w:tr>
      <w:tr w:rsidR="00FE1A26" w:rsidRPr="00EA3D8C" w14:paraId="1724789B" w14:textId="77777777" w:rsidTr="003E2EFC">
        <w:trPr>
          <w:trHeight w:val="20"/>
        </w:trPr>
        <w:tc>
          <w:tcPr>
            <w:tcW w:w="3828" w:type="dxa"/>
            <w:tcBorders>
              <w:top w:val="nil"/>
              <w:left w:val="nil"/>
              <w:bottom w:val="nil"/>
              <w:right w:val="nil"/>
            </w:tcBorders>
            <w:shd w:val="clear" w:color="auto" w:fill="auto"/>
            <w:noWrap/>
            <w:vAlign w:val="center"/>
            <w:hideMark/>
          </w:tcPr>
          <w:p w14:paraId="304DDE7B"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Железнице Србије а.д</w:t>
            </w:r>
          </w:p>
        </w:tc>
        <w:tc>
          <w:tcPr>
            <w:tcW w:w="1896" w:type="dxa"/>
            <w:tcBorders>
              <w:top w:val="nil"/>
              <w:left w:val="nil"/>
              <w:bottom w:val="nil"/>
              <w:right w:val="nil"/>
            </w:tcBorders>
            <w:shd w:val="clear" w:color="auto" w:fill="auto"/>
            <w:noWrap/>
            <w:vAlign w:val="center"/>
            <w:hideMark/>
          </w:tcPr>
          <w:p w14:paraId="365CD87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-539.035</w:t>
            </w:r>
          </w:p>
        </w:tc>
        <w:tc>
          <w:tcPr>
            <w:tcW w:w="1897" w:type="dxa"/>
            <w:tcBorders>
              <w:top w:val="nil"/>
              <w:left w:val="nil"/>
              <w:bottom w:val="nil"/>
              <w:right w:val="nil"/>
            </w:tcBorders>
            <w:shd w:val="clear" w:color="auto" w:fill="auto"/>
            <w:noWrap/>
            <w:vAlign w:val="center"/>
          </w:tcPr>
          <w:p w14:paraId="22EA426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-198.037</w:t>
            </w:r>
          </w:p>
        </w:tc>
        <w:tc>
          <w:tcPr>
            <w:tcW w:w="1897" w:type="dxa"/>
            <w:tcBorders>
              <w:top w:val="nil"/>
              <w:left w:val="nil"/>
              <w:bottom w:val="nil"/>
              <w:right w:val="nil"/>
            </w:tcBorders>
            <w:shd w:val="clear" w:color="auto" w:fill="auto"/>
            <w:noWrap/>
            <w:vAlign w:val="center"/>
          </w:tcPr>
          <w:p w14:paraId="1001263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29.809</w:t>
            </w:r>
          </w:p>
        </w:tc>
      </w:tr>
      <w:tr w:rsidR="00FE1A26" w:rsidRPr="00EA3D8C" w14:paraId="33A6CE02" w14:textId="77777777" w:rsidTr="003E2EFC">
        <w:trPr>
          <w:trHeight w:val="20"/>
        </w:trPr>
        <w:tc>
          <w:tcPr>
            <w:tcW w:w="3828" w:type="dxa"/>
            <w:tcBorders>
              <w:top w:val="nil"/>
              <w:left w:val="nil"/>
              <w:bottom w:val="nil"/>
              <w:right w:val="nil"/>
            </w:tcBorders>
            <w:shd w:val="clear" w:color="auto" w:fill="auto"/>
            <w:noWrap/>
            <w:vAlign w:val="center"/>
            <w:hideMark/>
          </w:tcPr>
          <w:p w14:paraId="6D339D9C"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Србијашуме</w:t>
            </w:r>
          </w:p>
        </w:tc>
        <w:tc>
          <w:tcPr>
            <w:tcW w:w="1896" w:type="dxa"/>
            <w:tcBorders>
              <w:top w:val="nil"/>
              <w:left w:val="nil"/>
              <w:bottom w:val="nil"/>
              <w:right w:val="nil"/>
            </w:tcBorders>
            <w:shd w:val="clear" w:color="auto" w:fill="auto"/>
            <w:noWrap/>
            <w:vAlign w:val="center"/>
            <w:hideMark/>
          </w:tcPr>
          <w:p w14:paraId="7032589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756.158</w:t>
            </w:r>
          </w:p>
        </w:tc>
        <w:tc>
          <w:tcPr>
            <w:tcW w:w="1897" w:type="dxa"/>
            <w:tcBorders>
              <w:top w:val="nil"/>
              <w:left w:val="nil"/>
              <w:bottom w:val="nil"/>
              <w:right w:val="nil"/>
            </w:tcBorders>
            <w:shd w:val="clear" w:color="auto" w:fill="auto"/>
            <w:noWrap/>
            <w:vAlign w:val="center"/>
          </w:tcPr>
          <w:p w14:paraId="567C85E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121.974</w:t>
            </w:r>
          </w:p>
        </w:tc>
        <w:tc>
          <w:tcPr>
            <w:tcW w:w="1897" w:type="dxa"/>
            <w:tcBorders>
              <w:top w:val="nil"/>
              <w:left w:val="nil"/>
              <w:bottom w:val="nil"/>
              <w:right w:val="nil"/>
            </w:tcBorders>
            <w:shd w:val="clear" w:color="auto" w:fill="auto"/>
            <w:noWrap/>
            <w:vAlign w:val="center"/>
          </w:tcPr>
          <w:p w14:paraId="022A811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156.690</w:t>
            </w:r>
          </w:p>
        </w:tc>
      </w:tr>
      <w:tr w:rsidR="00FE1A26" w:rsidRPr="00EA3D8C" w14:paraId="69B9ED67" w14:textId="77777777" w:rsidTr="003E2EFC">
        <w:trPr>
          <w:trHeight w:val="20"/>
        </w:trPr>
        <w:tc>
          <w:tcPr>
            <w:tcW w:w="3828" w:type="dxa"/>
            <w:tcBorders>
              <w:top w:val="nil"/>
              <w:left w:val="nil"/>
              <w:bottom w:val="nil"/>
              <w:right w:val="nil"/>
            </w:tcBorders>
            <w:shd w:val="clear" w:color="auto" w:fill="auto"/>
            <w:noWrap/>
            <w:vAlign w:val="center"/>
          </w:tcPr>
          <w:p w14:paraId="2139F23B"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ЈП „Емисиона техника и везе”</w:t>
            </w:r>
          </w:p>
        </w:tc>
        <w:tc>
          <w:tcPr>
            <w:tcW w:w="1896" w:type="dxa"/>
            <w:tcBorders>
              <w:top w:val="nil"/>
              <w:left w:val="nil"/>
              <w:bottom w:val="nil"/>
              <w:right w:val="nil"/>
            </w:tcBorders>
            <w:shd w:val="clear" w:color="auto" w:fill="auto"/>
            <w:noWrap/>
            <w:vAlign w:val="center"/>
          </w:tcPr>
          <w:p w14:paraId="470E813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36.856</w:t>
            </w:r>
          </w:p>
        </w:tc>
        <w:tc>
          <w:tcPr>
            <w:tcW w:w="1897" w:type="dxa"/>
            <w:tcBorders>
              <w:top w:val="nil"/>
              <w:left w:val="nil"/>
              <w:bottom w:val="nil"/>
              <w:right w:val="nil"/>
            </w:tcBorders>
            <w:shd w:val="clear" w:color="auto" w:fill="auto"/>
            <w:noWrap/>
            <w:vAlign w:val="center"/>
          </w:tcPr>
          <w:p w14:paraId="127F4B1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-55.570</w:t>
            </w:r>
          </w:p>
        </w:tc>
        <w:tc>
          <w:tcPr>
            <w:tcW w:w="1897" w:type="dxa"/>
            <w:tcBorders>
              <w:top w:val="nil"/>
              <w:left w:val="nil"/>
              <w:bottom w:val="nil"/>
              <w:right w:val="nil"/>
            </w:tcBorders>
            <w:shd w:val="clear" w:color="auto" w:fill="auto"/>
            <w:noWrap/>
            <w:vAlign w:val="center"/>
          </w:tcPr>
          <w:p w14:paraId="387132E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40.846</w:t>
            </w:r>
          </w:p>
        </w:tc>
      </w:tr>
      <w:tr w:rsidR="00FE1A26" w:rsidRPr="00EA3D8C" w14:paraId="484B19CE" w14:textId="77777777" w:rsidTr="003E2EFC">
        <w:trPr>
          <w:trHeight w:val="20"/>
        </w:trPr>
        <w:tc>
          <w:tcPr>
            <w:tcW w:w="3828" w:type="dxa"/>
            <w:tcBorders>
              <w:top w:val="nil"/>
              <w:left w:val="nil"/>
              <w:bottom w:val="single" w:sz="4" w:space="0" w:color="002060"/>
              <w:right w:val="nil"/>
            </w:tcBorders>
            <w:shd w:val="clear" w:color="auto" w:fill="auto"/>
            <w:noWrap/>
            <w:vAlign w:val="center"/>
          </w:tcPr>
          <w:p w14:paraId="1CD57870"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„Путеви Србијеˮ</w:t>
            </w:r>
          </w:p>
        </w:tc>
        <w:tc>
          <w:tcPr>
            <w:tcW w:w="1896" w:type="dxa"/>
            <w:tcBorders>
              <w:top w:val="nil"/>
              <w:left w:val="nil"/>
              <w:bottom w:val="single" w:sz="4" w:space="0" w:color="002060"/>
              <w:right w:val="nil"/>
            </w:tcBorders>
            <w:shd w:val="clear" w:color="auto" w:fill="auto"/>
            <w:noWrap/>
            <w:vAlign w:val="center"/>
          </w:tcPr>
          <w:p w14:paraId="447A295E"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-16.852.957</w:t>
            </w:r>
          </w:p>
        </w:tc>
        <w:tc>
          <w:tcPr>
            <w:tcW w:w="1897" w:type="dxa"/>
            <w:tcBorders>
              <w:top w:val="nil"/>
              <w:left w:val="nil"/>
              <w:bottom w:val="single" w:sz="4" w:space="0" w:color="002060"/>
              <w:right w:val="nil"/>
            </w:tcBorders>
            <w:shd w:val="clear" w:color="auto" w:fill="auto"/>
            <w:noWrap/>
            <w:vAlign w:val="center"/>
          </w:tcPr>
          <w:p w14:paraId="1D91DC5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4.333.830</w:t>
            </w:r>
          </w:p>
        </w:tc>
        <w:tc>
          <w:tcPr>
            <w:tcW w:w="1897" w:type="dxa"/>
            <w:tcBorders>
              <w:top w:val="nil"/>
              <w:left w:val="nil"/>
              <w:bottom w:val="single" w:sz="4" w:space="0" w:color="002060"/>
              <w:right w:val="nil"/>
            </w:tcBorders>
            <w:shd w:val="clear" w:color="auto" w:fill="auto"/>
            <w:noWrap/>
            <w:vAlign w:val="center"/>
          </w:tcPr>
          <w:p w14:paraId="7FBE72E8"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1.376.944</w:t>
            </w:r>
          </w:p>
        </w:tc>
      </w:tr>
      <w:tr w:rsidR="00FE1A26" w:rsidRPr="00EA3D8C" w14:paraId="0DC1C2FF" w14:textId="77777777" w:rsidTr="003E2EFC">
        <w:trPr>
          <w:trHeight w:val="20"/>
        </w:trPr>
        <w:tc>
          <w:tcPr>
            <w:tcW w:w="3828" w:type="dxa"/>
            <w:tcBorders>
              <w:top w:val="single" w:sz="4" w:space="0" w:color="002060"/>
              <w:left w:val="nil"/>
              <w:bottom w:val="single" w:sz="4" w:space="0" w:color="002060"/>
              <w:right w:val="nil"/>
            </w:tcBorders>
            <w:shd w:val="clear" w:color="auto" w:fill="auto"/>
            <w:noWrap/>
            <w:vAlign w:val="center"/>
            <w:hideMark/>
          </w:tcPr>
          <w:p w14:paraId="0429C07E"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c>
          <w:tcPr>
            <w:tcW w:w="1896" w:type="dxa"/>
            <w:tcBorders>
              <w:top w:val="single" w:sz="4" w:space="0" w:color="002060"/>
              <w:left w:val="nil"/>
              <w:bottom w:val="single" w:sz="4" w:space="0" w:color="002060"/>
              <w:right w:val="nil"/>
            </w:tcBorders>
            <w:shd w:val="clear" w:color="auto" w:fill="auto"/>
            <w:noWrap/>
            <w:vAlign w:val="center"/>
            <w:hideMark/>
          </w:tcPr>
          <w:p w14:paraId="50CA4E48"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-16.383.122</w:t>
            </w:r>
          </w:p>
        </w:tc>
        <w:tc>
          <w:tcPr>
            <w:tcW w:w="1897" w:type="dxa"/>
            <w:tcBorders>
              <w:top w:val="single" w:sz="4" w:space="0" w:color="002060"/>
              <w:left w:val="nil"/>
              <w:bottom w:val="single" w:sz="4" w:space="0" w:color="002060"/>
              <w:right w:val="nil"/>
            </w:tcBorders>
            <w:shd w:val="clear" w:color="auto" w:fill="auto"/>
            <w:noWrap/>
            <w:vAlign w:val="center"/>
            <w:hideMark/>
          </w:tcPr>
          <w:p w14:paraId="7C29F5F2"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5.520.006</w:t>
            </w:r>
          </w:p>
        </w:tc>
        <w:tc>
          <w:tcPr>
            <w:tcW w:w="1897" w:type="dxa"/>
            <w:tcBorders>
              <w:top w:val="single" w:sz="4" w:space="0" w:color="002060"/>
              <w:left w:val="nil"/>
              <w:bottom w:val="single" w:sz="4" w:space="0" w:color="002060"/>
              <w:right w:val="nil"/>
            </w:tcBorders>
            <w:shd w:val="clear" w:color="auto" w:fill="auto"/>
            <w:noWrap/>
            <w:vAlign w:val="center"/>
            <w:hideMark/>
          </w:tcPr>
          <w:p w14:paraId="70CD444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11.458.767</w:t>
            </w:r>
          </w:p>
        </w:tc>
      </w:tr>
    </w:tbl>
    <w:p w14:paraId="5D626AB4" w14:textId="77777777" w:rsidR="00FE1A26" w:rsidRPr="00EA3D8C" w:rsidRDefault="00FE1A26" w:rsidP="00F725A2">
      <w:pPr>
        <w:spacing w:before="40" w:after="0" w:line="240" w:lineRule="auto"/>
        <w:rPr>
          <w:rFonts w:cstheme="minorHAnsi"/>
          <w:bCs/>
          <w:sz w:val="16"/>
          <w:szCs w:val="72"/>
          <w:lang w:val="sr-Cyrl-RS"/>
        </w:rPr>
      </w:pPr>
      <w:r w:rsidRPr="00EA3D8C">
        <w:rPr>
          <w:rFonts w:cstheme="minorHAnsi"/>
          <w:bCs/>
          <w:sz w:val="16"/>
          <w:szCs w:val="72"/>
          <w:lang w:val="sr-Cyrl-RS"/>
        </w:rPr>
        <w:t>Извор: Финансијски извештаји за 2019. годину и квартални извештаји Министарства привреде за 2020. годину</w:t>
      </w:r>
    </w:p>
    <w:p w14:paraId="44BFF76B" w14:textId="77777777" w:rsidR="00802C14" w:rsidRPr="00EA3D8C" w:rsidRDefault="00802C14" w:rsidP="00802C14">
      <w:pPr>
        <w:spacing w:after="0" w:line="276" w:lineRule="auto"/>
        <w:rPr>
          <w:rFonts w:eastAsia="MS PGothic" w:cstheme="minorHAnsi"/>
          <w:spacing w:val="-4"/>
          <w:sz w:val="18"/>
          <w:szCs w:val="18"/>
          <w:lang w:val="sr-Cyrl-RS" w:eastAsia="ja-JP"/>
        </w:rPr>
      </w:pPr>
    </w:p>
    <w:p w14:paraId="3D73FAA3" w14:textId="69001F5C" w:rsidR="00802C14" w:rsidRPr="00EA3D8C" w:rsidRDefault="00802C14" w:rsidP="00802C14">
      <w:pPr>
        <w:spacing w:after="0" w:line="276" w:lineRule="auto"/>
        <w:rPr>
          <w:rFonts w:eastAsia="MS PGothic" w:cstheme="minorHAnsi"/>
          <w:spacing w:val="-4"/>
          <w:sz w:val="18"/>
          <w:szCs w:val="18"/>
          <w:lang w:val="sr-Cyrl-RS" w:eastAsia="ja-JP"/>
        </w:rPr>
        <w:sectPr w:rsidR="00802C14" w:rsidRPr="00EA3D8C" w:rsidSect="00AE40EB">
          <w:type w:val="continuous"/>
          <w:pgSz w:w="12240" w:h="15840" w:code="1"/>
          <w:pgMar w:top="1440" w:right="1440" w:bottom="1440" w:left="1440" w:header="720" w:footer="720" w:gutter="0"/>
          <w:cols w:space="720"/>
          <w:docGrid w:linePitch="360"/>
        </w:sectPr>
      </w:pPr>
    </w:p>
    <w:p w14:paraId="6651D96B" w14:textId="77777777" w:rsidR="00802C14" w:rsidRPr="00EA3D8C" w:rsidRDefault="00FE1A26" w:rsidP="002D1432">
      <w:pPr>
        <w:spacing w:after="240"/>
        <w:rPr>
          <w:rFonts w:eastAsia="MS PGothic" w:cstheme="minorHAnsi"/>
          <w:szCs w:val="20"/>
          <w:lang w:val="sr-Cyrl-RS" w:eastAsia="ja-JP"/>
        </w:rPr>
        <w:sectPr w:rsidR="00802C14" w:rsidRPr="00EA3D8C" w:rsidSect="00AE40EB">
          <w:type w:val="continuous"/>
          <w:pgSz w:w="12240" w:h="15840" w:code="1"/>
          <w:pgMar w:top="1440" w:right="1440" w:bottom="1440" w:left="1440" w:header="720" w:footer="720" w:gutter="0"/>
          <w:cols w:num="2" w:space="720"/>
          <w:docGrid w:linePitch="360"/>
        </w:sectPr>
      </w:pPr>
      <w:r w:rsidRPr="00EA3D8C">
        <w:rPr>
          <w:rFonts w:eastAsia="MS PGothic" w:cstheme="minorHAnsi"/>
          <w:spacing w:val="-4"/>
          <w:szCs w:val="20"/>
          <w:lang w:val="sr-Cyrl-RS" w:eastAsia="ja-JP"/>
        </w:rPr>
        <w:lastRenderedPageBreak/>
        <w:t xml:space="preserve">У првој половини текуће године тринаест предузећа је остварило нето губитак у укупном износу од 2,6 </w:t>
      </w:r>
      <w:r w:rsidRPr="00EA3D8C">
        <w:rPr>
          <w:rFonts w:eastAsia="MS PGothic" w:cstheme="minorHAnsi"/>
          <w:spacing w:val="-4"/>
          <w:szCs w:val="20"/>
          <w:lang w:val="sr-Cyrl-RS" w:eastAsia="ja-JP"/>
        </w:rPr>
        <w:lastRenderedPageBreak/>
        <w:t>млрд динара, што је лошији резултат од планираног у овом периоду (2,3 млрд динара)</w:t>
      </w:r>
      <w:r w:rsidRPr="00EA3D8C">
        <w:rPr>
          <w:rFonts w:eastAsia="MS PGothic" w:cstheme="minorHAnsi"/>
          <w:szCs w:val="20"/>
          <w:lang w:val="sr-Cyrl-RS" w:eastAsia="ja-JP"/>
        </w:rPr>
        <w:t>.</w:t>
      </w:r>
    </w:p>
    <w:p w14:paraId="5ED4EF9E" w14:textId="71EDD2A0" w:rsidR="00FE1A26" w:rsidRPr="00EA3D8C" w:rsidRDefault="00EC4017" w:rsidP="00972D75">
      <w:pPr>
        <w:spacing w:after="120" w:line="276" w:lineRule="auto"/>
        <w:jc w:val="center"/>
        <w:rPr>
          <w:rFonts w:eastAsia="MS PGothic" w:cstheme="minorHAnsi"/>
          <w:b/>
          <w:color w:val="002060"/>
          <w:szCs w:val="20"/>
          <w:lang w:val="sr-Cyrl-RS" w:eastAsia="ja-JP"/>
        </w:rPr>
      </w:pPr>
      <w:r w:rsidRPr="00EA3D8C">
        <w:rPr>
          <w:rFonts w:eastAsia="MS PGothic" w:cstheme="minorHAnsi"/>
          <w:b/>
          <w:color w:val="002060"/>
          <w:szCs w:val="20"/>
          <w:lang w:val="sr-Cyrl-RS" w:eastAsia="ja-JP"/>
        </w:rPr>
        <w:lastRenderedPageBreak/>
        <w:t>Табела 19</w:t>
      </w:r>
      <w:r w:rsidR="00FE1A26" w:rsidRPr="00EA3D8C">
        <w:rPr>
          <w:rFonts w:eastAsia="MS PGothic" w:cstheme="minorHAnsi"/>
          <w:b/>
          <w:color w:val="002060"/>
          <w:szCs w:val="20"/>
          <w:lang w:val="sr-Cyrl-RS" w:eastAsia="ja-JP"/>
        </w:rPr>
        <w:t>. Јавна предузећа која су остварила нето губитак у периоду 1.1–30.6.2020. године, у хиљ. динара</w:t>
      </w:r>
    </w:p>
    <w:tbl>
      <w:tblPr>
        <w:tblW w:w="9412" w:type="dxa"/>
        <w:tblLayout w:type="fixed"/>
        <w:tblLook w:val="04A0" w:firstRow="1" w:lastRow="0" w:firstColumn="1" w:lastColumn="0" w:noHBand="0" w:noVBand="1"/>
      </w:tblPr>
      <w:tblGrid>
        <w:gridCol w:w="3828"/>
        <w:gridCol w:w="1861"/>
        <w:gridCol w:w="1861"/>
        <w:gridCol w:w="1862"/>
      </w:tblGrid>
      <w:tr w:rsidR="00FE1A26" w:rsidRPr="00EA3D8C" w14:paraId="34E47A46" w14:textId="77777777" w:rsidTr="003E2EFC">
        <w:trPr>
          <w:trHeight w:val="423"/>
        </w:trPr>
        <w:tc>
          <w:tcPr>
            <w:tcW w:w="3828" w:type="dxa"/>
            <w:vMerge w:val="restart"/>
            <w:tcBorders>
              <w:top w:val="single" w:sz="4" w:space="0" w:color="002060"/>
              <w:left w:val="nil"/>
              <w:bottom w:val="single" w:sz="4" w:space="0" w:color="002060"/>
              <w:right w:val="nil"/>
            </w:tcBorders>
            <w:shd w:val="clear" w:color="auto" w:fill="auto"/>
            <w:noWrap/>
            <w:vAlign w:val="center"/>
            <w:hideMark/>
          </w:tcPr>
          <w:p w14:paraId="29F96CAC"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Предузеће</w:t>
            </w:r>
          </w:p>
        </w:tc>
        <w:tc>
          <w:tcPr>
            <w:tcW w:w="1861" w:type="dxa"/>
            <w:vMerge w:val="restart"/>
            <w:tcBorders>
              <w:top w:val="single" w:sz="4" w:space="0" w:color="002060"/>
              <w:left w:val="nil"/>
              <w:bottom w:val="single" w:sz="4" w:space="0" w:color="002060"/>
              <w:right w:val="nil"/>
            </w:tcBorders>
            <w:shd w:val="clear" w:color="auto" w:fill="auto"/>
            <w:vAlign w:val="center"/>
            <w:hideMark/>
          </w:tcPr>
          <w:p w14:paraId="60CAC804" w14:textId="77777777" w:rsidR="00FE1A26" w:rsidRPr="00EA3D8C" w:rsidRDefault="00FE1A26" w:rsidP="00E4657F">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Реализација 2019. година</w:t>
            </w:r>
          </w:p>
        </w:tc>
        <w:tc>
          <w:tcPr>
            <w:tcW w:w="1861" w:type="dxa"/>
            <w:vMerge w:val="restart"/>
            <w:tcBorders>
              <w:top w:val="single" w:sz="4" w:space="0" w:color="002060"/>
              <w:left w:val="nil"/>
              <w:bottom w:val="single" w:sz="4" w:space="0" w:color="002060"/>
              <w:right w:val="nil"/>
            </w:tcBorders>
            <w:shd w:val="clear" w:color="auto" w:fill="auto"/>
            <w:vAlign w:val="center"/>
            <w:hideMark/>
          </w:tcPr>
          <w:p w14:paraId="5E6830DF" w14:textId="45532E7F" w:rsidR="00FE1A26" w:rsidRPr="00EA3D8C" w:rsidRDefault="00FE1A26" w:rsidP="003E2EFC">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План</w:t>
            </w:r>
            <w:r w:rsidR="003E2EFC">
              <w:rPr>
                <w:rFonts w:ascii="Calibri" w:eastAsia="Times New Roman" w:hAnsi="Calibri" w:cs="Calibri"/>
                <w:color w:val="002060"/>
                <w:sz w:val="18"/>
                <w:szCs w:val="18"/>
                <w:lang w:val="sr-Cyrl-RS" w:eastAsia="sr-Cyrl-RS"/>
              </w:rPr>
              <w:br w:type="textWrapping" w:clear="all"/>
            </w:r>
            <w:r w:rsidRPr="00EA3D8C">
              <w:rPr>
                <w:rFonts w:ascii="Calibri" w:eastAsia="Times New Roman" w:hAnsi="Calibri" w:cs="Calibri"/>
                <w:color w:val="002060"/>
                <w:sz w:val="18"/>
                <w:szCs w:val="18"/>
                <w:lang w:val="sr-Cyrl-RS" w:eastAsia="sr-Cyrl-RS"/>
              </w:rPr>
              <w:t>1.1–30.6.2020.</w:t>
            </w:r>
          </w:p>
        </w:tc>
        <w:tc>
          <w:tcPr>
            <w:tcW w:w="1862" w:type="dxa"/>
            <w:vMerge w:val="restart"/>
            <w:tcBorders>
              <w:top w:val="single" w:sz="4" w:space="0" w:color="002060"/>
              <w:left w:val="nil"/>
              <w:bottom w:val="single" w:sz="4" w:space="0" w:color="002060"/>
              <w:right w:val="nil"/>
            </w:tcBorders>
            <w:shd w:val="clear" w:color="auto" w:fill="auto"/>
            <w:vAlign w:val="center"/>
            <w:hideMark/>
          </w:tcPr>
          <w:p w14:paraId="5E27B8AC" w14:textId="6119523F" w:rsidR="00FE1A26" w:rsidRPr="00EA3D8C" w:rsidRDefault="00FE1A26" w:rsidP="003E2EFC">
            <w:pPr>
              <w:spacing w:after="0" w:line="240" w:lineRule="auto"/>
              <w:jc w:val="center"/>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Реализација</w:t>
            </w:r>
            <w:r w:rsidR="003E2EFC">
              <w:rPr>
                <w:rFonts w:ascii="Calibri" w:eastAsia="Times New Roman" w:hAnsi="Calibri" w:cs="Calibri"/>
                <w:color w:val="002060"/>
                <w:sz w:val="18"/>
                <w:szCs w:val="18"/>
                <w:lang w:val="sr-Cyrl-RS" w:eastAsia="sr-Cyrl-RS"/>
              </w:rPr>
              <w:br w:type="textWrapping" w:clear="all"/>
            </w:r>
            <w:r w:rsidRPr="00EA3D8C">
              <w:rPr>
                <w:rFonts w:ascii="Calibri" w:eastAsia="Times New Roman" w:hAnsi="Calibri" w:cs="Calibri"/>
                <w:color w:val="002060"/>
                <w:sz w:val="18"/>
                <w:szCs w:val="18"/>
                <w:lang w:val="sr-Cyrl-RS" w:eastAsia="sr-Cyrl-RS"/>
              </w:rPr>
              <w:t>1.1–30.6.2020.</w:t>
            </w:r>
          </w:p>
        </w:tc>
      </w:tr>
      <w:tr w:rsidR="00FE1A26" w:rsidRPr="00EA3D8C" w14:paraId="53091969" w14:textId="77777777" w:rsidTr="003E2EFC">
        <w:trPr>
          <w:trHeight w:val="423"/>
        </w:trPr>
        <w:tc>
          <w:tcPr>
            <w:tcW w:w="3828" w:type="dxa"/>
            <w:vMerge/>
            <w:tcBorders>
              <w:left w:val="nil"/>
              <w:bottom w:val="single" w:sz="4" w:space="0" w:color="002060"/>
              <w:right w:val="nil"/>
            </w:tcBorders>
            <w:vAlign w:val="center"/>
            <w:hideMark/>
          </w:tcPr>
          <w:p w14:paraId="3C339676"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61" w:type="dxa"/>
            <w:vMerge/>
            <w:tcBorders>
              <w:left w:val="nil"/>
              <w:bottom w:val="single" w:sz="4" w:space="0" w:color="002060"/>
              <w:right w:val="nil"/>
            </w:tcBorders>
            <w:vAlign w:val="center"/>
            <w:hideMark/>
          </w:tcPr>
          <w:p w14:paraId="22200E34"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61" w:type="dxa"/>
            <w:vMerge/>
            <w:tcBorders>
              <w:left w:val="nil"/>
              <w:bottom w:val="single" w:sz="4" w:space="0" w:color="002060"/>
              <w:right w:val="nil"/>
            </w:tcBorders>
            <w:vAlign w:val="center"/>
            <w:hideMark/>
          </w:tcPr>
          <w:p w14:paraId="42CD927E"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c>
          <w:tcPr>
            <w:tcW w:w="1862" w:type="dxa"/>
            <w:vMerge/>
            <w:tcBorders>
              <w:left w:val="nil"/>
              <w:bottom w:val="single" w:sz="4" w:space="0" w:color="002060"/>
              <w:right w:val="nil"/>
            </w:tcBorders>
            <w:vAlign w:val="center"/>
            <w:hideMark/>
          </w:tcPr>
          <w:p w14:paraId="6379CF0D" w14:textId="77777777" w:rsidR="00FE1A26" w:rsidRPr="00EA3D8C" w:rsidRDefault="00FE1A26" w:rsidP="00E4657F">
            <w:pPr>
              <w:spacing w:after="0" w:line="240" w:lineRule="auto"/>
              <w:jc w:val="left"/>
              <w:rPr>
                <w:rFonts w:ascii="Calibri" w:eastAsia="Times New Roman" w:hAnsi="Calibri" w:cs="Calibri"/>
                <w:color w:val="002060"/>
                <w:sz w:val="18"/>
                <w:szCs w:val="18"/>
                <w:lang w:val="sr-Cyrl-RS" w:eastAsia="sr-Cyrl-RS"/>
              </w:rPr>
            </w:pPr>
          </w:p>
        </w:tc>
      </w:tr>
      <w:tr w:rsidR="00FE1A26" w:rsidRPr="00EA3D8C" w14:paraId="2E0E780A" w14:textId="77777777" w:rsidTr="003E2EFC">
        <w:trPr>
          <w:trHeight w:val="20"/>
        </w:trPr>
        <w:tc>
          <w:tcPr>
            <w:tcW w:w="3828" w:type="dxa"/>
            <w:tcBorders>
              <w:top w:val="single" w:sz="4" w:space="0" w:color="002060"/>
              <w:left w:val="nil"/>
              <w:bottom w:val="nil"/>
              <w:right w:val="nil"/>
            </w:tcBorders>
            <w:shd w:val="clear" w:color="auto" w:fill="auto"/>
            <w:vAlign w:val="center"/>
            <w:hideMark/>
          </w:tcPr>
          <w:p w14:paraId="1F20BC5F"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ПЕУ „Ресавицаˮ</w:t>
            </w:r>
          </w:p>
        </w:tc>
        <w:tc>
          <w:tcPr>
            <w:tcW w:w="1861" w:type="dxa"/>
            <w:tcBorders>
              <w:top w:val="single" w:sz="4" w:space="0" w:color="002060"/>
              <w:left w:val="nil"/>
              <w:bottom w:val="nil"/>
              <w:right w:val="nil"/>
            </w:tcBorders>
            <w:shd w:val="clear" w:color="auto" w:fill="auto"/>
            <w:vAlign w:val="center"/>
          </w:tcPr>
          <w:p w14:paraId="45E73937"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-1.452.706</w:t>
            </w:r>
          </w:p>
        </w:tc>
        <w:tc>
          <w:tcPr>
            <w:tcW w:w="1861" w:type="dxa"/>
            <w:tcBorders>
              <w:top w:val="single" w:sz="4" w:space="0" w:color="002060"/>
              <w:left w:val="nil"/>
              <w:bottom w:val="nil"/>
              <w:right w:val="nil"/>
            </w:tcBorders>
            <w:shd w:val="clear" w:color="auto" w:fill="auto"/>
            <w:noWrap/>
            <w:vAlign w:val="center"/>
          </w:tcPr>
          <w:p w14:paraId="528ACF5E"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-727.304</w:t>
            </w:r>
          </w:p>
        </w:tc>
        <w:tc>
          <w:tcPr>
            <w:tcW w:w="1862" w:type="dxa"/>
            <w:tcBorders>
              <w:top w:val="single" w:sz="4" w:space="0" w:color="002060"/>
              <w:left w:val="nil"/>
              <w:bottom w:val="nil"/>
              <w:right w:val="nil"/>
            </w:tcBorders>
            <w:shd w:val="clear" w:color="auto" w:fill="auto"/>
            <w:noWrap/>
            <w:vAlign w:val="center"/>
          </w:tcPr>
          <w:p w14:paraId="32422191"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-525.592</w:t>
            </w:r>
          </w:p>
        </w:tc>
      </w:tr>
      <w:tr w:rsidR="00FE1A26" w:rsidRPr="00EA3D8C" w14:paraId="65E609C7" w14:textId="77777777" w:rsidTr="003E2EFC">
        <w:trPr>
          <w:trHeight w:val="20"/>
        </w:trPr>
        <w:tc>
          <w:tcPr>
            <w:tcW w:w="3828" w:type="dxa"/>
            <w:tcBorders>
              <w:top w:val="nil"/>
              <w:left w:val="nil"/>
              <w:bottom w:val="nil"/>
              <w:right w:val="nil"/>
            </w:tcBorders>
            <w:shd w:val="clear" w:color="auto" w:fill="auto"/>
            <w:vAlign w:val="center"/>
            <w:hideMark/>
          </w:tcPr>
          <w:p w14:paraId="7C1FF298"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Возˮ а.д.</w:t>
            </w:r>
          </w:p>
        </w:tc>
        <w:tc>
          <w:tcPr>
            <w:tcW w:w="1861" w:type="dxa"/>
            <w:tcBorders>
              <w:top w:val="nil"/>
              <w:left w:val="nil"/>
              <w:bottom w:val="nil"/>
              <w:right w:val="nil"/>
            </w:tcBorders>
            <w:shd w:val="clear" w:color="auto" w:fill="auto"/>
            <w:vAlign w:val="center"/>
          </w:tcPr>
          <w:p w14:paraId="70AA9EB0"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-2.391.846</w:t>
            </w:r>
          </w:p>
        </w:tc>
        <w:tc>
          <w:tcPr>
            <w:tcW w:w="1861" w:type="dxa"/>
            <w:tcBorders>
              <w:top w:val="nil"/>
              <w:left w:val="nil"/>
              <w:bottom w:val="nil"/>
              <w:right w:val="nil"/>
            </w:tcBorders>
            <w:shd w:val="clear" w:color="auto" w:fill="auto"/>
            <w:noWrap/>
            <w:vAlign w:val="center"/>
          </w:tcPr>
          <w:p w14:paraId="5C96AE5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-779.584</w:t>
            </w:r>
          </w:p>
        </w:tc>
        <w:tc>
          <w:tcPr>
            <w:tcW w:w="1862" w:type="dxa"/>
            <w:tcBorders>
              <w:top w:val="nil"/>
              <w:left w:val="nil"/>
              <w:bottom w:val="nil"/>
              <w:right w:val="nil"/>
            </w:tcBorders>
            <w:shd w:val="clear" w:color="auto" w:fill="auto"/>
            <w:noWrap/>
            <w:vAlign w:val="center"/>
          </w:tcPr>
          <w:p w14:paraId="1BAA0DF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-172.397</w:t>
            </w:r>
          </w:p>
        </w:tc>
      </w:tr>
      <w:tr w:rsidR="00FE1A26" w:rsidRPr="00EA3D8C" w14:paraId="0D0F7CF8" w14:textId="77777777" w:rsidTr="003E2EFC">
        <w:trPr>
          <w:trHeight w:val="20"/>
        </w:trPr>
        <w:tc>
          <w:tcPr>
            <w:tcW w:w="3828" w:type="dxa"/>
            <w:tcBorders>
              <w:top w:val="nil"/>
              <w:left w:val="nil"/>
              <w:bottom w:val="nil"/>
              <w:right w:val="nil"/>
            </w:tcBorders>
            <w:shd w:val="clear" w:color="auto" w:fill="auto"/>
            <w:noWrap/>
            <w:vAlign w:val="center"/>
            <w:hideMark/>
          </w:tcPr>
          <w:p w14:paraId="451203B7"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JВП „Србијаводеˮ</w:t>
            </w:r>
          </w:p>
        </w:tc>
        <w:tc>
          <w:tcPr>
            <w:tcW w:w="1861" w:type="dxa"/>
            <w:tcBorders>
              <w:top w:val="nil"/>
              <w:left w:val="nil"/>
              <w:bottom w:val="nil"/>
              <w:right w:val="nil"/>
            </w:tcBorders>
            <w:shd w:val="clear" w:color="auto" w:fill="auto"/>
            <w:noWrap/>
            <w:vAlign w:val="center"/>
          </w:tcPr>
          <w:p w14:paraId="5F2556F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41.667</w:t>
            </w:r>
          </w:p>
        </w:tc>
        <w:tc>
          <w:tcPr>
            <w:tcW w:w="1861" w:type="dxa"/>
            <w:tcBorders>
              <w:top w:val="nil"/>
              <w:left w:val="nil"/>
              <w:bottom w:val="nil"/>
              <w:right w:val="nil"/>
            </w:tcBorders>
            <w:shd w:val="clear" w:color="auto" w:fill="auto"/>
            <w:noWrap/>
            <w:vAlign w:val="center"/>
          </w:tcPr>
          <w:p w14:paraId="36858F7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-16.721</w:t>
            </w:r>
          </w:p>
        </w:tc>
        <w:tc>
          <w:tcPr>
            <w:tcW w:w="1862" w:type="dxa"/>
            <w:tcBorders>
              <w:top w:val="nil"/>
              <w:left w:val="nil"/>
              <w:bottom w:val="nil"/>
              <w:right w:val="nil"/>
            </w:tcBorders>
            <w:shd w:val="clear" w:color="auto" w:fill="auto"/>
            <w:noWrap/>
            <w:vAlign w:val="center"/>
          </w:tcPr>
          <w:p w14:paraId="3CDD338D"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-88.808</w:t>
            </w:r>
          </w:p>
        </w:tc>
      </w:tr>
      <w:tr w:rsidR="00FE1A26" w:rsidRPr="00EA3D8C" w14:paraId="13F1582F" w14:textId="77777777" w:rsidTr="003E2EFC">
        <w:trPr>
          <w:trHeight w:val="20"/>
        </w:trPr>
        <w:tc>
          <w:tcPr>
            <w:tcW w:w="3828" w:type="dxa"/>
            <w:tcBorders>
              <w:top w:val="nil"/>
              <w:left w:val="nil"/>
              <w:bottom w:val="nil"/>
              <w:right w:val="nil"/>
            </w:tcBorders>
            <w:shd w:val="clear" w:color="auto" w:fill="auto"/>
            <w:vAlign w:val="center"/>
            <w:hideMark/>
          </w:tcPr>
          <w:p w14:paraId="2639FA48"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„Завод за уџбеникеˮ</w:t>
            </w:r>
          </w:p>
        </w:tc>
        <w:tc>
          <w:tcPr>
            <w:tcW w:w="1861" w:type="dxa"/>
            <w:tcBorders>
              <w:top w:val="nil"/>
              <w:left w:val="nil"/>
              <w:bottom w:val="nil"/>
              <w:right w:val="nil"/>
            </w:tcBorders>
            <w:shd w:val="clear" w:color="auto" w:fill="auto"/>
            <w:vAlign w:val="center"/>
          </w:tcPr>
          <w:p w14:paraId="19435AE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-296.405</w:t>
            </w:r>
          </w:p>
        </w:tc>
        <w:tc>
          <w:tcPr>
            <w:tcW w:w="1861" w:type="dxa"/>
            <w:tcBorders>
              <w:top w:val="nil"/>
              <w:left w:val="nil"/>
              <w:bottom w:val="nil"/>
              <w:right w:val="nil"/>
            </w:tcBorders>
            <w:shd w:val="clear" w:color="auto" w:fill="auto"/>
            <w:noWrap/>
            <w:vAlign w:val="center"/>
          </w:tcPr>
          <w:p w14:paraId="4801F82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-181.178</w:t>
            </w:r>
          </w:p>
        </w:tc>
        <w:tc>
          <w:tcPr>
            <w:tcW w:w="1862" w:type="dxa"/>
            <w:tcBorders>
              <w:top w:val="nil"/>
              <w:left w:val="nil"/>
              <w:bottom w:val="nil"/>
              <w:right w:val="nil"/>
            </w:tcBorders>
            <w:shd w:val="clear" w:color="auto" w:fill="auto"/>
            <w:noWrap/>
            <w:vAlign w:val="center"/>
          </w:tcPr>
          <w:p w14:paraId="0E98B8A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-200.892</w:t>
            </w:r>
          </w:p>
        </w:tc>
      </w:tr>
      <w:tr w:rsidR="00FE1A26" w:rsidRPr="00EA3D8C" w14:paraId="30512EFC" w14:textId="77777777" w:rsidTr="003E2EFC">
        <w:trPr>
          <w:trHeight w:val="20"/>
        </w:trPr>
        <w:tc>
          <w:tcPr>
            <w:tcW w:w="3828" w:type="dxa"/>
            <w:tcBorders>
              <w:top w:val="nil"/>
              <w:left w:val="nil"/>
              <w:bottom w:val="nil"/>
              <w:right w:val="nil"/>
            </w:tcBorders>
            <w:shd w:val="clear" w:color="auto" w:fill="auto"/>
            <w:vAlign w:val="center"/>
            <w:hideMark/>
          </w:tcPr>
          <w:p w14:paraId="2CD0B14E"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„Мокра гораˮ д.о.о.</w:t>
            </w:r>
          </w:p>
        </w:tc>
        <w:tc>
          <w:tcPr>
            <w:tcW w:w="1861" w:type="dxa"/>
            <w:tcBorders>
              <w:top w:val="nil"/>
              <w:left w:val="nil"/>
              <w:bottom w:val="nil"/>
              <w:right w:val="nil"/>
            </w:tcBorders>
            <w:shd w:val="clear" w:color="auto" w:fill="auto"/>
            <w:vAlign w:val="center"/>
          </w:tcPr>
          <w:p w14:paraId="5D2ED9F2"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212</w:t>
            </w:r>
          </w:p>
        </w:tc>
        <w:tc>
          <w:tcPr>
            <w:tcW w:w="1861" w:type="dxa"/>
            <w:tcBorders>
              <w:top w:val="nil"/>
              <w:left w:val="nil"/>
              <w:bottom w:val="nil"/>
              <w:right w:val="nil"/>
            </w:tcBorders>
            <w:shd w:val="clear" w:color="auto" w:fill="auto"/>
            <w:noWrap/>
            <w:vAlign w:val="center"/>
          </w:tcPr>
          <w:p w14:paraId="696C063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7.299</w:t>
            </w:r>
          </w:p>
        </w:tc>
        <w:tc>
          <w:tcPr>
            <w:tcW w:w="1862" w:type="dxa"/>
            <w:tcBorders>
              <w:top w:val="nil"/>
              <w:left w:val="nil"/>
              <w:bottom w:val="nil"/>
              <w:right w:val="nil"/>
            </w:tcBorders>
            <w:shd w:val="clear" w:color="auto" w:fill="auto"/>
            <w:noWrap/>
            <w:vAlign w:val="center"/>
          </w:tcPr>
          <w:p w14:paraId="70380628"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-5.778</w:t>
            </w:r>
          </w:p>
        </w:tc>
      </w:tr>
      <w:tr w:rsidR="00FE1A26" w:rsidRPr="00EA3D8C" w14:paraId="5BC11D9D" w14:textId="77777777" w:rsidTr="003E2EFC">
        <w:trPr>
          <w:trHeight w:val="20"/>
        </w:trPr>
        <w:tc>
          <w:tcPr>
            <w:tcW w:w="3828" w:type="dxa"/>
            <w:tcBorders>
              <w:top w:val="nil"/>
              <w:left w:val="nil"/>
              <w:bottom w:val="nil"/>
              <w:right w:val="nil"/>
            </w:tcBorders>
            <w:shd w:val="clear" w:color="auto" w:fill="auto"/>
            <w:vAlign w:val="center"/>
          </w:tcPr>
          <w:p w14:paraId="3584362A"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„Стара планинаˮ</w:t>
            </w:r>
          </w:p>
        </w:tc>
        <w:tc>
          <w:tcPr>
            <w:tcW w:w="1861" w:type="dxa"/>
            <w:tcBorders>
              <w:top w:val="nil"/>
              <w:left w:val="nil"/>
              <w:bottom w:val="nil"/>
              <w:right w:val="nil"/>
            </w:tcBorders>
            <w:shd w:val="clear" w:color="auto" w:fill="auto"/>
            <w:vAlign w:val="center"/>
          </w:tcPr>
          <w:p w14:paraId="2C1EC113" w14:textId="77777777" w:rsidR="00FE1A26" w:rsidRPr="00EA3D8C" w:rsidRDefault="00FE1A26" w:rsidP="00FE1A26">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-13.447</w:t>
            </w:r>
          </w:p>
        </w:tc>
        <w:tc>
          <w:tcPr>
            <w:tcW w:w="1861" w:type="dxa"/>
            <w:tcBorders>
              <w:top w:val="nil"/>
              <w:left w:val="nil"/>
              <w:bottom w:val="nil"/>
              <w:right w:val="nil"/>
            </w:tcBorders>
            <w:shd w:val="clear" w:color="auto" w:fill="auto"/>
            <w:noWrap/>
            <w:vAlign w:val="center"/>
          </w:tcPr>
          <w:p w14:paraId="32E1CB3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862" w:type="dxa"/>
            <w:tcBorders>
              <w:top w:val="nil"/>
              <w:left w:val="nil"/>
              <w:bottom w:val="nil"/>
              <w:right w:val="nil"/>
            </w:tcBorders>
            <w:shd w:val="clear" w:color="auto" w:fill="auto"/>
            <w:noWrap/>
            <w:vAlign w:val="center"/>
          </w:tcPr>
          <w:p w14:paraId="1B3F057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-22.655</w:t>
            </w:r>
          </w:p>
        </w:tc>
      </w:tr>
      <w:tr w:rsidR="00FE1A26" w:rsidRPr="00EA3D8C" w14:paraId="6AE5529A" w14:textId="77777777" w:rsidTr="003E2EFC">
        <w:trPr>
          <w:trHeight w:val="20"/>
        </w:trPr>
        <w:tc>
          <w:tcPr>
            <w:tcW w:w="3828" w:type="dxa"/>
            <w:tcBorders>
              <w:top w:val="nil"/>
              <w:left w:val="nil"/>
              <w:bottom w:val="nil"/>
              <w:right w:val="nil"/>
            </w:tcBorders>
            <w:shd w:val="clear" w:color="auto" w:fill="auto"/>
            <w:vAlign w:val="center"/>
          </w:tcPr>
          <w:p w14:paraId="1A99EE26"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„Тврђава Голубачки град” д.о.о.</w:t>
            </w:r>
          </w:p>
        </w:tc>
        <w:tc>
          <w:tcPr>
            <w:tcW w:w="1861" w:type="dxa"/>
            <w:tcBorders>
              <w:top w:val="nil"/>
              <w:left w:val="nil"/>
              <w:bottom w:val="nil"/>
              <w:right w:val="nil"/>
            </w:tcBorders>
            <w:shd w:val="clear" w:color="auto" w:fill="auto"/>
            <w:vAlign w:val="center"/>
          </w:tcPr>
          <w:p w14:paraId="1E51E0AD"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12.081</w:t>
            </w:r>
          </w:p>
        </w:tc>
        <w:tc>
          <w:tcPr>
            <w:tcW w:w="1861" w:type="dxa"/>
            <w:tcBorders>
              <w:top w:val="nil"/>
              <w:left w:val="nil"/>
              <w:bottom w:val="nil"/>
              <w:right w:val="nil"/>
            </w:tcBorders>
            <w:shd w:val="clear" w:color="auto" w:fill="auto"/>
            <w:noWrap/>
            <w:vAlign w:val="center"/>
          </w:tcPr>
          <w:p w14:paraId="4625218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w:t>
            </w:r>
          </w:p>
        </w:tc>
        <w:tc>
          <w:tcPr>
            <w:tcW w:w="1862" w:type="dxa"/>
            <w:tcBorders>
              <w:top w:val="nil"/>
              <w:left w:val="nil"/>
              <w:bottom w:val="nil"/>
              <w:right w:val="nil"/>
            </w:tcBorders>
            <w:shd w:val="clear" w:color="auto" w:fill="auto"/>
            <w:noWrap/>
            <w:vAlign w:val="center"/>
          </w:tcPr>
          <w:p w14:paraId="1983A88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-8.006</w:t>
            </w:r>
          </w:p>
        </w:tc>
      </w:tr>
      <w:tr w:rsidR="00FE1A26" w:rsidRPr="00EA3D8C" w14:paraId="5045C83E" w14:textId="77777777" w:rsidTr="003E2EFC">
        <w:trPr>
          <w:trHeight w:val="20"/>
        </w:trPr>
        <w:tc>
          <w:tcPr>
            <w:tcW w:w="3828" w:type="dxa"/>
            <w:tcBorders>
              <w:top w:val="nil"/>
              <w:left w:val="nil"/>
              <w:bottom w:val="nil"/>
              <w:right w:val="nil"/>
            </w:tcBorders>
            <w:shd w:val="clear" w:color="auto" w:fill="auto"/>
            <w:vAlign w:val="center"/>
          </w:tcPr>
          <w:p w14:paraId="7A9EDF0B"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„Србија Каргоˮ а.д.</w:t>
            </w:r>
          </w:p>
        </w:tc>
        <w:tc>
          <w:tcPr>
            <w:tcW w:w="1861" w:type="dxa"/>
            <w:tcBorders>
              <w:top w:val="nil"/>
              <w:left w:val="nil"/>
              <w:bottom w:val="nil"/>
              <w:right w:val="nil"/>
            </w:tcBorders>
            <w:shd w:val="clear" w:color="auto" w:fill="auto"/>
            <w:vAlign w:val="center"/>
          </w:tcPr>
          <w:p w14:paraId="3BDFA800"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-1.223.791</w:t>
            </w:r>
          </w:p>
        </w:tc>
        <w:tc>
          <w:tcPr>
            <w:tcW w:w="1861" w:type="dxa"/>
            <w:tcBorders>
              <w:top w:val="nil"/>
              <w:left w:val="nil"/>
              <w:bottom w:val="nil"/>
              <w:right w:val="nil"/>
            </w:tcBorders>
            <w:shd w:val="clear" w:color="auto" w:fill="auto"/>
            <w:noWrap/>
            <w:vAlign w:val="center"/>
          </w:tcPr>
          <w:p w14:paraId="0E3CDD5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-881.028</w:t>
            </w:r>
          </w:p>
        </w:tc>
        <w:tc>
          <w:tcPr>
            <w:tcW w:w="1862" w:type="dxa"/>
            <w:tcBorders>
              <w:top w:val="nil"/>
              <w:left w:val="nil"/>
              <w:bottom w:val="nil"/>
              <w:right w:val="nil"/>
            </w:tcBorders>
            <w:shd w:val="clear" w:color="auto" w:fill="auto"/>
            <w:noWrap/>
            <w:vAlign w:val="center"/>
          </w:tcPr>
          <w:p w14:paraId="50044E8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-826.018</w:t>
            </w:r>
          </w:p>
        </w:tc>
      </w:tr>
      <w:tr w:rsidR="00FE1A26" w:rsidRPr="00EA3D8C" w14:paraId="11794567" w14:textId="77777777" w:rsidTr="003E2EFC">
        <w:trPr>
          <w:trHeight w:val="20"/>
        </w:trPr>
        <w:tc>
          <w:tcPr>
            <w:tcW w:w="3828" w:type="dxa"/>
            <w:tcBorders>
              <w:top w:val="nil"/>
              <w:left w:val="nil"/>
              <w:bottom w:val="nil"/>
              <w:right w:val="nil"/>
            </w:tcBorders>
            <w:shd w:val="clear" w:color="auto" w:fill="auto"/>
            <w:vAlign w:val="center"/>
          </w:tcPr>
          <w:p w14:paraId="201FD0A3"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„Пошта Србијеˮ</w:t>
            </w:r>
          </w:p>
        </w:tc>
        <w:tc>
          <w:tcPr>
            <w:tcW w:w="1861" w:type="dxa"/>
            <w:tcBorders>
              <w:top w:val="nil"/>
              <w:left w:val="nil"/>
              <w:bottom w:val="nil"/>
              <w:right w:val="nil"/>
            </w:tcBorders>
            <w:shd w:val="clear" w:color="auto" w:fill="auto"/>
            <w:vAlign w:val="center"/>
          </w:tcPr>
          <w:p w14:paraId="7F93B615"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1.932.322</w:t>
            </w:r>
          </w:p>
        </w:tc>
        <w:tc>
          <w:tcPr>
            <w:tcW w:w="1861" w:type="dxa"/>
            <w:tcBorders>
              <w:top w:val="nil"/>
              <w:left w:val="nil"/>
              <w:bottom w:val="nil"/>
              <w:right w:val="nil"/>
            </w:tcBorders>
            <w:shd w:val="clear" w:color="auto" w:fill="auto"/>
            <w:noWrap/>
            <w:vAlign w:val="center"/>
          </w:tcPr>
          <w:p w14:paraId="60BD3EA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92.496</w:t>
            </w:r>
          </w:p>
        </w:tc>
        <w:tc>
          <w:tcPr>
            <w:tcW w:w="1862" w:type="dxa"/>
            <w:tcBorders>
              <w:top w:val="nil"/>
              <w:left w:val="nil"/>
              <w:bottom w:val="nil"/>
              <w:right w:val="nil"/>
            </w:tcBorders>
            <w:shd w:val="clear" w:color="auto" w:fill="auto"/>
            <w:noWrap/>
            <w:vAlign w:val="center"/>
          </w:tcPr>
          <w:p w14:paraId="5719BD1F"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-198.241</w:t>
            </w:r>
          </w:p>
        </w:tc>
      </w:tr>
      <w:tr w:rsidR="00FE1A26" w:rsidRPr="00EA3D8C" w14:paraId="73D55D7E" w14:textId="77777777" w:rsidTr="003E2EFC">
        <w:trPr>
          <w:trHeight w:val="20"/>
        </w:trPr>
        <w:tc>
          <w:tcPr>
            <w:tcW w:w="3828" w:type="dxa"/>
            <w:tcBorders>
              <w:top w:val="nil"/>
              <w:left w:val="nil"/>
              <w:bottom w:val="nil"/>
              <w:right w:val="nil"/>
            </w:tcBorders>
            <w:shd w:val="clear" w:color="auto" w:fill="auto"/>
            <w:vAlign w:val="center"/>
          </w:tcPr>
          <w:p w14:paraId="74682C8C"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„Метохијаˮ д.о.о.</w:t>
            </w:r>
          </w:p>
        </w:tc>
        <w:tc>
          <w:tcPr>
            <w:tcW w:w="1861" w:type="dxa"/>
            <w:tcBorders>
              <w:top w:val="nil"/>
              <w:left w:val="nil"/>
              <w:bottom w:val="nil"/>
              <w:right w:val="nil"/>
            </w:tcBorders>
            <w:shd w:val="clear" w:color="auto" w:fill="auto"/>
            <w:vAlign w:val="center"/>
          </w:tcPr>
          <w:p w14:paraId="5B81F68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795</w:t>
            </w:r>
          </w:p>
        </w:tc>
        <w:tc>
          <w:tcPr>
            <w:tcW w:w="1861" w:type="dxa"/>
            <w:tcBorders>
              <w:top w:val="nil"/>
              <w:left w:val="nil"/>
              <w:bottom w:val="nil"/>
              <w:right w:val="nil"/>
            </w:tcBorders>
            <w:shd w:val="clear" w:color="auto" w:fill="auto"/>
            <w:noWrap/>
            <w:vAlign w:val="center"/>
          </w:tcPr>
          <w:p w14:paraId="23DBD36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950</w:t>
            </w:r>
          </w:p>
        </w:tc>
        <w:tc>
          <w:tcPr>
            <w:tcW w:w="1862" w:type="dxa"/>
            <w:tcBorders>
              <w:top w:val="nil"/>
              <w:left w:val="nil"/>
              <w:bottom w:val="nil"/>
              <w:right w:val="nil"/>
            </w:tcBorders>
            <w:shd w:val="clear" w:color="auto" w:fill="auto"/>
            <w:noWrap/>
            <w:vAlign w:val="center"/>
          </w:tcPr>
          <w:p w14:paraId="4349733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-1.149</w:t>
            </w:r>
          </w:p>
        </w:tc>
      </w:tr>
      <w:tr w:rsidR="00FE1A26" w:rsidRPr="00EA3D8C" w14:paraId="4D425CFA" w14:textId="77777777" w:rsidTr="003E2EFC">
        <w:trPr>
          <w:trHeight w:val="20"/>
        </w:trPr>
        <w:tc>
          <w:tcPr>
            <w:tcW w:w="3828" w:type="dxa"/>
            <w:tcBorders>
              <w:top w:val="nil"/>
              <w:left w:val="nil"/>
              <w:bottom w:val="nil"/>
              <w:right w:val="nil"/>
            </w:tcBorders>
            <w:shd w:val="clear" w:color="auto" w:fill="auto"/>
            <w:vAlign w:val="center"/>
          </w:tcPr>
          <w:p w14:paraId="5B708F2D"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„Парк Палићˮ д.о.о.</w:t>
            </w:r>
          </w:p>
        </w:tc>
        <w:tc>
          <w:tcPr>
            <w:tcW w:w="1861" w:type="dxa"/>
            <w:tcBorders>
              <w:top w:val="nil"/>
              <w:left w:val="nil"/>
              <w:bottom w:val="nil"/>
              <w:right w:val="nil"/>
            </w:tcBorders>
            <w:shd w:val="clear" w:color="auto" w:fill="auto"/>
            <w:vAlign w:val="center"/>
          </w:tcPr>
          <w:p w14:paraId="08319A7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2.461</w:t>
            </w:r>
          </w:p>
        </w:tc>
        <w:tc>
          <w:tcPr>
            <w:tcW w:w="1861" w:type="dxa"/>
            <w:tcBorders>
              <w:top w:val="nil"/>
              <w:left w:val="nil"/>
              <w:bottom w:val="nil"/>
              <w:right w:val="nil"/>
            </w:tcBorders>
            <w:shd w:val="clear" w:color="auto" w:fill="auto"/>
            <w:noWrap/>
            <w:vAlign w:val="center"/>
          </w:tcPr>
          <w:p w14:paraId="71FFE7B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3.097</w:t>
            </w:r>
          </w:p>
        </w:tc>
        <w:tc>
          <w:tcPr>
            <w:tcW w:w="1862" w:type="dxa"/>
            <w:tcBorders>
              <w:top w:val="nil"/>
              <w:left w:val="nil"/>
              <w:bottom w:val="nil"/>
              <w:right w:val="nil"/>
            </w:tcBorders>
            <w:shd w:val="clear" w:color="auto" w:fill="auto"/>
            <w:noWrap/>
            <w:vAlign w:val="center"/>
          </w:tcPr>
          <w:p w14:paraId="0169A743"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-2.311</w:t>
            </w:r>
          </w:p>
        </w:tc>
      </w:tr>
      <w:tr w:rsidR="00FE1A26" w:rsidRPr="00EA3D8C" w14:paraId="415D1E4C" w14:textId="77777777" w:rsidTr="003E2EFC">
        <w:trPr>
          <w:trHeight w:val="20"/>
        </w:trPr>
        <w:tc>
          <w:tcPr>
            <w:tcW w:w="3828" w:type="dxa"/>
            <w:tcBorders>
              <w:top w:val="nil"/>
              <w:left w:val="nil"/>
              <w:bottom w:val="nil"/>
              <w:right w:val="nil"/>
            </w:tcBorders>
            <w:shd w:val="clear" w:color="auto" w:fill="auto"/>
            <w:vAlign w:val="center"/>
            <w:hideMark/>
          </w:tcPr>
          <w:p w14:paraId="05F5C009"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JП за склоништа</w:t>
            </w:r>
          </w:p>
        </w:tc>
        <w:tc>
          <w:tcPr>
            <w:tcW w:w="1861" w:type="dxa"/>
            <w:tcBorders>
              <w:top w:val="nil"/>
              <w:left w:val="nil"/>
              <w:bottom w:val="nil"/>
              <w:right w:val="nil"/>
            </w:tcBorders>
            <w:shd w:val="clear" w:color="auto" w:fill="auto"/>
            <w:vAlign w:val="center"/>
          </w:tcPr>
          <w:p w14:paraId="3FD4D6B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-141.449</w:t>
            </w:r>
          </w:p>
        </w:tc>
        <w:tc>
          <w:tcPr>
            <w:tcW w:w="1861" w:type="dxa"/>
            <w:tcBorders>
              <w:top w:val="nil"/>
              <w:left w:val="nil"/>
              <w:bottom w:val="nil"/>
              <w:right w:val="nil"/>
            </w:tcBorders>
            <w:shd w:val="clear" w:color="auto" w:fill="auto"/>
            <w:noWrap/>
            <w:vAlign w:val="center"/>
          </w:tcPr>
          <w:p w14:paraId="633DDBDB"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-53.718</w:t>
            </w:r>
          </w:p>
        </w:tc>
        <w:tc>
          <w:tcPr>
            <w:tcW w:w="1862" w:type="dxa"/>
            <w:tcBorders>
              <w:top w:val="nil"/>
              <w:left w:val="nil"/>
              <w:bottom w:val="nil"/>
              <w:right w:val="nil"/>
            </w:tcBorders>
            <w:shd w:val="clear" w:color="auto" w:fill="auto"/>
            <w:noWrap/>
            <w:vAlign w:val="center"/>
          </w:tcPr>
          <w:p w14:paraId="5728554C"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-59.430</w:t>
            </w:r>
          </w:p>
        </w:tc>
      </w:tr>
      <w:tr w:rsidR="00FE1A26" w:rsidRPr="00EA3D8C" w14:paraId="174B2AAA" w14:textId="77777777" w:rsidTr="003E2EFC">
        <w:trPr>
          <w:trHeight w:val="20"/>
        </w:trPr>
        <w:tc>
          <w:tcPr>
            <w:tcW w:w="3828" w:type="dxa"/>
            <w:tcBorders>
              <w:top w:val="nil"/>
              <w:left w:val="nil"/>
              <w:bottom w:val="single" w:sz="4" w:space="0" w:color="002060"/>
              <w:right w:val="nil"/>
            </w:tcBorders>
            <w:shd w:val="clear" w:color="auto" w:fill="auto"/>
            <w:vAlign w:val="center"/>
            <w:hideMark/>
          </w:tcPr>
          <w:p w14:paraId="2C6033B6"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„Југоимпорт-СДПРˮ JП</w:t>
            </w:r>
          </w:p>
        </w:tc>
        <w:tc>
          <w:tcPr>
            <w:tcW w:w="1861" w:type="dxa"/>
            <w:tcBorders>
              <w:top w:val="nil"/>
              <w:left w:val="nil"/>
              <w:bottom w:val="single" w:sz="4" w:space="0" w:color="002060"/>
              <w:right w:val="nil"/>
            </w:tcBorders>
            <w:shd w:val="clear" w:color="auto" w:fill="auto"/>
            <w:noWrap/>
            <w:vAlign w:val="center"/>
          </w:tcPr>
          <w:p w14:paraId="01AC8864"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1.781.932</w:t>
            </w:r>
          </w:p>
        </w:tc>
        <w:tc>
          <w:tcPr>
            <w:tcW w:w="1861" w:type="dxa"/>
            <w:tcBorders>
              <w:top w:val="nil"/>
              <w:left w:val="nil"/>
              <w:bottom w:val="single" w:sz="4" w:space="0" w:color="002060"/>
              <w:right w:val="nil"/>
            </w:tcBorders>
            <w:shd w:val="clear" w:color="auto" w:fill="auto"/>
            <w:noWrap/>
            <w:vAlign w:val="center"/>
          </w:tcPr>
          <w:p w14:paraId="52F90B71"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273.612</w:t>
            </w:r>
          </w:p>
        </w:tc>
        <w:tc>
          <w:tcPr>
            <w:tcW w:w="1862" w:type="dxa"/>
            <w:tcBorders>
              <w:top w:val="nil"/>
              <w:left w:val="nil"/>
              <w:bottom w:val="single" w:sz="4" w:space="0" w:color="002060"/>
              <w:right w:val="nil"/>
            </w:tcBorders>
            <w:shd w:val="clear" w:color="auto" w:fill="auto"/>
            <w:noWrap/>
            <w:vAlign w:val="center"/>
          </w:tcPr>
          <w:p w14:paraId="3738C0DA"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-495.940</w:t>
            </w:r>
          </w:p>
        </w:tc>
      </w:tr>
      <w:tr w:rsidR="00FE1A26" w:rsidRPr="00EA3D8C" w14:paraId="5D3F7B45" w14:textId="77777777" w:rsidTr="003E2EFC">
        <w:trPr>
          <w:trHeight w:val="20"/>
        </w:trPr>
        <w:tc>
          <w:tcPr>
            <w:tcW w:w="3828" w:type="dxa"/>
            <w:tcBorders>
              <w:top w:val="single" w:sz="4" w:space="0" w:color="002060"/>
              <w:left w:val="nil"/>
              <w:bottom w:val="single" w:sz="4" w:space="0" w:color="002060"/>
              <w:right w:val="nil"/>
            </w:tcBorders>
            <w:shd w:val="clear" w:color="auto" w:fill="auto"/>
            <w:noWrap/>
            <w:vAlign w:val="center"/>
            <w:hideMark/>
          </w:tcPr>
          <w:p w14:paraId="39B06977" w14:textId="77777777" w:rsidR="00FE1A26" w:rsidRPr="00EA3D8C" w:rsidRDefault="00FE1A26" w:rsidP="00E4657F">
            <w:pPr>
              <w:spacing w:after="0" w:line="240" w:lineRule="auto"/>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Укупно</w:t>
            </w:r>
          </w:p>
        </w:tc>
        <w:tc>
          <w:tcPr>
            <w:tcW w:w="1861" w:type="dxa"/>
            <w:tcBorders>
              <w:top w:val="single" w:sz="4" w:space="0" w:color="002060"/>
              <w:left w:val="nil"/>
              <w:bottom w:val="single" w:sz="4" w:space="0" w:color="002060"/>
              <w:right w:val="nil"/>
            </w:tcBorders>
            <w:shd w:val="clear" w:color="auto" w:fill="auto"/>
            <w:noWrap/>
            <w:vAlign w:val="center"/>
          </w:tcPr>
          <w:p w14:paraId="3FCACC6D"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-1.748.174</w:t>
            </w:r>
          </w:p>
        </w:tc>
        <w:tc>
          <w:tcPr>
            <w:tcW w:w="1861" w:type="dxa"/>
            <w:tcBorders>
              <w:top w:val="single" w:sz="4" w:space="0" w:color="002060"/>
              <w:left w:val="nil"/>
              <w:bottom w:val="single" w:sz="4" w:space="0" w:color="002060"/>
              <w:right w:val="nil"/>
            </w:tcBorders>
            <w:shd w:val="clear" w:color="auto" w:fill="auto"/>
            <w:noWrap/>
            <w:vAlign w:val="center"/>
          </w:tcPr>
          <w:p w14:paraId="62115566"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-2.262.079</w:t>
            </w:r>
          </w:p>
        </w:tc>
        <w:tc>
          <w:tcPr>
            <w:tcW w:w="1862" w:type="dxa"/>
            <w:tcBorders>
              <w:top w:val="single" w:sz="4" w:space="0" w:color="002060"/>
              <w:left w:val="nil"/>
              <w:bottom w:val="single" w:sz="4" w:space="0" w:color="002060"/>
              <w:right w:val="nil"/>
            </w:tcBorders>
            <w:shd w:val="clear" w:color="auto" w:fill="auto"/>
            <w:noWrap/>
            <w:vAlign w:val="center"/>
          </w:tcPr>
          <w:p w14:paraId="4E062829" w14:textId="77777777" w:rsidR="00FE1A26" w:rsidRPr="00EA3D8C" w:rsidRDefault="00FE1A26" w:rsidP="00E4657F">
            <w:pPr>
              <w:spacing w:after="0" w:line="240" w:lineRule="auto"/>
              <w:jc w:val="right"/>
              <w:rPr>
                <w:rFonts w:ascii="Calibri" w:eastAsia="Times New Roman" w:hAnsi="Calibri" w:cs="Calibri"/>
                <w:color w:val="002060"/>
                <w:sz w:val="18"/>
                <w:szCs w:val="18"/>
                <w:lang w:val="sr-Cyrl-RS" w:eastAsia="sr-Cyrl-RS"/>
              </w:rPr>
            </w:pPr>
            <w:r w:rsidRPr="00EA3D8C">
              <w:rPr>
                <w:rFonts w:ascii="Calibri" w:eastAsia="Times New Roman" w:hAnsi="Calibri" w:cs="Calibri"/>
                <w:color w:val="002060"/>
                <w:sz w:val="18"/>
                <w:szCs w:val="18"/>
                <w:lang w:val="sr-Cyrl-RS" w:eastAsia="sr-Cyrl-RS"/>
              </w:rPr>
              <w:t>-2.607.217</w:t>
            </w:r>
          </w:p>
        </w:tc>
      </w:tr>
    </w:tbl>
    <w:p w14:paraId="6CD502CF" w14:textId="77777777" w:rsidR="00802C14" w:rsidRPr="00EA3D8C" w:rsidRDefault="00FE1A26" w:rsidP="00F725A2">
      <w:pPr>
        <w:spacing w:before="40" w:line="240" w:lineRule="auto"/>
        <w:jc w:val="left"/>
        <w:rPr>
          <w:rFonts w:cstheme="minorHAnsi"/>
          <w:bCs/>
          <w:sz w:val="16"/>
          <w:szCs w:val="72"/>
          <w:lang w:val="sr-Cyrl-RS"/>
        </w:rPr>
        <w:sectPr w:rsidR="00802C14" w:rsidRPr="00EA3D8C" w:rsidSect="00AE40EB">
          <w:type w:val="continuous"/>
          <w:pgSz w:w="12240" w:h="15840" w:code="1"/>
          <w:pgMar w:top="1440" w:right="1440" w:bottom="1440" w:left="1440" w:header="720" w:footer="720" w:gutter="0"/>
          <w:cols w:space="720"/>
          <w:docGrid w:linePitch="360"/>
        </w:sectPr>
      </w:pPr>
      <w:r w:rsidRPr="00EA3D8C">
        <w:rPr>
          <w:rFonts w:cstheme="minorHAnsi"/>
          <w:bCs/>
          <w:sz w:val="16"/>
          <w:szCs w:val="72"/>
          <w:lang w:val="sr-Cyrl-RS"/>
        </w:rPr>
        <w:t>Извор: Финансијски извештаји за 2019. годину и квартални извештаји Министарства привреде за 2020. годину</w:t>
      </w:r>
    </w:p>
    <w:p w14:paraId="2E05CE40" w14:textId="028A5C98"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lastRenderedPageBreak/>
        <w:t>У циљу умањења фискалних ризика повезаних са пословањем јавних предузећа у току су процеси реструктурирања највећих јавних предузећа (групе предузећа које се баве железничким саобраћајем – „Железнице Србијеˮ а.д, „Инфраструктура железнице Србијеˮ а.д, „Србија Возˮ а.д, „Србија Каргоˮ а.д, ЈП ЕПС и ЈП „Србијагасˮ). Целокупан процес се спроводи у сарадњи за водећим светским финансијским институцијама – ММФ, Светском банком и Европском банком за обнову и развој (у даљем тексту: ЕБРД), како би се ова предузећа поставила на здраве основе и почела да функционишу по тржишном принципу, те умањили потенцијални фискални трошкови који могу проистећи из њиховог пословања.</w:t>
      </w:r>
    </w:p>
    <w:p w14:paraId="2FC63ABA" w14:textId="77777777" w:rsidR="00FE1A26" w:rsidRPr="00EA3D8C" w:rsidRDefault="00FE1A26" w:rsidP="002D1432">
      <w:pPr>
        <w:rPr>
          <w:rFonts w:eastAsia="MS PGothic" w:cstheme="minorHAnsi"/>
          <w:szCs w:val="20"/>
          <w:lang w:val="sr-Cyrl-RS" w:eastAsia="ja-JP"/>
        </w:rPr>
      </w:pPr>
      <w:r w:rsidRPr="00EA3D8C">
        <w:rPr>
          <w:rFonts w:eastAsia="MS PGothic" w:cstheme="minorHAnsi"/>
          <w:i/>
          <w:color w:val="002060"/>
          <w:szCs w:val="20"/>
          <w:lang w:val="sr-Cyrl-RS" w:eastAsia="ja-JP"/>
        </w:rPr>
        <w:t>ЈП „Електропривреда Србије”.</w:t>
      </w:r>
      <w:r w:rsidRPr="00EA3D8C">
        <w:rPr>
          <w:rFonts w:eastAsia="MS PGothic" w:cstheme="minorHAnsi"/>
          <w:color w:val="002060"/>
          <w:szCs w:val="20"/>
          <w:lang w:val="sr-Cyrl-RS" w:eastAsia="ja-JP"/>
        </w:rPr>
        <w:t xml:space="preserve"> </w:t>
      </w:r>
      <w:r w:rsidRPr="00EA3D8C">
        <w:rPr>
          <w:rFonts w:eastAsia="MS PGothic" w:cstheme="minorHAnsi"/>
          <w:szCs w:val="20"/>
          <w:lang w:val="sr-Cyrl-RS" w:eastAsia="ja-JP"/>
        </w:rPr>
        <w:t>План оптимизације броја запослених за период 2016–2019. године, израђен уз помоћ Светске банке, успешно се спроводи. Уз помоћ Светске банке и ЕБРД сагледавају се могућности даљег унапређења управљања компанијом у погледу менаџмента, система планирања и набавки. Акциони план за побољшање корпоративног управљања, који је сачињен на основу препорука ЕБРД и који је усвојила Влада у фебруару 2019. године, успешно се спроводи.</w:t>
      </w:r>
    </w:p>
    <w:p w14:paraId="62C7C45D" w14:textId="2B67776B"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Предвиђено је да, током 2021. године, ЕПС промени правни статус и региструје се као </w:t>
      </w:r>
      <w:r w:rsidRPr="00EA3D8C">
        <w:rPr>
          <w:rFonts w:eastAsia="MS PGothic" w:cstheme="minorHAnsi"/>
          <w:szCs w:val="20"/>
          <w:lang w:val="sr-Cyrl-RS" w:eastAsia="ja-JP"/>
        </w:rPr>
        <w:lastRenderedPageBreak/>
        <w:t>акционарско друштво, што је у складу са тренутним процесом реструктурирања и финансијске консолидације компаније, а са циљем да се унапреди профитабилност и професионализује руковођење предузећа. С тим у вези, током последњег квартала 2020. године, објављен је јавни позив за процену вредности основних средстава предузећа. Такође, током 2020. године урађена је анализа тарифног система који би омогућио да предузеће буде у могућности да из редовног пословања сервисира целокупне трошкове пословања, затим трошкове који проистичу из повећаног обима расхода који настају код производње из обновљивих извора енергије, те неопходности за додатним капита</w:t>
      </w:r>
      <w:r w:rsidR="006873BE">
        <w:rPr>
          <w:rFonts w:eastAsia="MS PGothic" w:cstheme="minorHAnsi"/>
          <w:szCs w:val="20"/>
          <w:lang w:val="sr-Cyrl-RS" w:eastAsia="ja-JP"/>
        </w:rPr>
        <w:t>л</w:t>
      </w:r>
      <w:r w:rsidRPr="00EA3D8C">
        <w:rPr>
          <w:rFonts w:eastAsia="MS PGothic" w:cstheme="minorHAnsi"/>
          <w:szCs w:val="20"/>
          <w:lang w:val="sr-Cyrl-RS" w:eastAsia="ja-JP"/>
        </w:rPr>
        <w:t>ним улагањима у постојеће и нове производне капацитете.</w:t>
      </w:r>
    </w:p>
    <w:p w14:paraId="24C518FA"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Услед неопходности адекватне наплате својих потраживања, ЕПС редовно ажурира на веб страници листу 20 највећих дужника предузећа. Такође, предвиђено је да се спроведу све неопходне мере за наплату доспелих потраживања, а која су настала у периоду током трајања ванредног стања.</w:t>
      </w:r>
    </w:p>
    <w:p w14:paraId="385BE598" w14:textId="77777777" w:rsidR="00FE1A26" w:rsidRPr="00EA3D8C" w:rsidRDefault="00FE1A26" w:rsidP="002D1432">
      <w:pPr>
        <w:rPr>
          <w:rFonts w:eastAsia="MS PGothic" w:cstheme="minorHAnsi"/>
          <w:szCs w:val="20"/>
          <w:lang w:val="sr-Cyrl-RS" w:eastAsia="ja-JP"/>
        </w:rPr>
      </w:pPr>
      <w:r w:rsidRPr="00EA3D8C">
        <w:rPr>
          <w:rFonts w:eastAsia="MS PGothic" w:cstheme="minorHAnsi"/>
          <w:i/>
          <w:color w:val="002060"/>
          <w:szCs w:val="20"/>
          <w:lang w:val="sr-Cyrl-RS" w:eastAsia="ja-JP"/>
        </w:rPr>
        <w:t>ЈП „Србијагасˮ.</w:t>
      </w:r>
      <w:r w:rsidRPr="00EA3D8C">
        <w:rPr>
          <w:rFonts w:eastAsia="MS PGothic" w:cstheme="minorHAnsi"/>
          <w:szCs w:val="20"/>
          <w:lang w:val="sr-Cyrl-RS" w:eastAsia="ja-JP"/>
        </w:rPr>
        <w:t xml:space="preserve"> Пандемија и увођење ванредног стања делимично су се одразили на степен наплате потраживања у том периоду. Предузеће редовно ажурира списак 20 највећих дужника на својој веб страници, уз намеру да се предузму све </w:t>
      </w:r>
      <w:r w:rsidRPr="00EA3D8C">
        <w:rPr>
          <w:rFonts w:eastAsia="MS PGothic" w:cstheme="minorHAnsi"/>
          <w:szCs w:val="20"/>
          <w:lang w:val="sr-Cyrl-RS" w:eastAsia="ja-JP"/>
        </w:rPr>
        <w:lastRenderedPageBreak/>
        <w:t>неопходне мере ради наплате доспелих потраживања. Намера предузећа је да до краја 2020. године буде у могућности да самостално сервисира финансијске обавезе настале у периоду 2008-2012. година.</w:t>
      </w:r>
    </w:p>
    <w:p w14:paraId="3883C997" w14:textId="77777777" w:rsidR="00FE1A26" w:rsidRPr="00EA3D8C" w:rsidRDefault="00FE1A26" w:rsidP="00FE1A26">
      <w:pPr>
        <w:jc w:val="left"/>
        <w:rPr>
          <w:b/>
          <w:color w:val="2F5496" w:themeColor="accent1" w:themeShade="BF"/>
          <w:sz w:val="22"/>
          <w:szCs w:val="24"/>
          <w:lang w:val="sr-Cyrl-RS"/>
        </w:rPr>
      </w:pPr>
      <w:r w:rsidRPr="00EA3D8C">
        <w:rPr>
          <w:b/>
          <w:color w:val="2F5496" w:themeColor="accent1" w:themeShade="BF"/>
          <w:sz w:val="22"/>
          <w:szCs w:val="24"/>
          <w:lang w:val="sr-Cyrl-RS"/>
        </w:rPr>
        <w:t>Уплата добити у буџет Републике</w:t>
      </w:r>
    </w:p>
    <w:p w14:paraId="32D989BC"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Уплата добити од стране јавних предузећа и дивиденди друштава капитала у којима држава има власништво представљају значајан део непореских прихода. Од успешности пословања ових предузећа зависи и висина прихода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5E85D001" w14:textId="1B694F28"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Приходи буџета по основу уплате добити јавних предузећа, како редовне, тако и из нераспоређене добити претходних година, на крају 2019. године износили су 2,8 млрд динара, док су исти у првој половини 2020. године износили 187,8 м</w:t>
      </w:r>
      <w:r w:rsidR="006873BE">
        <w:rPr>
          <w:rFonts w:eastAsia="MS PGothic" w:cstheme="minorHAnsi"/>
          <w:szCs w:val="20"/>
          <w:lang w:val="sr-Cyrl-RS" w:eastAsia="ja-JP"/>
        </w:rPr>
        <w:t>ил.</w:t>
      </w:r>
      <w:r w:rsidRPr="00EA3D8C">
        <w:rPr>
          <w:rFonts w:eastAsia="MS PGothic" w:cstheme="minorHAnsi"/>
          <w:szCs w:val="20"/>
          <w:lang w:val="sr-Cyrl-RS" w:eastAsia="ja-JP"/>
        </w:rPr>
        <w:t xml:space="preserve"> динара. Већи приход по овом основу </w:t>
      </w:r>
      <w:r w:rsidR="00C444BE" w:rsidRPr="00EA3D8C">
        <w:rPr>
          <w:rFonts w:eastAsia="MS PGothic" w:cstheme="minorHAnsi"/>
          <w:szCs w:val="20"/>
          <w:lang w:val="sr-Cyrl-RS" w:eastAsia="ja-JP"/>
        </w:rPr>
        <w:t>очекује</w:t>
      </w:r>
      <w:r w:rsidRPr="00EA3D8C">
        <w:rPr>
          <w:rFonts w:eastAsia="MS PGothic" w:cstheme="minorHAnsi"/>
          <w:szCs w:val="20"/>
          <w:lang w:val="sr-Cyrl-RS" w:eastAsia="ja-JP"/>
        </w:rPr>
        <w:t xml:space="preserve"> се у другој половини године.</w:t>
      </w:r>
    </w:p>
    <w:p w14:paraId="4E89A6FB"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Обавеза за јавна предузећа да уплате најмање 50% добити остварене у претходној години прописана је и Законом о буџету Републике Србије за 2020. годину.</w:t>
      </w:r>
    </w:p>
    <w:p w14:paraId="11D7C540" w14:textId="77777777" w:rsidR="00FE1A26" w:rsidRPr="00AA1305" w:rsidRDefault="00FE1A26" w:rsidP="002D1432">
      <w:pPr>
        <w:rPr>
          <w:rFonts w:eastAsia="MS PGothic" w:cstheme="minorHAnsi"/>
          <w:spacing w:val="-2"/>
          <w:szCs w:val="20"/>
          <w:lang w:val="sr-Cyrl-RS" w:eastAsia="ja-JP"/>
        </w:rPr>
      </w:pPr>
      <w:r w:rsidRPr="00AA1305">
        <w:rPr>
          <w:rFonts w:eastAsia="MS PGothic" w:cstheme="minorHAnsi"/>
          <w:spacing w:val="-2"/>
          <w:szCs w:val="20"/>
          <w:lang w:val="sr-Cyrl-RS" w:eastAsia="ja-JP"/>
        </w:rPr>
        <w:t>Ублажавање потенцијалних ризика, који настају као последица пословања јавних предузећа, обухвата низ мера везаних за одговорност, профитабилност и транспарентност у пословању ових предузећа. Почетком 2016. године је усвојен нови Закон о јавним предузећима који ће ојачати структуру управљања и одговорност јавних предузећа. Процеси реструктурирања покренути су у ЈП ЕПС, ЈП „Србијагасˮ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1DB6E877" w14:textId="77777777" w:rsidR="00FE1A26" w:rsidRPr="00EA3D8C" w:rsidRDefault="00FE1A26" w:rsidP="00FE1A26">
      <w:pPr>
        <w:jc w:val="left"/>
        <w:rPr>
          <w:b/>
          <w:color w:val="2F5496" w:themeColor="accent1" w:themeShade="BF"/>
          <w:sz w:val="22"/>
          <w:szCs w:val="24"/>
          <w:lang w:val="sr-Cyrl-RS"/>
        </w:rPr>
      </w:pPr>
      <w:r w:rsidRPr="00EA3D8C">
        <w:rPr>
          <w:b/>
          <w:color w:val="2F5496" w:themeColor="accent1" w:themeShade="BF"/>
          <w:sz w:val="22"/>
          <w:szCs w:val="24"/>
          <w:lang w:val="sr-Cyrl-RS"/>
        </w:rPr>
        <w:t>Државне финансијске институције, банкарски систем и осигурање депозита</w:t>
      </w:r>
    </w:p>
    <w:p w14:paraId="0D00EA43"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Пре периода фискалне консолидације Република Србија имала је значајне фискалне трошкове спашавања државних банака. Укупни трошкови </w:t>
      </w:r>
      <w:r w:rsidRPr="00EA3D8C">
        <w:rPr>
          <w:rFonts w:eastAsia="MS PGothic" w:cstheme="minorHAnsi"/>
          <w:szCs w:val="20"/>
          <w:lang w:val="sr-Cyrl-RS" w:eastAsia="ja-JP"/>
        </w:rPr>
        <w:lastRenderedPageBreak/>
        <w:t>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7727B553"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Република Србија данас у банкарском сектору земље има директан удео у капиталу:</w:t>
      </w:r>
    </w:p>
    <w:p w14:paraId="496418B4" w14:textId="778C3F5C" w:rsidR="00FE1A26" w:rsidRPr="00EA3D8C" w:rsidRDefault="002D1432" w:rsidP="002D1432">
      <w:pPr>
        <w:pStyle w:val="ListParagraph"/>
        <w:numPr>
          <w:ilvl w:val="0"/>
          <w:numId w:val="45"/>
        </w:numPr>
        <w:ind w:left="454" w:hanging="227"/>
        <w:jc w:val="left"/>
        <w:rPr>
          <w:rFonts w:eastAsia="MS PGothic" w:cstheme="minorHAnsi"/>
          <w:szCs w:val="20"/>
          <w:lang w:val="sr-Cyrl-RS" w:eastAsia="ja-JP"/>
        </w:rPr>
      </w:pPr>
      <w:r>
        <w:rPr>
          <w:rFonts w:eastAsia="MS PGothic" w:cstheme="minorHAnsi"/>
          <w:szCs w:val="20"/>
          <w:lang w:val="sr-Cyrl-RS" w:eastAsia="ja-JP"/>
        </w:rPr>
        <w:t>Банке Поштанска штедионица а.</w:t>
      </w:r>
      <w:r w:rsidR="00FE1A26" w:rsidRPr="00EA3D8C">
        <w:rPr>
          <w:rFonts w:eastAsia="MS PGothic" w:cstheme="minorHAnsi"/>
          <w:szCs w:val="20"/>
          <w:lang w:val="sr-Cyrl-RS" w:eastAsia="ja-JP"/>
        </w:rPr>
        <w:t>д. Београд (79,01%),</w:t>
      </w:r>
    </w:p>
    <w:p w14:paraId="20148C6E" w14:textId="1891BCAC" w:rsidR="00FE1A26" w:rsidRPr="00EA3D8C" w:rsidRDefault="002D1432" w:rsidP="002D1432">
      <w:pPr>
        <w:pStyle w:val="ListParagraph"/>
        <w:numPr>
          <w:ilvl w:val="0"/>
          <w:numId w:val="45"/>
        </w:numPr>
        <w:ind w:left="454" w:hanging="227"/>
        <w:jc w:val="left"/>
        <w:rPr>
          <w:rFonts w:eastAsia="MS PGothic" w:cstheme="minorHAnsi"/>
          <w:szCs w:val="20"/>
          <w:lang w:val="sr-Cyrl-RS" w:eastAsia="ja-JP"/>
        </w:rPr>
      </w:pPr>
      <w:r>
        <w:rPr>
          <w:rFonts w:eastAsia="MS PGothic" w:cstheme="minorHAnsi"/>
          <w:szCs w:val="20"/>
          <w:lang w:val="sr-Cyrl-RS" w:eastAsia="ja-JP"/>
        </w:rPr>
        <w:t>Комерцијалне банке а.</w:t>
      </w:r>
      <w:r w:rsidR="00FE1A26" w:rsidRPr="00EA3D8C">
        <w:rPr>
          <w:rFonts w:eastAsia="MS PGothic" w:cstheme="minorHAnsi"/>
          <w:szCs w:val="20"/>
          <w:lang w:val="sr-Cyrl-RS" w:eastAsia="ja-JP"/>
        </w:rPr>
        <w:t>д. Београд (83,23%),</w:t>
      </w:r>
    </w:p>
    <w:p w14:paraId="4F5C2609" w14:textId="6041EE8F" w:rsidR="00FE1A26" w:rsidRPr="00EA3D8C" w:rsidRDefault="00FE1A26" w:rsidP="002D1432">
      <w:pPr>
        <w:pStyle w:val="ListParagraph"/>
        <w:numPr>
          <w:ilvl w:val="0"/>
          <w:numId w:val="45"/>
        </w:numPr>
        <w:ind w:left="454" w:hanging="227"/>
        <w:jc w:val="left"/>
        <w:rPr>
          <w:rFonts w:eastAsia="MS PGothic" w:cstheme="minorHAnsi"/>
          <w:szCs w:val="20"/>
          <w:lang w:val="sr-Cyrl-RS" w:eastAsia="ja-JP"/>
        </w:rPr>
      </w:pPr>
      <w:r w:rsidRPr="00EA3D8C">
        <w:rPr>
          <w:rFonts w:eastAsia="MS PGothic" w:cstheme="minorHAnsi"/>
          <w:szCs w:val="20"/>
          <w:lang w:val="sr-Cyrl-RS" w:eastAsia="ja-JP"/>
        </w:rPr>
        <w:t>Ср</w:t>
      </w:r>
      <w:r w:rsidR="002D1432">
        <w:rPr>
          <w:rFonts w:eastAsia="MS PGothic" w:cstheme="minorHAnsi"/>
          <w:szCs w:val="20"/>
          <w:lang w:val="sr-Cyrl-RS" w:eastAsia="ja-JP"/>
        </w:rPr>
        <w:t>пске банке а.</w:t>
      </w:r>
      <w:r w:rsidRPr="00EA3D8C">
        <w:rPr>
          <w:rFonts w:eastAsia="MS PGothic" w:cstheme="minorHAnsi"/>
          <w:szCs w:val="20"/>
          <w:lang w:val="sr-Cyrl-RS" w:eastAsia="ja-JP"/>
        </w:rPr>
        <w:t>д</w:t>
      </w:r>
      <w:r w:rsidR="002D1432">
        <w:rPr>
          <w:rFonts w:eastAsia="MS PGothic" w:cstheme="minorHAnsi"/>
          <w:szCs w:val="20"/>
          <w:lang w:val="sr-Latn-RS" w:eastAsia="ja-JP"/>
        </w:rPr>
        <w:t>.</w:t>
      </w:r>
      <w:r w:rsidRPr="00EA3D8C">
        <w:rPr>
          <w:rFonts w:eastAsia="MS PGothic" w:cstheme="minorHAnsi"/>
          <w:szCs w:val="20"/>
          <w:lang w:val="sr-Cyrl-RS" w:eastAsia="ja-JP"/>
        </w:rPr>
        <w:t xml:space="preserve"> Београд (76,68%).</w:t>
      </w:r>
    </w:p>
    <w:p w14:paraId="1D2C0B73"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3DC00EFF"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Банка Поштанска штедионица. Уз подршку Светске банке наставиће се са спровођењем стратегије за Банку Поштанска штедионица са нагласком на преусмеравање пословања са становништвом, предузетницима, микропредузећима и малим предузећима; побољшање интерне организације банке, корпоративног управљања и управљања ризиком; јачање ИТ инфраструктуре, као и план пословања за период 2020–2022. године.</w:t>
      </w:r>
    </w:p>
    <w:p w14:paraId="0C0C2CC6" w14:textId="483C9BF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Како би се омогућило ублажавање економских и финансијских последица, насталих услед пандемије болести COVID-19 изазване вирусом SARS-CoV-2, Банци је омогућено да у</w:t>
      </w:r>
      <w:r w:rsidR="000771A0">
        <w:rPr>
          <w:rFonts w:eastAsia="MS PGothic" w:cstheme="minorHAnsi"/>
          <w:szCs w:val="20"/>
          <w:lang w:val="sr-Cyrl-RS" w:eastAsia="ja-JP"/>
        </w:rPr>
        <w:t xml:space="preserve"> потпуности примењује Уредбу о</w:t>
      </w:r>
      <w:r w:rsidRPr="00EA3D8C">
        <w:rPr>
          <w:rFonts w:eastAsia="MS PGothic" w:cstheme="minorHAnsi"/>
          <w:szCs w:val="20"/>
          <w:lang w:val="sr-Cyrl-RS" w:eastAsia="ja-JP"/>
        </w:rPr>
        <w:t xml:space="preserve"> утврђивању гарантне шеме као мера подршке привреди за ублажавање последица пандемије болести COVID-19 изазване вирусом SARS-CоV-2, затим, пласира средства јединицама локалне самоуправе, а елиминисани су и лимити изложености према привредним друштвима која су до тада постојала у случају Банке Поштанска штедионица.</w:t>
      </w:r>
    </w:p>
    <w:p w14:paraId="4A1E5D21"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Комерцијална банка. Процес приватизације Комерцијалне банке је у току и очекује се да ће бити окончан крајем децембра 2020. године. Јавни позив којим Република Србија оглашава </w:t>
      </w:r>
      <w:r w:rsidRPr="00EA3D8C">
        <w:rPr>
          <w:rFonts w:eastAsia="MS PGothic" w:cstheme="minorHAnsi"/>
          <w:szCs w:val="20"/>
          <w:lang w:val="sr-Cyrl-RS" w:eastAsia="ja-JP"/>
        </w:rPr>
        <w:lastRenderedPageBreak/>
        <w:t>продају акција ове банке у непосредном власништву Републике Србије и позива квалификоване инвеститоре да поднесу Изјаву о заинтересованости за учешће на тендеру објављен је дана 31. маја 2019. године. Рок за достављање Изјаве о заинтересованости био је дана 21. јуна 2019. године и примљено је шест Изјава о заинтересованости. Рок за достављање необавезујуће понуде био је дана 6. септембра 2019. године. Јавно отварање необавезујућих понуда одржано је дана 10. септембра 2019. године и Министарство финансија је добило четири важеће необавезујуће понуде. Сва четири понуђача позвана су да учествују у другој фази тендерског поступка. У другој фази тендерског поступка примљене су три важеће обавезујуће понуде. На седници Тендерске комисије Министарства финансија одржане дана 16. децембра 2019. године отворене су три пристигле понуде. Комисија је дана 23. децембра 2019. године, заједно са финансијским саветником, извршила процену обавезујућих понуда и Нова Љубљанска банка д.д. Љубљана је, као најбоље рангирани понуђач, позвана да започне преговоре о закључењу купопродајног уговора. Дана 26. фебруара 2020. године представници Министарства финансија Републике Србије и Нове Љубљанске банке д.д. Љубљана потписали су уговор о куповини акција ове банке у</w:t>
      </w:r>
      <w:r w:rsidRPr="00EA3D8C">
        <w:rPr>
          <w:rFonts w:cstheme="minorHAnsi"/>
          <w:color w:val="auto"/>
          <w:szCs w:val="20"/>
          <w:lang w:val="sr-Cyrl-RS"/>
        </w:rPr>
        <w:t xml:space="preserve"> </w:t>
      </w:r>
      <w:r w:rsidRPr="00EA3D8C">
        <w:rPr>
          <w:rFonts w:eastAsia="MS PGothic" w:cstheme="minorHAnsi"/>
          <w:szCs w:val="20"/>
          <w:lang w:val="sr-Cyrl-RS" w:eastAsia="ja-JP"/>
        </w:rPr>
        <w:t>власништву Републике Србије према којем је 83,23% обичних акција банке продато за 387 мил ЕУР. Процес приватизације Комерцијалне банке требало би да буде завршен до краја децембра 2020. године.</w:t>
      </w:r>
    </w:p>
    <w:p w14:paraId="09E7937B"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Српска банка. У складу са Владином стратегијом за државне банке, формирана је Стручна радна група за трaнсфoрмaциjу Српске банке у спeциjaлизoвaну финансијску институцију за пружање свих врста финансијских услуга и подршке нaмeнскoj индустрији Републике Србије дана 21. јануара 2019. године и почела је са формалним радом у марту 2019. године када је одржана конститутивна седница.</w:t>
      </w:r>
    </w:p>
    <w:p w14:paraId="14119D05"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Реформа прописа који уређују српски финансијски систем</w:t>
      </w:r>
      <w:r w:rsidRPr="00EA3D8C">
        <w:rPr>
          <w:rFonts w:eastAsia="MS PGothic" w:cstheme="minorHAnsi"/>
          <w:szCs w:val="20"/>
          <w:vertAlign w:val="superscript"/>
          <w:lang w:val="sr-Cyrl-RS" w:eastAsia="ja-JP"/>
        </w:rPr>
        <w:footnoteReference w:id="10"/>
      </w:r>
      <w:r w:rsidRPr="00EA3D8C">
        <w:rPr>
          <w:rFonts w:eastAsia="MS PGothic" w:cstheme="minorHAnsi"/>
          <w:szCs w:val="20"/>
          <w:vertAlign w:val="superscript"/>
          <w:lang w:val="sr-Cyrl-RS" w:eastAsia="ja-JP"/>
        </w:rPr>
        <w:t xml:space="preserve"> </w:t>
      </w:r>
      <w:r w:rsidRPr="00EA3D8C">
        <w:rPr>
          <w:rFonts w:eastAsia="MS PGothic" w:cstheme="minorHAnsi"/>
          <w:szCs w:val="20"/>
          <w:lang w:val="sr-Cyrl-RS" w:eastAsia="ja-JP"/>
        </w:rPr>
        <w:t xml:space="preserve">спроведена је фебруара 2015. године. </w:t>
      </w:r>
      <w:r w:rsidRPr="00EA3D8C">
        <w:rPr>
          <w:rFonts w:eastAsia="MS PGothic" w:cstheme="minorHAnsi"/>
          <w:szCs w:val="20"/>
          <w:lang w:val="sr-Cyrl-RS" w:eastAsia="ja-JP"/>
        </w:rPr>
        <w:lastRenderedPageBreak/>
        <w:t>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6873BE">
        <w:rPr>
          <w:rFonts w:eastAsia="MS PGothic" w:cstheme="minorHAnsi"/>
          <w:i/>
          <w:szCs w:val="20"/>
          <w:lang w:val="sr-Cyrl-RS" w:eastAsia="ja-JP"/>
        </w:rPr>
        <w:t>Bank Recovery and Resolution Directive</w:t>
      </w:r>
      <w:r w:rsidRPr="00EA3D8C">
        <w:rPr>
          <w:rFonts w:eastAsia="MS PGothic" w:cstheme="minorHAnsi"/>
          <w:szCs w:val="20"/>
          <w:lang w:val="sr-Cyrl-RS" w:eastAsia="ja-JP"/>
        </w:rPr>
        <w:t xml:space="preserve"> – BRRD)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p>
    <w:p w14:paraId="02C1794D"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w:t>
      </w:r>
      <w:r w:rsidRPr="00EA3D8C">
        <w:rPr>
          <w:rFonts w:eastAsia="MS PGothic" w:cstheme="minorHAnsi"/>
          <w:szCs w:val="20"/>
          <w:lang w:val="sr-Cyrl-RS" w:eastAsia="ja-JP"/>
        </w:rPr>
        <w:lastRenderedPageBreak/>
        <w:t>вредности средстава обезбеђења, развој тржишта проблематичних кредита и др.</w:t>
      </w:r>
    </w:p>
    <w:p w14:paraId="53572017"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прoфeсиoнaлнoг пoнaшaњa лицeнцирaнoг прoцeнитeљa (у јулу 2017. године) који, између осталог, дефинишу основе процене вредности непокретности, поступак вршења процене, претпоставке и чињенице од знaчaja кoje сe мoрajу узeти у oбзир приликoм изрaдe извeштaja прoцeнe, минимални садржај извeштaja o прoцeни и правила прoфeсиoнaлнoг понашања 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 Крајем 2018. године НБС усвојила је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w:t>
      </w:r>
      <w:r w:rsidRPr="00EA3D8C">
        <w:rPr>
          <w:rFonts w:eastAsia="MS PGothic" w:cstheme="minorHAnsi"/>
          <w:szCs w:val="20"/>
          <w:lang w:val="sr-Cyrl-RS" w:eastAsia="ja-JP"/>
        </w:rPr>
        <w:lastRenderedPageBreak/>
        <w:t>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5076F723"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Влада је 27. децембра 2018. године донела Програм зa рeшaвaњe прoблeмaтичних крeдитa за период 2018–2020. године (у даљем тексту: Програм) заједно са Акционим планом за спровођење тог програма чиме је успeшнo испуњен и рeфoрмски циљ унутaр прoгрaмa сaрaдњe сa ММФ и зaцртaн пут зa дaљи успeшaн рaд нa рeшaвaњу питaњa прoблeмaтичних пoтрaживaњa.</w:t>
      </w:r>
    </w:p>
    <w:p w14:paraId="7EF3CFF4" w14:textId="2B042D41"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тзв</w:t>
      </w:r>
      <w:r w:rsidR="006873BE">
        <w:rPr>
          <w:rFonts w:eastAsia="MS PGothic" w:cstheme="minorHAnsi"/>
          <w:szCs w:val="20"/>
          <w:lang w:val="sr-Cyrl-RS" w:eastAsia="ja-JP"/>
        </w:rPr>
        <w:t>.</w:t>
      </w:r>
      <w:r w:rsidRPr="00EA3D8C">
        <w:rPr>
          <w:rFonts w:eastAsia="MS PGothic" w:cstheme="minorHAnsi"/>
          <w:szCs w:val="20"/>
          <w:lang w:val="sr-Cyrl-RS" w:eastAsia="ja-JP"/>
        </w:rPr>
        <w:t xml:space="preserve"> „пилот портфељаˮ, номиналне вредности од око 242 милиона евра, док је дана 30. септембра 2019. године објавила оглас за уступање другог, тзв</w:t>
      </w:r>
      <w:r w:rsidR="006873BE">
        <w:rPr>
          <w:rFonts w:eastAsia="MS PGothic" w:cstheme="minorHAnsi"/>
          <w:szCs w:val="20"/>
          <w:lang w:val="sr-Cyrl-RS" w:eastAsia="ja-JP"/>
        </w:rPr>
        <w:t>.</w:t>
      </w:r>
      <w:r w:rsidRPr="00EA3D8C">
        <w:rPr>
          <w:rFonts w:eastAsia="MS PGothic" w:cstheme="minorHAnsi"/>
          <w:szCs w:val="20"/>
          <w:lang w:val="sr-Cyrl-RS" w:eastAsia="ja-JP"/>
        </w:rPr>
        <w:t xml:space="preserve"> великог портфеља, номиналне вредности од 1,82 милијарде евра. Због ограничавајућих фактора изазваних пандемијом COVID-19 на способност инвеститора да спроведу поступак анализе, отварање обавезујућих понуда извршено је 10. септембра 2020. године, а укупно је примљено пет обавезујућих понуда.</w:t>
      </w:r>
    </w:p>
    <w:p w14:paraId="6A7DC677" w14:textId="2E0D824A"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Имплементација других мера за решавање проблематичних кредита, како из Стратегије за решавање </w:t>
      </w:r>
      <w:r w:rsidR="00F26D56">
        <w:rPr>
          <w:rFonts w:eastAsia="MS PGothic" w:cstheme="minorHAnsi"/>
          <w:szCs w:val="20"/>
          <w:lang w:val="sr-Cyrl-RS" w:eastAsia="ja-JP"/>
        </w:rPr>
        <w:t>проблематичних кредита</w:t>
      </w:r>
      <w:r w:rsidRPr="00EA3D8C">
        <w:rPr>
          <w:rFonts w:eastAsia="MS PGothic" w:cstheme="minorHAnsi"/>
          <w:szCs w:val="20"/>
          <w:lang w:val="sr-Cyrl-RS" w:eastAsia="ja-JP"/>
        </w:rPr>
        <w:t xml:space="preserve">, тако и из </w:t>
      </w:r>
      <w:r w:rsidRPr="00912D11">
        <w:rPr>
          <w:rFonts w:eastAsia="MS PGothic" w:cstheme="minorHAnsi"/>
          <w:szCs w:val="20"/>
          <w:lang w:val="sr-Cyrl-RS" w:eastAsia="ja-JP"/>
        </w:rPr>
        <w:t xml:space="preserve">горепоменутог Програма, наставља да даје резултате. </w:t>
      </w:r>
      <w:r w:rsidRPr="00912D11">
        <w:rPr>
          <w:lang w:val="sr-Cyrl-RS"/>
        </w:rPr>
        <w:t xml:space="preserve">Смањење проблематичних кредита у периоду август 2015. – </w:t>
      </w:r>
      <w:r w:rsidR="00912D11" w:rsidRPr="00912D11">
        <w:rPr>
          <w:lang w:val="sr-Cyrl-RS"/>
        </w:rPr>
        <w:t>септембар</w:t>
      </w:r>
      <w:r w:rsidRPr="00912D11">
        <w:rPr>
          <w:lang w:val="sr-Cyrl-RS"/>
        </w:rPr>
        <w:t xml:space="preserve"> 2020. године износи 33</w:t>
      </w:r>
      <w:r w:rsidR="00912D11" w:rsidRPr="00912D11">
        <w:rPr>
          <w:lang w:val="sr-Latn-RS"/>
        </w:rPr>
        <w:t>3</w:t>
      </w:r>
      <w:r w:rsidR="00912D11" w:rsidRPr="00912D11">
        <w:rPr>
          <w:lang w:val="sr-Cyrl-RS"/>
        </w:rPr>
        <w:t>,0</w:t>
      </w:r>
      <w:r w:rsidRPr="00912D11">
        <w:rPr>
          <w:lang w:val="sr-Cyrl-RS"/>
        </w:rPr>
        <w:t xml:space="preserve"> млрд </w:t>
      </w:r>
      <w:r w:rsidR="00AE096F" w:rsidRPr="00912D11">
        <w:rPr>
          <w:lang w:val="sr-Cyrl-RS"/>
        </w:rPr>
        <w:t>динара</w:t>
      </w:r>
      <w:r w:rsidRPr="00912D11">
        <w:rPr>
          <w:lang w:val="sr-Cyrl-RS"/>
        </w:rPr>
        <w:t xml:space="preserve">, док се резултат Стратегије за </w:t>
      </w:r>
      <w:r w:rsidR="00896B97" w:rsidRPr="00912D11">
        <w:rPr>
          <w:lang w:val="sr-Cyrl-RS"/>
        </w:rPr>
        <w:t>решавање проблематичних кредита</w:t>
      </w:r>
      <w:r w:rsidRPr="00912D11">
        <w:rPr>
          <w:lang w:val="sr-Cyrl-RS"/>
        </w:rPr>
        <w:t xml:space="preserve"> огледа кроз историјски најнижи </w:t>
      </w:r>
      <w:r w:rsidR="00896B97" w:rsidRPr="00912D11">
        <w:rPr>
          <w:lang w:val="sr-Cyrl-RS"/>
        </w:rPr>
        <w:t>удео проблематичних кредита</w:t>
      </w:r>
      <w:r w:rsidRPr="00912D11">
        <w:rPr>
          <w:lang w:val="sr-Cyrl-RS"/>
        </w:rPr>
        <w:t xml:space="preserve"> на крају </w:t>
      </w:r>
      <w:r w:rsidR="00A60DEC" w:rsidRPr="00912D11">
        <w:rPr>
          <w:lang w:val="sr-Cyrl-RS"/>
        </w:rPr>
        <w:t>септембра</w:t>
      </w:r>
      <w:r w:rsidRPr="00912D11">
        <w:rPr>
          <w:lang w:val="sr-Cyrl-RS"/>
        </w:rPr>
        <w:t xml:space="preserve"> 2020. </w:t>
      </w:r>
      <w:r w:rsidRPr="00912D11">
        <w:rPr>
          <w:lang w:val="sr-Cyrl-RS"/>
        </w:rPr>
        <w:lastRenderedPageBreak/>
        <w:t>од 3,</w:t>
      </w:r>
      <w:r w:rsidR="00A60DEC" w:rsidRPr="00912D11">
        <w:rPr>
          <w:lang w:val="sr-Cyrl-RS"/>
        </w:rPr>
        <w:t>4</w:t>
      </w:r>
      <w:r w:rsidRPr="00912D11">
        <w:rPr>
          <w:lang w:val="sr-Cyrl-RS"/>
        </w:rPr>
        <w:t>%. У поређењу са тим показатељем пре примене Стратегије (22,25%) бележи</w:t>
      </w:r>
      <w:r w:rsidRPr="00EA3D8C">
        <w:rPr>
          <w:lang w:val="sr-Cyrl-RS"/>
        </w:rPr>
        <w:t xml:space="preserve"> се импресивно смањење за 18,</w:t>
      </w:r>
      <w:r w:rsidR="00912D11">
        <w:rPr>
          <w:lang w:val="sr-Latn-RS"/>
        </w:rPr>
        <w:t>82</w:t>
      </w:r>
      <w:r w:rsidRPr="00EA3D8C">
        <w:rPr>
          <w:lang w:val="sr-Cyrl-RS"/>
        </w:rPr>
        <w:t xml:space="preserve"> п</w:t>
      </w:r>
      <w:r w:rsidRPr="00EA3D8C">
        <w:rPr>
          <w:rFonts w:eastAsia="MS PGothic" w:cstheme="minorHAnsi"/>
          <w:szCs w:val="20"/>
          <w:lang w:val="sr-Cyrl-RS" w:eastAsia="ja-JP"/>
        </w:rPr>
        <w:t>.</w:t>
      </w:r>
      <w:r w:rsidR="00AE096F">
        <w:rPr>
          <w:rFonts w:eastAsia="MS PGothic" w:cstheme="minorHAnsi"/>
          <w:szCs w:val="20"/>
          <w:lang w:val="sr-Cyrl-RS" w:eastAsia="ja-JP"/>
        </w:rPr>
        <w:t>п.</w:t>
      </w:r>
      <w:r w:rsidRPr="00EA3D8C">
        <w:rPr>
          <w:rFonts w:eastAsia="MS PGothic" w:cstheme="minorHAnsi"/>
          <w:szCs w:val="20"/>
          <w:lang w:val="sr-Cyrl-RS" w:eastAsia="ja-JP"/>
        </w:rPr>
        <w:t xml:space="preserve"> То је конкретна потврда да су мере добро дефинисане и да су дале одличне ефекте.</w:t>
      </w:r>
    </w:p>
    <w:p w14:paraId="7633A2C3" w14:textId="54294178" w:rsidR="00FE1A26" w:rsidRPr="00F725A2" w:rsidRDefault="003A3457" w:rsidP="002D1432">
      <w:pPr>
        <w:rPr>
          <w:rFonts w:eastAsia="MS PGothic" w:cstheme="minorHAnsi"/>
          <w:szCs w:val="20"/>
          <w:lang w:val="sr-Cyrl-RS" w:eastAsia="ja-JP"/>
        </w:rPr>
      </w:pPr>
      <w:r w:rsidRPr="00F725A2">
        <w:rPr>
          <w:rFonts w:eastAsia="MS PGothic" w:cstheme="minorHAnsi"/>
          <w:szCs w:val="20"/>
          <w:lang w:val="sr-Cyrl-RS" w:eastAsia="ja-JP"/>
        </w:rPr>
        <w:t>НБС</w:t>
      </w:r>
      <w:r w:rsidR="00FE1A26" w:rsidRPr="00F725A2">
        <w:rPr>
          <w:rFonts w:eastAsia="MS PGothic" w:cstheme="minorHAnsi"/>
          <w:szCs w:val="20"/>
          <w:lang w:val="sr-Cyrl-RS" w:eastAsia="ja-JP"/>
        </w:rPr>
        <w:t xml:space="preserve">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И покривеност </w:t>
      </w:r>
      <w:r w:rsidR="00896B97" w:rsidRPr="00F725A2">
        <w:rPr>
          <w:rFonts w:eastAsia="MS PGothic" w:cstheme="minorHAnsi"/>
          <w:szCs w:val="20"/>
          <w:lang w:val="sr-Cyrl-RS" w:eastAsia="ja-JP"/>
        </w:rPr>
        <w:t>проблематичних</w:t>
      </w:r>
      <w:r w:rsidR="00FE1A26" w:rsidRPr="00F725A2">
        <w:rPr>
          <w:rFonts w:eastAsia="MS PGothic" w:cstheme="minorHAnsi"/>
          <w:szCs w:val="20"/>
          <w:lang w:val="sr-Cyrl-RS" w:eastAsia="ja-JP"/>
        </w:rPr>
        <w:t xml:space="preserve"> кредита припадајућим исправкама вредности у складу са међународним рачуноводственим стандардима, која је на нивоу од 62%, недвосмислено, уз све друге показатеље здравља финансијског система, потврђује стабилност нашег банкарског сектора.</w:t>
      </w:r>
    </w:p>
    <w:p w14:paraId="35F80362" w14:textId="5524EADF" w:rsidR="00FE1A26" w:rsidRDefault="00FE1A26" w:rsidP="002D1432">
      <w:pPr>
        <w:rPr>
          <w:rFonts w:eastAsia="MS PGothic" w:cstheme="minorHAnsi"/>
          <w:szCs w:val="20"/>
          <w:lang w:val="sr-Cyrl-RS" w:eastAsia="ja-JP"/>
        </w:rPr>
      </w:pPr>
      <w:r w:rsidRPr="00EA3D8C">
        <w:rPr>
          <w:rFonts w:eastAsia="MS PGothic" w:cstheme="minorHAnsi"/>
          <w:szCs w:val="20"/>
          <w:lang w:val="sr-Cyrl-RS"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ниске и стабилне инфлације и релативно</w:t>
      </w:r>
      <w:r w:rsidRPr="00EA3D8C">
        <w:rPr>
          <w:rFonts w:eastAsia="Calibri" w:cstheme="minorHAnsi"/>
          <w:color w:val="auto"/>
          <w:szCs w:val="20"/>
          <w:lang w:val="sr-Cyrl-RS" w:eastAsia="ja-JP"/>
        </w:rPr>
        <w:t xml:space="preserve"> </w:t>
      </w:r>
      <w:r w:rsidRPr="00EA3D8C">
        <w:rPr>
          <w:rFonts w:eastAsia="MS PGothic" w:cstheme="minorHAnsi"/>
          <w:szCs w:val="20"/>
          <w:lang w:val="sr-Cyrl-RS" w:eastAsia="ja-JP"/>
        </w:rPr>
        <w:t xml:space="preserve">стабилног курса. Све су то били кључни фактори за одрживо решавање питања </w:t>
      </w:r>
      <w:r w:rsidR="00896B97">
        <w:rPr>
          <w:rFonts w:eastAsia="MS PGothic" w:cstheme="minorHAnsi"/>
          <w:szCs w:val="20"/>
          <w:lang w:val="sr-Cyrl-RS" w:eastAsia="ja-JP"/>
        </w:rPr>
        <w:t>проблематичних кредита</w:t>
      </w:r>
      <w:r w:rsidRPr="00EA3D8C">
        <w:rPr>
          <w:rFonts w:eastAsia="MS PGothic" w:cstheme="minorHAnsi"/>
          <w:szCs w:val="20"/>
          <w:lang w:val="sr-Cyrl-RS" w:eastAsia="ja-JP"/>
        </w:rPr>
        <w:t xml:space="preserve">. То се јасно види и из чињенице да је у гранама које су и носиоци нашег раста, забележен и највећи пад </w:t>
      </w:r>
      <w:r w:rsidR="00896B97">
        <w:rPr>
          <w:rFonts w:eastAsia="MS PGothic" w:cstheme="minorHAnsi"/>
          <w:szCs w:val="20"/>
          <w:lang w:val="sr-Cyrl-RS" w:eastAsia="ja-JP"/>
        </w:rPr>
        <w:t>проблематичних кредита</w:t>
      </w:r>
      <w:r w:rsidRPr="00EA3D8C">
        <w:rPr>
          <w:rFonts w:eastAsia="MS PGothic" w:cstheme="minorHAnsi"/>
          <w:szCs w:val="20"/>
          <w:lang w:val="sr-Cyrl-RS" w:eastAsia="ja-JP"/>
        </w:rPr>
        <w:t xml:space="preserve"> – што је евидентно у прерађивачкој индустрији и грађевинарству.</w:t>
      </w:r>
    </w:p>
    <w:p w14:paraId="06A699DA"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w:t>
      </w:r>
      <w:r w:rsidRPr="006873BE">
        <w:rPr>
          <w:rFonts w:eastAsia="MS PGothic" w:cstheme="minorHAnsi"/>
          <w:sz w:val="12"/>
          <w:szCs w:val="12"/>
          <w:vertAlign w:val="superscript"/>
          <w:lang w:val="sr-Cyrl-RS" w:eastAsia="ja-JP"/>
        </w:rPr>
        <w:footnoteReference w:id="11"/>
      </w:r>
      <w:r w:rsidRPr="00EA3D8C">
        <w:rPr>
          <w:rFonts w:eastAsia="MS PGothic" w:cstheme="minorHAnsi"/>
          <w:sz w:val="12"/>
          <w:szCs w:val="12"/>
          <w:lang w:val="sr-Cyrl-RS" w:eastAsia="ja-JP"/>
        </w:rPr>
        <w:t xml:space="preserve"> </w:t>
      </w:r>
      <w:r w:rsidRPr="00EA3D8C">
        <w:rPr>
          <w:rFonts w:eastAsia="MS PGothic" w:cstheme="minorHAnsi"/>
          <w:szCs w:val="20"/>
          <w:lang w:val="sr-Cyrl-RS" w:eastAsia="ja-JP"/>
        </w:rPr>
        <w:t>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4068EC1B" w14:textId="7D51C05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као и правним тековинама </w:t>
      </w:r>
      <w:r w:rsidR="00647469" w:rsidRPr="00647469">
        <w:rPr>
          <w:rFonts w:eastAsia="MS PGothic" w:cstheme="minorHAnsi"/>
          <w:szCs w:val="20"/>
          <w:lang w:val="sr-Cyrl-RS" w:eastAsia="ja-JP"/>
        </w:rPr>
        <w:t>ЕУ</w:t>
      </w:r>
      <w:r w:rsidRPr="00EA3D8C">
        <w:rPr>
          <w:rFonts w:eastAsia="MS PGothic" w:cstheme="minorHAnsi"/>
          <w:szCs w:val="20"/>
          <w:lang w:val="sr-Cyrl-RS" w:eastAsia="ja-JP"/>
        </w:rPr>
        <w:t xml:space="preserve"> и то у погледу: метода обрачуна премије (увођење могућности обрачуна премије на основу нивоа ризика у пословању банака), основице за обрачун премије, </w:t>
      </w:r>
      <w:r w:rsidRPr="00EA3D8C">
        <w:rPr>
          <w:rFonts w:eastAsia="MS PGothic" w:cstheme="minorHAnsi"/>
          <w:szCs w:val="20"/>
          <w:lang w:val="sr-Cyrl-RS" w:eastAsia="ja-JP"/>
        </w:rPr>
        <w:lastRenderedPageBreak/>
        <w:t>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w:t>
      </w:r>
      <w:r w:rsidR="006873BE">
        <w:rPr>
          <w:rFonts w:eastAsia="MS PGothic" w:cstheme="minorHAnsi"/>
          <w:szCs w:val="20"/>
          <w:lang w:val="sr-Cyrl-RS" w:eastAsia="ja-JP"/>
        </w:rPr>
        <w:t>ости система осигурања депозита</w:t>
      </w:r>
      <w:r w:rsidRPr="00EA3D8C">
        <w:rPr>
          <w:rFonts w:eastAsia="MS PGothic" w:cstheme="minorHAnsi"/>
          <w:szCs w:val="20"/>
          <w:lang w:val="sr-Cyrl-RS" w:eastAsia="ja-JP"/>
        </w:rPr>
        <w:t>.</w:t>
      </w:r>
    </w:p>
    <w:p w14:paraId="14368C39"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0BAE13F8"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3040B97B"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3E1879DA"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Остварени резултати банкарског сектора Републике Србије на крају 2018. и 2019. године приказују стабилну профитабилност банака. Банкарски сектор Републике Србије је у 2019. години пословао профитабилно, са нето добитком </w:t>
      </w:r>
      <w:r w:rsidRPr="00EA3D8C">
        <w:rPr>
          <w:rFonts w:eastAsia="MS PGothic" w:cstheme="minorHAnsi"/>
          <w:szCs w:val="20"/>
          <w:lang w:val="sr-Cyrl-RS" w:eastAsia="ja-JP"/>
        </w:rPr>
        <w:lastRenderedPageBreak/>
        <w:t>пре опорезивања у износу од 67,7 милијарди динара, што је за 10,6% мање од резултата оствареног на крају 2018. године када је нето добитак пре опорезивања износио 75,7 милијарди динара.</w:t>
      </w:r>
    </w:p>
    <w:p w14:paraId="4C0775B0"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 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На крају 2019. године, просечна вредност показатеља адекватности капитала на нивоу банкарског сектора Републике Србије износи 23,39% (22,26% на крају 2018. године), што је значајно изнад прописаног регулаторног минимума од 8% и више него довољно за покриће свих ризика којима је сектор изложен, што потврђују и макропруденцијални стрес тестови које НБС редовно спроводи.</w:t>
      </w:r>
    </w:p>
    <w:p w14:paraId="553AC471"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болести COVID-19 изазване вирусом SARS-CoV-2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w:t>
      </w:r>
    </w:p>
    <w:p w14:paraId="4A8F0548"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 која су регистрована у АПР Републике Србије и класификована као предузетник, или микро, мало и средње </w:t>
      </w:r>
      <w:r w:rsidRPr="00EA3D8C">
        <w:rPr>
          <w:rFonts w:eastAsia="MS PGothic" w:cstheme="minorHAnsi"/>
          <w:szCs w:val="20"/>
          <w:lang w:val="sr-Cyrl-RS" w:eastAsia="ja-JP"/>
        </w:rPr>
        <w:lastRenderedPageBreak/>
        <w:t>привредно друштво у складу са законом којим се уређује рачуноводство, а чија је ликвидност предуслов функционисања привреде Републике Србије.</w:t>
      </w:r>
    </w:p>
    <w:p w14:paraId="6BCA7A03" w14:textId="18D2ECC9"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Бaнкe мoгу дa зa рeaлизaциjу крeдитa плaсирajу изнoс дo две милијарде eврa, при чему је износ од једне милијарде евра, односно износ иницијалног максималног осигураног портфолија по банкама утврђен сходно тржишном учешћу банке према извештају Н</w:t>
      </w:r>
      <w:r w:rsidR="003A3457" w:rsidRPr="00EA3D8C">
        <w:rPr>
          <w:rFonts w:eastAsia="MS PGothic" w:cstheme="minorHAnsi"/>
          <w:szCs w:val="20"/>
          <w:lang w:val="sr-Cyrl-RS" w:eastAsia="ja-JP"/>
        </w:rPr>
        <w:t>Б</w:t>
      </w:r>
      <w:r w:rsidRPr="00EA3D8C">
        <w:rPr>
          <w:rFonts w:eastAsia="MS PGothic" w:cstheme="minorHAnsi"/>
          <w:szCs w:val="20"/>
          <w:lang w:val="sr-Cyrl-RS" w:eastAsia="ja-JP"/>
        </w:rPr>
        <w:t>С на дан 29. фебруар 2020. године. Н</w:t>
      </w:r>
      <w:r w:rsidR="000E5961">
        <w:rPr>
          <w:rFonts w:eastAsia="MS PGothic" w:cstheme="minorHAnsi"/>
          <w:szCs w:val="20"/>
          <w:lang w:val="sr-Cyrl-RS" w:eastAsia="ja-JP"/>
        </w:rPr>
        <w:t>а</w:t>
      </w:r>
      <w:r w:rsidRPr="00EA3D8C">
        <w:rPr>
          <w:rFonts w:eastAsia="MS PGothic" w:cstheme="minorHAnsi"/>
          <w:szCs w:val="20"/>
          <w:lang w:val="sr-Cyrl-RS" w:eastAsia="ja-JP"/>
        </w:rPr>
        <w:t>к</w:t>
      </w:r>
      <w:r w:rsidR="000E5961">
        <w:rPr>
          <w:rFonts w:eastAsia="MS PGothic" w:cstheme="minorHAnsi"/>
          <w:szCs w:val="20"/>
          <w:lang w:val="sr-Cyrl-RS" w:eastAsia="ja-JP"/>
        </w:rPr>
        <w:t>о</w:t>
      </w:r>
      <w:r w:rsidRPr="00EA3D8C">
        <w:rPr>
          <w:rFonts w:eastAsia="MS PGothic" w:cstheme="minorHAnsi"/>
          <w:szCs w:val="20"/>
          <w:lang w:val="sr-Cyrl-RS" w:eastAsia="ja-JP"/>
        </w:rPr>
        <w:t>н шт</w:t>
      </w:r>
      <w:r w:rsidR="000E5961">
        <w:rPr>
          <w:rFonts w:eastAsia="MS PGothic" w:cstheme="minorHAnsi"/>
          <w:szCs w:val="20"/>
          <w:lang w:val="sr-Cyrl-RS" w:eastAsia="ja-JP"/>
        </w:rPr>
        <w:t>о</w:t>
      </w:r>
      <w:r w:rsidRPr="00EA3D8C">
        <w:rPr>
          <w:rFonts w:eastAsia="MS PGothic" w:cstheme="minorHAnsi"/>
          <w:szCs w:val="20"/>
          <w:lang w:val="sr-Cyrl-RS" w:eastAsia="ja-JP"/>
        </w:rPr>
        <w:t xml:space="preserve"> б</w:t>
      </w:r>
      <w:r w:rsidR="000E5961">
        <w:rPr>
          <w:rFonts w:eastAsia="MS PGothic" w:cstheme="minorHAnsi"/>
          <w:szCs w:val="20"/>
          <w:lang w:val="sr-Cyrl-RS" w:eastAsia="ja-JP"/>
        </w:rPr>
        <w:t>а</w:t>
      </w:r>
      <w:r w:rsidRPr="00EA3D8C">
        <w:rPr>
          <w:rFonts w:eastAsia="MS PGothic" w:cstheme="minorHAnsi"/>
          <w:szCs w:val="20"/>
          <w:lang w:val="sr-Cyrl-RS" w:eastAsia="ja-JP"/>
        </w:rPr>
        <w:t>нк</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д</w:t>
      </w:r>
      <w:r w:rsidR="000E5961">
        <w:rPr>
          <w:rFonts w:eastAsia="MS PGothic" w:cstheme="minorHAnsi"/>
          <w:szCs w:val="20"/>
          <w:lang w:val="sr-Cyrl-RS" w:eastAsia="ja-JP"/>
        </w:rPr>
        <w:t>о</w:t>
      </w:r>
      <w:r w:rsidRPr="00EA3D8C">
        <w:rPr>
          <w:rFonts w:eastAsia="MS PGothic" w:cstheme="minorHAnsi"/>
          <w:szCs w:val="20"/>
          <w:lang w:val="sr-Cyrl-RS" w:eastAsia="ja-JP"/>
        </w:rPr>
        <w:t>стигн</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90% иск</w:t>
      </w:r>
      <w:r w:rsidR="000E5961">
        <w:rPr>
          <w:rFonts w:eastAsia="MS PGothic" w:cstheme="minorHAnsi"/>
          <w:szCs w:val="20"/>
          <w:lang w:val="sr-Cyrl-RS" w:eastAsia="ja-JP"/>
        </w:rPr>
        <w:t>о</w:t>
      </w:r>
      <w:r w:rsidRPr="00EA3D8C">
        <w:rPr>
          <w:rFonts w:eastAsia="MS PGothic" w:cstheme="minorHAnsi"/>
          <w:szCs w:val="20"/>
          <w:lang w:val="sr-Cyrl-RS" w:eastAsia="ja-JP"/>
        </w:rPr>
        <w:t>ришћ</w:t>
      </w:r>
      <w:r w:rsidR="000E5961">
        <w:rPr>
          <w:rFonts w:eastAsia="MS PGothic" w:cstheme="minorHAnsi"/>
          <w:szCs w:val="20"/>
          <w:lang w:val="sr-Cyrl-RS" w:eastAsia="ja-JP"/>
        </w:rPr>
        <w:t>е</w:t>
      </w:r>
      <w:r w:rsidRPr="00EA3D8C">
        <w:rPr>
          <w:rFonts w:eastAsia="MS PGothic" w:cstheme="minorHAnsi"/>
          <w:szCs w:val="20"/>
          <w:lang w:val="sr-Cyrl-RS" w:eastAsia="ja-JP"/>
        </w:rPr>
        <w:t>н</w:t>
      </w:r>
      <w:r w:rsidR="000E5961">
        <w:rPr>
          <w:rFonts w:eastAsia="MS PGothic" w:cstheme="minorHAnsi"/>
          <w:szCs w:val="20"/>
          <w:lang w:val="sr-Cyrl-RS" w:eastAsia="ja-JP"/>
        </w:rPr>
        <w:t>о</w:t>
      </w:r>
      <w:r w:rsidRPr="00EA3D8C">
        <w:rPr>
          <w:rFonts w:eastAsia="MS PGothic" w:cstheme="minorHAnsi"/>
          <w:szCs w:val="20"/>
          <w:lang w:val="sr-Cyrl-RS" w:eastAsia="ja-JP"/>
        </w:rPr>
        <w:t>сти м</w:t>
      </w:r>
      <w:r w:rsidR="000E5961">
        <w:rPr>
          <w:rFonts w:eastAsia="MS PGothic" w:cstheme="minorHAnsi"/>
          <w:szCs w:val="20"/>
          <w:lang w:val="sr-Cyrl-RS" w:eastAsia="ja-JP"/>
        </w:rPr>
        <w:t>а</w:t>
      </w:r>
      <w:r w:rsidRPr="00EA3D8C">
        <w:rPr>
          <w:rFonts w:eastAsia="MS PGothic" w:cstheme="minorHAnsi"/>
          <w:szCs w:val="20"/>
          <w:lang w:val="sr-Cyrl-RS" w:eastAsia="ja-JP"/>
        </w:rPr>
        <w:t>ксим</w:t>
      </w:r>
      <w:r w:rsidR="000E5961">
        <w:rPr>
          <w:rFonts w:eastAsia="MS PGothic" w:cstheme="minorHAnsi"/>
          <w:szCs w:val="20"/>
          <w:lang w:val="sr-Cyrl-RS" w:eastAsia="ja-JP"/>
        </w:rPr>
        <w:t>а</w:t>
      </w:r>
      <w:r w:rsidRPr="00EA3D8C">
        <w:rPr>
          <w:rFonts w:eastAsia="MS PGothic" w:cstheme="minorHAnsi"/>
          <w:szCs w:val="20"/>
          <w:lang w:val="sr-Cyrl-RS" w:eastAsia="ja-JP"/>
        </w:rPr>
        <w:t>лн</w:t>
      </w:r>
      <w:r w:rsidR="000E5961">
        <w:rPr>
          <w:rFonts w:eastAsia="MS PGothic" w:cstheme="minorHAnsi"/>
          <w:szCs w:val="20"/>
          <w:lang w:val="sr-Cyrl-RS" w:eastAsia="ja-JP"/>
        </w:rPr>
        <w:t>о</w:t>
      </w:r>
      <w:r w:rsidRPr="00EA3D8C">
        <w:rPr>
          <w:rFonts w:eastAsia="MS PGothic" w:cstheme="minorHAnsi"/>
          <w:szCs w:val="20"/>
          <w:lang w:val="sr-Cyrl-RS" w:eastAsia="ja-JP"/>
        </w:rPr>
        <w:t xml:space="preserve">г </w:t>
      </w:r>
      <w:r w:rsidR="000E5961">
        <w:rPr>
          <w:rFonts w:eastAsia="MS PGothic" w:cstheme="minorHAnsi"/>
          <w:szCs w:val="20"/>
          <w:lang w:val="sr-Cyrl-RS" w:eastAsia="ja-JP"/>
        </w:rPr>
        <w:t>о</w:t>
      </w:r>
      <w:r w:rsidRPr="00EA3D8C">
        <w:rPr>
          <w:rFonts w:eastAsia="MS PGothic" w:cstheme="minorHAnsi"/>
          <w:szCs w:val="20"/>
          <w:lang w:val="sr-Cyrl-RS" w:eastAsia="ja-JP"/>
        </w:rPr>
        <w:t>сигур</w:t>
      </w:r>
      <w:r w:rsidR="000E5961">
        <w:rPr>
          <w:rFonts w:eastAsia="MS PGothic" w:cstheme="minorHAnsi"/>
          <w:szCs w:val="20"/>
          <w:lang w:val="sr-Cyrl-RS" w:eastAsia="ja-JP"/>
        </w:rPr>
        <w:t>а</w:t>
      </w:r>
      <w:r w:rsidRPr="00EA3D8C">
        <w:rPr>
          <w:rFonts w:eastAsia="MS PGothic" w:cstheme="minorHAnsi"/>
          <w:szCs w:val="20"/>
          <w:lang w:val="sr-Cyrl-RS" w:eastAsia="ja-JP"/>
        </w:rPr>
        <w:t>н</w:t>
      </w:r>
      <w:r w:rsidR="000E5961">
        <w:rPr>
          <w:rFonts w:eastAsia="MS PGothic" w:cstheme="minorHAnsi"/>
          <w:szCs w:val="20"/>
          <w:lang w:val="sr-Cyrl-RS" w:eastAsia="ja-JP"/>
        </w:rPr>
        <w:t>о</w:t>
      </w:r>
      <w:r w:rsidRPr="00EA3D8C">
        <w:rPr>
          <w:rFonts w:eastAsia="MS PGothic" w:cstheme="minorHAnsi"/>
          <w:szCs w:val="20"/>
          <w:lang w:val="sr-Cyrl-RS" w:eastAsia="ja-JP"/>
        </w:rPr>
        <w:t>г п</w:t>
      </w:r>
      <w:r w:rsidR="000E5961">
        <w:rPr>
          <w:rFonts w:eastAsia="MS PGothic" w:cstheme="minorHAnsi"/>
          <w:szCs w:val="20"/>
          <w:lang w:val="sr-Cyrl-RS" w:eastAsia="ja-JP"/>
        </w:rPr>
        <w:t>о</w:t>
      </w:r>
      <w:r w:rsidRPr="00EA3D8C">
        <w:rPr>
          <w:rFonts w:eastAsia="MS PGothic" w:cstheme="minorHAnsi"/>
          <w:szCs w:val="20"/>
          <w:lang w:val="sr-Cyrl-RS" w:eastAsia="ja-JP"/>
        </w:rPr>
        <w:t>ртф</w:t>
      </w:r>
      <w:r w:rsidR="000E5961">
        <w:rPr>
          <w:rFonts w:eastAsia="MS PGothic" w:cstheme="minorHAnsi"/>
          <w:szCs w:val="20"/>
          <w:lang w:val="sr-Cyrl-RS" w:eastAsia="ja-JP"/>
        </w:rPr>
        <w:t>о</w:t>
      </w:r>
      <w:r w:rsidRPr="00EA3D8C">
        <w:rPr>
          <w:rFonts w:eastAsia="MS PGothic" w:cstheme="minorHAnsi"/>
          <w:szCs w:val="20"/>
          <w:lang w:val="sr-Cyrl-RS" w:eastAsia="ja-JP"/>
        </w:rPr>
        <w:t>ли</w:t>
      </w:r>
      <w:r w:rsidR="000E5961">
        <w:rPr>
          <w:rFonts w:eastAsia="MS PGothic" w:cstheme="minorHAnsi"/>
          <w:szCs w:val="20"/>
          <w:lang w:val="sr-Cyrl-RS" w:eastAsia="ja-JP"/>
        </w:rPr>
        <w:t>ја</w:t>
      </w:r>
      <w:r w:rsidRPr="00EA3D8C">
        <w:rPr>
          <w:rFonts w:eastAsia="MS PGothic" w:cstheme="minorHAnsi"/>
          <w:szCs w:val="20"/>
          <w:lang w:val="sr-Cyrl-RS" w:eastAsia="ja-JP"/>
        </w:rPr>
        <w:t>, б</w:t>
      </w:r>
      <w:r w:rsidR="000E5961">
        <w:rPr>
          <w:rFonts w:eastAsia="MS PGothic" w:cstheme="minorHAnsi"/>
          <w:szCs w:val="20"/>
          <w:lang w:val="sr-Cyrl-RS" w:eastAsia="ja-JP"/>
        </w:rPr>
        <w:t>а</w:t>
      </w:r>
      <w:r w:rsidRPr="00EA3D8C">
        <w:rPr>
          <w:rFonts w:eastAsia="MS PGothic" w:cstheme="minorHAnsi"/>
          <w:szCs w:val="20"/>
          <w:lang w:val="sr-Cyrl-RS" w:eastAsia="ja-JP"/>
        </w:rPr>
        <w:t>нк</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м</w:t>
      </w:r>
      <w:r w:rsidR="000E5961">
        <w:rPr>
          <w:rFonts w:eastAsia="MS PGothic" w:cstheme="minorHAnsi"/>
          <w:szCs w:val="20"/>
          <w:lang w:val="sr-Cyrl-RS" w:eastAsia="ja-JP"/>
        </w:rPr>
        <w:t>о</w:t>
      </w:r>
      <w:r w:rsidRPr="00EA3D8C">
        <w:rPr>
          <w:rFonts w:eastAsia="MS PGothic" w:cstheme="minorHAnsi"/>
          <w:szCs w:val="20"/>
          <w:lang w:val="sr-Cyrl-RS" w:eastAsia="ja-JP"/>
        </w:rPr>
        <w:t>ж</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к</w:t>
      </w:r>
      <w:r w:rsidR="000E5961">
        <w:rPr>
          <w:rFonts w:eastAsia="MS PGothic" w:cstheme="minorHAnsi"/>
          <w:szCs w:val="20"/>
          <w:lang w:val="sr-Cyrl-RS" w:eastAsia="ja-JP"/>
        </w:rPr>
        <w:t>о</w:t>
      </w:r>
      <w:r w:rsidRPr="00EA3D8C">
        <w:rPr>
          <w:rFonts w:eastAsia="MS PGothic" w:cstheme="minorHAnsi"/>
          <w:szCs w:val="20"/>
          <w:lang w:val="sr-Cyrl-RS" w:eastAsia="ja-JP"/>
        </w:rPr>
        <w:t>нкурис</w:t>
      </w:r>
      <w:r w:rsidR="000E5961">
        <w:rPr>
          <w:rFonts w:eastAsia="MS PGothic" w:cstheme="minorHAnsi"/>
          <w:szCs w:val="20"/>
          <w:lang w:val="sr-Cyrl-RS" w:eastAsia="ja-JP"/>
        </w:rPr>
        <w:t>а</w:t>
      </w:r>
      <w:r w:rsidRPr="00EA3D8C">
        <w:rPr>
          <w:rFonts w:eastAsia="MS PGothic" w:cstheme="minorHAnsi"/>
          <w:szCs w:val="20"/>
          <w:lang w:val="sr-Cyrl-RS" w:eastAsia="ja-JP"/>
        </w:rPr>
        <w:t>ти з</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повећање његовог лимита из пр</w:t>
      </w:r>
      <w:r w:rsidR="000E5961">
        <w:rPr>
          <w:rFonts w:eastAsia="MS PGothic" w:cstheme="minorHAnsi"/>
          <w:szCs w:val="20"/>
          <w:lang w:val="sr-Cyrl-RS" w:eastAsia="ja-JP"/>
        </w:rPr>
        <w:t>ео</w:t>
      </w:r>
      <w:r w:rsidRPr="00EA3D8C">
        <w:rPr>
          <w:rFonts w:eastAsia="MS PGothic" w:cstheme="minorHAnsi"/>
          <w:szCs w:val="20"/>
          <w:lang w:val="sr-Cyrl-RS" w:eastAsia="ja-JP"/>
        </w:rPr>
        <w:t>ст</w:t>
      </w:r>
      <w:r w:rsidR="000E5961">
        <w:rPr>
          <w:rFonts w:eastAsia="MS PGothic" w:cstheme="minorHAnsi"/>
          <w:szCs w:val="20"/>
          <w:lang w:val="sr-Cyrl-RS" w:eastAsia="ja-JP"/>
        </w:rPr>
        <w:t>а</w:t>
      </w:r>
      <w:r w:rsidRPr="00EA3D8C">
        <w:rPr>
          <w:rFonts w:eastAsia="MS PGothic" w:cstheme="minorHAnsi"/>
          <w:szCs w:val="20"/>
          <w:lang w:val="sr-Cyrl-RS" w:eastAsia="ja-JP"/>
        </w:rPr>
        <w:t>л</w:t>
      </w:r>
      <w:r w:rsidR="000E5961">
        <w:rPr>
          <w:rFonts w:eastAsia="MS PGothic" w:cstheme="minorHAnsi"/>
          <w:szCs w:val="20"/>
          <w:lang w:val="sr-Cyrl-RS" w:eastAsia="ja-JP"/>
        </w:rPr>
        <w:t>о</w:t>
      </w:r>
      <w:r w:rsidRPr="00EA3D8C">
        <w:rPr>
          <w:rFonts w:eastAsia="MS PGothic" w:cstheme="minorHAnsi"/>
          <w:szCs w:val="20"/>
          <w:lang w:val="sr-Cyrl-RS" w:eastAsia="ja-JP"/>
        </w:rPr>
        <w:t>г изн</w:t>
      </w:r>
      <w:r w:rsidR="000E5961">
        <w:rPr>
          <w:rFonts w:eastAsia="MS PGothic" w:cstheme="minorHAnsi"/>
          <w:szCs w:val="20"/>
          <w:lang w:val="sr-Cyrl-RS" w:eastAsia="ja-JP"/>
        </w:rPr>
        <w:t>о</w:t>
      </w:r>
      <w:r w:rsidRPr="00EA3D8C">
        <w:rPr>
          <w:rFonts w:eastAsia="MS PGothic" w:cstheme="minorHAnsi"/>
          <w:szCs w:val="20"/>
          <w:lang w:val="sr-Cyrl-RS" w:eastAsia="ja-JP"/>
        </w:rPr>
        <w:t>с</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ср</w:t>
      </w:r>
      <w:r w:rsidR="000E5961">
        <w:rPr>
          <w:rFonts w:eastAsia="MS PGothic" w:cstheme="minorHAnsi"/>
          <w:szCs w:val="20"/>
          <w:lang w:val="sr-Cyrl-RS" w:eastAsia="ja-JP"/>
        </w:rPr>
        <w:t>е</w:t>
      </w:r>
      <w:r w:rsidRPr="00EA3D8C">
        <w:rPr>
          <w:rFonts w:eastAsia="MS PGothic" w:cstheme="minorHAnsi"/>
          <w:szCs w:val="20"/>
          <w:lang w:val="sr-Cyrl-RS" w:eastAsia="ja-JP"/>
        </w:rPr>
        <w:t>дст</w:t>
      </w:r>
      <w:r w:rsidR="000E5961">
        <w:rPr>
          <w:rFonts w:eastAsia="MS PGothic" w:cstheme="minorHAnsi"/>
          <w:szCs w:val="20"/>
          <w:lang w:val="sr-Cyrl-RS" w:eastAsia="ja-JP"/>
        </w:rPr>
        <w:t>а</w:t>
      </w:r>
      <w:r w:rsidRPr="00EA3D8C">
        <w:rPr>
          <w:rFonts w:eastAsia="MS PGothic" w:cstheme="minorHAnsi"/>
          <w:szCs w:val="20"/>
          <w:lang w:val="sr-Cyrl-RS" w:eastAsia="ja-JP"/>
        </w:rPr>
        <w:t>в</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из г</w:t>
      </w:r>
      <w:r w:rsidR="000E5961">
        <w:rPr>
          <w:rFonts w:eastAsia="MS PGothic" w:cstheme="minorHAnsi"/>
          <w:szCs w:val="20"/>
          <w:lang w:val="sr-Cyrl-RS" w:eastAsia="ja-JP"/>
        </w:rPr>
        <w:t>а</w:t>
      </w:r>
      <w:r w:rsidRPr="00EA3D8C">
        <w:rPr>
          <w:rFonts w:eastAsia="MS PGothic" w:cstheme="minorHAnsi"/>
          <w:szCs w:val="20"/>
          <w:lang w:val="sr-Cyrl-RS" w:eastAsia="ja-JP"/>
        </w:rPr>
        <w:t>р</w:t>
      </w:r>
      <w:r w:rsidR="000E5961">
        <w:rPr>
          <w:rFonts w:eastAsia="MS PGothic" w:cstheme="minorHAnsi"/>
          <w:szCs w:val="20"/>
          <w:lang w:val="sr-Cyrl-RS" w:eastAsia="ja-JP"/>
        </w:rPr>
        <w:t>а</w:t>
      </w:r>
      <w:r w:rsidRPr="00EA3D8C">
        <w:rPr>
          <w:rFonts w:eastAsia="MS PGothic" w:cstheme="minorHAnsi"/>
          <w:szCs w:val="20"/>
          <w:lang w:val="sr-Cyrl-RS" w:eastAsia="ja-JP"/>
        </w:rPr>
        <w:t>нтн</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ш</w:t>
      </w:r>
      <w:r w:rsidR="000E5961">
        <w:rPr>
          <w:rFonts w:eastAsia="MS PGothic" w:cstheme="minorHAnsi"/>
          <w:szCs w:val="20"/>
          <w:lang w:val="sr-Cyrl-RS" w:eastAsia="ja-JP"/>
        </w:rPr>
        <w:t>е</w:t>
      </w:r>
      <w:r w:rsidRPr="00EA3D8C">
        <w:rPr>
          <w:rFonts w:eastAsia="MS PGothic" w:cstheme="minorHAnsi"/>
          <w:szCs w:val="20"/>
          <w:lang w:val="sr-Cyrl-RS" w:eastAsia="ja-JP"/>
        </w:rPr>
        <w:t>м</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п</w:t>
      </w:r>
      <w:r w:rsidR="000E5961">
        <w:rPr>
          <w:rFonts w:eastAsia="MS PGothic" w:cstheme="minorHAnsi"/>
          <w:szCs w:val="20"/>
          <w:lang w:val="sr-Cyrl-RS" w:eastAsia="ja-JP"/>
        </w:rPr>
        <w:t>о</w:t>
      </w:r>
      <w:r w:rsidRPr="00EA3D8C">
        <w:rPr>
          <w:rFonts w:eastAsia="MS PGothic" w:cstheme="minorHAnsi"/>
          <w:szCs w:val="20"/>
          <w:lang w:val="sr-Cyrl-RS" w:eastAsia="ja-JP"/>
        </w:rPr>
        <w:t xml:space="preserve"> истим усл</w:t>
      </w:r>
      <w:r w:rsidR="000E5961">
        <w:rPr>
          <w:rFonts w:eastAsia="MS PGothic" w:cstheme="minorHAnsi"/>
          <w:szCs w:val="20"/>
          <w:lang w:val="sr-Cyrl-RS" w:eastAsia="ja-JP"/>
        </w:rPr>
        <w:t>о</w:t>
      </w:r>
      <w:r w:rsidRPr="00EA3D8C">
        <w:rPr>
          <w:rFonts w:eastAsia="MS PGothic" w:cstheme="minorHAnsi"/>
          <w:szCs w:val="20"/>
          <w:lang w:val="sr-Cyrl-RS" w:eastAsia="ja-JP"/>
        </w:rPr>
        <w:t>вим</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з</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п</w:t>
      </w:r>
      <w:r w:rsidR="000E5961">
        <w:rPr>
          <w:rFonts w:eastAsia="MS PGothic" w:cstheme="minorHAnsi"/>
          <w:szCs w:val="20"/>
          <w:lang w:val="sr-Cyrl-RS" w:eastAsia="ja-JP"/>
        </w:rPr>
        <w:t>о</w:t>
      </w:r>
      <w:r w:rsidRPr="00EA3D8C">
        <w:rPr>
          <w:rFonts w:eastAsia="MS PGothic" w:cstheme="minorHAnsi"/>
          <w:szCs w:val="20"/>
          <w:lang w:val="sr-Cyrl-RS" w:eastAsia="ja-JP"/>
        </w:rPr>
        <w:t>в</w:t>
      </w:r>
      <w:r w:rsidR="000E5961">
        <w:rPr>
          <w:rFonts w:eastAsia="MS PGothic" w:cstheme="minorHAnsi"/>
          <w:szCs w:val="20"/>
          <w:lang w:val="sr-Cyrl-RS" w:eastAsia="ja-JP"/>
        </w:rPr>
        <w:t>е</w:t>
      </w:r>
      <w:r w:rsidRPr="00EA3D8C">
        <w:rPr>
          <w:rFonts w:eastAsia="MS PGothic" w:cstheme="minorHAnsi"/>
          <w:szCs w:val="20"/>
          <w:lang w:val="sr-Cyrl-RS" w:eastAsia="ja-JP"/>
        </w:rPr>
        <w:t>ћ</w:t>
      </w:r>
      <w:r w:rsidR="000E5961">
        <w:rPr>
          <w:rFonts w:eastAsia="MS PGothic" w:cstheme="minorHAnsi"/>
          <w:szCs w:val="20"/>
          <w:lang w:val="sr-Cyrl-RS" w:eastAsia="ja-JP"/>
        </w:rPr>
        <w:t>а</w:t>
      </w:r>
      <w:r w:rsidRPr="00EA3D8C">
        <w:rPr>
          <w:rFonts w:eastAsia="MS PGothic" w:cstheme="minorHAnsi"/>
          <w:szCs w:val="20"/>
          <w:lang w:val="sr-Cyrl-RS" w:eastAsia="ja-JP"/>
        </w:rPr>
        <w:t>њ</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м</w:t>
      </w:r>
      <w:r w:rsidR="000E5961">
        <w:rPr>
          <w:rFonts w:eastAsia="MS PGothic" w:cstheme="minorHAnsi"/>
          <w:szCs w:val="20"/>
          <w:lang w:val="sr-Cyrl-RS" w:eastAsia="ja-JP"/>
        </w:rPr>
        <w:t>а</w:t>
      </w:r>
      <w:r w:rsidRPr="00EA3D8C">
        <w:rPr>
          <w:rFonts w:eastAsia="MS PGothic" w:cstheme="minorHAnsi"/>
          <w:szCs w:val="20"/>
          <w:lang w:val="sr-Cyrl-RS" w:eastAsia="ja-JP"/>
        </w:rPr>
        <w:t>ксим</w:t>
      </w:r>
      <w:r w:rsidR="000E5961">
        <w:rPr>
          <w:rFonts w:eastAsia="MS PGothic" w:cstheme="minorHAnsi"/>
          <w:szCs w:val="20"/>
          <w:lang w:val="sr-Cyrl-RS" w:eastAsia="ja-JP"/>
        </w:rPr>
        <w:t>а</w:t>
      </w:r>
      <w:r w:rsidRPr="00EA3D8C">
        <w:rPr>
          <w:rFonts w:eastAsia="MS PGothic" w:cstheme="minorHAnsi"/>
          <w:szCs w:val="20"/>
          <w:lang w:val="sr-Cyrl-RS" w:eastAsia="ja-JP"/>
        </w:rPr>
        <w:t>лн</w:t>
      </w:r>
      <w:r w:rsidR="000E5961">
        <w:rPr>
          <w:rFonts w:eastAsia="MS PGothic" w:cstheme="minorHAnsi"/>
          <w:szCs w:val="20"/>
          <w:lang w:val="sr-Cyrl-RS" w:eastAsia="ja-JP"/>
        </w:rPr>
        <w:t>о</w:t>
      </w:r>
      <w:r w:rsidRPr="00EA3D8C">
        <w:rPr>
          <w:rFonts w:eastAsia="MS PGothic" w:cstheme="minorHAnsi"/>
          <w:szCs w:val="20"/>
          <w:lang w:val="sr-Cyrl-RS" w:eastAsia="ja-JP"/>
        </w:rPr>
        <w:t xml:space="preserve">г </w:t>
      </w:r>
      <w:r w:rsidR="000E5961">
        <w:rPr>
          <w:rFonts w:eastAsia="MS PGothic" w:cstheme="minorHAnsi"/>
          <w:szCs w:val="20"/>
          <w:lang w:val="sr-Cyrl-RS" w:eastAsia="ja-JP"/>
        </w:rPr>
        <w:t>о</w:t>
      </w:r>
      <w:r w:rsidRPr="00EA3D8C">
        <w:rPr>
          <w:rFonts w:eastAsia="MS PGothic" w:cstheme="minorHAnsi"/>
          <w:szCs w:val="20"/>
          <w:lang w:val="sr-Cyrl-RS" w:eastAsia="ja-JP"/>
        </w:rPr>
        <w:t>сигур</w:t>
      </w:r>
      <w:r w:rsidR="000E5961">
        <w:rPr>
          <w:rFonts w:eastAsia="MS PGothic" w:cstheme="minorHAnsi"/>
          <w:szCs w:val="20"/>
          <w:lang w:val="sr-Cyrl-RS" w:eastAsia="ja-JP"/>
        </w:rPr>
        <w:t>а</w:t>
      </w:r>
      <w:r w:rsidRPr="00EA3D8C">
        <w:rPr>
          <w:rFonts w:eastAsia="MS PGothic" w:cstheme="minorHAnsi"/>
          <w:szCs w:val="20"/>
          <w:lang w:val="sr-Cyrl-RS" w:eastAsia="ja-JP"/>
        </w:rPr>
        <w:t>н</w:t>
      </w:r>
      <w:r w:rsidR="000E5961">
        <w:rPr>
          <w:rFonts w:eastAsia="MS PGothic" w:cstheme="minorHAnsi"/>
          <w:szCs w:val="20"/>
          <w:lang w:val="sr-Cyrl-RS" w:eastAsia="ja-JP"/>
        </w:rPr>
        <w:t>о</w:t>
      </w:r>
      <w:r w:rsidRPr="00EA3D8C">
        <w:rPr>
          <w:rFonts w:eastAsia="MS PGothic" w:cstheme="minorHAnsi"/>
          <w:szCs w:val="20"/>
          <w:lang w:val="sr-Cyrl-RS" w:eastAsia="ja-JP"/>
        </w:rPr>
        <w:t>г п</w:t>
      </w:r>
      <w:r w:rsidR="000E5961">
        <w:rPr>
          <w:rFonts w:eastAsia="MS PGothic" w:cstheme="minorHAnsi"/>
          <w:szCs w:val="20"/>
          <w:lang w:val="sr-Cyrl-RS" w:eastAsia="ja-JP"/>
        </w:rPr>
        <w:t>о</w:t>
      </w:r>
      <w:r w:rsidRPr="00EA3D8C">
        <w:rPr>
          <w:rFonts w:eastAsia="MS PGothic" w:cstheme="minorHAnsi"/>
          <w:szCs w:val="20"/>
          <w:lang w:val="sr-Cyrl-RS" w:eastAsia="ja-JP"/>
        </w:rPr>
        <w:t>ртф</w:t>
      </w:r>
      <w:r w:rsidR="000E5961">
        <w:rPr>
          <w:rFonts w:eastAsia="MS PGothic" w:cstheme="minorHAnsi"/>
          <w:szCs w:val="20"/>
          <w:lang w:val="sr-Cyrl-RS" w:eastAsia="ja-JP"/>
        </w:rPr>
        <w:t>о</w:t>
      </w:r>
      <w:r w:rsidRPr="00EA3D8C">
        <w:rPr>
          <w:rFonts w:eastAsia="MS PGothic" w:cstheme="minorHAnsi"/>
          <w:szCs w:val="20"/>
          <w:lang w:val="sr-Cyrl-RS" w:eastAsia="ja-JP"/>
        </w:rPr>
        <w:t>ли</w:t>
      </w:r>
      <w:r w:rsidR="000E5961">
        <w:rPr>
          <w:rFonts w:eastAsia="MS PGothic" w:cstheme="minorHAnsi"/>
          <w:szCs w:val="20"/>
          <w:lang w:val="sr-Cyrl-RS" w:eastAsia="ja-JP"/>
        </w:rPr>
        <w:t>ја</w:t>
      </w:r>
      <w:r w:rsidRPr="00EA3D8C">
        <w:rPr>
          <w:rFonts w:eastAsia="MS PGothic" w:cstheme="minorHAnsi"/>
          <w:szCs w:val="20"/>
          <w:lang w:val="sr-Cyrl-RS" w:eastAsia="ja-JP"/>
        </w:rPr>
        <w:t xml:space="preserve"> н</w:t>
      </w:r>
      <w:r w:rsidR="000E5961">
        <w:rPr>
          <w:rFonts w:eastAsia="MS PGothic" w:cstheme="minorHAnsi"/>
          <w:szCs w:val="20"/>
          <w:lang w:val="sr-Cyrl-RS" w:eastAsia="ja-JP"/>
        </w:rPr>
        <w:t>ео</w:t>
      </w:r>
      <w:r w:rsidRPr="00EA3D8C">
        <w:rPr>
          <w:rFonts w:eastAsia="MS PGothic" w:cstheme="minorHAnsi"/>
          <w:szCs w:val="20"/>
          <w:lang w:val="sr-Cyrl-RS" w:eastAsia="ja-JP"/>
        </w:rPr>
        <w:t>гр</w:t>
      </w:r>
      <w:r w:rsidR="000E5961">
        <w:rPr>
          <w:rFonts w:eastAsia="MS PGothic" w:cstheme="minorHAnsi"/>
          <w:szCs w:val="20"/>
          <w:lang w:val="sr-Cyrl-RS" w:eastAsia="ja-JP"/>
        </w:rPr>
        <w:t>а</w:t>
      </w:r>
      <w:r w:rsidRPr="00EA3D8C">
        <w:rPr>
          <w:rFonts w:eastAsia="MS PGothic" w:cstheme="minorHAnsi"/>
          <w:szCs w:val="20"/>
          <w:lang w:val="sr-Cyrl-RS" w:eastAsia="ja-JP"/>
        </w:rPr>
        <w:t>нич</w:t>
      </w:r>
      <w:r w:rsidR="000E5961">
        <w:rPr>
          <w:rFonts w:eastAsia="MS PGothic" w:cstheme="minorHAnsi"/>
          <w:szCs w:val="20"/>
          <w:lang w:val="sr-Cyrl-RS" w:eastAsia="ja-JP"/>
        </w:rPr>
        <w:t>е</w:t>
      </w:r>
      <w:r w:rsidRPr="00EA3D8C">
        <w:rPr>
          <w:rFonts w:eastAsia="MS PGothic" w:cstheme="minorHAnsi"/>
          <w:szCs w:val="20"/>
          <w:lang w:val="sr-Cyrl-RS" w:eastAsia="ja-JP"/>
        </w:rPr>
        <w:t>н бр</w:t>
      </w:r>
      <w:r w:rsidR="000E5961">
        <w:rPr>
          <w:rFonts w:eastAsia="MS PGothic" w:cstheme="minorHAnsi"/>
          <w:szCs w:val="20"/>
          <w:lang w:val="sr-Cyrl-RS" w:eastAsia="ja-JP"/>
        </w:rPr>
        <w:t>ој</w:t>
      </w:r>
      <w:r w:rsidRPr="00EA3D8C">
        <w:rPr>
          <w:rFonts w:eastAsia="MS PGothic" w:cstheme="minorHAnsi"/>
          <w:szCs w:val="20"/>
          <w:lang w:val="sr-Cyrl-RS" w:eastAsia="ja-JP"/>
        </w:rPr>
        <w:t xml:space="preserve"> пут</w:t>
      </w:r>
      <w:r w:rsidR="000E5961">
        <w:rPr>
          <w:rFonts w:eastAsia="MS PGothic" w:cstheme="minorHAnsi"/>
          <w:szCs w:val="20"/>
          <w:lang w:val="sr-Cyrl-RS" w:eastAsia="ja-JP"/>
        </w:rPr>
        <w:t>а</w:t>
      </w:r>
      <w:r w:rsidRPr="00EA3D8C">
        <w:rPr>
          <w:rFonts w:eastAsia="MS PGothic" w:cstheme="minorHAnsi"/>
          <w:szCs w:val="20"/>
          <w:lang w:val="sr-Cyrl-RS" w:eastAsia="ja-JP"/>
        </w:rPr>
        <w:t>, с тим д</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св</w:t>
      </w:r>
      <w:r w:rsidR="000E5961">
        <w:rPr>
          <w:rFonts w:eastAsia="MS PGothic" w:cstheme="minorHAnsi"/>
          <w:szCs w:val="20"/>
          <w:lang w:val="sr-Cyrl-RS" w:eastAsia="ja-JP"/>
        </w:rPr>
        <w:t>а</w:t>
      </w:r>
      <w:r w:rsidRPr="00EA3D8C">
        <w:rPr>
          <w:rFonts w:eastAsia="MS PGothic" w:cstheme="minorHAnsi"/>
          <w:szCs w:val="20"/>
          <w:lang w:val="sr-Cyrl-RS" w:eastAsia="ja-JP"/>
        </w:rPr>
        <w:t>ки п</w:t>
      </w:r>
      <w:r w:rsidR="000E5961">
        <w:rPr>
          <w:rFonts w:eastAsia="MS PGothic" w:cstheme="minorHAnsi"/>
          <w:szCs w:val="20"/>
          <w:lang w:val="sr-Cyrl-RS" w:eastAsia="ja-JP"/>
        </w:rPr>
        <w:t>оје</w:t>
      </w:r>
      <w:r w:rsidRPr="00EA3D8C">
        <w:rPr>
          <w:rFonts w:eastAsia="MS PGothic" w:cstheme="minorHAnsi"/>
          <w:szCs w:val="20"/>
          <w:lang w:val="sr-Cyrl-RS" w:eastAsia="ja-JP"/>
        </w:rPr>
        <w:t>дин</w:t>
      </w:r>
      <w:r w:rsidR="000E5961">
        <w:rPr>
          <w:rFonts w:eastAsia="MS PGothic" w:cstheme="minorHAnsi"/>
          <w:szCs w:val="20"/>
          <w:lang w:val="sr-Cyrl-RS" w:eastAsia="ja-JP"/>
        </w:rPr>
        <w:t>а</w:t>
      </w:r>
      <w:r w:rsidRPr="00EA3D8C">
        <w:rPr>
          <w:rFonts w:eastAsia="MS PGothic" w:cstheme="minorHAnsi"/>
          <w:szCs w:val="20"/>
          <w:lang w:val="sr-Cyrl-RS" w:eastAsia="ja-JP"/>
        </w:rPr>
        <w:t>чн</w:t>
      </w:r>
      <w:r w:rsidR="000E5961">
        <w:rPr>
          <w:rFonts w:eastAsia="MS PGothic" w:cstheme="minorHAnsi"/>
          <w:szCs w:val="20"/>
          <w:lang w:val="sr-Cyrl-RS" w:eastAsia="ja-JP"/>
        </w:rPr>
        <w:t>и</w:t>
      </w:r>
      <w:r w:rsidRPr="00EA3D8C">
        <w:rPr>
          <w:rFonts w:eastAsia="MS PGothic" w:cstheme="minorHAnsi"/>
          <w:szCs w:val="20"/>
          <w:lang w:val="sr-Cyrl-RS" w:eastAsia="ja-JP"/>
        </w:rPr>
        <w:t xml:space="preserve"> з</w:t>
      </w:r>
      <w:r w:rsidR="000E5961">
        <w:rPr>
          <w:rFonts w:eastAsia="MS PGothic" w:cstheme="minorHAnsi"/>
          <w:szCs w:val="20"/>
          <w:lang w:val="sr-Cyrl-RS" w:eastAsia="ja-JP"/>
        </w:rPr>
        <w:t>а</w:t>
      </w:r>
      <w:r w:rsidRPr="00EA3D8C">
        <w:rPr>
          <w:rFonts w:eastAsia="MS PGothic" w:cstheme="minorHAnsi"/>
          <w:szCs w:val="20"/>
          <w:lang w:val="sr-Cyrl-RS" w:eastAsia="ja-JP"/>
        </w:rPr>
        <w:t>хт</w:t>
      </w:r>
      <w:r w:rsidR="000E5961">
        <w:rPr>
          <w:rFonts w:eastAsia="MS PGothic" w:cstheme="minorHAnsi"/>
          <w:szCs w:val="20"/>
          <w:lang w:val="sr-Cyrl-RS" w:eastAsia="ja-JP"/>
        </w:rPr>
        <w:t>е</w:t>
      </w:r>
      <w:r w:rsidRPr="00EA3D8C">
        <w:rPr>
          <w:rFonts w:eastAsia="MS PGothic" w:cstheme="minorHAnsi"/>
          <w:szCs w:val="20"/>
          <w:lang w:val="sr-Cyrl-RS" w:eastAsia="ja-JP"/>
        </w:rPr>
        <w:t>в н</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м</w:t>
      </w:r>
      <w:r w:rsidR="000E5961">
        <w:rPr>
          <w:rFonts w:eastAsia="MS PGothic" w:cstheme="minorHAnsi"/>
          <w:szCs w:val="20"/>
          <w:lang w:val="sr-Cyrl-RS" w:eastAsia="ja-JP"/>
        </w:rPr>
        <w:t>о</w:t>
      </w:r>
      <w:r w:rsidRPr="00EA3D8C">
        <w:rPr>
          <w:rFonts w:eastAsia="MS PGothic" w:cstheme="minorHAnsi"/>
          <w:szCs w:val="20"/>
          <w:lang w:val="sr-Cyrl-RS" w:eastAsia="ja-JP"/>
        </w:rPr>
        <w:t>ж</w:t>
      </w:r>
      <w:r w:rsidR="000E5961">
        <w:rPr>
          <w:rFonts w:eastAsia="MS PGothic" w:cstheme="minorHAnsi"/>
          <w:szCs w:val="20"/>
          <w:lang w:val="sr-Cyrl-RS" w:eastAsia="ja-JP"/>
        </w:rPr>
        <w:t>е</w:t>
      </w:r>
      <w:r w:rsidRPr="00EA3D8C">
        <w:rPr>
          <w:rFonts w:eastAsia="MS PGothic" w:cstheme="minorHAnsi"/>
          <w:szCs w:val="20"/>
          <w:lang w:val="sr-Cyrl-RS" w:eastAsia="ja-JP"/>
        </w:rPr>
        <w:t xml:space="preserve"> бити м</w:t>
      </w:r>
      <w:r w:rsidR="000E5961">
        <w:rPr>
          <w:rFonts w:eastAsia="MS PGothic" w:cstheme="minorHAnsi"/>
          <w:szCs w:val="20"/>
          <w:lang w:val="sr-Cyrl-RS" w:eastAsia="ja-JP"/>
        </w:rPr>
        <w:t>а</w:t>
      </w:r>
      <w:r w:rsidRPr="00EA3D8C">
        <w:rPr>
          <w:rFonts w:eastAsia="MS PGothic" w:cstheme="minorHAnsi"/>
          <w:szCs w:val="20"/>
          <w:lang w:val="sr-Cyrl-RS" w:eastAsia="ja-JP"/>
        </w:rPr>
        <w:t xml:space="preserve">њи </w:t>
      </w:r>
      <w:r w:rsidR="000E5961">
        <w:rPr>
          <w:rFonts w:eastAsia="MS PGothic" w:cstheme="minorHAnsi"/>
          <w:szCs w:val="20"/>
          <w:lang w:val="sr-Cyrl-RS" w:eastAsia="ja-JP"/>
        </w:rPr>
        <w:t>о</w:t>
      </w:r>
      <w:r w:rsidRPr="00EA3D8C">
        <w:rPr>
          <w:rFonts w:eastAsia="MS PGothic" w:cstheme="minorHAnsi"/>
          <w:szCs w:val="20"/>
          <w:lang w:val="sr-Cyrl-RS" w:eastAsia="ja-JP"/>
        </w:rPr>
        <w:t>д п</w:t>
      </w:r>
      <w:r w:rsidR="000E5961">
        <w:rPr>
          <w:rFonts w:eastAsia="MS PGothic" w:cstheme="minorHAnsi"/>
          <w:szCs w:val="20"/>
          <w:lang w:val="sr-Cyrl-RS" w:eastAsia="ja-JP"/>
        </w:rPr>
        <w:t>е</w:t>
      </w:r>
      <w:r w:rsidRPr="00EA3D8C">
        <w:rPr>
          <w:rFonts w:eastAsia="MS PGothic" w:cstheme="minorHAnsi"/>
          <w:szCs w:val="20"/>
          <w:lang w:val="sr-Cyrl-RS" w:eastAsia="ja-JP"/>
        </w:rPr>
        <w:t>т мили</w:t>
      </w:r>
      <w:r w:rsidR="000E5961">
        <w:rPr>
          <w:rFonts w:eastAsia="MS PGothic" w:cstheme="minorHAnsi"/>
          <w:szCs w:val="20"/>
          <w:lang w:val="sr-Cyrl-RS" w:eastAsia="ja-JP"/>
        </w:rPr>
        <w:t>о</w:t>
      </w:r>
      <w:r w:rsidRPr="00EA3D8C">
        <w:rPr>
          <w:rFonts w:eastAsia="MS PGothic" w:cstheme="minorHAnsi"/>
          <w:szCs w:val="20"/>
          <w:lang w:val="sr-Cyrl-RS" w:eastAsia="ja-JP"/>
        </w:rPr>
        <w:t>н</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w:t>
      </w:r>
      <w:r w:rsidR="000E5961">
        <w:rPr>
          <w:rFonts w:eastAsia="MS PGothic" w:cstheme="minorHAnsi"/>
          <w:szCs w:val="20"/>
          <w:lang w:val="sr-Cyrl-RS" w:eastAsia="ja-JP"/>
        </w:rPr>
        <w:t>е</w:t>
      </w:r>
      <w:r w:rsidRPr="00EA3D8C">
        <w:rPr>
          <w:rFonts w:eastAsia="MS PGothic" w:cstheme="minorHAnsi"/>
          <w:szCs w:val="20"/>
          <w:lang w:val="sr-Cyrl-RS" w:eastAsia="ja-JP"/>
        </w:rPr>
        <w:t>вр</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нити в</w:t>
      </w:r>
      <w:r w:rsidR="000E5961">
        <w:rPr>
          <w:rFonts w:eastAsia="MS PGothic" w:cstheme="minorHAnsi"/>
          <w:szCs w:val="20"/>
          <w:lang w:val="sr-Cyrl-RS" w:eastAsia="ja-JP"/>
        </w:rPr>
        <w:t>е</w:t>
      </w:r>
      <w:r w:rsidRPr="00EA3D8C">
        <w:rPr>
          <w:rFonts w:eastAsia="MS PGothic" w:cstheme="minorHAnsi"/>
          <w:szCs w:val="20"/>
          <w:lang w:val="sr-Cyrl-RS" w:eastAsia="ja-JP"/>
        </w:rPr>
        <w:t xml:space="preserve">ћи </w:t>
      </w:r>
      <w:r w:rsidR="000E5961">
        <w:rPr>
          <w:rFonts w:eastAsia="MS PGothic" w:cstheme="minorHAnsi"/>
          <w:szCs w:val="20"/>
          <w:lang w:val="sr-Cyrl-RS" w:eastAsia="ja-JP"/>
        </w:rPr>
        <w:t>о</w:t>
      </w:r>
      <w:r w:rsidRPr="00EA3D8C">
        <w:rPr>
          <w:rFonts w:eastAsia="MS PGothic" w:cstheme="minorHAnsi"/>
          <w:szCs w:val="20"/>
          <w:lang w:val="sr-Cyrl-RS" w:eastAsia="ja-JP"/>
        </w:rPr>
        <w:t>д 25 мили</w:t>
      </w:r>
      <w:r w:rsidR="000E5961">
        <w:rPr>
          <w:rFonts w:eastAsia="MS PGothic" w:cstheme="minorHAnsi"/>
          <w:szCs w:val="20"/>
          <w:lang w:val="sr-Cyrl-RS" w:eastAsia="ja-JP"/>
        </w:rPr>
        <w:t>о</w:t>
      </w:r>
      <w:r w:rsidRPr="00EA3D8C">
        <w:rPr>
          <w:rFonts w:eastAsia="MS PGothic" w:cstheme="minorHAnsi"/>
          <w:szCs w:val="20"/>
          <w:lang w:val="sr-Cyrl-RS" w:eastAsia="ja-JP"/>
        </w:rPr>
        <w:t>н</w:t>
      </w:r>
      <w:r w:rsidR="000E5961">
        <w:rPr>
          <w:rFonts w:eastAsia="MS PGothic" w:cstheme="minorHAnsi"/>
          <w:szCs w:val="20"/>
          <w:lang w:val="sr-Cyrl-RS" w:eastAsia="ja-JP"/>
        </w:rPr>
        <w:t>а</w:t>
      </w:r>
      <w:r w:rsidRPr="00EA3D8C">
        <w:rPr>
          <w:rFonts w:eastAsia="MS PGothic" w:cstheme="minorHAnsi"/>
          <w:szCs w:val="20"/>
          <w:lang w:val="sr-Cyrl-RS" w:eastAsia="ja-JP"/>
        </w:rPr>
        <w:t xml:space="preserve"> </w:t>
      </w:r>
      <w:r w:rsidR="000E5961">
        <w:rPr>
          <w:rFonts w:eastAsia="MS PGothic" w:cstheme="minorHAnsi"/>
          <w:szCs w:val="20"/>
          <w:lang w:val="sr-Cyrl-RS" w:eastAsia="ja-JP"/>
        </w:rPr>
        <w:t>е</w:t>
      </w:r>
      <w:r w:rsidRPr="00EA3D8C">
        <w:rPr>
          <w:rFonts w:eastAsia="MS PGothic" w:cstheme="minorHAnsi"/>
          <w:szCs w:val="20"/>
          <w:lang w:val="sr-Cyrl-RS" w:eastAsia="ja-JP"/>
        </w:rPr>
        <w:t>вр</w:t>
      </w:r>
      <w:r w:rsidR="000E5961">
        <w:rPr>
          <w:rFonts w:eastAsia="MS PGothic" w:cstheme="minorHAnsi"/>
          <w:szCs w:val="20"/>
          <w:lang w:val="sr-Cyrl-RS" w:eastAsia="ja-JP"/>
        </w:rPr>
        <w:t>а</w:t>
      </w:r>
      <w:r w:rsidRPr="00EA3D8C">
        <w:rPr>
          <w:rFonts w:eastAsia="MS PGothic" w:cstheme="minorHAnsi"/>
          <w:szCs w:val="20"/>
          <w:lang w:val="sr-Cyrl-RS" w:eastAsia="ja-JP"/>
        </w:rPr>
        <w:t>.</w:t>
      </w:r>
    </w:p>
    <w:p w14:paraId="51B7C3A5" w14:textId="42F893FD"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 xml:space="preserve">Уговор о гаранцији Републике Србије за кредитирање привреде с циљем ублажавања негативних последица пандемије болести COVID-19 изазване вирусом SARS-CoV-2 са Републиком Србијом и </w:t>
      </w:r>
      <w:r w:rsidR="00FB42E1" w:rsidRPr="00FB42E1">
        <w:rPr>
          <w:rFonts w:eastAsia="MS PGothic" w:cstheme="minorHAnsi"/>
          <w:szCs w:val="20"/>
          <w:lang w:val="sr-Cyrl-RS" w:eastAsia="ja-JP"/>
        </w:rPr>
        <w:t>НБС</w:t>
      </w:r>
      <w:r w:rsidRPr="00EA3D8C">
        <w:rPr>
          <w:rFonts w:eastAsia="MS PGothic" w:cstheme="minorHAnsi"/>
          <w:szCs w:val="20"/>
          <w:lang w:val="sr-Cyrl-RS" w:eastAsia="ja-JP"/>
        </w:rPr>
        <w:t xml:space="preserve"> до сада је потписало 25 банака и Влада је одобрила 22 захтева за повећање максималног осигураног портфолија у износу од 502,5 милиона евра.</w:t>
      </w:r>
    </w:p>
    <w:p w14:paraId="11D962D7" w14:textId="77777777" w:rsidR="00FE1A26" w:rsidRPr="00EA3D8C" w:rsidRDefault="00FE1A26" w:rsidP="002D1432">
      <w:pPr>
        <w:rPr>
          <w:rFonts w:eastAsia="MS PGothic" w:cstheme="minorHAnsi"/>
          <w:szCs w:val="20"/>
          <w:lang w:val="sr-Cyrl-RS" w:eastAsia="ja-JP"/>
        </w:rPr>
      </w:pPr>
      <w:r w:rsidRPr="00EA3D8C">
        <w:rPr>
          <w:rFonts w:eastAsia="MS PGothic" w:cstheme="minorHAnsi"/>
          <w:szCs w:val="20"/>
          <w:lang w:val="sr-Cyrl-RS" w:eastAsia="ja-JP"/>
        </w:rPr>
        <w:t>У складу са изнетим, прojeкциje фискaлних бруто oдливa буџeтa Републике Србије пo oснoву предметне националне Гaрaнтнe шeмe износе 24 милиона евра за 2021. годину, 112 милиона евра за 2022. годину и 34 милиона евра за 2023. годину. Такође, извршена је и пројекција прилива по основу наплате проблематичних потраживања по основу предметне Гарантне шеме Републике Србије која износе 14 милиона евра за 2022. годину и 23 милиона евра за 2023, годину.</w:t>
      </w:r>
    </w:p>
    <w:p w14:paraId="5BB19A09" w14:textId="77777777" w:rsidR="00FE1A26" w:rsidRPr="00EA3D8C" w:rsidRDefault="00FE1A26" w:rsidP="00FE1A26">
      <w:pPr>
        <w:jc w:val="left"/>
        <w:rPr>
          <w:b/>
          <w:color w:val="2F5496" w:themeColor="accent1" w:themeShade="BF"/>
          <w:sz w:val="22"/>
          <w:szCs w:val="24"/>
          <w:lang w:val="sr-Cyrl-RS"/>
        </w:rPr>
      </w:pPr>
      <w:r w:rsidRPr="00EA3D8C">
        <w:rPr>
          <w:b/>
          <w:color w:val="2F5496" w:themeColor="accent1" w:themeShade="BF"/>
          <w:sz w:val="22"/>
          <w:szCs w:val="24"/>
          <w:lang w:val="sr-Cyrl-RS"/>
        </w:rPr>
        <w:t>Остали фискални ризици</w:t>
      </w:r>
    </w:p>
    <w:p w14:paraId="476F337F"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 xml:space="preserve">Поред наведених фискалних ризика постоје и друге околности које, уколико се реализују, могу довести до фискалних трошкова. За поједине ризике не постоје систематизовани подаци, али имајући у виду да су се поједини остварили у ближој прошлости може се сагледати величина њиховог утицаја на јавне финансије. Само њихово идентификовање помаже сагледавању могућих </w:t>
      </w:r>
      <w:r w:rsidRPr="00EA3D8C">
        <w:rPr>
          <w:rFonts w:eastAsia="MS PGothic" w:cstheme="minorHAnsi"/>
          <w:szCs w:val="20"/>
          <w:lang w:val="sr-Cyrl-RS" w:eastAsia="ja-JP"/>
        </w:rPr>
        <w:lastRenderedPageBreak/>
        <w:t>утицаја на фискалну позицију земље у наредном периоду.</w:t>
      </w:r>
    </w:p>
    <w:p w14:paraId="10175C04"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Пословање јединица локалне самоуправе може имати фискалне импликације на буџет опште државе. Посебним фискалним правилима за локалне самоуправе постављено је тзв. „златно правилоˮ тј. дефицит је могућ само за реализацију капиталних инвестиција. Постоје и правила о висини задужености јединица локалне самоуправе, која би доследном применом одржала стабилност јавних финансија на локалном нивоу. У пракси се дешавало да нереалним планирањем како прихода, тако и расхода дође до нагомилавања доспелих а неизмирених обавеза које угрожавају функционисање појединих градова и општина.</w:t>
      </w:r>
    </w:p>
    <w:p w14:paraId="6B31C6DD"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Како би се избегла реализација фискалних ризика по овом основу Министарство финансија ће у наредном периоду значајно унапредити систем контроле јавних финансија локалних самоуправа у циљу поштовања постављених правила од планирања до реализације буџета на локалном нивоу.</w:t>
      </w:r>
    </w:p>
    <w:p w14:paraId="6FA6FC13"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Постоје значајни фискални ризици по основу судских одлука, домаћих и међународних судова, казни и накнада штете од стране државних органа. Република Србија је по основу судских одлука у периоду 2009–2018. године из буџета платила 80,5 млрд динара</w:t>
      </w:r>
      <w:r w:rsidRPr="00EA3D8C">
        <w:rPr>
          <w:rFonts w:eastAsia="MS PGothic" w:cstheme="minorHAnsi"/>
          <w:szCs w:val="20"/>
          <w:vertAlign w:val="superscript"/>
          <w:lang w:val="sr-Cyrl-RS" w:eastAsia="ja-JP"/>
        </w:rPr>
        <w:footnoteReference w:id="12"/>
      </w:r>
      <w:r w:rsidRPr="00EA3D8C">
        <w:rPr>
          <w:rFonts w:eastAsia="MS PGothic" w:cstheme="minorHAnsi"/>
          <w:szCs w:val="20"/>
          <w:lang w:val="sr-Cyrl-RS" w:eastAsia="ja-JP"/>
        </w:rPr>
        <w:t xml:space="preserve">. У 2019. години по основу судских одлука плаћено је 17,6 млрд динара из буџета Републике Србије, док је у првој половини 2020. године по том основу из буџета Републике Србије плаћено 17,4 млрд динара. Одлука Европског суда за људска права обавезала је Републику Србију да исплати јавни дуг по основу неисплаћене девизне штедње коју су држављани бивших република СФРЈ и држављани Републике Србије положили код банака са седиштем на територији Републике Србије и њиховим филијалама на територијама бивших република СФРЈ. Такође, потенцијалне обавезе могу проистећи и из одлука Уставног суда по основу поднетих уставних жалби и одлука Европског суда за људска права по поднетим представкама радника некадашњих друштвених </w:t>
      </w:r>
      <w:r w:rsidRPr="00EA3D8C">
        <w:rPr>
          <w:rFonts w:eastAsia="MS PGothic" w:cstheme="minorHAnsi"/>
          <w:szCs w:val="20"/>
          <w:lang w:val="sr-Cyrl-RS" w:eastAsia="ja-JP"/>
        </w:rPr>
        <w:lastRenderedPageBreak/>
        <w:t>предузећа (неисплаћене зараде, доприноси за обавезно социјално осигурање, затезне камате, трошкови поступка, потраживања по основу комерцијалних трансакција).</w:t>
      </w:r>
    </w:p>
    <w:p w14:paraId="74216567"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Стално присутан ризик од елементарних непогода и природних катастрофа обавезује улагање у програме превенције како би се умањили потенцијални фискални трошкови за отклањање штета насталих по том основу. Република Србија се у 2014. години суочила са катастрофалним последицама поплава, чија је укупна штета (са губицима) процењена на више од 1,7 млрд евра</w:t>
      </w:r>
      <w:r w:rsidRPr="00EA3D8C">
        <w:rPr>
          <w:rFonts w:eastAsia="MS PGothic" w:cstheme="minorHAnsi"/>
          <w:szCs w:val="20"/>
          <w:vertAlign w:val="superscript"/>
          <w:lang w:val="sr-Cyrl-RS" w:eastAsia="ja-JP"/>
        </w:rPr>
        <w:footnoteReference w:id="13"/>
      </w:r>
      <w:r w:rsidRPr="00EA3D8C">
        <w:rPr>
          <w:rFonts w:eastAsia="MS PGothic" w:cstheme="minorHAnsi"/>
          <w:szCs w:val="20"/>
          <w:lang w:val="sr-Cyrl-RS" w:eastAsia="ja-JP"/>
        </w:rPr>
        <w:t>. Имајући у виду стално присутне ризике од елементарних непогода, смањење фискалних ризика који могу настати по овом основу подразумева улагање у превентивне програме. Влада је у децембру 2014. године усвојила Национални програм за управљање ризицима од елементарних непогода, који ће бити реализован у сарадњи са Светском банком, Уједињеним нацијама и ЕУ. У оквиру Националног програма, новембра 2018. године је донет још један кровни закон који се бави проблематиком елементарних непогода и катастрофа, а то је Закон о смањењу ризика од катастрофа и управљању ванредним ситуацијама. Република Србија је у 2019. години платила из буџета 4,22 млрд динара за накнаде штете за повреде или штете настале услед елементарних непогода. У првој половини 2020. године Републику Србију задесио је већи број непогода проузрокованих поплавама. Према подацима Канцеларије за управљање јавним улагањима ове поплаве су изазвале штету на 1.200 стамбених објеката у 27 општина у Србији.</w:t>
      </w:r>
    </w:p>
    <w:p w14:paraId="403C0E0A" w14:textId="061411C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 xml:space="preserve">Обзиром да је свет од почетка 2020. године изложен огромном негативном утицају и последицама још једног облика катастрофалног деловања пандемије, изазване SARS-CoV-2 вирусом, која је довела до великог притиска на здравствене системе, паралисања светске економије и великих економских губитака, то је утицало на промене финансијских позиција монетарног, фискалног и реалног сектора у Републици Србији. У циљу отклањања штетних </w:t>
      </w:r>
      <w:r w:rsidRPr="00EA3D8C">
        <w:rPr>
          <w:rFonts w:eastAsia="MS PGothic" w:cstheme="minorHAnsi"/>
          <w:szCs w:val="20"/>
          <w:lang w:val="sr-Cyrl-RS" w:eastAsia="ja-JP"/>
        </w:rPr>
        <w:lastRenderedPageBreak/>
        <w:t>последица услед болести COVID-19 изазване вирусом SARS-CoV-2 Република Србија донела је свеобухватни пакет економских мера, чија се вредност процењује на 12,5% БДП.</w:t>
      </w:r>
    </w:p>
    <w:p w14:paraId="5AF36594"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Мере се односе на:</w:t>
      </w:r>
    </w:p>
    <w:p w14:paraId="468CD7B3" w14:textId="77777777" w:rsidR="00FE1A26" w:rsidRPr="00EA3D8C" w:rsidRDefault="00FE1A26" w:rsidP="00EE501A">
      <w:pPr>
        <w:pStyle w:val="ListParagraph"/>
        <w:numPr>
          <w:ilvl w:val="0"/>
          <w:numId w:val="46"/>
        </w:numPr>
        <w:ind w:left="454" w:hanging="227"/>
        <w:rPr>
          <w:rFonts w:eastAsia="MS PGothic" w:cstheme="minorHAnsi"/>
          <w:szCs w:val="20"/>
          <w:lang w:val="sr-Cyrl-RS" w:eastAsia="ja-JP"/>
        </w:rPr>
      </w:pPr>
      <w:r w:rsidRPr="00EA3D8C">
        <w:rPr>
          <w:rFonts w:eastAsia="MS PGothic" w:cstheme="minorHAnsi"/>
          <w:szCs w:val="20"/>
          <w:lang w:val="sr-Cyrl-RS" w:eastAsia="ja-JP"/>
        </w:rPr>
        <w:t>одлагање плаћања обавеза по основу пореза и доприноса,</w:t>
      </w:r>
    </w:p>
    <w:p w14:paraId="243BCE50" w14:textId="77777777" w:rsidR="00FE1A26" w:rsidRPr="00EA3D8C" w:rsidRDefault="00FE1A26" w:rsidP="00EE501A">
      <w:pPr>
        <w:pStyle w:val="ListParagraph"/>
        <w:numPr>
          <w:ilvl w:val="0"/>
          <w:numId w:val="46"/>
        </w:numPr>
        <w:ind w:left="454" w:hanging="227"/>
        <w:rPr>
          <w:rFonts w:eastAsia="MS PGothic" w:cstheme="minorHAnsi"/>
          <w:szCs w:val="20"/>
          <w:lang w:val="sr-Cyrl-RS" w:eastAsia="ja-JP"/>
        </w:rPr>
      </w:pPr>
      <w:r w:rsidRPr="00EA3D8C">
        <w:rPr>
          <w:rFonts w:eastAsia="MS PGothic" w:cstheme="minorHAnsi"/>
          <w:szCs w:val="20"/>
          <w:lang w:val="sr-Cyrl-RS" w:eastAsia="ja-JP"/>
        </w:rPr>
        <w:t>директну помоћ за исплату зарада (микро, малим и средњим) предузећима, у циљу одржавања запослености,</w:t>
      </w:r>
    </w:p>
    <w:p w14:paraId="25669633" w14:textId="77777777" w:rsidR="00FE1A26" w:rsidRPr="00EA3D8C" w:rsidRDefault="00FE1A26" w:rsidP="00EE501A">
      <w:pPr>
        <w:pStyle w:val="ListParagraph"/>
        <w:numPr>
          <w:ilvl w:val="0"/>
          <w:numId w:val="46"/>
        </w:numPr>
        <w:ind w:left="454" w:hanging="227"/>
        <w:rPr>
          <w:rFonts w:eastAsia="MS PGothic" w:cstheme="minorHAnsi"/>
          <w:szCs w:val="20"/>
          <w:lang w:val="sr-Cyrl-RS" w:eastAsia="ja-JP"/>
        </w:rPr>
      </w:pPr>
      <w:r w:rsidRPr="00EA3D8C">
        <w:rPr>
          <w:rFonts w:eastAsia="MS PGothic" w:cstheme="minorHAnsi"/>
          <w:szCs w:val="20"/>
          <w:lang w:val="sr-Cyrl-RS" w:eastAsia="ja-JP"/>
        </w:rPr>
        <w:t>додатна помоћ привредним субјектима обезбеђена преко Фонда за развој, давањем кредита (за инвестиције и ликвидност),</w:t>
      </w:r>
    </w:p>
    <w:p w14:paraId="6B9CF2C6" w14:textId="77777777" w:rsidR="00FE1A26" w:rsidRPr="00EA3D8C" w:rsidRDefault="00FE1A26" w:rsidP="00EE501A">
      <w:pPr>
        <w:pStyle w:val="ListParagraph"/>
        <w:numPr>
          <w:ilvl w:val="0"/>
          <w:numId w:val="46"/>
        </w:numPr>
        <w:ind w:left="454" w:hanging="227"/>
        <w:rPr>
          <w:rFonts w:eastAsia="MS PGothic" w:cstheme="minorHAnsi"/>
          <w:szCs w:val="20"/>
          <w:lang w:val="sr-Cyrl-RS" w:eastAsia="ja-JP"/>
        </w:rPr>
      </w:pPr>
      <w:r w:rsidRPr="00EA3D8C">
        <w:rPr>
          <w:rFonts w:eastAsia="MS PGothic" w:cstheme="minorHAnsi"/>
          <w:szCs w:val="20"/>
          <w:lang w:val="sr-Cyrl-RS" w:eastAsia="ja-JP"/>
        </w:rPr>
        <w:lastRenderedPageBreak/>
        <w:t>обезбеђене су гаранције за кредите привреди путем гарантне шеме,</w:t>
      </w:r>
    </w:p>
    <w:p w14:paraId="7F1A845F" w14:textId="77777777" w:rsidR="00FE1A26" w:rsidRPr="00EA3D8C" w:rsidRDefault="00FE1A26" w:rsidP="00EE501A">
      <w:pPr>
        <w:pStyle w:val="ListParagraph"/>
        <w:numPr>
          <w:ilvl w:val="0"/>
          <w:numId w:val="46"/>
        </w:numPr>
        <w:ind w:left="454" w:hanging="227"/>
        <w:rPr>
          <w:rFonts w:eastAsia="MS PGothic" w:cstheme="minorHAnsi"/>
          <w:szCs w:val="20"/>
          <w:lang w:val="sr-Cyrl-RS" w:eastAsia="ja-JP"/>
        </w:rPr>
      </w:pPr>
      <w:r w:rsidRPr="00EA3D8C">
        <w:rPr>
          <w:rFonts w:eastAsia="MS PGothic" w:cstheme="minorHAnsi"/>
          <w:szCs w:val="20"/>
          <w:lang w:val="sr-Cyrl-RS" w:eastAsia="ja-JP"/>
        </w:rPr>
        <w:t>секторске подршке угоститељству и друго.</w:t>
      </w:r>
    </w:p>
    <w:p w14:paraId="375526D3" w14:textId="77777777" w:rsidR="00FE1A26" w:rsidRPr="00EA3D8C" w:rsidRDefault="00FE1A26" w:rsidP="00EE501A">
      <w:pPr>
        <w:rPr>
          <w:rFonts w:eastAsia="MS PGothic" w:cstheme="minorHAnsi"/>
          <w:szCs w:val="20"/>
          <w:lang w:val="sr-Cyrl-RS" w:eastAsia="ja-JP"/>
        </w:rPr>
      </w:pPr>
      <w:r w:rsidRPr="00EA3D8C">
        <w:rPr>
          <w:rFonts w:eastAsia="MS PGothic" w:cstheme="minorHAnsi"/>
          <w:szCs w:val="20"/>
          <w:lang w:val="sr-Cyrl-RS" w:eastAsia="ja-JP"/>
        </w:rPr>
        <w:t>Имајући у виду неизвесност поводом трајања неповољне епидемиолошке ситуације, посебно у 2021. години, њеног негативног утицаја на економску активност, присутни су ризици у односу на предвиђени сценарио фискалних кретања у средњем року. Ово посебно долази до изражаја имајући у виду да је фискални простор за евентуалне нове мере ограничен.</w:t>
      </w:r>
    </w:p>
    <w:p w14:paraId="1745BAAA" w14:textId="77777777" w:rsidR="00FE1A26" w:rsidRPr="00EA3D8C" w:rsidRDefault="00FE1A26" w:rsidP="00802C14">
      <w:pPr>
        <w:pStyle w:val="Heading2"/>
        <w:spacing w:before="240"/>
        <w:jc w:val="center"/>
        <w:rPr>
          <w:rFonts w:asciiTheme="minorHAnsi" w:eastAsia="Times New Roman" w:hAnsiTheme="minorHAnsi" w:cstheme="minorHAnsi"/>
          <w:b/>
          <w:sz w:val="24"/>
          <w:lang w:val="sr-Cyrl-RS"/>
        </w:rPr>
        <w:sectPr w:rsidR="00FE1A26" w:rsidRPr="00EA3D8C" w:rsidSect="00AE40EB">
          <w:type w:val="continuous"/>
          <w:pgSz w:w="12240" w:h="15840" w:code="1"/>
          <w:pgMar w:top="1440" w:right="1440" w:bottom="1440" w:left="1440" w:header="720" w:footer="720" w:gutter="0"/>
          <w:cols w:num="2" w:space="720"/>
          <w:docGrid w:linePitch="360"/>
          <w15:footnoteColumns w:val="1"/>
        </w:sectPr>
      </w:pPr>
    </w:p>
    <w:p w14:paraId="6A3CBCCE" w14:textId="6DED8F7B" w:rsidR="001901FC" w:rsidRPr="00EA3D8C" w:rsidRDefault="001901FC" w:rsidP="0062573C">
      <w:pPr>
        <w:pStyle w:val="Heading2"/>
        <w:spacing w:before="480" w:after="240"/>
        <w:jc w:val="center"/>
        <w:rPr>
          <w:rFonts w:asciiTheme="minorHAnsi" w:eastAsia="MS PGothic" w:hAnsiTheme="minorHAnsi" w:cstheme="minorHAnsi"/>
          <w:b/>
          <w:sz w:val="24"/>
          <w:lang w:val="sr-Cyrl-RS" w:eastAsia="ja-JP"/>
        </w:rPr>
        <w:sectPr w:rsidR="001901FC" w:rsidRPr="00EA3D8C" w:rsidSect="00AE40EB">
          <w:type w:val="continuous"/>
          <w:pgSz w:w="12240" w:h="15840" w:code="1"/>
          <w:pgMar w:top="1440" w:right="1440" w:bottom="1440" w:left="1440" w:header="720" w:footer="720" w:gutter="0"/>
          <w:cols w:space="720"/>
          <w:docGrid w:linePitch="360"/>
        </w:sectPr>
      </w:pPr>
      <w:bookmarkStart w:id="32" w:name="_Toc56667080"/>
      <w:r w:rsidRPr="00EA3D8C">
        <w:rPr>
          <w:rFonts w:asciiTheme="minorHAnsi" w:eastAsia="Times New Roman" w:hAnsiTheme="minorHAnsi" w:cstheme="minorHAnsi"/>
          <w:b/>
          <w:sz w:val="24"/>
          <w:lang w:val="sr-Cyrl-RS"/>
        </w:rPr>
        <w:lastRenderedPageBreak/>
        <w:t xml:space="preserve">6. </w:t>
      </w:r>
      <w:r w:rsidRPr="00EA3D8C">
        <w:rPr>
          <w:rFonts w:asciiTheme="minorHAnsi" w:eastAsia="MS PGothic" w:hAnsiTheme="minorHAnsi" w:cstheme="minorHAnsi"/>
          <w:b/>
          <w:sz w:val="24"/>
          <w:lang w:val="sr-Cyrl-RS" w:eastAsia="ja-JP"/>
        </w:rPr>
        <w:t>Циклично прилагођени и структурни фискални биланс</w:t>
      </w:r>
      <w:bookmarkEnd w:id="27"/>
      <w:bookmarkEnd w:id="28"/>
      <w:bookmarkEnd w:id="29"/>
      <w:bookmarkEnd w:id="32"/>
    </w:p>
    <w:p w14:paraId="3724268B" w14:textId="77777777" w:rsidR="001901FC" w:rsidRPr="00EA3D8C" w:rsidRDefault="001901FC" w:rsidP="00EE501A">
      <w:pPr>
        <w:rPr>
          <w:rFonts w:ascii="Calibri" w:eastAsia="MS PGothic" w:hAnsi="Calibri" w:cs="Calibri"/>
          <w:szCs w:val="20"/>
          <w:lang w:val="sr-Cyrl-RS" w:eastAsia="ja-JP"/>
        </w:rPr>
      </w:pPr>
      <w:r w:rsidRPr="00EA3D8C">
        <w:rPr>
          <w:rFonts w:eastAsia="MS PGothic" w:cstheme="minorHAnsi"/>
          <w:szCs w:val="20"/>
          <w:lang w:val="sr-Cyrl-RS" w:eastAsia="ja-JP"/>
        </w:rPr>
        <w:lastRenderedPageBreak/>
        <w:t>Циклично прилагођени фискални биланс је фискални биланс из кога је искључен изоловани утицај привредног циклуса, а</w:t>
      </w:r>
      <w:r w:rsidRPr="00EA3D8C">
        <w:rPr>
          <w:rFonts w:ascii="Calibri" w:eastAsia="MS PGothic" w:hAnsi="Calibri" w:cs="Calibri"/>
          <w:szCs w:val="20"/>
          <w:lang w:val="sr-Cyrl-RS" w:eastAsia="ja-JP"/>
        </w:rPr>
        <w:t xml:space="preserve"> идентитет од кога се полази је следећи</w:t>
      </w:r>
      <w:r w:rsidRPr="00EA3D8C">
        <w:rPr>
          <w:rFonts w:ascii="Calibri" w:eastAsia="MS PGothic" w:hAnsi="Calibri" w:cs="Calibri"/>
          <w:szCs w:val="20"/>
          <w:vertAlign w:val="superscript"/>
          <w:lang w:val="sr-Cyrl-RS" w:eastAsia="ja-JP"/>
        </w:rPr>
        <w:footnoteReference w:id="14"/>
      </w:r>
      <w:r w:rsidRPr="00EA3D8C">
        <w:rPr>
          <w:rFonts w:ascii="Calibri" w:eastAsia="MS PGothic" w:hAnsi="Calibri" w:cs="Calibri"/>
          <w:szCs w:val="20"/>
          <w:lang w:val="sr-Cyrl-RS" w:eastAsia="ja-JP"/>
        </w:rPr>
        <w:t>:</w:t>
      </w:r>
    </w:p>
    <w:p w14:paraId="00E77812" w14:textId="77777777" w:rsidR="001901FC" w:rsidRPr="00EA3D8C" w:rsidRDefault="001901FC" w:rsidP="00EE501A">
      <w:pPr>
        <w:jc w:val="center"/>
        <w:rPr>
          <w:rFonts w:ascii="Calibri" w:eastAsia="MS PGothic" w:hAnsi="Calibri" w:cs="Calibri"/>
          <w:szCs w:val="20"/>
          <w:lang w:val="sr-Cyrl-RS" w:eastAsia="ja-JP"/>
        </w:rPr>
      </w:pPr>
      <w:r w:rsidRPr="00EA3D8C">
        <w:rPr>
          <w:rFonts w:ascii="Calibri" w:eastAsia="MS PGothic" w:hAnsi="Calibri" w:cs="Calibri"/>
          <w:szCs w:val="20"/>
          <w:lang w:val="sr-Cyrl-RS" w:eastAsia="ja-JP"/>
        </w:rPr>
        <w:t>FB = CB + CAB</w:t>
      </w:r>
    </w:p>
    <w:p w14:paraId="4AF5E849" w14:textId="77777777" w:rsidR="001901FC" w:rsidRPr="00EA3D8C" w:rsidRDefault="001901FC" w:rsidP="00EE501A">
      <w:pPr>
        <w:rPr>
          <w:rFonts w:eastAsia="MS PGothic" w:cstheme="minorHAnsi"/>
          <w:szCs w:val="20"/>
          <w:lang w:val="sr-Cyrl-RS" w:eastAsia="ja-JP"/>
        </w:rPr>
      </w:pPr>
      <w:r w:rsidRPr="00EA3D8C">
        <w:rPr>
          <w:rFonts w:ascii="Calibri" w:eastAsia="MS PGothic" w:hAnsi="Calibri" w:cs="Calibri"/>
          <w:szCs w:val="20"/>
          <w:lang w:val="sr-Cyrl-RS" w:eastAsia="ja-JP"/>
        </w:rPr>
        <w:t>Део фискалног биланса (FB)</w:t>
      </w:r>
      <w:r w:rsidRPr="00EA3D8C">
        <w:rPr>
          <w:rFonts w:ascii="Calibri" w:eastAsia="MS PGothic" w:hAnsi="Calibri" w:cs="Calibri"/>
          <w:i/>
          <w:szCs w:val="20"/>
          <w:lang w:val="sr-Cyrl-RS" w:eastAsia="ja-JP"/>
        </w:rPr>
        <w:t xml:space="preserve"> </w:t>
      </w:r>
      <w:r w:rsidRPr="00EA3D8C">
        <w:rPr>
          <w:rFonts w:ascii="Calibri" w:eastAsia="MS PGothic" w:hAnsi="Calibri" w:cs="Calibri"/>
          <w:szCs w:val="20"/>
          <w:lang w:val="sr-Cyrl-RS" w:eastAsia="ja-JP"/>
        </w:rPr>
        <w:t>који није под утицајем цикличних флуктуација назива се циклично прилагођени фискални биланс (CAB</w:t>
      </w:r>
      <w:r w:rsidRPr="00EA3D8C">
        <w:rPr>
          <w:rFonts w:ascii="Calibri" w:eastAsia="MS PGothic" w:hAnsi="Calibri" w:cs="Calibri"/>
          <w:i/>
          <w:szCs w:val="20"/>
          <w:lang w:val="sr-Cyrl-RS" w:eastAsia="ja-JP"/>
        </w:rPr>
        <w:t xml:space="preserve">), </w:t>
      </w:r>
      <w:r w:rsidRPr="00EA3D8C">
        <w:rPr>
          <w:rFonts w:ascii="Calibri" w:eastAsia="MS PGothic" w:hAnsi="Calibri" w:cs="Calibri"/>
          <w:szCs w:val="20"/>
          <w:lang w:val="sr-Cyrl-RS" w:eastAsia="ja-JP"/>
        </w:rPr>
        <w:t xml:space="preserve">а циљ ове процедуре је изоловање цикличне компоненте </w:t>
      </w:r>
      <w:r w:rsidRPr="00EA3D8C">
        <w:rPr>
          <w:rFonts w:eastAsia="MS PGothic" w:cstheme="minorHAnsi"/>
          <w:szCs w:val="20"/>
          <w:lang w:val="sr-Cyrl-RS"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56DD16A1" w14:textId="77777777" w:rsidR="001901FC" w:rsidRPr="00EA3D8C" w:rsidRDefault="001901FC" w:rsidP="00EE501A">
      <w:pPr>
        <w:rPr>
          <w:rFonts w:ascii="Calibri" w:eastAsia="MS PGothic" w:hAnsi="Calibri" w:cs="Calibri"/>
          <w:szCs w:val="20"/>
          <w:lang w:val="sr-Cyrl-RS" w:eastAsia="ja-JP"/>
        </w:rPr>
      </w:pPr>
      <w:r w:rsidRPr="00EA3D8C">
        <w:rPr>
          <w:rFonts w:eastAsia="MS PGothic" w:cstheme="minorHAnsi"/>
          <w:szCs w:val="20"/>
          <w:lang w:val="sr-Cyrl-RS" w:eastAsia="ja-JP"/>
        </w:rPr>
        <w:t xml:space="preserve">Циклично прилагођени дефицит се убрзано смањује након 2014. године, упоредо са кретањем општег фискалног резултата, а у 2017. години улази у зону суфицита. Структурни примарни биланс очишћен од једнократних фактора у 2017. године </w:t>
      </w:r>
      <w:r w:rsidRPr="00EA3D8C">
        <w:rPr>
          <w:rFonts w:eastAsia="MS PGothic" w:cstheme="minorHAnsi"/>
          <w:szCs w:val="20"/>
          <w:lang w:val="sr-Cyrl-RS" w:eastAsia="ja-JP"/>
        </w:rPr>
        <w:lastRenderedPageBreak/>
        <w:t xml:space="preserve">такође бележи високу позитивну </w:t>
      </w:r>
      <w:r w:rsidRPr="00EA3D8C">
        <w:rPr>
          <w:rFonts w:ascii="Calibri" w:eastAsia="MS PGothic" w:hAnsi="Calibri" w:cs="Calibri"/>
          <w:szCs w:val="20"/>
          <w:lang w:val="sr-Cyrl-RS" w:eastAsia="ja-JP"/>
        </w:rPr>
        <w:t>вредност. Структурне промене у пореском систему током 2012. и 2013. године су почеле да дају резултате у наредном периоду, чиме је процес фискалне консолидације суштински и почео. Наредна фаза фискалне консолидације, спроведена током аранжмана са ММФ, али овог пута са нагласком на структурном прилагођавању на расходној страни, значајно је поправила фискалну позицију земље. Анализом и квантификацијом структурног примарног биланса могу се изоловати, пре свега, једнократни ефекти на страни расхода иако, у појединим годинама, нису безначајни и једнократни ефекти у виду непланираних уплата на приходној страни. Анализом структурног примарног биланса оцењена је фискална позиција земље. Тако је у периоду од 2014. до 2019. године фискална позиција значајно побољшана, чиме је и потврђена оцена успеха програма фискалне консолидације.</w:t>
      </w:r>
    </w:p>
    <w:p w14:paraId="092212BD" w14:textId="5FA562A7" w:rsidR="001901FC" w:rsidRPr="00EA3D8C" w:rsidRDefault="001901FC" w:rsidP="00EE501A">
      <w:pPr>
        <w:rPr>
          <w:rFonts w:eastAsia="MS PGothic" w:cstheme="minorHAnsi"/>
          <w:szCs w:val="20"/>
          <w:lang w:val="sr-Cyrl-RS" w:eastAsia="ja-JP"/>
        </w:rPr>
      </w:pPr>
      <w:r w:rsidRPr="00EA3D8C">
        <w:rPr>
          <w:rFonts w:ascii="Calibri" w:eastAsia="MS PGothic" w:hAnsi="Calibri" w:cs="Calibri"/>
          <w:szCs w:val="20"/>
          <w:lang w:val="sr-Cyrl-RS" w:eastAsia="ja-JP"/>
        </w:rPr>
        <w:t>Ф</w:t>
      </w:r>
      <w:r w:rsidRPr="00EA3D8C">
        <w:rPr>
          <w:rFonts w:eastAsia="MS PGothic" w:cstheme="minorHAnsi"/>
          <w:szCs w:val="20"/>
          <w:lang w:val="sr-Cyrl-RS" w:eastAsia="ja-JP"/>
        </w:rPr>
        <w:t>искални простор креиран у претходном периоду и значајно структурно унапређена фискална позиција земље омогућили су релаксацију фискалне политике у кризним временима.</w:t>
      </w:r>
    </w:p>
    <w:p w14:paraId="7B358B30" w14:textId="77777777" w:rsidR="001901FC" w:rsidRPr="00EA3D8C" w:rsidRDefault="001901FC" w:rsidP="00FE1A26">
      <w:pPr>
        <w:spacing w:after="120" w:line="276" w:lineRule="auto"/>
        <w:rPr>
          <w:rFonts w:ascii="Calibri" w:eastAsia="MS PGothic" w:hAnsi="Calibri" w:cs="Calibri"/>
          <w:szCs w:val="20"/>
          <w:lang w:val="sr-Cyrl-RS" w:eastAsia="ja-JP"/>
        </w:rPr>
        <w:sectPr w:rsidR="001901FC" w:rsidRPr="00EA3D8C" w:rsidSect="00AE40EB">
          <w:type w:val="continuous"/>
          <w:pgSz w:w="12240" w:h="15840" w:code="1"/>
          <w:pgMar w:top="1417" w:right="1417" w:bottom="1417" w:left="1417" w:header="720" w:footer="720" w:gutter="0"/>
          <w:cols w:num="2" w:space="720"/>
          <w15:footnoteColumns w:val="1"/>
        </w:sectPr>
      </w:pPr>
    </w:p>
    <w:p w14:paraId="7CED62C2" w14:textId="77777777" w:rsidR="007A379E" w:rsidRPr="00EA3D8C" w:rsidRDefault="007A379E">
      <w:pPr>
        <w:jc w:val="left"/>
        <w:rPr>
          <w:rFonts w:ascii="Calibri" w:eastAsia="MS PGothic" w:hAnsi="Calibri" w:cs="Calibri"/>
          <w:b/>
          <w:bCs/>
          <w:color w:val="002060"/>
          <w:lang w:val="sr-Cyrl-RS"/>
        </w:rPr>
      </w:pPr>
      <w:r w:rsidRPr="00EA3D8C">
        <w:rPr>
          <w:rFonts w:ascii="Calibri" w:eastAsia="MS PGothic" w:hAnsi="Calibri" w:cs="Calibri"/>
          <w:b/>
          <w:bCs/>
          <w:color w:val="002060"/>
          <w:lang w:val="sr-Cyrl-RS"/>
        </w:rPr>
        <w:lastRenderedPageBreak/>
        <w:br w:type="page"/>
      </w:r>
    </w:p>
    <w:p w14:paraId="69424291" w14:textId="5968C105" w:rsidR="001901FC" w:rsidRPr="00EA3D8C" w:rsidRDefault="00EC4017" w:rsidP="00FE1A26">
      <w:pPr>
        <w:jc w:val="center"/>
        <w:rPr>
          <w:rFonts w:ascii="Calibri" w:eastAsia="MS PGothic" w:hAnsi="Calibri" w:cs="Calibri"/>
          <w:b/>
          <w:bCs/>
          <w:color w:val="002060"/>
          <w:lang w:val="sr-Cyrl-RS"/>
        </w:rPr>
      </w:pPr>
      <w:r w:rsidRPr="00EA3D8C">
        <w:rPr>
          <w:rFonts w:ascii="Calibri" w:eastAsia="MS PGothic" w:hAnsi="Calibri" w:cs="Calibri"/>
          <w:b/>
          <w:bCs/>
          <w:color w:val="002060"/>
          <w:lang w:val="sr-Cyrl-RS"/>
        </w:rPr>
        <w:lastRenderedPageBreak/>
        <w:t>Табела 20</w:t>
      </w:r>
      <w:r w:rsidR="001901FC" w:rsidRPr="00EA3D8C">
        <w:rPr>
          <w:rFonts w:ascii="Calibri" w:eastAsia="MS PGothic" w:hAnsi="Calibri" w:cs="Calibri"/>
          <w:b/>
          <w:bCs/>
          <w:color w:val="002060"/>
          <w:lang w:val="sr-Cyrl-RS"/>
        </w:rPr>
        <w:t xml:space="preserve">. Фискални биланс и компоненте за обрачун циклично прилагођеног биланса </w:t>
      </w:r>
      <w:r w:rsidR="001901FC" w:rsidRPr="00EA3D8C">
        <w:rPr>
          <w:rFonts w:ascii="Calibri" w:eastAsia="MS PGothic" w:hAnsi="Calibri" w:cs="Calibri"/>
          <w:b/>
          <w:bCs/>
          <w:color w:val="002060"/>
          <w:lang w:val="sr-Cyrl-RS"/>
        </w:rPr>
        <w:br w:type="textWrapping" w:clear="all"/>
        <w:t>у периоду 2005–2023. године, % БДП*</w:t>
      </w:r>
    </w:p>
    <w:tbl>
      <w:tblPr>
        <w:tblStyle w:val="LightShading-Accent337"/>
        <w:tblpPr w:leftFromText="180" w:rightFromText="180" w:vertAnchor="text" w:horzAnchor="margin" w:tblpXSpec="center" w:tblpY="28"/>
        <w:tblW w:w="5275" w:type="pct"/>
        <w:tblLook w:val="04A0" w:firstRow="1" w:lastRow="0" w:firstColumn="1" w:lastColumn="0" w:noHBand="0" w:noVBand="1"/>
      </w:tblPr>
      <w:tblGrid>
        <w:gridCol w:w="755"/>
        <w:gridCol w:w="1146"/>
        <w:gridCol w:w="1146"/>
        <w:gridCol w:w="1146"/>
        <w:gridCol w:w="1146"/>
        <w:gridCol w:w="1146"/>
        <w:gridCol w:w="1146"/>
        <w:gridCol w:w="1146"/>
        <w:gridCol w:w="1146"/>
      </w:tblGrid>
      <w:tr w:rsidR="00455EB5" w:rsidRPr="00EA3D8C" w14:paraId="27DC1249" w14:textId="77777777" w:rsidTr="00455EB5">
        <w:trPr>
          <w:cnfStyle w:val="100000000000" w:firstRow="1" w:lastRow="0" w:firstColumn="0" w:lastColumn="0" w:oddVBand="0" w:evenVBand="0" w:oddHBand="0"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380" w:type="pct"/>
            <w:tcBorders>
              <w:top w:val="single" w:sz="4" w:space="0" w:color="002060"/>
              <w:bottom w:val="single" w:sz="4" w:space="0" w:color="002060"/>
            </w:tcBorders>
            <w:noWrap/>
            <w:hideMark/>
          </w:tcPr>
          <w:p w14:paraId="2E00B6E7" w14:textId="77777777" w:rsidR="001901FC" w:rsidRPr="00EA3D8C" w:rsidRDefault="001901FC" w:rsidP="00FE1A26">
            <w:pPr>
              <w:spacing w:line="256" w:lineRule="auto"/>
              <w:rPr>
                <w:rFonts w:ascii="Calibri" w:eastAsia="MS PGothic" w:hAnsi="Calibri" w:cs="Calibri"/>
                <w:sz w:val="18"/>
                <w:szCs w:val="18"/>
                <w:lang w:val="sr-Cyrl-RS" w:eastAsia="ja-JP"/>
              </w:rPr>
            </w:pPr>
          </w:p>
        </w:tc>
        <w:tc>
          <w:tcPr>
            <w:tcW w:w="577" w:type="pct"/>
            <w:tcBorders>
              <w:top w:val="single" w:sz="4" w:space="0" w:color="002060"/>
              <w:bottom w:val="single" w:sz="4" w:space="0" w:color="002060"/>
            </w:tcBorders>
          </w:tcPr>
          <w:p w14:paraId="6C7589EA"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Производни јаз</w:t>
            </w:r>
          </w:p>
        </w:tc>
        <w:tc>
          <w:tcPr>
            <w:tcW w:w="577" w:type="pct"/>
            <w:tcBorders>
              <w:top w:val="single" w:sz="4" w:space="0" w:color="002060"/>
              <w:bottom w:val="single" w:sz="4" w:space="0" w:color="002060"/>
            </w:tcBorders>
            <w:hideMark/>
          </w:tcPr>
          <w:p w14:paraId="7438D994"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 xml:space="preserve">Фискални </w:t>
            </w:r>
            <w:r w:rsidRPr="00EA3D8C">
              <w:rPr>
                <w:rFonts w:ascii="Calibri" w:hAnsi="Calibri" w:cs="Calibri"/>
                <w:b w:val="0"/>
                <w:color w:val="002060"/>
                <w:sz w:val="14"/>
                <w:szCs w:val="14"/>
                <w:lang w:val="sr-Cyrl-RS"/>
              </w:rPr>
              <w:br/>
              <w:t>биланс</w:t>
            </w:r>
          </w:p>
        </w:tc>
        <w:tc>
          <w:tcPr>
            <w:tcW w:w="577" w:type="pct"/>
            <w:tcBorders>
              <w:top w:val="single" w:sz="4" w:space="0" w:color="002060"/>
              <w:bottom w:val="single" w:sz="4" w:space="0" w:color="002060"/>
            </w:tcBorders>
            <w:hideMark/>
          </w:tcPr>
          <w:p w14:paraId="44000178"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Примарни фискални биланс</w:t>
            </w:r>
          </w:p>
        </w:tc>
        <w:tc>
          <w:tcPr>
            <w:tcW w:w="577" w:type="pct"/>
            <w:tcBorders>
              <w:top w:val="single" w:sz="4" w:space="0" w:color="002060"/>
              <w:bottom w:val="single" w:sz="4" w:space="0" w:color="002060"/>
            </w:tcBorders>
            <w:hideMark/>
          </w:tcPr>
          <w:p w14:paraId="4F45386D"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Циклична компонента</w:t>
            </w:r>
            <w:r w:rsidRPr="00EA3D8C">
              <w:rPr>
                <w:rFonts w:ascii="Calibri" w:hAnsi="Calibri" w:cs="Calibri"/>
                <w:b w:val="0"/>
                <w:color w:val="002060"/>
                <w:sz w:val="14"/>
                <w:szCs w:val="14"/>
                <w:lang w:val="sr-Cyrl-RS"/>
              </w:rPr>
              <w:br/>
              <w:t>фиск. биланса</w:t>
            </w:r>
          </w:p>
        </w:tc>
        <w:tc>
          <w:tcPr>
            <w:tcW w:w="577" w:type="pct"/>
            <w:tcBorders>
              <w:top w:val="single" w:sz="4" w:space="0" w:color="002060"/>
              <w:bottom w:val="single" w:sz="4" w:space="0" w:color="002060"/>
            </w:tcBorders>
            <w:hideMark/>
          </w:tcPr>
          <w:p w14:paraId="2D9293A7"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 xml:space="preserve">Циклично </w:t>
            </w:r>
            <w:r w:rsidRPr="00EA3D8C">
              <w:rPr>
                <w:rFonts w:ascii="Calibri" w:hAnsi="Calibri" w:cs="Calibri"/>
                <w:b w:val="0"/>
                <w:color w:val="002060"/>
                <w:sz w:val="14"/>
                <w:szCs w:val="14"/>
                <w:lang w:val="sr-Cyrl-RS"/>
              </w:rPr>
              <w:br/>
              <w:t>прилагођени фискални биланс</w:t>
            </w:r>
          </w:p>
        </w:tc>
        <w:tc>
          <w:tcPr>
            <w:tcW w:w="577" w:type="pct"/>
            <w:tcBorders>
              <w:top w:val="single" w:sz="4" w:space="0" w:color="002060"/>
              <w:bottom w:val="single" w:sz="4" w:space="0" w:color="002060"/>
            </w:tcBorders>
          </w:tcPr>
          <w:p w14:paraId="6B373047"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Структурни фискални биланс</w:t>
            </w:r>
          </w:p>
        </w:tc>
        <w:tc>
          <w:tcPr>
            <w:tcW w:w="577" w:type="pct"/>
            <w:tcBorders>
              <w:top w:val="single" w:sz="4" w:space="0" w:color="002060"/>
              <w:bottom w:val="single" w:sz="4" w:space="0" w:color="002060"/>
            </w:tcBorders>
            <w:hideMark/>
          </w:tcPr>
          <w:p w14:paraId="3F43FFFD"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Структурни примарни фискални биланс**</w:t>
            </w:r>
          </w:p>
        </w:tc>
        <w:tc>
          <w:tcPr>
            <w:tcW w:w="577" w:type="pct"/>
            <w:tcBorders>
              <w:top w:val="single" w:sz="4" w:space="0" w:color="002060"/>
              <w:bottom w:val="single" w:sz="4" w:space="0" w:color="002060"/>
            </w:tcBorders>
            <w:hideMark/>
          </w:tcPr>
          <w:p w14:paraId="2EC071D7" w14:textId="77777777" w:rsidR="001901FC" w:rsidRPr="00EA3D8C" w:rsidRDefault="001901FC" w:rsidP="00FE1A26">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Карактер фиск. политике – фискални импулс</w:t>
            </w:r>
          </w:p>
        </w:tc>
      </w:tr>
      <w:tr w:rsidR="00455EB5" w:rsidRPr="00EA3D8C" w14:paraId="2415F00F"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single" w:sz="4" w:space="0" w:color="002060"/>
              <w:bottom w:val="nil"/>
            </w:tcBorders>
            <w:shd w:val="clear" w:color="auto" w:fill="FFFFFF" w:themeFill="background1"/>
            <w:noWrap/>
            <w:hideMark/>
          </w:tcPr>
          <w:p w14:paraId="40B63171"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2005</w:t>
            </w:r>
          </w:p>
        </w:tc>
        <w:tc>
          <w:tcPr>
            <w:tcW w:w="577" w:type="pct"/>
            <w:tcBorders>
              <w:top w:val="single" w:sz="4" w:space="0" w:color="002060"/>
              <w:bottom w:val="nil"/>
            </w:tcBorders>
            <w:shd w:val="clear" w:color="auto" w:fill="FFFFFF" w:themeFill="background1"/>
          </w:tcPr>
          <w:p w14:paraId="28939B5C"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single" w:sz="4" w:space="0" w:color="002060"/>
              <w:bottom w:val="nil"/>
            </w:tcBorders>
            <w:shd w:val="clear" w:color="auto" w:fill="FFFFFF" w:themeFill="background1"/>
            <w:hideMark/>
          </w:tcPr>
          <w:p w14:paraId="41BBF40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single" w:sz="4" w:space="0" w:color="002060"/>
              <w:bottom w:val="nil"/>
            </w:tcBorders>
            <w:shd w:val="clear" w:color="auto" w:fill="FFFFFF" w:themeFill="background1"/>
            <w:hideMark/>
          </w:tcPr>
          <w:p w14:paraId="628EC2E8"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2,0</w:t>
            </w:r>
          </w:p>
        </w:tc>
        <w:tc>
          <w:tcPr>
            <w:tcW w:w="577" w:type="pct"/>
            <w:tcBorders>
              <w:top w:val="single" w:sz="4" w:space="0" w:color="002060"/>
              <w:bottom w:val="nil"/>
            </w:tcBorders>
            <w:shd w:val="clear" w:color="auto" w:fill="FFFFFF" w:themeFill="background1"/>
            <w:noWrap/>
            <w:hideMark/>
          </w:tcPr>
          <w:p w14:paraId="19D827DC"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single" w:sz="4" w:space="0" w:color="002060"/>
              <w:bottom w:val="nil"/>
            </w:tcBorders>
            <w:shd w:val="clear" w:color="auto" w:fill="FFFFFF" w:themeFill="background1"/>
            <w:noWrap/>
            <w:hideMark/>
          </w:tcPr>
          <w:p w14:paraId="147DD3C7"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single" w:sz="4" w:space="0" w:color="002060"/>
              <w:bottom w:val="nil"/>
            </w:tcBorders>
            <w:shd w:val="clear" w:color="auto" w:fill="FFFFFF" w:themeFill="background1"/>
          </w:tcPr>
          <w:p w14:paraId="3A323D41"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1,3</w:t>
            </w:r>
          </w:p>
        </w:tc>
        <w:tc>
          <w:tcPr>
            <w:tcW w:w="577" w:type="pct"/>
            <w:tcBorders>
              <w:top w:val="single" w:sz="4" w:space="0" w:color="002060"/>
              <w:bottom w:val="nil"/>
            </w:tcBorders>
            <w:shd w:val="clear" w:color="auto" w:fill="FFFFFF" w:themeFill="background1"/>
            <w:noWrap/>
            <w:hideMark/>
          </w:tcPr>
          <w:p w14:paraId="3464B6CA"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2,2</w:t>
            </w:r>
          </w:p>
        </w:tc>
        <w:tc>
          <w:tcPr>
            <w:tcW w:w="577" w:type="pct"/>
            <w:tcBorders>
              <w:top w:val="single" w:sz="4" w:space="0" w:color="002060"/>
              <w:bottom w:val="nil"/>
            </w:tcBorders>
            <w:shd w:val="clear" w:color="auto" w:fill="FFFFFF" w:themeFill="background1"/>
            <w:noWrap/>
            <w:hideMark/>
          </w:tcPr>
          <w:p w14:paraId="16C5248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p>
        </w:tc>
      </w:tr>
      <w:tr w:rsidR="00455EB5" w:rsidRPr="00EA3D8C" w14:paraId="41D86A5A"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left w:val="nil"/>
              <w:bottom w:val="nil"/>
              <w:right w:val="nil"/>
            </w:tcBorders>
            <w:shd w:val="clear" w:color="auto" w:fill="FFFFFF" w:themeFill="background1"/>
            <w:noWrap/>
            <w:hideMark/>
          </w:tcPr>
          <w:p w14:paraId="78A733B5"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2006</w:t>
            </w:r>
          </w:p>
        </w:tc>
        <w:tc>
          <w:tcPr>
            <w:tcW w:w="577" w:type="pct"/>
            <w:tcBorders>
              <w:top w:val="nil"/>
              <w:left w:val="nil"/>
              <w:bottom w:val="nil"/>
              <w:right w:val="nil"/>
            </w:tcBorders>
            <w:shd w:val="clear" w:color="auto" w:fill="FFFFFF" w:themeFill="background1"/>
          </w:tcPr>
          <w:p w14:paraId="417792CD"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-2,9</w:t>
            </w:r>
          </w:p>
        </w:tc>
        <w:tc>
          <w:tcPr>
            <w:tcW w:w="577" w:type="pct"/>
            <w:tcBorders>
              <w:top w:val="nil"/>
              <w:left w:val="nil"/>
              <w:bottom w:val="nil"/>
              <w:right w:val="nil"/>
            </w:tcBorders>
            <w:shd w:val="clear" w:color="auto" w:fill="FFFFFF" w:themeFill="background1"/>
            <w:hideMark/>
          </w:tcPr>
          <w:p w14:paraId="2347999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-1,4</w:t>
            </w:r>
          </w:p>
        </w:tc>
        <w:tc>
          <w:tcPr>
            <w:tcW w:w="577" w:type="pct"/>
            <w:tcBorders>
              <w:top w:val="nil"/>
              <w:left w:val="nil"/>
              <w:bottom w:val="nil"/>
              <w:right w:val="nil"/>
            </w:tcBorders>
            <w:shd w:val="clear" w:color="auto" w:fill="FFFFFF" w:themeFill="background1"/>
            <w:hideMark/>
          </w:tcPr>
          <w:p w14:paraId="0CDCFF65"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left w:val="nil"/>
              <w:bottom w:val="nil"/>
              <w:right w:val="nil"/>
            </w:tcBorders>
            <w:shd w:val="clear" w:color="auto" w:fill="FFFFFF" w:themeFill="background1"/>
            <w:noWrap/>
            <w:hideMark/>
          </w:tcPr>
          <w:p w14:paraId="153E73A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-1,0</w:t>
            </w:r>
          </w:p>
        </w:tc>
        <w:tc>
          <w:tcPr>
            <w:tcW w:w="577" w:type="pct"/>
            <w:tcBorders>
              <w:top w:val="nil"/>
              <w:left w:val="nil"/>
              <w:bottom w:val="nil"/>
              <w:right w:val="nil"/>
            </w:tcBorders>
            <w:shd w:val="clear" w:color="auto" w:fill="FFFFFF" w:themeFill="background1"/>
            <w:noWrap/>
            <w:hideMark/>
          </w:tcPr>
          <w:p w14:paraId="17E681D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-0,4</w:t>
            </w:r>
          </w:p>
        </w:tc>
        <w:tc>
          <w:tcPr>
            <w:tcW w:w="577" w:type="pct"/>
            <w:tcBorders>
              <w:top w:val="nil"/>
              <w:left w:val="nil"/>
              <w:bottom w:val="nil"/>
              <w:right w:val="nil"/>
            </w:tcBorders>
            <w:shd w:val="clear" w:color="auto" w:fill="FFFFFF" w:themeFill="background1"/>
          </w:tcPr>
          <w:p w14:paraId="0110D2B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0,3</w:t>
            </w:r>
          </w:p>
        </w:tc>
        <w:tc>
          <w:tcPr>
            <w:tcW w:w="577" w:type="pct"/>
            <w:tcBorders>
              <w:top w:val="nil"/>
              <w:left w:val="nil"/>
              <w:bottom w:val="nil"/>
              <w:right w:val="nil"/>
            </w:tcBorders>
            <w:shd w:val="clear" w:color="auto" w:fill="FFFFFF" w:themeFill="background1"/>
            <w:noWrap/>
            <w:hideMark/>
          </w:tcPr>
          <w:p w14:paraId="7D71026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1,6</w:t>
            </w:r>
          </w:p>
        </w:tc>
        <w:tc>
          <w:tcPr>
            <w:tcW w:w="577" w:type="pct"/>
            <w:tcBorders>
              <w:top w:val="nil"/>
              <w:left w:val="nil"/>
              <w:bottom w:val="nil"/>
              <w:right w:val="nil"/>
            </w:tcBorders>
            <w:shd w:val="clear" w:color="auto" w:fill="FFFFFF" w:themeFill="background1"/>
            <w:noWrap/>
            <w:hideMark/>
          </w:tcPr>
          <w:p w14:paraId="7377467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1,1</w:t>
            </w:r>
          </w:p>
        </w:tc>
      </w:tr>
      <w:tr w:rsidR="00455EB5" w:rsidRPr="00EA3D8C" w14:paraId="75CD6C61"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hideMark/>
          </w:tcPr>
          <w:p w14:paraId="2674CE0C"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2007</w:t>
            </w:r>
          </w:p>
        </w:tc>
        <w:tc>
          <w:tcPr>
            <w:tcW w:w="577" w:type="pct"/>
            <w:tcBorders>
              <w:top w:val="nil"/>
              <w:bottom w:val="nil"/>
            </w:tcBorders>
            <w:shd w:val="clear" w:color="auto" w:fill="FFFFFF" w:themeFill="background1"/>
          </w:tcPr>
          <w:p w14:paraId="6A11638B"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1,4</w:t>
            </w:r>
          </w:p>
        </w:tc>
        <w:tc>
          <w:tcPr>
            <w:tcW w:w="577" w:type="pct"/>
            <w:tcBorders>
              <w:top w:val="nil"/>
              <w:bottom w:val="nil"/>
            </w:tcBorders>
            <w:shd w:val="clear" w:color="auto" w:fill="FFFFFF" w:themeFill="background1"/>
            <w:hideMark/>
          </w:tcPr>
          <w:p w14:paraId="3824CCC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-1,8</w:t>
            </w:r>
          </w:p>
        </w:tc>
        <w:tc>
          <w:tcPr>
            <w:tcW w:w="577" w:type="pct"/>
            <w:tcBorders>
              <w:top w:val="nil"/>
              <w:bottom w:val="nil"/>
            </w:tcBorders>
            <w:shd w:val="clear" w:color="auto" w:fill="FFFFFF" w:themeFill="background1"/>
            <w:hideMark/>
          </w:tcPr>
          <w:p w14:paraId="76CFA1E3"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nil"/>
            </w:tcBorders>
            <w:shd w:val="clear" w:color="auto" w:fill="FFFFFF" w:themeFill="background1"/>
            <w:hideMark/>
          </w:tcPr>
          <w:p w14:paraId="16826DE4"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0,5</w:t>
            </w:r>
          </w:p>
        </w:tc>
        <w:tc>
          <w:tcPr>
            <w:tcW w:w="577" w:type="pct"/>
            <w:tcBorders>
              <w:top w:val="nil"/>
              <w:bottom w:val="nil"/>
            </w:tcBorders>
            <w:shd w:val="clear" w:color="auto" w:fill="FFFFFF" w:themeFill="background1"/>
            <w:noWrap/>
            <w:hideMark/>
          </w:tcPr>
          <w:p w14:paraId="24BE7103"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-2,3</w:t>
            </w:r>
          </w:p>
        </w:tc>
        <w:tc>
          <w:tcPr>
            <w:tcW w:w="577" w:type="pct"/>
            <w:tcBorders>
              <w:top w:val="nil"/>
              <w:bottom w:val="nil"/>
            </w:tcBorders>
            <w:shd w:val="clear" w:color="auto" w:fill="FFFFFF" w:themeFill="background1"/>
          </w:tcPr>
          <w:p w14:paraId="390247D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-1,9</w:t>
            </w:r>
          </w:p>
        </w:tc>
        <w:tc>
          <w:tcPr>
            <w:tcW w:w="577" w:type="pct"/>
            <w:tcBorders>
              <w:top w:val="nil"/>
              <w:bottom w:val="nil"/>
            </w:tcBorders>
            <w:shd w:val="clear" w:color="auto" w:fill="FFFFFF" w:themeFill="background1"/>
            <w:noWrap/>
            <w:hideMark/>
          </w:tcPr>
          <w:p w14:paraId="278C104D"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-1,4</w:t>
            </w:r>
          </w:p>
        </w:tc>
        <w:tc>
          <w:tcPr>
            <w:tcW w:w="577" w:type="pct"/>
            <w:tcBorders>
              <w:top w:val="nil"/>
              <w:bottom w:val="nil"/>
            </w:tcBorders>
            <w:shd w:val="clear" w:color="auto" w:fill="FFFFFF" w:themeFill="background1"/>
            <w:noWrap/>
            <w:hideMark/>
          </w:tcPr>
          <w:p w14:paraId="435A2F17"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2,6</w:t>
            </w:r>
          </w:p>
        </w:tc>
      </w:tr>
      <w:tr w:rsidR="00455EB5" w:rsidRPr="00EA3D8C" w14:paraId="0DB19186"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left w:val="nil"/>
              <w:bottom w:val="nil"/>
              <w:right w:val="nil"/>
            </w:tcBorders>
            <w:shd w:val="clear" w:color="auto" w:fill="FFFFFF" w:themeFill="background1"/>
            <w:noWrap/>
            <w:hideMark/>
          </w:tcPr>
          <w:p w14:paraId="64C3BC13"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2008</w:t>
            </w:r>
          </w:p>
        </w:tc>
        <w:tc>
          <w:tcPr>
            <w:tcW w:w="577" w:type="pct"/>
            <w:tcBorders>
              <w:top w:val="nil"/>
              <w:left w:val="nil"/>
              <w:bottom w:val="nil"/>
              <w:right w:val="nil"/>
            </w:tcBorders>
            <w:shd w:val="clear" w:color="auto" w:fill="FFFFFF" w:themeFill="background1"/>
          </w:tcPr>
          <w:p w14:paraId="4413020A"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4,5</w:t>
            </w:r>
          </w:p>
        </w:tc>
        <w:tc>
          <w:tcPr>
            <w:tcW w:w="577" w:type="pct"/>
            <w:tcBorders>
              <w:top w:val="nil"/>
              <w:left w:val="nil"/>
              <w:bottom w:val="nil"/>
              <w:right w:val="nil"/>
            </w:tcBorders>
            <w:shd w:val="clear" w:color="auto" w:fill="FFFFFF" w:themeFill="background1"/>
            <w:hideMark/>
          </w:tcPr>
          <w:p w14:paraId="28420B02"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-2,5</w:t>
            </w:r>
          </w:p>
        </w:tc>
        <w:tc>
          <w:tcPr>
            <w:tcW w:w="577" w:type="pct"/>
            <w:tcBorders>
              <w:top w:val="nil"/>
              <w:left w:val="nil"/>
              <w:bottom w:val="nil"/>
              <w:right w:val="nil"/>
            </w:tcBorders>
            <w:shd w:val="clear" w:color="auto" w:fill="FFFFFF" w:themeFill="background1"/>
            <w:hideMark/>
          </w:tcPr>
          <w:p w14:paraId="08AD093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-1,9</w:t>
            </w:r>
          </w:p>
        </w:tc>
        <w:tc>
          <w:tcPr>
            <w:tcW w:w="577" w:type="pct"/>
            <w:tcBorders>
              <w:top w:val="nil"/>
              <w:left w:val="nil"/>
              <w:bottom w:val="nil"/>
              <w:right w:val="nil"/>
            </w:tcBorders>
            <w:shd w:val="clear" w:color="auto" w:fill="FFFFFF" w:themeFill="background1"/>
            <w:hideMark/>
          </w:tcPr>
          <w:p w14:paraId="71486E3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1,6</w:t>
            </w:r>
          </w:p>
        </w:tc>
        <w:tc>
          <w:tcPr>
            <w:tcW w:w="577" w:type="pct"/>
            <w:tcBorders>
              <w:top w:val="nil"/>
              <w:left w:val="nil"/>
              <w:bottom w:val="nil"/>
              <w:right w:val="nil"/>
            </w:tcBorders>
            <w:shd w:val="clear" w:color="auto" w:fill="FFFFFF" w:themeFill="background1"/>
            <w:noWrap/>
            <w:hideMark/>
          </w:tcPr>
          <w:p w14:paraId="02B9BE0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-4,1</w:t>
            </w:r>
          </w:p>
        </w:tc>
        <w:tc>
          <w:tcPr>
            <w:tcW w:w="577" w:type="pct"/>
            <w:tcBorders>
              <w:top w:val="nil"/>
              <w:left w:val="nil"/>
              <w:bottom w:val="nil"/>
              <w:right w:val="nil"/>
            </w:tcBorders>
            <w:shd w:val="clear" w:color="auto" w:fill="FFFFFF" w:themeFill="background1"/>
          </w:tcPr>
          <w:p w14:paraId="2ABCD2DD"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-4,1</w:t>
            </w:r>
          </w:p>
        </w:tc>
        <w:tc>
          <w:tcPr>
            <w:tcW w:w="577" w:type="pct"/>
            <w:tcBorders>
              <w:top w:val="nil"/>
              <w:left w:val="nil"/>
              <w:bottom w:val="nil"/>
              <w:right w:val="nil"/>
            </w:tcBorders>
            <w:shd w:val="clear" w:color="auto" w:fill="FFFFFF" w:themeFill="background1"/>
            <w:noWrap/>
            <w:hideMark/>
          </w:tcPr>
          <w:p w14:paraId="28F22F79"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left w:val="nil"/>
              <w:bottom w:val="nil"/>
              <w:right w:val="nil"/>
            </w:tcBorders>
            <w:shd w:val="clear" w:color="auto" w:fill="FFFFFF" w:themeFill="background1"/>
            <w:noWrap/>
            <w:hideMark/>
          </w:tcPr>
          <w:p w14:paraId="6E13EE8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1,8</w:t>
            </w:r>
          </w:p>
        </w:tc>
      </w:tr>
      <w:tr w:rsidR="00455EB5" w:rsidRPr="00EA3D8C" w14:paraId="1DFC90A8"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hideMark/>
          </w:tcPr>
          <w:p w14:paraId="7028803E"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2009</w:t>
            </w:r>
          </w:p>
        </w:tc>
        <w:tc>
          <w:tcPr>
            <w:tcW w:w="577" w:type="pct"/>
            <w:tcBorders>
              <w:top w:val="nil"/>
              <w:bottom w:val="nil"/>
            </w:tcBorders>
            <w:shd w:val="clear" w:color="auto" w:fill="FFFFFF" w:themeFill="background1"/>
          </w:tcPr>
          <w:p w14:paraId="5CCCBE1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nil"/>
              <w:bottom w:val="nil"/>
            </w:tcBorders>
            <w:shd w:val="clear" w:color="auto" w:fill="FFFFFF" w:themeFill="background1"/>
            <w:hideMark/>
          </w:tcPr>
          <w:p w14:paraId="35A4494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-4,2</w:t>
            </w:r>
          </w:p>
        </w:tc>
        <w:tc>
          <w:tcPr>
            <w:tcW w:w="577" w:type="pct"/>
            <w:tcBorders>
              <w:top w:val="nil"/>
              <w:bottom w:val="nil"/>
            </w:tcBorders>
            <w:shd w:val="clear" w:color="auto" w:fill="FFFFFF" w:themeFill="background1"/>
            <w:hideMark/>
          </w:tcPr>
          <w:p w14:paraId="7A9AE321"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bottom w:val="nil"/>
            </w:tcBorders>
            <w:shd w:val="clear" w:color="auto" w:fill="FFFFFF" w:themeFill="background1"/>
            <w:hideMark/>
          </w:tcPr>
          <w:p w14:paraId="230862C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nil"/>
              <w:bottom w:val="nil"/>
            </w:tcBorders>
            <w:shd w:val="clear" w:color="auto" w:fill="FFFFFF" w:themeFill="background1"/>
            <w:hideMark/>
          </w:tcPr>
          <w:p w14:paraId="13C119AC"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-4,2</w:t>
            </w:r>
          </w:p>
        </w:tc>
        <w:tc>
          <w:tcPr>
            <w:tcW w:w="577" w:type="pct"/>
            <w:tcBorders>
              <w:top w:val="nil"/>
              <w:bottom w:val="nil"/>
            </w:tcBorders>
            <w:shd w:val="clear" w:color="auto" w:fill="FFFFFF" w:themeFill="background1"/>
          </w:tcPr>
          <w:p w14:paraId="72029E9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-4,2</w:t>
            </w:r>
          </w:p>
        </w:tc>
        <w:tc>
          <w:tcPr>
            <w:tcW w:w="577" w:type="pct"/>
            <w:tcBorders>
              <w:top w:val="nil"/>
              <w:bottom w:val="nil"/>
            </w:tcBorders>
            <w:shd w:val="clear" w:color="auto" w:fill="FFFFFF" w:themeFill="background1"/>
            <w:noWrap/>
            <w:hideMark/>
          </w:tcPr>
          <w:p w14:paraId="698C0A02"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bottom w:val="nil"/>
            </w:tcBorders>
            <w:shd w:val="clear" w:color="auto" w:fill="FFFFFF" w:themeFill="background1"/>
            <w:noWrap/>
            <w:hideMark/>
          </w:tcPr>
          <w:p w14:paraId="3C68DD3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0,0</w:t>
            </w:r>
          </w:p>
        </w:tc>
      </w:tr>
      <w:tr w:rsidR="00455EB5" w:rsidRPr="00EA3D8C" w14:paraId="06F55823"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left w:val="nil"/>
              <w:bottom w:val="nil"/>
              <w:right w:val="nil"/>
            </w:tcBorders>
            <w:shd w:val="clear" w:color="auto" w:fill="FFFFFF" w:themeFill="background1"/>
            <w:noWrap/>
          </w:tcPr>
          <w:p w14:paraId="7D463D8B"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2010</w:t>
            </w:r>
          </w:p>
          <w:p w14:paraId="0AB3E666"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p>
        </w:tc>
        <w:tc>
          <w:tcPr>
            <w:tcW w:w="577" w:type="pct"/>
            <w:tcBorders>
              <w:top w:val="nil"/>
              <w:left w:val="nil"/>
              <w:bottom w:val="nil"/>
              <w:right w:val="nil"/>
            </w:tcBorders>
            <w:shd w:val="clear" w:color="auto" w:fill="FFFFFF" w:themeFill="background1"/>
          </w:tcPr>
          <w:p w14:paraId="329A95EC"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-0,6</w:t>
            </w:r>
          </w:p>
        </w:tc>
        <w:tc>
          <w:tcPr>
            <w:tcW w:w="577" w:type="pct"/>
            <w:tcBorders>
              <w:top w:val="nil"/>
              <w:left w:val="nil"/>
              <w:bottom w:val="nil"/>
              <w:right w:val="nil"/>
            </w:tcBorders>
            <w:shd w:val="clear" w:color="auto" w:fill="FFFFFF" w:themeFill="background1"/>
            <w:hideMark/>
          </w:tcPr>
          <w:p w14:paraId="6F76416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-4,3</w:t>
            </w:r>
          </w:p>
        </w:tc>
        <w:tc>
          <w:tcPr>
            <w:tcW w:w="577" w:type="pct"/>
            <w:tcBorders>
              <w:top w:val="nil"/>
              <w:left w:val="nil"/>
              <w:bottom w:val="nil"/>
              <w:right w:val="nil"/>
            </w:tcBorders>
            <w:shd w:val="clear" w:color="auto" w:fill="FFFFFF" w:themeFill="background1"/>
            <w:hideMark/>
          </w:tcPr>
          <w:p w14:paraId="26B8990A"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-3,4</w:t>
            </w:r>
          </w:p>
        </w:tc>
        <w:tc>
          <w:tcPr>
            <w:tcW w:w="577" w:type="pct"/>
            <w:tcBorders>
              <w:top w:val="nil"/>
              <w:left w:val="nil"/>
              <w:bottom w:val="nil"/>
              <w:right w:val="nil"/>
            </w:tcBorders>
            <w:shd w:val="clear" w:color="auto" w:fill="FFFFFF" w:themeFill="background1"/>
            <w:hideMark/>
          </w:tcPr>
          <w:p w14:paraId="12D3CF28"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left w:val="nil"/>
              <w:bottom w:val="nil"/>
              <w:right w:val="nil"/>
            </w:tcBorders>
            <w:shd w:val="clear" w:color="auto" w:fill="FFFFFF" w:themeFill="background1"/>
            <w:hideMark/>
          </w:tcPr>
          <w:p w14:paraId="62BEDFA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-4,1</w:t>
            </w:r>
          </w:p>
        </w:tc>
        <w:tc>
          <w:tcPr>
            <w:tcW w:w="577" w:type="pct"/>
            <w:tcBorders>
              <w:top w:val="nil"/>
              <w:left w:val="nil"/>
              <w:bottom w:val="nil"/>
              <w:right w:val="nil"/>
            </w:tcBorders>
            <w:shd w:val="clear" w:color="auto" w:fill="FFFFFF" w:themeFill="background1"/>
          </w:tcPr>
          <w:p w14:paraId="4F983894"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-4,2</w:t>
            </w:r>
          </w:p>
        </w:tc>
        <w:tc>
          <w:tcPr>
            <w:tcW w:w="577" w:type="pct"/>
            <w:tcBorders>
              <w:top w:val="nil"/>
              <w:left w:val="nil"/>
              <w:bottom w:val="nil"/>
              <w:right w:val="nil"/>
            </w:tcBorders>
            <w:shd w:val="clear" w:color="auto" w:fill="FFFFFF" w:themeFill="background1"/>
            <w:noWrap/>
            <w:hideMark/>
          </w:tcPr>
          <w:p w14:paraId="1DBF7736"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-3,3</w:t>
            </w:r>
          </w:p>
        </w:tc>
        <w:tc>
          <w:tcPr>
            <w:tcW w:w="577" w:type="pct"/>
            <w:tcBorders>
              <w:top w:val="nil"/>
              <w:left w:val="nil"/>
              <w:bottom w:val="nil"/>
              <w:right w:val="nil"/>
            </w:tcBorders>
            <w:shd w:val="clear" w:color="auto" w:fill="FFFFFF" w:themeFill="background1"/>
            <w:noWrap/>
            <w:hideMark/>
          </w:tcPr>
          <w:p w14:paraId="554D063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-0,4</w:t>
            </w:r>
          </w:p>
        </w:tc>
      </w:tr>
      <w:tr w:rsidR="00455EB5" w:rsidRPr="00EA3D8C" w14:paraId="411A1F74"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hideMark/>
          </w:tcPr>
          <w:p w14:paraId="0D42E181"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2011</w:t>
            </w:r>
          </w:p>
        </w:tc>
        <w:tc>
          <w:tcPr>
            <w:tcW w:w="577" w:type="pct"/>
            <w:tcBorders>
              <w:top w:val="nil"/>
              <w:bottom w:val="nil"/>
            </w:tcBorders>
            <w:shd w:val="clear" w:color="auto" w:fill="FFFFFF" w:themeFill="background1"/>
          </w:tcPr>
          <w:p w14:paraId="59D1BA7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bottom w:val="nil"/>
            </w:tcBorders>
            <w:shd w:val="clear" w:color="auto" w:fill="FFFFFF" w:themeFill="background1"/>
            <w:hideMark/>
          </w:tcPr>
          <w:p w14:paraId="5DEB9F07"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-4,5</w:t>
            </w:r>
          </w:p>
        </w:tc>
        <w:tc>
          <w:tcPr>
            <w:tcW w:w="577" w:type="pct"/>
            <w:tcBorders>
              <w:top w:val="nil"/>
              <w:bottom w:val="nil"/>
            </w:tcBorders>
            <w:shd w:val="clear" w:color="auto" w:fill="FFFFFF" w:themeFill="background1"/>
            <w:hideMark/>
          </w:tcPr>
          <w:p w14:paraId="3340BF0A"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-3,4</w:t>
            </w:r>
          </w:p>
        </w:tc>
        <w:tc>
          <w:tcPr>
            <w:tcW w:w="577" w:type="pct"/>
            <w:tcBorders>
              <w:top w:val="nil"/>
              <w:bottom w:val="nil"/>
            </w:tcBorders>
            <w:shd w:val="clear" w:color="auto" w:fill="FFFFFF" w:themeFill="background1"/>
            <w:hideMark/>
          </w:tcPr>
          <w:p w14:paraId="55EDA0E6"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nil"/>
              <w:bottom w:val="nil"/>
            </w:tcBorders>
            <w:shd w:val="clear" w:color="auto" w:fill="FFFFFF" w:themeFill="background1"/>
            <w:hideMark/>
          </w:tcPr>
          <w:p w14:paraId="18426F3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-4,6</w:t>
            </w:r>
          </w:p>
        </w:tc>
        <w:tc>
          <w:tcPr>
            <w:tcW w:w="577" w:type="pct"/>
            <w:tcBorders>
              <w:top w:val="nil"/>
              <w:bottom w:val="nil"/>
            </w:tcBorders>
            <w:shd w:val="clear" w:color="auto" w:fill="FFFFFF" w:themeFill="background1"/>
          </w:tcPr>
          <w:p w14:paraId="47B1A51D"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-4,8</w:t>
            </w:r>
          </w:p>
        </w:tc>
        <w:tc>
          <w:tcPr>
            <w:tcW w:w="577" w:type="pct"/>
            <w:tcBorders>
              <w:top w:val="nil"/>
              <w:bottom w:val="nil"/>
            </w:tcBorders>
            <w:shd w:val="clear" w:color="auto" w:fill="FFFFFF" w:themeFill="background1"/>
            <w:noWrap/>
            <w:hideMark/>
          </w:tcPr>
          <w:p w14:paraId="0518275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bottom w:val="nil"/>
            </w:tcBorders>
            <w:shd w:val="clear" w:color="auto" w:fill="FFFFFF" w:themeFill="background1"/>
            <w:noWrap/>
            <w:hideMark/>
          </w:tcPr>
          <w:p w14:paraId="0AAA44B2"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0,2</w:t>
            </w:r>
          </w:p>
        </w:tc>
      </w:tr>
      <w:tr w:rsidR="00455EB5" w:rsidRPr="00EA3D8C" w14:paraId="21448C63"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22358739"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2012</w:t>
            </w:r>
          </w:p>
          <w:p w14:paraId="7A9166A0"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p>
        </w:tc>
        <w:tc>
          <w:tcPr>
            <w:tcW w:w="577" w:type="pct"/>
            <w:tcBorders>
              <w:top w:val="nil"/>
              <w:bottom w:val="nil"/>
            </w:tcBorders>
            <w:shd w:val="clear" w:color="auto" w:fill="FFFFFF" w:themeFill="background1"/>
          </w:tcPr>
          <w:p w14:paraId="371B0EEC"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-2,0</w:t>
            </w:r>
          </w:p>
        </w:tc>
        <w:tc>
          <w:tcPr>
            <w:tcW w:w="577" w:type="pct"/>
            <w:tcBorders>
              <w:top w:val="nil"/>
              <w:bottom w:val="nil"/>
            </w:tcBorders>
            <w:shd w:val="clear" w:color="auto" w:fill="FFFFFF" w:themeFill="background1"/>
          </w:tcPr>
          <w:p w14:paraId="241844E2"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-6,4</w:t>
            </w:r>
          </w:p>
        </w:tc>
        <w:tc>
          <w:tcPr>
            <w:tcW w:w="577" w:type="pct"/>
            <w:tcBorders>
              <w:top w:val="nil"/>
              <w:bottom w:val="nil"/>
            </w:tcBorders>
            <w:shd w:val="clear" w:color="auto" w:fill="FFFFFF" w:themeFill="background1"/>
          </w:tcPr>
          <w:p w14:paraId="52176113"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-4,7</w:t>
            </w:r>
          </w:p>
        </w:tc>
        <w:tc>
          <w:tcPr>
            <w:tcW w:w="577" w:type="pct"/>
            <w:tcBorders>
              <w:top w:val="nil"/>
              <w:bottom w:val="nil"/>
            </w:tcBorders>
            <w:shd w:val="clear" w:color="auto" w:fill="FFFFFF" w:themeFill="background1"/>
          </w:tcPr>
          <w:p w14:paraId="65F400F9"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-0,7</w:t>
            </w:r>
          </w:p>
        </w:tc>
        <w:tc>
          <w:tcPr>
            <w:tcW w:w="577" w:type="pct"/>
            <w:tcBorders>
              <w:top w:val="nil"/>
              <w:bottom w:val="nil"/>
            </w:tcBorders>
            <w:shd w:val="clear" w:color="auto" w:fill="FFFFFF" w:themeFill="background1"/>
          </w:tcPr>
          <w:p w14:paraId="5CD63FF3"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-5,7</w:t>
            </w:r>
          </w:p>
        </w:tc>
        <w:tc>
          <w:tcPr>
            <w:tcW w:w="577" w:type="pct"/>
            <w:tcBorders>
              <w:top w:val="nil"/>
              <w:bottom w:val="nil"/>
            </w:tcBorders>
            <w:shd w:val="clear" w:color="auto" w:fill="FFFFFF" w:themeFill="background1"/>
          </w:tcPr>
          <w:p w14:paraId="226031E8"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-5,7</w:t>
            </w:r>
          </w:p>
        </w:tc>
        <w:tc>
          <w:tcPr>
            <w:tcW w:w="577" w:type="pct"/>
            <w:tcBorders>
              <w:top w:val="nil"/>
              <w:bottom w:val="nil"/>
            </w:tcBorders>
            <w:shd w:val="clear" w:color="auto" w:fill="FFFFFF" w:themeFill="background1"/>
            <w:noWrap/>
          </w:tcPr>
          <w:p w14:paraId="5F6768F2"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-4,0</w:t>
            </w:r>
          </w:p>
        </w:tc>
        <w:tc>
          <w:tcPr>
            <w:tcW w:w="577" w:type="pct"/>
            <w:tcBorders>
              <w:top w:val="nil"/>
              <w:bottom w:val="nil"/>
            </w:tcBorders>
            <w:shd w:val="clear" w:color="auto" w:fill="FFFFFF" w:themeFill="background1"/>
            <w:noWrap/>
          </w:tcPr>
          <w:p w14:paraId="1D31F9B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0,6</w:t>
            </w:r>
          </w:p>
        </w:tc>
      </w:tr>
      <w:tr w:rsidR="00455EB5" w:rsidRPr="00EA3D8C" w14:paraId="54FDD4A9"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5DCA7553"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2013</w:t>
            </w:r>
          </w:p>
        </w:tc>
        <w:tc>
          <w:tcPr>
            <w:tcW w:w="577" w:type="pct"/>
            <w:tcBorders>
              <w:top w:val="nil"/>
              <w:bottom w:val="nil"/>
            </w:tcBorders>
            <w:shd w:val="clear" w:color="auto" w:fill="FFFFFF" w:themeFill="background1"/>
          </w:tcPr>
          <w:p w14:paraId="3B03D64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0,5</w:t>
            </w:r>
          </w:p>
        </w:tc>
        <w:tc>
          <w:tcPr>
            <w:tcW w:w="577" w:type="pct"/>
            <w:tcBorders>
              <w:top w:val="nil"/>
              <w:bottom w:val="nil"/>
            </w:tcBorders>
            <w:shd w:val="clear" w:color="auto" w:fill="FFFFFF" w:themeFill="background1"/>
          </w:tcPr>
          <w:p w14:paraId="1D41506B"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-5,1</w:t>
            </w:r>
          </w:p>
        </w:tc>
        <w:tc>
          <w:tcPr>
            <w:tcW w:w="577" w:type="pct"/>
            <w:tcBorders>
              <w:top w:val="nil"/>
              <w:bottom w:val="nil"/>
            </w:tcBorders>
            <w:shd w:val="clear" w:color="auto" w:fill="FFFFFF" w:themeFill="background1"/>
          </w:tcPr>
          <w:p w14:paraId="6DB6E9CB"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-3,0</w:t>
            </w:r>
          </w:p>
        </w:tc>
        <w:tc>
          <w:tcPr>
            <w:tcW w:w="577" w:type="pct"/>
            <w:tcBorders>
              <w:top w:val="nil"/>
              <w:bottom w:val="nil"/>
            </w:tcBorders>
            <w:shd w:val="clear" w:color="auto" w:fill="FFFFFF" w:themeFill="background1"/>
          </w:tcPr>
          <w:p w14:paraId="1D33F12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bottom w:val="nil"/>
            </w:tcBorders>
            <w:shd w:val="clear" w:color="auto" w:fill="FFFFFF" w:themeFill="background1"/>
          </w:tcPr>
          <w:p w14:paraId="6CB842DB"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-5,3</w:t>
            </w:r>
          </w:p>
        </w:tc>
        <w:tc>
          <w:tcPr>
            <w:tcW w:w="577" w:type="pct"/>
            <w:tcBorders>
              <w:top w:val="nil"/>
              <w:bottom w:val="nil"/>
            </w:tcBorders>
            <w:shd w:val="clear" w:color="auto" w:fill="FFFFFF" w:themeFill="background1"/>
          </w:tcPr>
          <w:p w14:paraId="73E9C0E5"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-5,1</w:t>
            </w:r>
          </w:p>
        </w:tc>
        <w:tc>
          <w:tcPr>
            <w:tcW w:w="577" w:type="pct"/>
            <w:tcBorders>
              <w:top w:val="nil"/>
              <w:bottom w:val="nil"/>
            </w:tcBorders>
            <w:shd w:val="clear" w:color="auto" w:fill="FFFFFF" w:themeFill="background1"/>
            <w:noWrap/>
          </w:tcPr>
          <w:p w14:paraId="6999FC6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-2,9</w:t>
            </w:r>
          </w:p>
        </w:tc>
        <w:tc>
          <w:tcPr>
            <w:tcW w:w="577" w:type="pct"/>
            <w:tcBorders>
              <w:top w:val="nil"/>
              <w:bottom w:val="nil"/>
            </w:tcBorders>
            <w:shd w:val="clear" w:color="auto" w:fill="FFFFFF" w:themeFill="background1"/>
            <w:noWrap/>
          </w:tcPr>
          <w:p w14:paraId="537545A6"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-0,9</w:t>
            </w:r>
          </w:p>
        </w:tc>
      </w:tr>
      <w:tr w:rsidR="00455EB5" w:rsidRPr="00EA3D8C" w14:paraId="1F15A3F3"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28D42BB1"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2014</w:t>
            </w:r>
          </w:p>
        </w:tc>
        <w:tc>
          <w:tcPr>
            <w:tcW w:w="577" w:type="pct"/>
            <w:tcBorders>
              <w:top w:val="nil"/>
              <w:bottom w:val="nil"/>
            </w:tcBorders>
            <w:shd w:val="clear" w:color="auto" w:fill="FFFFFF" w:themeFill="background1"/>
          </w:tcPr>
          <w:p w14:paraId="6E9CE609"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-1,9</w:t>
            </w:r>
          </w:p>
        </w:tc>
        <w:tc>
          <w:tcPr>
            <w:tcW w:w="577" w:type="pct"/>
            <w:tcBorders>
              <w:top w:val="nil"/>
              <w:bottom w:val="nil"/>
            </w:tcBorders>
            <w:shd w:val="clear" w:color="auto" w:fill="FFFFFF" w:themeFill="background1"/>
          </w:tcPr>
          <w:p w14:paraId="1431E514"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-6,2</w:t>
            </w:r>
          </w:p>
        </w:tc>
        <w:tc>
          <w:tcPr>
            <w:tcW w:w="577" w:type="pct"/>
            <w:tcBorders>
              <w:top w:val="nil"/>
              <w:bottom w:val="nil"/>
            </w:tcBorders>
            <w:shd w:val="clear" w:color="auto" w:fill="FFFFFF" w:themeFill="background1"/>
          </w:tcPr>
          <w:p w14:paraId="592DE2D7"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-3,5</w:t>
            </w:r>
          </w:p>
        </w:tc>
        <w:tc>
          <w:tcPr>
            <w:tcW w:w="577" w:type="pct"/>
            <w:tcBorders>
              <w:top w:val="nil"/>
              <w:bottom w:val="nil"/>
            </w:tcBorders>
            <w:shd w:val="clear" w:color="auto" w:fill="FFFFFF" w:themeFill="background1"/>
          </w:tcPr>
          <w:p w14:paraId="5064433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-0,7</w:t>
            </w:r>
          </w:p>
        </w:tc>
        <w:tc>
          <w:tcPr>
            <w:tcW w:w="577" w:type="pct"/>
            <w:tcBorders>
              <w:top w:val="nil"/>
              <w:bottom w:val="nil"/>
            </w:tcBorders>
            <w:shd w:val="clear" w:color="auto" w:fill="FFFFFF" w:themeFill="background1"/>
          </w:tcPr>
          <w:p w14:paraId="3174AC5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-5,5</w:t>
            </w:r>
          </w:p>
        </w:tc>
        <w:tc>
          <w:tcPr>
            <w:tcW w:w="577" w:type="pct"/>
            <w:tcBorders>
              <w:top w:val="nil"/>
              <w:bottom w:val="nil"/>
            </w:tcBorders>
            <w:shd w:val="clear" w:color="auto" w:fill="FFFFFF" w:themeFill="background1"/>
          </w:tcPr>
          <w:p w14:paraId="64055BE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-4,7</w:t>
            </w:r>
          </w:p>
        </w:tc>
        <w:tc>
          <w:tcPr>
            <w:tcW w:w="577" w:type="pct"/>
            <w:tcBorders>
              <w:top w:val="nil"/>
              <w:bottom w:val="nil"/>
            </w:tcBorders>
            <w:shd w:val="clear" w:color="auto" w:fill="FFFFFF" w:themeFill="background1"/>
            <w:noWrap/>
          </w:tcPr>
          <w:p w14:paraId="3CA29663"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-2,0</w:t>
            </w:r>
          </w:p>
        </w:tc>
        <w:tc>
          <w:tcPr>
            <w:tcW w:w="577" w:type="pct"/>
            <w:tcBorders>
              <w:top w:val="nil"/>
              <w:bottom w:val="nil"/>
            </w:tcBorders>
            <w:shd w:val="clear" w:color="auto" w:fill="FFFFFF" w:themeFill="background1"/>
            <w:noWrap/>
          </w:tcPr>
          <w:p w14:paraId="44703107"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-0,3</w:t>
            </w:r>
          </w:p>
        </w:tc>
      </w:tr>
      <w:tr w:rsidR="00455EB5" w:rsidRPr="00EA3D8C" w14:paraId="3AAE44C4"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1C3F62EB"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2015</w:t>
            </w:r>
          </w:p>
        </w:tc>
        <w:tc>
          <w:tcPr>
            <w:tcW w:w="577" w:type="pct"/>
            <w:tcBorders>
              <w:top w:val="nil"/>
              <w:bottom w:val="nil"/>
            </w:tcBorders>
            <w:shd w:val="clear" w:color="auto" w:fill="FFFFFF" w:themeFill="background1"/>
          </w:tcPr>
          <w:p w14:paraId="46C28958"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-1,4</w:t>
            </w:r>
          </w:p>
        </w:tc>
        <w:tc>
          <w:tcPr>
            <w:tcW w:w="577" w:type="pct"/>
            <w:tcBorders>
              <w:top w:val="nil"/>
              <w:bottom w:val="nil"/>
            </w:tcBorders>
            <w:shd w:val="clear" w:color="auto" w:fill="FFFFFF" w:themeFill="background1"/>
          </w:tcPr>
          <w:p w14:paraId="301BC2B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-3,5</w:t>
            </w:r>
          </w:p>
        </w:tc>
        <w:tc>
          <w:tcPr>
            <w:tcW w:w="577" w:type="pct"/>
            <w:tcBorders>
              <w:top w:val="nil"/>
              <w:bottom w:val="nil"/>
            </w:tcBorders>
            <w:shd w:val="clear" w:color="auto" w:fill="FFFFFF" w:themeFill="background1"/>
          </w:tcPr>
          <w:p w14:paraId="340AE1B2"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-0,5</w:t>
            </w:r>
          </w:p>
        </w:tc>
        <w:tc>
          <w:tcPr>
            <w:tcW w:w="577" w:type="pct"/>
            <w:tcBorders>
              <w:top w:val="nil"/>
              <w:bottom w:val="nil"/>
            </w:tcBorders>
            <w:shd w:val="clear" w:color="auto" w:fill="FFFFFF" w:themeFill="background1"/>
          </w:tcPr>
          <w:p w14:paraId="20812802"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-0,5</w:t>
            </w:r>
          </w:p>
        </w:tc>
        <w:tc>
          <w:tcPr>
            <w:tcW w:w="577" w:type="pct"/>
            <w:tcBorders>
              <w:top w:val="nil"/>
              <w:bottom w:val="nil"/>
            </w:tcBorders>
            <w:shd w:val="clear" w:color="auto" w:fill="FFFFFF" w:themeFill="background1"/>
          </w:tcPr>
          <w:p w14:paraId="15E88D0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-3,0</w:t>
            </w:r>
          </w:p>
        </w:tc>
        <w:tc>
          <w:tcPr>
            <w:tcW w:w="577" w:type="pct"/>
            <w:tcBorders>
              <w:top w:val="nil"/>
              <w:bottom w:val="nil"/>
            </w:tcBorders>
            <w:shd w:val="clear" w:color="auto" w:fill="FFFFFF" w:themeFill="background1"/>
          </w:tcPr>
          <w:p w14:paraId="1575FC4A"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-2,3</w:t>
            </w:r>
          </w:p>
        </w:tc>
        <w:tc>
          <w:tcPr>
            <w:tcW w:w="577" w:type="pct"/>
            <w:tcBorders>
              <w:top w:val="nil"/>
              <w:bottom w:val="nil"/>
            </w:tcBorders>
            <w:shd w:val="clear" w:color="auto" w:fill="FFFFFF" w:themeFill="background1"/>
            <w:noWrap/>
          </w:tcPr>
          <w:p w14:paraId="6A5C5AB4"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0,6</w:t>
            </w:r>
          </w:p>
        </w:tc>
        <w:tc>
          <w:tcPr>
            <w:tcW w:w="577" w:type="pct"/>
            <w:tcBorders>
              <w:top w:val="nil"/>
              <w:bottom w:val="nil"/>
            </w:tcBorders>
            <w:shd w:val="clear" w:color="auto" w:fill="FFFFFF" w:themeFill="background1"/>
            <w:noWrap/>
          </w:tcPr>
          <w:p w14:paraId="74109197"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-2,9</w:t>
            </w:r>
          </w:p>
        </w:tc>
      </w:tr>
      <w:tr w:rsidR="00455EB5" w:rsidRPr="00EA3D8C" w14:paraId="1B1E52B5"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4A90F73B"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2016</w:t>
            </w:r>
          </w:p>
        </w:tc>
        <w:tc>
          <w:tcPr>
            <w:tcW w:w="577" w:type="pct"/>
            <w:tcBorders>
              <w:top w:val="nil"/>
              <w:bottom w:val="nil"/>
            </w:tcBorders>
            <w:shd w:val="clear" w:color="auto" w:fill="FFFFFF" w:themeFill="background1"/>
          </w:tcPr>
          <w:p w14:paraId="36697F15"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nil"/>
              <w:bottom w:val="nil"/>
            </w:tcBorders>
            <w:shd w:val="clear" w:color="auto" w:fill="FFFFFF" w:themeFill="background1"/>
          </w:tcPr>
          <w:p w14:paraId="083D0AA5"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nil"/>
            </w:tcBorders>
            <w:shd w:val="clear" w:color="auto" w:fill="FFFFFF" w:themeFill="background1"/>
          </w:tcPr>
          <w:p w14:paraId="28CE1065"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1,7</w:t>
            </w:r>
          </w:p>
        </w:tc>
        <w:tc>
          <w:tcPr>
            <w:tcW w:w="577" w:type="pct"/>
            <w:tcBorders>
              <w:top w:val="nil"/>
              <w:bottom w:val="nil"/>
            </w:tcBorders>
            <w:shd w:val="clear" w:color="auto" w:fill="FFFFFF" w:themeFill="background1"/>
          </w:tcPr>
          <w:p w14:paraId="0457ABD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0,0</w:t>
            </w:r>
          </w:p>
        </w:tc>
        <w:tc>
          <w:tcPr>
            <w:tcW w:w="577" w:type="pct"/>
            <w:tcBorders>
              <w:top w:val="nil"/>
              <w:bottom w:val="nil"/>
            </w:tcBorders>
            <w:shd w:val="clear" w:color="auto" w:fill="FFFFFF" w:themeFill="background1"/>
          </w:tcPr>
          <w:p w14:paraId="32690777"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nil"/>
            </w:tcBorders>
            <w:shd w:val="clear" w:color="auto" w:fill="FFFFFF" w:themeFill="background1"/>
          </w:tcPr>
          <w:p w14:paraId="02503354"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noWrap/>
          </w:tcPr>
          <w:p w14:paraId="59CDE1D9"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1,8</w:t>
            </w:r>
          </w:p>
        </w:tc>
        <w:tc>
          <w:tcPr>
            <w:tcW w:w="577" w:type="pct"/>
            <w:tcBorders>
              <w:top w:val="nil"/>
              <w:bottom w:val="nil"/>
            </w:tcBorders>
            <w:shd w:val="clear" w:color="auto" w:fill="FFFFFF" w:themeFill="background1"/>
            <w:noWrap/>
          </w:tcPr>
          <w:p w14:paraId="4A5E34D9"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-1,7</w:t>
            </w:r>
          </w:p>
        </w:tc>
      </w:tr>
      <w:tr w:rsidR="00455EB5" w:rsidRPr="00EA3D8C" w14:paraId="52E473EB"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7557B67A"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2017</w:t>
            </w:r>
          </w:p>
        </w:tc>
        <w:tc>
          <w:tcPr>
            <w:tcW w:w="577" w:type="pct"/>
            <w:tcBorders>
              <w:top w:val="nil"/>
              <w:bottom w:val="nil"/>
            </w:tcBorders>
            <w:shd w:val="clear" w:color="auto" w:fill="FFFFFF" w:themeFill="background1"/>
          </w:tcPr>
          <w:p w14:paraId="41006686"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-0,3</w:t>
            </w:r>
          </w:p>
        </w:tc>
        <w:tc>
          <w:tcPr>
            <w:tcW w:w="577" w:type="pct"/>
            <w:tcBorders>
              <w:top w:val="nil"/>
              <w:bottom w:val="nil"/>
            </w:tcBorders>
            <w:shd w:val="clear" w:color="auto" w:fill="FFFFFF" w:themeFill="background1"/>
          </w:tcPr>
          <w:p w14:paraId="4769F46D"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tcPr>
          <w:p w14:paraId="46D2D9F5"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bottom w:val="nil"/>
            </w:tcBorders>
            <w:shd w:val="clear" w:color="auto" w:fill="FFFFFF" w:themeFill="background1"/>
          </w:tcPr>
          <w:p w14:paraId="2200561C"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bottom w:val="nil"/>
            </w:tcBorders>
            <w:shd w:val="clear" w:color="auto" w:fill="FFFFFF" w:themeFill="background1"/>
          </w:tcPr>
          <w:p w14:paraId="01F43C4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nil"/>
            </w:tcBorders>
            <w:shd w:val="clear" w:color="auto" w:fill="FFFFFF" w:themeFill="background1"/>
          </w:tcPr>
          <w:p w14:paraId="11BA1E6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noWrap/>
          </w:tcPr>
          <w:p w14:paraId="2C2E2E3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3,6</w:t>
            </w:r>
          </w:p>
        </w:tc>
        <w:tc>
          <w:tcPr>
            <w:tcW w:w="577" w:type="pct"/>
            <w:tcBorders>
              <w:top w:val="nil"/>
              <w:bottom w:val="nil"/>
            </w:tcBorders>
            <w:shd w:val="clear" w:color="auto" w:fill="FFFFFF" w:themeFill="background1"/>
            <w:noWrap/>
          </w:tcPr>
          <w:p w14:paraId="02B0C78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-2,1</w:t>
            </w:r>
          </w:p>
        </w:tc>
      </w:tr>
      <w:tr w:rsidR="00455EB5" w:rsidRPr="00EA3D8C" w14:paraId="027352D6"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213FD657"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2018</w:t>
            </w:r>
          </w:p>
        </w:tc>
        <w:tc>
          <w:tcPr>
            <w:tcW w:w="577" w:type="pct"/>
            <w:tcBorders>
              <w:top w:val="nil"/>
              <w:bottom w:val="nil"/>
            </w:tcBorders>
            <w:shd w:val="clear" w:color="auto" w:fill="FFFFFF" w:themeFill="background1"/>
          </w:tcPr>
          <w:p w14:paraId="290E9B87"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tcPr>
          <w:p w14:paraId="30714E4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0,6</w:t>
            </w:r>
          </w:p>
        </w:tc>
        <w:tc>
          <w:tcPr>
            <w:tcW w:w="577" w:type="pct"/>
            <w:tcBorders>
              <w:top w:val="nil"/>
              <w:bottom w:val="nil"/>
            </w:tcBorders>
            <w:shd w:val="clear" w:color="auto" w:fill="FFFFFF" w:themeFill="background1"/>
          </w:tcPr>
          <w:p w14:paraId="05D5CC06"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2,7</w:t>
            </w:r>
          </w:p>
        </w:tc>
        <w:tc>
          <w:tcPr>
            <w:tcW w:w="577" w:type="pct"/>
            <w:tcBorders>
              <w:top w:val="nil"/>
              <w:bottom w:val="nil"/>
            </w:tcBorders>
            <w:shd w:val="clear" w:color="auto" w:fill="FFFFFF" w:themeFill="background1"/>
          </w:tcPr>
          <w:p w14:paraId="7600B2C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0,4</w:t>
            </w:r>
          </w:p>
        </w:tc>
        <w:tc>
          <w:tcPr>
            <w:tcW w:w="577" w:type="pct"/>
            <w:tcBorders>
              <w:top w:val="nil"/>
              <w:bottom w:val="nil"/>
            </w:tcBorders>
            <w:shd w:val="clear" w:color="auto" w:fill="FFFFFF" w:themeFill="background1"/>
          </w:tcPr>
          <w:p w14:paraId="13D8849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bottom w:val="nil"/>
            </w:tcBorders>
            <w:shd w:val="clear" w:color="auto" w:fill="FFFFFF" w:themeFill="background1"/>
          </w:tcPr>
          <w:p w14:paraId="74647DE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bottom w:val="nil"/>
            </w:tcBorders>
            <w:shd w:val="clear" w:color="auto" w:fill="FFFFFF" w:themeFill="background1"/>
            <w:noWrap/>
          </w:tcPr>
          <w:p w14:paraId="4E40202D"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2,2</w:t>
            </w:r>
          </w:p>
        </w:tc>
        <w:tc>
          <w:tcPr>
            <w:tcW w:w="577" w:type="pct"/>
            <w:tcBorders>
              <w:top w:val="nil"/>
              <w:bottom w:val="nil"/>
            </w:tcBorders>
            <w:shd w:val="clear" w:color="auto" w:fill="FFFFFF" w:themeFill="background1"/>
            <w:noWrap/>
          </w:tcPr>
          <w:p w14:paraId="0D1F3CFC"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Calibri"/>
                <w:color w:val="002060"/>
                <w:sz w:val="14"/>
                <w:szCs w:val="14"/>
                <w:lang w:val="sr-Cyrl-RS"/>
              </w:rPr>
            </w:pPr>
            <w:r w:rsidRPr="00EA3D8C">
              <w:rPr>
                <w:rFonts w:asciiTheme="minorHAnsi" w:hAnsiTheme="minorHAnsi"/>
                <w:color w:val="002060"/>
                <w:sz w:val="14"/>
                <w:szCs w:val="14"/>
                <w:lang w:val="sr-Cyrl-RS"/>
              </w:rPr>
              <w:t>1,4</w:t>
            </w:r>
          </w:p>
        </w:tc>
      </w:tr>
      <w:tr w:rsidR="00455EB5" w:rsidRPr="00EA3D8C" w14:paraId="741EEF2B"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1D3D9391"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2019</w:t>
            </w:r>
          </w:p>
          <w:p w14:paraId="5E52E184"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p>
        </w:tc>
        <w:tc>
          <w:tcPr>
            <w:tcW w:w="577" w:type="pct"/>
            <w:tcBorders>
              <w:top w:val="nil"/>
              <w:bottom w:val="nil"/>
            </w:tcBorders>
            <w:shd w:val="clear" w:color="auto" w:fill="FFFFFF" w:themeFill="background1"/>
          </w:tcPr>
          <w:p w14:paraId="2CA26C81"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2,1</w:t>
            </w:r>
          </w:p>
        </w:tc>
        <w:tc>
          <w:tcPr>
            <w:tcW w:w="577" w:type="pct"/>
            <w:tcBorders>
              <w:top w:val="nil"/>
              <w:bottom w:val="nil"/>
            </w:tcBorders>
            <w:shd w:val="clear" w:color="auto" w:fill="FFFFFF" w:themeFill="background1"/>
          </w:tcPr>
          <w:p w14:paraId="6E296BC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bottom w:val="nil"/>
            </w:tcBorders>
            <w:shd w:val="clear" w:color="auto" w:fill="FFFFFF" w:themeFill="background1"/>
          </w:tcPr>
          <w:p w14:paraId="46178B4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1,8</w:t>
            </w:r>
          </w:p>
        </w:tc>
        <w:tc>
          <w:tcPr>
            <w:tcW w:w="577" w:type="pct"/>
            <w:tcBorders>
              <w:top w:val="nil"/>
              <w:bottom w:val="nil"/>
            </w:tcBorders>
            <w:shd w:val="clear" w:color="auto" w:fill="FFFFFF" w:themeFill="background1"/>
          </w:tcPr>
          <w:p w14:paraId="104602AD"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0,8</w:t>
            </w:r>
          </w:p>
        </w:tc>
        <w:tc>
          <w:tcPr>
            <w:tcW w:w="577" w:type="pct"/>
            <w:tcBorders>
              <w:top w:val="nil"/>
              <w:bottom w:val="nil"/>
            </w:tcBorders>
            <w:shd w:val="clear" w:color="auto" w:fill="FFFFFF" w:themeFill="background1"/>
          </w:tcPr>
          <w:p w14:paraId="68E153F4"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-1,0</w:t>
            </w:r>
          </w:p>
        </w:tc>
        <w:tc>
          <w:tcPr>
            <w:tcW w:w="577" w:type="pct"/>
            <w:tcBorders>
              <w:top w:val="nil"/>
              <w:bottom w:val="nil"/>
            </w:tcBorders>
            <w:shd w:val="clear" w:color="auto" w:fill="FFFFFF" w:themeFill="background1"/>
          </w:tcPr>
          <w:p w14:paraId="275E9ED2"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noWrap/>
          </w:tcPr>
          <w:p w14:paraId="73FF9655"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0,9</w:t>
            </w:r>
          </w:p>
        </w:tc>
        <w:tc>
          <w:tcPr>
            <w:tcW w:w="577" w:type="pct"/>
            <w:tcBorders>
              <w:top w:val="nil"/>
              <w:bottom w:val="nil"/>
            </w:tcBorders>
            <w:shd w:val="clear" w:color="auto" w:fill="FFFFFF" w:themeFill="background1"/>
            <w:noWrap/>
          </w:tcPr>
          <w:p w14:paraId="2F3735FD"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1,3</w:t>
            </w:r>
          </w:p>
        </w:tc>
      </w:tr>
      <w:tr w:rsidR="00455EB5" w:rsidRPr="00EA3D8C" w14:paraId="1DFB167C"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61CA30AA"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2020</w:t>
            </w:r>
          </w:p>
          <w:p w14:paraId="24B9E744"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2021</w:t>
            </w:r>
          </w:p>
          <w:p w14:paraId="0AE9D8B3"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2021</w:t>
            </w:r>
          </w:p>
          <w:p w14:paraId="482AF8F5"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w:t>
            </w:r>
          </w:p>
        </w:tc>
        <w:tc>
          <w:tcPr>
            <w:tcW w:w="577" w:type="pct"/>
            <w:tcBorders>
              <w:top w:val="nil"/>
              <w:bottom w:val="nil"/>
            </w:tcBorders>
            <w:shd w:val="clear" w:color="auto" w:fill="FFFFFF" w:themeFill="background1"/>
          </w:tcPr>
          <w:p w14:paraId="339DB61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-2,1</w:t>
            </w:r>
          </w:p>
        </w:tc>
        <w:tc>
          <w:tcPr>
            <w:tcW w:w="577" w:type="pct"/>
            <w:tcBorders>
              <w:top w:val="nil"/>
              <w:bottom w:val="nil"/>
            </w:tcBorders>
            <w:shd w:val="clear" w:color="auto" w:fill="FFFFFF" w:themeFill="background1"/>
          </w:tcPr>
          <w:p w14:paraId="4460014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-8,9</w:t>
            </w:r>
          </w:p>
        </w:tc>
        <w:tc>
          <w:tcPr>
            <w:tcW w:w="577" w:type="pct"/>
            <w:tcBorders>
              <w:top w:val="nil"/>
              <w:bottom w:val="nil"/>
            </w:tcBorders>
            <w:shd w:val="clear" w:color="auto" w:fill="FFFFFF" w:themeFill="background1"/>
          </w:tcPr>
          <w:p w14:paraId="321CCD1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-6,9</w:t>
            </w:r>
          </w:p>
        </w:tc>
        <w:tc>
          <w:tcPr>
            <w:tcW w:w="577" w:type="pct"/>
            <w:tcBorders>
              <w:top w:val="nil"/>
              <w:bottom w:val="nil"/>
            </w:tcBorders>
            <w:shd w:val="clear" w:color="auto" w:fill="FFFFFF" w:themeFill="background1"/>
          </w:tcPr>
          <w:p w14:paraId="15F5BBB6"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-0,8</w:t>
            </w:r>
          </w:p>
        </w:tc>
        <w:tc>
          <w:tcPr>
            <w:tcW w:w="577" w:type="pct"/>
            <w:tcBorders>
              <w:top w:val="nil"/>
              <w:bottom w:val="nil"/>
            </w:tcBorders>
            <w:shd w:val="clear" w:color="auto" w:fill="FFFFFF" w:themeFill="background1"/>
          </w:tcPr>
          <w:p w14:paraId="0F2EF75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-8,2</w:t>
            </w:r>
          </w:p>
        </w:tc>
        <w:tc>
          <w:tcPr>
            <w:tcW w:w="577" w:type="pct"/>
            <w:tcBorders>
              <w:top w:val="nil"/>
              <w:bottom w:val="nil"/>
            </w:tcBorders>
            <w:shd w:val="clear" w:color="auto" w:fill="FFFFFF" w:themeFill="background1"/>
          </w:tcPr>
          <w:p w14:paraId="17D4276B"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nil"/>
            </w:tcBorders>
            <w:shd w:val="clear" w:color="auto" w:fill="FFFFFF" w:themeFill="background1"/>
            <w:noWrap/>
          </w:tcPr>
          <w:p w14:paraId="40F8E0AE"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0,8</w:t>
            </w:r>
          </w:p>
        </w:tc>
        <w:tc>
          <w:tcPr>
            <w:tcW w:w="577" w:type="pct"/>
            <w:tcBorders>
              <w:top w:val="nil"/>
              <w:bottom w:val="nil"/>
            </w:tcBorders>
            <w:shd w:val="clear" w:color="auto" w:fill="FFFFFF" w:themeFill="background1"/>
            <w:noWrap/>
          </w:tcPr>
          <w:p w14:paraId="26D03E84"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7,2</w:t>
            </w:r>
          </w:p>
        </w:tc>
      </w:tr>
      <w:tr w:rsidR="00455EB5" w:rsidRPr="00EA3D8C" w14:paraId="1F634A81"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449A664B"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2021</w:t>
            </w:r>
          </w:p>
        </w:tc>
        <w:tc>
          <w:tcPr>
            <w:tcW w:w="577" w:type="pct"/>
            <w:tcBorders>
              <w:top w:val="nil"/>
              <w:bottom w:val="nil"/>
            </w:tcBorders>
            <w:shd w:val="clear" w:color="auto" w:fill="FFFFFF" w:themeFill="background1"/>
          </w:tcPr>
          <w:p w14:paraId="72531D84"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bottom w:val="nil"/>
            </w:tcBorders>
            <w:shd w:val="clear" w:color="auto" w:fill="FFFFFF" w:themeFill="background1"/>
          </w:tcPr>
          <w:p w14:paraId="79A03BB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-3,0</w:t>
            </w:r>
          </w:p>
        </w:tc>
        <w:tc>
          <w:tcPr>
            <w:tcW w:w="577" w:type="pct"/>
            <w:tcBorders>
              <w:top w:val="nil"/>
              <w:bottom w:val="nil"/>
            </w:tcBorders>
            <w:shd w:val="clear" w:color="auto" w:fill="FFFFFF" w:themeFill="background1"/>
          </w:tcPr>
          <w:p w14:paraId="13202245"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-1,1</w:t>
            </w:r>
          </w:p>
        </w:tc>
        <w:tc>
          <w:tcPr>
            <w:tcW w:w="577" w:type="pct"/>
            <w:tcBorders>
              <w:top w:val="nil"/>
              <w:bottom w:val="nil"/>
            </w:tcBorders>
            <w:shd w:val="clear" w:color="auto" w:fill="FFFFFF" w:themeFill="background1"/>
          </w:tcPr>
          <w:p w14:paraId="52CF607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bottom w:val="nil"/>
            </w:tcBorders>
            <w:shd w:val="clear" w:color="auto" w:fill="FFFFFF" w:themeFill="background1"/>
          </w:tcPr>
          <w:p w14:paraId="78B5C126"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-3,1</w:t>
            </w:r>
          </w:p>
        </w:tc>
        <w:tc>
          <w:tcPr>
            <w:tcW w:w="577" w:type="pct"/>
            <w:tcBorders>
              <w:top w:val="nil"/>
              <w:bottom w:val="nil"/>
            </w:tcBorders>
            <w:shd w:val="clear" w:color="auto" w:fill="FFFFFF" w:themeFill="background1"/>
          </w:tcPr>
          <w:p w14:paraId="6FBFC6EA"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-3,7</w:t>
            </w:r>
          </w:p>
        </w:tc>
        <w:tc>
          <w:tcPr>
            <w:tcW w:w="577" w:type="pct"/>
            <w:tcBorders>
              <w:top w:val="nil"/>
              <w:bottom w:val="nil"/>
            </w:tcBorders>
            <w:shd w:val="clear" w:color="auto" w:fill="FFFFFF" w:themeFill="background1"/>
            <w:noWrap/>
          </w:tcPr>
          <w:p w14:paraId="2B3EDF71"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-1,8</w:t>
            </w:r>
          </w:p>
        </w:tc>
        <w:tc>
          <w:tcPr>
            <w:tcW w:w="577" w:type="pct"/>
            <w:tcBorders>
              <w:top w:val="nil"/>
              <w:bottom w:val="nil"/>
            </w:tcBorders>
            <w:shd w:val="clear" w:color="auto" w:fill="FFFFFF" w:themeFill="background1"/>
            <w:noWrap/>
          </w:tcPr>
          <w:p w14:paraId="260EC333"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-5,0</w:t>
            </w:r>
          </w:p>
        </w:tc>
      </w:tr>
      <w:tr w:rsidR="00455EB5" w:rsidRPr="00EA3D8C" w14:paraId="33370E35" w14:textId="77777777" w:rsidTr="00455EB5">
        <w:trPr>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nil"/>
            </w:tcBorders>
            <w:shd w:val="clear" w:color="auto" w:fill="FFFFFF" w:themeFill="background1"/>
            <w:noWrap/>
          </w:tcPr>
          <w:p w14:paraId="3F2DFB93"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2022</w:t>
            </w:r>
          </w:p>
        </w:tc>
        <w:tc>
          <w:tcPr>
            <w:tcW w:w="577" w:type="pct"/>
            <w:tcBorders>
              <w:top w:val="nil"/>
              <w:bottom w:val="nil"/>
            </w:tcBorders>
            <w:shd w:val="clear" w:color="auto" w:fill="FFFFFF" w:themeFill="background1"/>
          </w:tcPr>
          <w:p w14:paraId="6218FF88"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0,4</w:t>
            </w:r>
          </w:p>
        </w:tc>
        <w:tc>
          <w:tcPr>
            <w:tcW w:w="577" w:type="pct"/>
            <w:tcBorders>
              <w:top w:val="nil"/>
              <w:bottom w:val="nil"/>
            </w:tcBorders>
            <w:shd w:val="clear" w:color="auto" w:fill="FFFFFF" w:themeFill="background1"/>
          </w:tcPr>
          <w:p w14:paraId="740FE908"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-1,5</w:t>
            </w:r>
          </w:p>
        </w:tc>
        <w:tc>
          <w:tcPr>
            <w:tcW w:w="577" w:type="pct"/>
            <w:tcBorders>
              <w:top w:val="nil"/>
              <w:bottom w:val="nil"/>
            </w:tcBorders>
            <w:shd w:val="clear" w:color="auto" w:fill="FFFFFF" w:themeFill="background1"/>
          </w:tcPr>
          <w:p w14:paraId="216BD5F0"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0,3</w:t>
            </w:r>
          </w:p>
        </w:tc>
        <w:tc>
          <w:tcPr>
            <w:tcW w:w="577" w:type="pct"/>
            <w:tcBorders>
              <w:top w:val="nil"/>
              <w:bottom w:val="nil"/>
            </w:tcBorders>
            <w:shd w:val="clear" w:color="auto" w:fill="FFFFFF" w:themeFill="background1"/>
          </w:tcPr>
          <w:p w14:paraId="40FB1FB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0,1</w:t>
            </w:r>
          </w:p>
        </w:tc>
        <w:tc>
          <w:tcPr>
            <w:tcW w:w="577" w:type="pct"/>
            <w:tcBorders>
              <w:top w:val="nil"/>
              <w:bottom w:val="nil"/>
            </w:tcBorders>
            <w:shd w:val="clear" w:color="auto" w:fill="FFFFFF" w:themeFill="background1"/>
          </w:tcPr>
          <w:p w14:paraId="7CFDA7C4"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-1,6</w:t>
            </w:r>
          </w:p>
        </w:tc>
        <w:tc>
          <w:tcPr>
            <w:tcW w:w="577" w:type="pct"/>
            <w:tcBorders>
              <w:top w:val="nil"/>
              <w:bottom w:val="nil"/>
            </w:tcBorders>
            <w:shd w:val="clear" w:color="auto" w:fill="FFFFFF" w:themeFill="background1"/>
          </w:tcPr>
          <w:p w14:paraId="2A1A120D"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-2,3</w:t>
            </w:r>
          </w:p>
        </w:tc>
        <w:tc>
          <w:tcPr>
            <w:tcW w:w="577" w:type="pct"/>
            <w:tcBorders>
              <w:top w:val="nil"/>
              <w:bottom w:val="nil"/>
            </w:tcBorders>
            <w:shd w:val="clear" w:color="auto" w:fill="FFFFFF" w:themeFill="background1"/>
            <w:noWrap/>
          </w:tcPr>
          <w:p w14:paraId="45333C56"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-0,5</w:t>
            </w:r>
          </w:p>
        </w:tc>
        <w:tc>
          <w:tcPr>
            <w:tcW w:w="577" w:type="pct"/>
            <w:tcBorders>
              <w:top w:val="nil"/>
              <w:bottom w:val="nil"/>
            </w:tcBorders>
            <w:shd w:val="clear" w:color="auto" w:fill="FFFFFF" w:themeFill="background1"/>
            <w:noWrap/>
          </w:tcPr>
          <w:p w14:paraId="599E913F" w14:textId="77777777" w:rsidR="001901FC" w:rsidRPr="00EA3D8C" w:rsidRDefault="001901FC" w:rsidP="00FE1A26">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-1,3</w:t>
            </w:r>
          </w:p>
        </w:tc>
      </w:tr>
      <w:tr w:rsidR="00455EB5" w:rsidRPr="00EA3D8C" w14:paraId="07F0C1F9" w14:textId="77777777" w:rsidTr="00455EB5">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80" w:type="pct"/>
            <w:tcBorders>
              <w:top w:val="nil"/>
              <w:bottom w:val="single" w:sz="4" w:space="0" w:color="002060"/>
            </w:tcBorders>
            <w:shd w:val="clear" w:color="auto" w:fill="FFFFFF" w:themeFill="background1"/>
            <w:noWrap/>
          </w:tcPr>
          <w:p w14:paraId="6228C571" w14:textId="77777777" w:rsidR="001901FC" w:rsidRPr="00EA3D8C" w:rsidRDefault="001901FC" w:rsidP="00FE1A26">
            <w:pPr>
              <w:shd w:val="clear" w:color="auto" w:fill="FFFFFF" w:themeFill="background1"/>
              <w:spacing w:line="276" w:lineRule="auto"/>
              <w:jc w:val="left"/>
              <w:rPr>
                <w:rFonts w:ascii="Calibri" w:hAnsi="Calibri" w:cs="Calibri"/>
                <w:b w:val="0"/>
                <w:color w:val="002060"/>
                <w:sz w:val="14"/>
                <w:szCs w:val="14"/>
                <w:lang w:val="sr-Cyrl-RS"/>
              </w:rPr>
            </w:pPr>
            <w:r w:rsidRPr="00EA3D8C">
              <w:rPr>
                <w:rFonts w:ascii="Calibri" w:hAnsi="Calibri" w:cs="Calibri"/>
                <w:b w:val="0"/>
                <w:color w:val="002060"/>
                <w:sz w:val="14"/>
                <w:szCs w:val="14"/>
                <w:lang w:val="sr-Cyrl-RS"/>
              </w:rPr>
              <w:t>2023</w:t>
            </w:r>
          </w:p>
        </w:tc>
        <w:tc>
          <w:tcPr>
            <w:tcW w:w="577" w:type="pct"/>
            <w:tcBorders>
              <w:top w:val="nil"/>
              <w:bottom w:val="single" w:sz="4" w:space="0" w:color="002060"/>
            </w:tcBorders>
            <w:shd w:val="clear" w:color="auto" w:fill="FFFFFF" w:themeFill="background1"/>
          </w:tcPr>
          <w:p w14:paraId="512B771C"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0,4</w:t>
            </w:r>
          </w:p>
        </w:tc>
        <w:tc>
          <w:tcPr>
            <w:tcW w:w="577" w:type="pct"/>
            <w:tcBorders>
              <w:top w:val="nil"/>
              <w:bottom w:val="single" w:sz="4" w:space="0" w:color="002060"/>
            </w:tcBorders>
            <w:shd w:val="clear" w:color="auto" w:fill="FFFFFF" w:themeFill="background1"/>
          </w:tcPr>
          <w:p w14:paraId="0B855F11"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-1,0</w:t>
            </w:r>
          </w:p>
        </w:tc>
        <w:tc>
          <w:tcPr>
            <w:tcW w:w="577" w:type="pct"/>
            <w:tcBorders>
              <w:top w:val="nil"/>
              <w:bottom w:val="single" w:sz="4" w:space="0" w:color="002060"/>
            </w:tcBorders>
            <w:shd w:val="clear" w:color="auto" w:fill="FFFFFF" w:themeFill="background1"/>
          </w:tcPr>
          <w:p w14:paraId="169CC64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0,6</w:t>
            </w:r>
          </w:p>
        </w:tc>
        <w:tc>
          <w:tcPr>
            <w:tcW w:w="577" w:type="pct"/>
            <w:tcBorders>
              <w:top w:val="nil"/>
              <w:bottom w:val="single" w:sz="4" w:space="0" w:color="002060"/>
            </w:tcBorders>
            <w:shd w:val="clear" w:color="auto" w:fill="FFFFFF" w:themeFill="background1"/>
          </w:tcPr>
          <w:p w14:paraId="176E4C23"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0,2</w:t>
            </w:r>
          </w:p>
        </w:tc>
        <w:tc>
          <w:tcPr>
            <w:tcW w:w="577" w:type="pct"/>
            <w:tcBorders>
              <w:top w:val="nil"/>
              <w:bottom w:val="single" w:sz="4" w:space="0" w:color="002060"/>
            </w:tcBorders>
            <w:shd w:val="clear" w:color="auto" w:fill="FFFFFF" w:themeFill="background1"/>
          </w:tcPr>
          <w:p w14:paraId="7D6B87BE"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single" w:sz="4" w:space="0" w:color="002060"/>
            </w:tcBorders>
            <w:shd w:val="clear" w:color="auto" w:fill="FFFFFF" w:themeFill="background1"/>
          </w:tcPr>
          <w:p w14:paraId="21438A99"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-1,2</w:t>
            </w:r>
          </w:p>
        </w:tc>
        <w:tc>
          <w:tcPr>
            <w:tcW w:w="577" w:type="pct"/>
            <w:tcBorders>
              <w:top w:val="nil"/>
              <w:bottom w:val="single" w:sz="4" w:space="0" w:color="002060"/>
            </w:tcBorders>
            <w:shd w:val="clear" w:color="auto" w:fill="FFFFFF" w:themeFill="background1"/>
            <w:noWrap/>
          </w:tcPr>
          <w:p w14:paraId="3728CBC0"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0,4</w:t>
            </w:r>
          </w:p>
        </w:tc>
        <w:tc>
          <w:tcPr>
            <w:tcW w:w="577" w:type="pct"/>
            <w:tcBorders>
              <w:top w:val="nil"/>
              <w:bottom w:val="single" w:sz="4" w:space="0" w:color="002060"/>
            </w:tcBorders>
            <w:shd w:val="clear" w:color="auto" w:fill="FFFFFF" w:themeFill="background1"/>
            <w:noWrap/>
          </w:tcPr>
          <w:p w14:paraId="331D591F" w14:textId="77777777" w:rsidR="001901FC" w:rsidRPr="00EA3D8C" w:rsidRDefault="001901FC" w:rsidP="00FE1A26">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4"/>
                <w:szCs w:val="14"/>
                <w:lang w:val="sr-Cyrl-RS"/>
              </w:rPr>
            </w:pPr>
            <w:r w:rsidRPr="00EA3D8C">
              <w:rPr>
                <w:rFonts w:asciiTheme="minorHAnsi" w:hAnsiTheme="minorHAnsi"/>
                <w:color w:val="002060"/>
                <w:sz w:val="14"/>
                <w:szCs w:val="14"/>
                <w:lang w:val="sr-Cyrl-RS"/>
              </w:rPr>
              <w:t>-0,3</w:t>
            </w:r>
          </w:p>
        </w:tc>
      </w:tr>
    </w:tbl>
    <w:p w14:paraId="3A4E1A6A" w14:textId="77777777" w:rsidR="001901FC" w:rsidRPr="00EA3D8C" w:rsidRDefault="001901FC" w:rsidP="00A619D1">
      <w:pPr>
        <w:shd w:val="clear" w:color="auto" w:fill="FFFFFF" w:themeFill="background1"/>
        <w:spacing w:before="40" w:after="0" w:line="276" w:lineRule="auto"/>
        <w:rPr>
          <w:rFonts w:ascii="Calibri" w:eastAsia="MS PGothic" w:hAnsi="Calibri" w:cs="Calibri"/>
          <w:sz w:val="16"/>
          <w:szCs w:val="16"/>
          <w:lang w:val="sr-Cyrl-RS" w:eastAsia="ja-JP"/>
        </w:rPr>
      </w:pPr>
      <w:r w:rsidRPr="00EA3D8C">
        <w:rPr>
          <w:rFonts w:ascii="Calibri" w:eastAsia="MS PGothic" w:hAnsi="Calibri" w:cs="Calibri"/>
          <w:bCs/>
          <w:sz w:val="16"/>
          <w:szCs w:val="16"/>
          <w:lang w:val="sr-Cyrl-RS" w:eastAsia="ja-JP"/>
        </w:rPr>
        <w:t xml:space="preserve">* </w:t>
      </w:r>
      <w:r w:rsidRPr="00EA3D8C">
        <w:rPr>
          <w:rFonts w:ascii="Calibri" w:eastAsia="MS PGothic" w:hAnsi="Calibri" w:cs="Calibri"/>
          <w:sz w:val="16"/>
          <w:szCs w:val="16"/>
          <w:lang w:val="sr-Cyrl-RS" w:eastAsia="ja-JP"/>
        </w:rPr>
        <w:t>За период 2020–2023. године приказане су пројектоване вредности.</w:t>
      </w:r>
    </w:p>
    <w:p w14:paraId="61582DBF" w14:textId="77777777" w:rsidR="001901FC" w:rsidRPr="00EA3D8C" w:rsidRDefault="001901FC" w:rsidP="00C130D2">
      <w:pPr>
        <w:shd w:val="clear" w:color="auto" w:fill="FFFFFF" w:themeFill="background1"/>
        <w:spacing w:after="0" w:line="276" w:lineRule="auto"/>
        <w:rPr>
          <w:rFonts w:ascii="Calibri" w:eastAsia="MS PGothic" w:hAnsi="Calibri" w:cs="Calibri"/>
          <w:sz w:val="16"/>
          <w:szCs w:val="16"/>
          <w:lang w:val="sr-Cyrl-RS" w:eastAsia="ja-JP"/>
        </w:rPr>
      </w:pPr>
      <w:r w:rsidRPr="00EA3D8C">
        <w:rPr>
          <w:rFonts w:ascii="Calibri" w:eastAsia="MS PGothic" w:hAnsi="Calibri" w:cs="Calibri"/>
          <w:bCs/>
          <w:sz w:val="16"/>
          <w:szCs w:val="16"/>
          <w:lang w:val="sr-Cyrl-RS" w:eastAsia="ja-JP"/>
        </w:rPr>
        <w:t>** Структурни примарни биланс добијен је искључивањем процењених једнократних прихода и расхода</w:t>
      </w:r>
      <w:r w:rsidRPr="00EA3D8C">
        <w:rPr>
          <w:rFonts w:ascii="Calibri" w:eastAsia="MS PGothic" w:hAnsi="Calibri" w:cs="Calibri"/>
          <w:sz w:val="16"/>
          <w:szCs w:val="16"/>
          <w:lang w:val="sr-Cyrl-R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0EDFDF0B" w14:textId="77777777" w:rsidR="001901FC" w:rsidRPr="00EA3D8C" w:rsidRDefault="001901FC" w:rsidP="00FE1A26">
      <w:pPr>
        <w:spacing w:after="120" w:line="276" w:lineRule="auto"/>
        <w:rPr>
          <w:rFonts w:ascii="Calibri" w:eastAsia="Calibri" w:hAnsi="Calibri" w:cs="Calibri"/>
          <w:sz w:val="16"/>
          <w:szCs w:val="16"/>
          <w:lang w:val="sr-Cyrl-RS"/>
        </w:rPr>
      </w:pPr>
      <w:r w:rsidRPr="00EA3D8C">
        <w:rPr>
          <w:rFonts w:ascii="Calibri" w:eastAsia="Calibri" w:hAnsi="Calibri" w:cs="Calibri"/>
          <w:sz w:val="16"/>
          <w:szCs w:val="16"/>
          <w:lang w:val="sr-Cyrl-RS"/>
        </w:rPr>
        <w:t xml:space="preserve">Извор: </w:t>
      </w:r>
      <w:r w:rsidRPr="00EA3D8C">
        <w:rPr>
          <w:rFonts w:ascii="Calibri" w:eastAsia="Calibri" w:hAnsi="Calibri" w:cs="Calibri"/>
          <w:sz w:val="16"/>
          <w:szCs w:val="20"/>
          <w:lang w:val="sr-Cyrl-RS"/>
        </w:rPr>
        <w:t>Министарство финансија</w:t>
      </w:r>
    </w:p>
    <w:p w14:paraId="3D7C56A1" w14:textId="77777777" w:rsidR="001901FC" w:rsidRPr="00EA3D8C" w:rsidRDefault="001901FC" w:rsidP="00C130D2">
      <w:pPr>
        <w:spacing w:after="0" w:line="276" w:lineRule="auto"/>
        <w:rPr>
          <w:rFonts w:ascii="Calibri" w:eastAsia="MS PGothic" w:hAnsi="Calibri" w:cs="Calibri"/>
          <w:b/>
          <w:szCs w:val="20"/>
          <w:lang w:val="sr-Cyrl-RS" w:eastAsia="ja-JP"/>
        </w:rPr>
        <w:sectPr w:rsidR="001901FC" w:rsidRPr="00EA3D8C" w:rsidSect="00AE40EB">
          <w:type w:val="continuous"/>
          <w:pgSz w:w="12240" w:h="15840" w:code="1"/>
          <w:pgMar w:top="1417" w:right="1417" w:bottom="1417" w:left="1417" w:header="720" w:footer="720" w:gutter="0"/>
          <w:cols w:space="720"/>
        </w:sectPr>
      </w:pPr>
    </w:p>
    <w:p w14:paraId="661429B7" w14:textId="6B49F13C" w:rsidR="001901FC" w:rsidRPr="00EA3D8C" w:rsidRDefault="001901FC" w:rsidP="00374B60">
      <w:pPr>
        <w:rPr>
          <w:rFonts w:ascii="Calibri" w:eastAsia="Calibri" w:hAnsi="Calibri" w:cs="Calibri"/>
          <w:szCs w:val="20"/>
          <w:lang w:val="sr-Cyrl-RS"/>
        </w:rPr>
      </w:pPr>
      <w:r w:rsidRPr="00EA3D8C">
        <w:rPr>
          <w:rFonts w:ascii="Calibri" w:eastAsia="MS PGothic" w:hAnsi="Calibri" w:cs="Calibri"/>
          <w:spacing w:val="-2"/>
          <w:szCs w:val="20"/>
          <w:lang w:val="sr-Cyrl-RS" w:eastAsia="ja-JP"/>
        </w:rPr>
        <w:lastRenderedPageBreak/>
        <w:t xml:space="preserve">Избијањем пандемије и увођењем мера за здравствену заштиту становништва, глобална економија је ушла у кризу без преседана. </w:t>
      </w:r>
      <w:r w:rsidRPr="00EA3D8C">
        <w:rPr>
          <w:rFonts w:ascii="Calibri" w:eastAsia="Calibri" w:hAnsi="Calibri" w:cs="Calibri"/>
          <w:szCs w:val="20"/>
          <w:lang w:val="sr-Cyrl-RS"/>
        </w:rPr>
        <w:t>Специфичност кризе огледа се у самом узроку који није економске већ здравствене природе, при чему начин борбе у обуздавању даљег ширења вируса производи додатне негативне економске ефекте. Утицај на фискалну позицију је видљив кроз смањене приходе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p>
    <w:p w14:paraId="2E913968" w14:textId="2009EF4D"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Одговор фискалне политике на сложену економску ситуаци</w:t>
      </w:r>
      <w:r w:rsidR="00285491">
        <w:rPr>
          <w:rFonts w:ascii="Calibri" w:eastAsia="Calibri" w:hAnsi="Calibri" w:cs="Calibri"/>
          <w:szCs w:val="20"/>
          <w:lang w:val="sr-Cyrl-RS"/>
        </w:rPr>
        <w:t xml:space="preserve">ју узроковану пандемијом </w:t>
      </w:r>
      <w:r w:rsidR="00285491">
        <w:rPr>
          <w:rFonts w:ascii="Calibri" w:eastAsia="Calibri" w:hAnsi="Calibri" w:cs="Calibri"/>
          <w:szCs w:val="20"/>
          <w:lang w:val="sr-Cyrl-RS"/>
        </w:rPr>
        <w:lastRenderedPageBreak/>
        <w:t>корона</w:t>
      </w:r>
      <w:r w:rsidRPr="00EA3D8C">
        <w:rPr>
          <w:rFonts w:ascii="Calibri" w:eastAsia="Calibri" w:hAnsi="Calibri" w:cs="Calibri"/>
          <w:szCs w:val="20"/>
          <w:lang w:val="sr-Cyrl-RS"/>
        </w:rPr>
        <w:t>вируса представљен је опсежним пакетом мера помоћи привреди чија је вредност процењена на 12,5% БДП. Оцењено је да директан утицај економског пакета на цикличну позицију земље износи око 10% БДП, при чему</w:t>
      </w:r>
      <w:r w:rsidRPr="00EA3D8C">
        <w:rPr>
          <w:rFonts w:ascii="Calibri" w:eastAsia="Calibri" w:hAnsi="Calibri" w:cs="Calibri"/>
          <w:color w:val="FF0000"/>
          <w:szCs w:val="20"/>
          <w:lang w:val="sr-Cyrl-RS"/>
        </w:rPr>
        <w:t xml:space="preserve"> </w:t>
      </w:r>
      <w:r w:rsidRPr="00EA3D8C">
        <w:rPr>
          <w:rFonts w:ascii="Calibri" w:eastAsia="Calibri" w:hAnsi="Calibri" w:cs="Calibri"/>
          <w:szCs w:val="20"/>
          <w:lang w:val="sr-Cyrl-RS"/>
        </w:rPr>
        <w:t>негативан производни јаз износи око 2,1% БДП. У случају одсуства мера подршке привреди и становништву пад БДП у 2020. години био би знатно већи, и износио би око 5% услед веће контракције привреде и споријег опоравка, а производни јаз би достигао око 6% БДП.</w:t>
      </w:r>
    </w:p>
    <w:p w14:paraId="14542227" w14:textId="77777777" w:rsidR="001901FC" w:rsidRPr="00EA3D8C" w:rsidRDefault="001901FC" w:rsidP="00374B60">
      <w:pPr>
        <w:rPr>
          <w:rFonts w:ascii="Calibri" w:eastAsia="Calibri" w:hAnsi="Calibri" w:cs="Calibri"/>
          <w:szCs w:val="20"/>
          <w:lang w:val="sr-Cyrl-RS"/>
        </w:rPr>
        <w:sectPr w:rsidR="001901FC" w:rsidRPr="00EA3D8C" w:rsidSect="00AE40EB">
          <w:type w:val="continuous"/>
          <w:pgSz w:w="12240" w:h="15840" w:code="1"/>
          <w:pgMar w:top="1417" w:right="1417" w:bottom="1417" w:left="1417" w:header="720" w:footer="720" w:gutter="0"/>
          <w:cols w:num="2" w:space="720"/>
        </w:sectPr>
      </w:pPr>
      <w:r w:rsidRPr="00EA3D8C">
        <w:rPr>
          <w:rFonts w:ascii="Calibri" w:eastAsia="Calibri" w:hAnsi="Calibri" w:cs="Calibri"/>
          <w:szCs w:val="20"/>
          <w:lang w:val="sr-Cyrl-RS"/>
        </w:rPr>
        <w:t>Оцењена негативна циклична компонента фискалног резултата у 2020. години износи само 0,8% БДП. Иако циклична анализа фискалног резултата наговештава да би уштеде настале неспровођењем пакета мера надмашиле фискалне губитке услед већег пада БДП, дугорочни негативни ефекти губитка производних потенцијала и људских ресурса би били немерљиво већи.</w:t>
      </w:r>
    </w:p>
    <w:p w14:paraId="7AAEDDB3" w14:textId="77777777" w:rsidR="001901FC" w:rsidRPr="00EA3D8C" w:rsidRDefault="001901FC" w:rsidP="00FE1A26">
      <w:pPr>
        <w:spacing w:after="120" w:line="276" w:lineRule="auto"/>
        <w:rPr>
          <w:rFonts w:cstheme="minorHAnsi"/>
          <w:b/>
          <w:color w:val="002060"/>
          <w:lang w:val="sr-Cyrl-RS"/>
        </w:rPr>
        <w:sectPr w:rsidR="001901FC" w:rsidRPr="00EA3D8C" w:rsidSect="00AE40EB">
          <w:type w:val="continuous"/>
          <w:pgSz w:w="12240" w:h="15840" w:code="1"/>
          <w:pgMar w:top="1417" w:right="1417" w:bottom="1417" w:left="1417" w:header="720" w:footer="720" w:gutter="0"/>
          <w:cols w:space="720"/>
        </w:sectPr>
      </w:pPr>
    </w:p>
    <w:p w14:paraId="217C0A53" w14:textId="77777777" w:rsidR="001901FC" w:rsidRPr="00EA3D8C" w:rsidRDefault="001901FC" w:rsidP="001A0449">
      <w:pPr>
        <w:jc w:val="center"/>
        <w:rPr>
          <w:rFonts w:ascii="Calibri" w:eastAsia="Calibri" w:hAnsi="Calibri" w:cs="Calibri"/>
          <w:b/>
          <w:bCs/>
          <w:color w:val="002060"/>
          <w:sz w:val="18"/>
          <w:szCs w:val="18"/>
          <w:lang w:val="sr-Cyrl-RS"/>
        </w:rPr>
      </w:pPr>
      <w:r w:rsidRPr="00EA3D8C">
        <w:rPr>
          <w:rFonts w:cstheme="minorHAnsi"/>
          <w:b/>
          <w:color w:val="002060"/>
          <w:lang w:val="sr-Cyrl-RS"/>
        </w:rPr>
        <w:lastRenderedPageBreak/>
        <w:t xml:space="preserve">Производни јаз, стварни, циклично прилагођени и структурни фискални биланс у периоду </w:t>
      </w:r>
      <w:r w:rsidRPr="00EA3D8C">
        <w:rPr>
          <w:rFonts w:cstheme="minorHAnsi"/>
          <w:b/>
          <w:color w:val="002060"/>
          <w:lang w:val="sr-Cyrl-RS"/>
        </w:rPr>
        <w:br w:type="textWrapping" w:clear="all"/>
        <w:t>2005–2023. године, % БДП*</w:t>
      </w:r>
      <w:r w:rsidRPr="00EA3D8C">
        <w:rPr>
          <w:noProof/>
        </w:rPr>
        <w:drawing>
          <wp:inline distT="0" distB="0" distL="0" distR="0" wp14:anchorId="19203EB3" wp14:editId="297CEFBA">
            <wp:extent cx="2757805" cy="3009014"/>
            <wp:effectExtent l="0" t="0" r="4445" b="127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p w14:paraId="2EA4D404" w14:textId="77777777" w:rsidR="001901FC" w:rsidRPr="00EA3D8C" w:rsidRDefault="001901FC" w:rsidP="00FE1A26">
      <w:pPr>
        <w:spacing w:after="120" w:line="276" w:lineRule="auto"/>
        <w:rPr>
          <w:rFonts w:cstheme="minorHAnsi"/>
          <w:bCs/>
          <w:sz w:val="16"/>
          <w:szCs w:val="72"/>
          <w:lang w:val="sr-Cyrl-RS"/>
        </w:rPr>
      </w:pPr>
      <w:r w:rsidRPr="00EA3D8C">
        <w:rPr>
          <w:rFonts w:cstheme="minorHAnsi"/>
          <w:bCs/>
          <w:sz w:val="16"/>
          <w:szCs w:val="72"/>
          <w:lang w:val="sr-Cyrl-RS"/>
        </w:rPr>
        <w:t>Извор: Министарство финансија</w:t>
      </w:r>
    </w:p>
    <w:p w14:paraId="04666A55" w14:textId="77777777" w:rsidR="001901FC" w:rsidRPr="00EA3D8C" w:rsidRDefault="001901FC" w:rsidP="001A0449">
      <w:pPr>
        <w:jc w:val="center"/>
        <w:rPr>
          <w:rFonts w:cstheme="minorHAnsi"/>
          <w:bCs/>
          <w:sz w:val="16"/>
          <w:szCs w:val="72"/>
          <w:lang w:val="sr-Cyrl-RS"/>
        </w:rPr>
      </w:pPr>
      <w:r w:rsidRPr="00EA3D8C">
        <w:rPr>
          <w:rFonts w:cstheme="minorHAnsi"/>
          <w:b/>
          <w:color w:val="002060"/>
          <w:lang w:val="sr-Cyrl-RS"/>
        </w:rPr>
        <w:lastRenderedPageBreak/>
        <w:t>Карактер и ефекти фискалне политике у периоду 2006–2023. године, % БДП</w:t>
      </w:r>
      <w:r w:rsidRPr="00EA3D8C">
        <w:rPr>
          <w:noProof/>
        </w:rPr>
        <w:drawing>
          <wp:inline distT="0" distB="0" distL="0" distR="0" wp14:anchorId="21E671FC" wp14:editId="16794CB2">
            <wp:extent cx="2796363" cy="2902688"/>
            <wp:effectExtent l="0" t="0" r="4445"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p>
    <w:p w14:paraId="680A004A" w14:textId="77777777" w:rsidR="001901FC" w:rsidRPr="00EA3D8C" w:rsidRDefault="001901FC" w:rsidP="00FE1A26">
      <w:pPr>
        <w:spacing w:after="40" w:line="276" w:lineRule="auto"/>
        <w:jc w:val="left"/>
        <w:rPr>
          <w:rFonts w:ascii="Calibri" w:eastAsia="MS PGothic" w:hAnsi="Calibri" w:cs="Calibri"/>
          <w:sz w:val="16"/>
          <w:szCs w:val="20"/>
          <w:lang w:val="sr-Cyrl-RS" w:eastAsia="ja-JP"/>
        </w:rPr>
      </w:pPr>
      <w:r w:rsidRPr="00EA3D8C">
        <w:rPr>
          <w:rFonts w:ascii="Calibri" w:eastAsia="MS PGothic" w:hAnsi="Calibri" w:cs="Calibri"/>
          <w:sz w:val="16"/>
          <w:szCs w:val="20"/>
          <w:lang w:val="sr-Cyrl-RS" w:eastAsia="ja-JP"/>
        </w:rPr>
        <w:t>*За период 2021–2023. године приказане су пројектоване вредности.</w:t>
      </w:r>
    </w:p>
    <w:p w14:paraId="62BA06AD" w14:textId="77777777" w:rsidR="001901FC" w:rsidRPr="00EA3D8C" w:rsidRDefault="001901FC" w:rsidP="00FE1A26">
      <w:pPr>
        <w:spacing w:after="120" w:line="276" w:lineRule="auto"/>
        <w:jc w:val="left"/>
        <w:rPr>
          <w:rFonts w:ascii="Calibri" w:eastAsia="MS PGothic" w:hAnsi="Calibri" w:cs="Calibri"/>
          <w:sz w:val="16"/>
          <w:szCs w:val="20"/>
          <w:lang w:val="sr-Cyrl-RS" w:eastAsia="ja-JP"/>
        </w:rPr>
        <w:sectPr w:rsidR="001901FC" w:rsidRPr="00EA3D8C" w:rsidSect="00AE40EB">
          <w:type w:val="continuous"/>
          <w:pgSz w:w="12240" w:h="15840" w:code="1"/>
          <w:pgMar w:top="1417" w:right="1417" w:bottom="1417" w:left="1417" w:header="720" w:footer="720" w:gutter="0"/>
          <w:cols w:num="2" w:space="720"/>
        </w:sectPr>
      </w:pPr>
      <w:r w:rsidRPr="00EA3D8C">
        <w:rPr>
          <w:rFonts w:ascii="Calibri" w:eastAsia="MS PGothic" w:hAnsi="Calibri" w:cs="Calibri"/>
          <w:sz w:val="16"/>
          <w:szCs w:val="20"/>
          <w:lang w:val="sr-Cyrl-RS" w:eastAsia="ja-JP"/>
        </w:rPr>
        <w:t>Извор: Министарство финансија</w:t>
      </w:r>
    </w:p>
    <w:p w14:paraId="159EF4FD" w14:textId="77777777" w:rsidR="001901FC" w:rsidRPr="00EA3D8C" w:rsidRDefault="001901FC" w:rsidP="00FE1A26">
      <w:pPr>
        <w:spacing w:after="120" w:line="276" w:lineRule="auto"/>
        <w:rPr>
          <w:lang w:val="sr-Cyrl-RS" w:eastAsia="ja-JP"/>
        </w:rPr>
        <w:sectPr w:rsidR="001901FC" w:rsidRPr="00EA3D8C" w:rsidSect="00AE40EB">
          <w:type w:val="continuous"/>
          <w:pgSz w:w="12240" w:h="15840" w:code="1"/>
          <w:pgMar w:top="1417" w:right="1417" w:bottom="1417" w:left="1417" w:header="720" w:footer="720" w:gutter="0"/>
          <w:cols w:space="720"/>
        </w:sectPr>
      </w:pPr>
    </w:p>
    <w:p w14:paraId="0E295518" w14:textId="77777777" w:rsidR="001901FC" w:rsidRPr="00EA3D8C" w:rsidRDefault="001901FC" w:rsidP="00374B60">
      <w:pPr>
        <w:rPr>
          <w:lang w:val="sr-Cyrl-RS" w:eastAsia="ja-JP"/>
        </w:rPr>
      </w:pPr>
      <w:r w:rsidRPr="00EA3D8C">
        <w:rPr>
          <w:lang w:val="sr-Cyrl-RS" w:eastAsia="ja-JP"/>
        </w:rPr>
        <w:lastRenderedPageBreak/>
        <w:t>Структурна фискална позиција земље није нарушена због тога што су спроведене мере помоћи привреди из домена фискалне политике привременог карактера. Ипак, у наредном средњорочном периоду на кретање структурног фискалног резултата ће утицати пренете пореске обавезе из 2020. године у 2021. и 2022. годину. Уплата прихода по основу одлагања пореза и доприноса у 2020. години имаће привремени (неструктурни) ефекат на структурни биланс у 2021. и 2022. години.</w:t>
      </w:r>
    </w:p>
    <w:p w14:paraId="62B2429F" w14:textId="77777777" w:rsidR="001901FC" w:rsidRPr="00EA3D8C" w:rsidRDefault="001901FC" w:rsidP="00374B60">
      <w:pPr>
        <w:rPr>
          <w:rFonts w:ascii="Calibri" w:eastAsia="MS PGothic" w:hAnsi="Calibri" w:cs="Calibri"/>
          <w:szCs w:val="20"/>
          <w:lang w:val="sr-Cyrl-RS" w:eastAsia="ja-JP"/>
        </w:rPr>
      </w:pPr>
      <w:bookmarkStart w:id="33" w:name="_Toc499650054"/>
      <w:bookmarkStart w:id="34" w:name="_Toc530635110"/>
      <w:r w:rsidRPr="00EA3D8C">
        <w:rPr>
          <w:lang w:val="sr-Cyrl-RS" w:eastAsia="ja-JP"/>
        </w:rPr>
        <w:t xml:space="preserve">Како је фискални импулс дефинисан као разлика два узастопна циклично прилагођена (примарна) резултата, оцењујемо да је фискална политика током 2018 и 2019. године, у условима позитивног производног јаза, имала проциклични карактер. Са друге стране, фискална политика током 2020. године је експанзивно-контрациклична, усмерена на ублажавање негативног економског циклуса. У периоду од 2021. до 2023. године фискална </w:t>
      </w:r>
      <w:r w:rsidRPr="00EA3D8C">
        <w:rPr>
          <w:lang w:val="sr-Cyrl-RS" w:eastAsia="ja-JP"/>
        </w:rPr>
        <w:lastRenderedPageBreak/>
        <w:t>политика има начелно контрациклични карактер</w:t>
      </w:r>
      <w:r w:rsidRPr="00EA3D8C">
        <w:rPr>
          <w:rFonts w:ascii="Calibri" w:eastAsia="MS PGothic" w:hAnsi="Calibri" w:cs="Calibri"/>
          <w:szCs w:val="20"/>
          <w:lang w:val="sr-Cyrl-RS" w:eastAsia="ja-JP"/>
        </w:rPr>
        <w:t xml:space="preserve"> који се огледа и у постављеном циљу брзог уравнотежења и стабилизације јавних финансија.</w:t>
      </w:r>
    </w:p>
    <w:p w14:paraId="44103FDD" w14:textId="0389F162" w:rsidR="001901FC" w:rsidRPr="00EA3D8C" w:rsidRDefault="001901FC" w:rsidP="001A0449">
      <w:pPr>
        <w:jc w:val="center"/>
        <w:rPr>
          <w:rFonts w:cstheme="minorHAnsi"/>
          <w:bCs/>
          <w:sz w:val="16"/>
          <w:szCs w:val="72"/>
          <w:lang w:val="sr-Cyrl-RS"/>
        </w:rPr>
      </w:pPr>
      <w:r w:rsidRPr="00EA3D8C">
        <w:rPr>
          <w:rFonts w:cstheme="minorHAnsi"/>
          <w:b/>
          <w:color w:val="002060"/>
          <w:lang w:val="sr-Cyrl-RS"/>
        </w:rPr>
        <w:t>Карактер и ефекти фискалне политике у п</w:t>
      </w:r>
      <w:r w:rsidR="00374B60">
        <w:rPr>
          <w:rFonts w:cstheme="minorHAnsi"/>
          <w:b/>
          <w:color w:val="002060"/>
          <w:lang w:val="sr-Cyrl-RS"/>
        </w:rPr>
        <w:t>ериоду 2006–2020. године, % БДП</w:t>
      </w:r>
      <w:r w:rsidRPr="00EA3D8C">
        <w:rPr>
          <w:rFonts w:cstheme="minorHAnsi"/>
          <w:b/>
          <w:color w:val="002060"/>
          <w:lang w:val="sr-Cyrl-RS"/>
        </w:rPr>
        <w:t>*</w:t>
      </w:r>
      <w:r w:rsidRPr="00EA3D8C">
        <w:rPr>
          <w:noProof/>
        </w:rPr>
        <w:drawing>
          <wp:inline distT="0" distB="0" distL="0" distR="0" wp14:anchorId="09C75C14" wp14:editId="460BBEBA">
            <wp:extent cx="2800350" cy="2495550"/>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p w14:paraId="3E6EC7A5" w14:textId="77777777" w:rsidR="001901FC" w:rsidRPr="00EA3D8C" w:rsidRDefault="001901FC" w:rsidP="00FE1A26">
      <w:pPr>
        <w:spacing w:after="120"/>
        <w:rPr>
          <w:rFonts w:ascii="Calibri" w:eastAsia="MS PGothic" w:hAnsi="Calibri" w:cs="Calibri"/>
          <w:szCs w:val="20"/>
          <w:lang w:val="sr-Cyrl-RS" w:eastAsia="ja-JP"/>
        </w:rPr>
        <w:sectPr w:rsidR="001901FC" w:rsidRPr="00EA3D8C" w:rsidSect="00AE40EB">
          <w:type w:val="continuous"/>
          <w:pgSz w:w="12240" w:h="15840" w:code="1"/>
          <w:pgMar w:top="1417" w:right="1417" w:bottom="1417" w:left="1417" w:header="720" w:footer="720" w:gutter="0"/>
          <w:cols w:num="2" w:space="720"/>
        </w:sectPr>
      </w:pPr>
    </w:p>
    <w:p w14:paraId="3AEDCDEC" w14:textId="77777777" w:rsidR="001901FC" w:rsidRPr="00EA3D8C" w:rsidRDefault="001901FC" w:rsidP="00FE1A26">
      <w:pPr>
        <w:pStyle w:val="Heading2"/>
        <w:spacing w:before="0" w:after="240"/>
        <w:rPr>
          <w:rFonts w:asciiTheme="minorHAnsi" w:eastAsia="MS PGothic" w:hAnsiTheme="minorHAnsi" w:cstheme="minorHAnsi"/>
          <w:b/>
          <w:sz w:val="24"/>
          <w:lang w:val="sr-Cyrl-RS" w:eastAsia="ja-JP"/>
        </w:rPr>
        <w:sectPr w:rsidR="001901FC" w:rsidRPr="00EA3D8C" w:rsidSect="00AE40EB">
          <w:type w:val="continuous"/>
          <w:pgSz w:w="12240" w:h="15840" w:code="1"/>
          <w:pgMar w:top="1417" w:right="1417" w:bottom="1417" w:left="1417" w:header="720" w:footer="720" w:gutter="0"/>
          <w:cols w:space="720"/>
        </w:sectPr>
      </w:pPr>
      <w:bookmarkStart w:id="35" w:name="_Toc11155996"/>
    </w:p>
    <w:p w14:paraId="6AA69201" w14:textId="77777777" w:rsidR="00374B60" w:rsidRDefault="00374B60">
      <w:pPr>
        <w:jc w:val="left"/>
        <w:rPr>
          <w:rFonts w:eastAsia="MS PGothic" w:cstheme="minorHAnsi"/>
          <w:b/>
          <w:color w:val="2F5496" w:themeColor="accent1" w:themeShade="BF"/>
          <w:sz w:val="24"/>
          <w:szCs w:val="26"/>
          <w:lang w:val="sr-Cyrl-RS" w:eastAsia="ja-JP"/>
        </w:rPr>
      </w:pPr>
      <w:r>
        <w:rPr>
          <w:rFonts w:eastAsia="MS PGothic" w:cstheme="minorHAnsi"/>
          <w:b/>
          <w:sz w:val="24"/>
          <w:lang w:val="sr-Cyrl-RS" w:eastAsia="ja-JP"/>
        </w:rPr>
        <w:lastRenderedPageBreak/>
        <w:br w:type="page"/>
      </w:r>
    </w:p>
    <w:p w14:paraId="5001AD6D" w14:textId="2E1805E3" w:rsidR="001901FC" w:rsidRPr="00EA3D8C" w:rsidRDefault="001901FC" w:rsidP="00FE1A26">
      <w:pPr>
        <w:pStyle w:val="Heading2"/>
        <w:spacing w:before="0" w:after="240"/>
        <w:jc w:val="center"/>
        <w:rPr>
          <w:rFonts w:asciiTheme="minorHAnsi" w:eastAsia="MS PGothic" w:hAnsiTheme="minorHAnsi" w:cstheme="minorHAnsi"/>
          <w:b/>
          <w:lang w:val="sr-Cyrl-RS" w:eastAsia="ja-JP"/>
        </w:rPr>
        <w:sectPr w:rsidR="001901FC" w:rsidRPr="00EA3D8C" w:rsidSect="00AE40EB">
          <w:type w:val="continuous"/>
          <w:pgSz w:w="12240" w:h="15840" w:code="1"/>
          <w:pgMar w:top="1417" w:right="1417" w:bottom="1417" w:left="1417" w:header="720" w:footer="720" w:gutter="0"/>
          <w:cols w:space="720"/>
        </w:sectPr>
      </w:pPr>
      <w:bookmarkStart w:id="36" w:name="_Toc56667081"/>
      <w:r w:rsidRPr="00EA3D8C">
        <w:rPr>
          <w:rFonts w:asciiTheme="minorHAnsi" w:eastAsia="MS PGothic" w:hAnsiTheme="minorHAnsi" w:cstheme="minorHAnsi"/>
          <w:b/>
          <w:sz w:val="24"/>
          <w:lang w:val="sr-Cyrl-RS" w:eastAsia="ja-JP"/>
        </w:rPr>
        <w:lastRenderedPageBreak/>
        <w:t>7. Програм за смањење дуга</w:t>
      </w:r>
      <w:bookmarkEnd w:id="33"/>
      <w:bookmarkEnd w:id="34"/>
      <w:bookmarkEnd w:id="35"/>
      <w:bookmarkEnd w:id="36"/>
    </w:p>
    <w:p w14:paraId="6B670E81" w14:textId="77777777" w:rsidR="001901FC" w:rsidRPr="00EA3D8C" w:rsidRDefault="001901FC" w:rsidP="00374B60">
      <w:pPr>
        <w:rPr>
          <w:rFonts w:ascii="Calibri" w:eastAsia="Calibri" w:hAnsi="Calibri" w:cs="Calibri"/>
          <w:szCs w:val="20"/>
          <w:lang w:val="sr-Cyrl-RS"/>
        </w:rPr>
      </w:pPr>
      <w:r w:rsidRPr="00EA3D8C">
        <w:rPr>
          <w:rFonts w:ascii="Calibri" w:eastAsia="MS PGothic" w:hAnsi="Calibri" w:cs="Calibri"/>
          <w:szCs w:val="20"/>
          <w:lang w:val="sr-Cyrl-RS" w:eastAsia="ja-JP"/>
        </w:rPr>
        <w:lastRenderedPageBreak/>
        <w:t>У складу са принципом фискалне одговорности, уколико дуг опште државе пређе 45% БДП, Влада је дужна да предложи мере којима ће се дуг приближити циљаном нивоу и вратити у одрживе оквире</w:t>
      </w:r>
      <w:r w:rsidRPr="00EA3D8C">
        <w:rPr>
          <w:rFonts w:ascii="Calibri" w:eastAsia="Calibri" w:hAnsi="Calibri" w:cs="Calibri"/>
          <w:szCs w:val="20"/>
          <w:vertAlign w:val="superscript"/>
          <w:lang w:val="sr-Cyrl-RS"/>
        </w:rPr>
        <w:footnoteReference w:id="15"/>
      </w:r>
      <w:r w:rsidRPr="00EA3D8C">
        <w:rPr>
          <w:rFonts w:ascii="Calibri" w:eastAsia="Calibri" w:hAnsi="Calibri" w:cs="Calibri"/>
          <w:szCs w:val="20"/>
          <w:lang w:val="sr-Cyrl-RS"/>
        </w:rPr>
        <w:t>.</w:t>
      </w:r>
      <w:r w:rsidRPr="00EA3D8C">
        <w:rPr>
          <w:rFonts w:ascii="Calibri" w:eastAsia="Calibri" w:hAnsi="Calibri" w:cs="Calibri"/>
          <w:color w:val="2F5496" w:themeColor="accent1" w:themeShade="BF"/>
          <w:szCs w:val="20"/>
          <w:lang w:val="sr-Cyrl-RS"/>
        </w:rPr>
        <w:t xml:space="preserve"> </w:t>
      </w:r>
      <w:r w:rsidRPr="00EA3D8C">
        <w:rPr>
          <w:rFonts w:ascii="Calibri" w:eastAsia="Calibri" w:hAnsi="Calibri" w:cs="Calibri"/>
          <w:szCs w:val="20"/>
          <w:lang w:val="sr-Cyrl-RS"/>
        </w:rPr>
        <w:t>Истовремено, Пактом за стабилност и раст је прописана горња граница учешћа јавног дуга у БДП од 60%, као и обавеза за земље чланице ЕУ да званичним документом представе кредибилан план достизања прописаног нивоа задовољавајућом брзином, уколико је ова граница прекорачена.</w:t>
      </w:r>
    </w:p>
    <w:p w14:paraId="6BA457E2" w14:textId="77777777" w:rsidR="001901FC" w:rsidRPr="00EA3D8C" w:rsidRDefault="001901FC" w:rsidP="00374B60">
      <w:pPr>
        <w:jc w:val="center"/>
        <w:rPr>
          <w:rFonts w:cstheme="minorHAnsi"/>
          <w:b/>
          <w:color w:val="002060"/>
          <w:lang w:val="sr-Cyrl-RS"/>
        </w:rPr>
      </w:pPr>
      <w:r w:rsidRPr="00EA3D8C">
        <w:rPr>
          <w:rFonts w:cstheme="minorHAnsi"/>
          <w:b/>
          <w:color w:val="002060"/>
          <w:lang w:val="sr-Cyrl-RS"/>
        </w:rPr>
        <w:t>Јавни дуг опште државе у периоду 2008–2020. године, % БДП</w:t>
      </w:r>
    </w:p>
    <w:p w14:paraId="1ACC5E08" w14:textId="77777777" w:rsidR="001901FC" w:rsidRPr="00EA3D8C" w:rsidRDefault="001901FC" w:rsidP="00FE1A26">
      <w:pPr>
        <w:spacing w:after="60" w:line="276" w:lineRule="auto"/>
        <w:rPr>
          <w:rFonts w:ascii="Calibri" w:eastAsia="Calibri" w:hAnsi="Calibri" w:cs="Calibri"/>
          <w:szCs w:val="20"/>
          <w:lang w:val="sr-Cyrl-RS"/>
        </w:rPr>
      </w:pPr>
      <w:r w:rsidRPr="00EA3D8C">
        <w:rPr>
          <w:noProof/>
        </w:rPr>
        <w:drawing>
          <wp:inline distT="0" distB="0" distL="0" distR="0" wp14:anchorId="440FB874" wp14:editId="0577D441">
            <wp:extent cx="2757805" cy="2272420"/>
            <wp:effectExtent l="0" t="0" r="4445" b="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14:paraId="2D402629" w14:textId="77777777" w:rsidR="001901FC" w:rsidRPr="00EA3D8C" w:rsidRDefault="001901FC" w:rsidP="003E2EFC">
      <w:pPr>
        <w:spacing w:after="40" w:line="240" w:lineRule="auto"/>
        <w:rPr>
          <w:rFonts w:cstheme="minorHAnsi"/>
          <w:bCs/>
          <w:sz w:val="16"/>
          <w:szCs w:val="72"/>
          <w:lang w:val="sr-Cyrl-RS"/>
        </w:rPr>
      </w:pPr>
      <w:r w:rsidRPr="00EA3D8C">
        <w:rPr>
          <w:rFonts w:ascii="Calibri" w:eastAsia="Calibri" w:hAnsi="Calibri" w:cs="Calibri"/>
          <w:sz w:val="16"/>
          <w:szCs w:val="16"/>
          <w:lang w:val="sr-Cyrl-RS"/>
        </w:rPr>
        <w:t xml:space="preserve">* </w:t>
      </w:r>
      <w:r w:rsidRPr="00EA3D8C">
        <w:rPr>
          <w:rFonts w:cstheme="minorHAnsi"/>
          <w:bCs/>
          <w:sz w:val="16"/>
          <w:szCs w:val="72"/>
          <w:lang w:val="sr-Cyrl-RS"/>
        </w:rPr>
        <w:t>апроксимација локалног дуга</w:t>
      </w:r>
    </w:p>
    <w:p w14:paraId="1104B0CA" w14:textId="77777777" w:rsidR="001901FC" w:rsidRPr="00EA3D8C" w:rsidRDefault="001901FC" w:rsidP="003E2EFC">
      <w:pPr>
        <w:spacing w:after="120" w:line="276" w:lineRule="auto"/>
        <w:rPr>
          <w:rFonts w:cstheme="minorHAnsi"/>
          <w:bCs/>
          <w:sz w:val="16"/>
          <w:szCs w:val="72"/>
          <w:lang w:val="sr-Cyrl-RS"/>
        </w:rPr>
      </w:pPr>
      <w:r w:rsidRPr="00EA3D8C">
        <w:rPr>
          <w:rFonts w:cstheme="minorHAnsi"/>
          <w:bCs/>
          <w:sz w:val="16"/>
          <w:szCs w:val="72"/>
          <w:lang w:val="sr-Cyrl-RS"/>
        </w:rPr>
        <w:t>** процена за 2020. годину</w:t>
      </w:r>
    </w:p>
    <w:p w14:paraId="7BFEEA34"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 xml:space="preserve">У периоду од 2008. до 2014. године дефицит опште државе је значајно повећан уз истовремено експлозивну путању раста јавног дуга, при чему је однос дуга и БДП више него удвостручен.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w:t>
      </w:r>
      <w:r w:rsidRPr="00EA3D8C">
        <w:rPr>
          <w:rFonts w:ascii="Calibri" w:eastAsia="Calibri" w:hAnsi="Calibri" w:cs="Calibri"/>
          <w:szCs w:val="20"/>
          <w:lang w:val="sr-Cyrl-RS"/>
        </w:rPr>
        <w:lastRenderedPageBreak/>
        <w:t>високе камате и одређени једнократни расходи су додатно погоршавали фискалну позицију.</w:t>
      </w:r>
    </w:p>
    <w:p w14:paraId="7D6BCF43" w14:textId="7DC47AD4"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Мере фискалне консолидације донете крајем 2014. године спустиле су примарни дефицит и успориле раст јавног дуга већ током 2015. године. До смањења јавног дуга у БДП дошло је у 2016. години, годину дана раније него што је било предвиђено аранжманом са ММФ. У 2016. години остварен је примарни суфицит од 1,7% БДП, чиме су се коначно стекли услови за пад учешћа јавног дуга у БДП. Након тога, у 2017. години, остварени примарни фискални суфицит од 3,6% БДП доводи до још значајнијег пада учешћа дуга, за више од 10 п.п. БДП, на 58,6% БДП.</w:t>
      </w:r>
      <w:r w:rsidRPr="00EA3D8C">
        <w:rPr>
          <w:lang w:val="sr-Cyrl-RS"/>
        </w:rPr>
        <w:t xml:space="preserve"> </w:t>
      </w:r>
      <w:r w:rsidRPr="00EA3D8C">
        <w:rPr>
          <w:rFonts w:ascii="Calibri" w:eastAsia="Calibri" w:hAnsi="Calibri" w:cs="Calibri"/>
          <w:szCs w:val="20"/>
          <w:lang w:val="sr-Cyrl-RS"/>
        </w:rPr>
        <w:t xml:space="preserve">Током 2018. године настављен је тренд смањења учешћа јавног дуга у БДП на 54,4% БДП. Фискална релаксација током 2019. године није угрозила опадајућу путању јавног дуга. Позитиван примарни фискални резултат у 2019. години од 1,8% БДП </w:t>
      </w:r>
      <w:r w:rsidR="00C444BE" w:rsidRPr="00EA3D8C">
        <w:rPr>
          <w:rFonts w:ascii="Calibri" w:eastAsia="Calibri" w:hAnsi="Calibri" w:cs="Calibri"/>
          <w:szCs w:val="20"/>
          <w:lang w:val="sr-Cyrl-RS"/>
        </w:rPr>
        <w:t>утицао</w:t>
      </w:r>
      <w:r w:rsidRPr="00EA3D8C">
        <w:rPr>
          <w:rFonts w:ascii="Calibri" w:eastAsia="Calibri" w:hAnsi="Calibri" w:cs="Calibri"/>
          <w:szCs w:val="20"/>
          <w:lang w:val="sr-Cyrl-RS"/>
        </w:rPr>
        <w:t xml:space="preserve"> je на даље см</w:t>
      </w:r>
      <w:r w:rsidR="00DD6317">
        <w:rPr>
          <w:rFonts w:ascii="Calibri" w:eastAsia="Calibri" w:hAnsi="Calibri" w:cs="Calibri"/>
          <w:szCs w:val="20"/>
          <w:lang w:val="sr-Cyrl-RS"/>
        </w:rPr>
        <w:t>ањење јавног дуга за још 1,5 п.</w:t>
      </w:r>
      <w:r w:rsidRPr="00EA3D8C">
        <w:rPr>
          <w:rFonts w:ascii="Calibri" w:eastAsia="Calibri" w:hAnsi="Calibri" w:cs="Calibri"/>
          <w:szCs w:val="20"/>
          <w:lang w:val="sr-Cyrl-RS"/>
        </w:rPr>
        <w:t>п. БДП.</w:t>
      </w:r>
    </w:p>
    <w:p w14:paraId="2BFB3FA4" w14:textId="1F382CC8"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 xml:space="preserve">Као што је речено у претходном делу овог документа, 2020. годину обележиће једна од највећих здравствених и последично економских криза у последњих неколико деценија, изазвана пандемијом </w:t>
      </w:r>
      <w:r w:rsidR="007451D1" w:rsidRPr="007451D1">
        <w:rPr>
          <w:rFonts w:ascii="Calibri" w:eastAsia="Calibri" w:hAnsi="Calibri" w:cs="Calibri"/>
          <w:szCs w:val="20"/>
          <w:lang w:val="sr-Cyrl-RS"/>
        </w:rPr>
        <w:t>COVID</w:t>
      </w:r>
      <w:r w:rsidRPr="00EA3D8C">
        <w:rPr>
          <w:rFonts w:ascii="Calibri" w:eastAsia="Calibri" w:hAnsi="Calibri" w:cs="Calibri"/>
          <w:szCs w:val="20"/>
          <w:lang w:val="sr-Cyrl-RS"/>
        </w:rPr>
        <w:t xml:space="preserve">-19. О директним последицама на економију земље, као и мерама предузетим на ублажавању како економских тако и здравствених последица по становништво и привреду, већ је било речи у претходном делу текста. Најважнији фактори који утичу на кретања дуга током 2020. године су ниво укупног и примарног фискалног дефицита, додатне потребе за финансирањем и отплата рата доспелог дела дуга. Процењено једнократно повећање фискалног дефицита на 8,9% БДП (примарни дефицит од 6,9% БДП) утицаће на то да се, до сада, опадајућа путања учешћа јавног дуга преокрене. Учешће јавног дуга опште државе у БДП достићи 59% на крају 2020. године. Фискалном стратегијом за наредни средњорочни период предвиђена је стабилизација јавних финансија и значајно мањи нивои дефицита који ће јавни дуг вратити у зону опадајућег тренда. Процес стабилизације јавних финансија ће бити постепен и одмерен како се </w:t>
      </w:r>
      <w:r w:rsidRPr="00EA3D8C">
        <w:rPr>
          <w:rFonts w:ascii="Calibri" w:eastAsia="Calibri" w:hAnsi="Calibri" w:cs="Calibri"/>
          <w:szCs w:val="20"/>
          <w:lang w:val="sr-Cyrl-RS"/>
        </w:rPr>
        <w:lastRenderedPageBreak/>
        <w:t>сувише рестриктивним политикама на би нарушиле претпоставке убрзаног привредног раста.</w:t>
      </w:r>
    </w:p>
    <w:p w14:paraId="60C54B9F" w14:textId="495BBA05" w:rsidR="001901FC" w:rsidRPr="00EA3D8C" w:rsidRDefault="001901FC" w:rsidP="00374B60">
      <w:pPr>
        <w:jc w:val="center"/>
        <w:rPr>
          <w:rFonts w:cstheme="minorHAnsi"/>
          <w:b/>
          <w:color w:val="002060"/>
          <w:lang w:val="sr-Cyrl-RS"/>
        </w:rPr>
      </w:pPr>
      <w:r w:rsidRPr="00EA3D8C">
        <w:rPr>
          <w:rFonts w:cstheme="minorHAnsi"/>
          <w:b/>
          <w:color w:val="002060"/>
          <w:lang w:val="sr-Cyrl-RS"/>
        </w:rPr>
        <w:t xml:space="preserve">Примарни резултат који стабилизује учешће дуга у БДП и остварени/пројектовани резултат*, </w:t>
      </w:r>
      <w:r w:rsidR="00374B60">
        <w:rPr>
          <w:rFonts w:cstheme="minorHAnsi"/>
          <w:b/>
          <w:color w:val="002060"/>
          <w:lang w:val="sr-Cyrl-RS"/>
        </w:rPr>
        <w:br w:type="textWrapping" w:clear="all"/>
      </w:r>
      <w:r w:rsidRPr="00EA3D8C">
        <w:rPr>
          <w:rFonts w:cstheme="minorHAnsi"/>
          <w:b/>
          <w:color w:val="002060"/>
          <w:lang w:val="sr-Cyrl-RS"/>
        </w:rPr>
        <w:t>% БДП</w:t>
      </w:r>
    </w:p>
    <w:p w14:paraId="0BF2F2D3" w14:textId="77777777" w:rsidR="001901FC" w:rsidRPr="00EA3D8C" w:rsidRDefault="001901FC" w:rsidP="001E3C08">
      <w:pPr>
        <w:spacing w:after="120" w:line="276" w:lineRule="auto"/>
        <w:rPr>
          <w:rFonts w:cstheme="minorHAnsi"/>
          <w:b/>
          <w:color w:val="002060"/>
          <w:lang w:val="sr-Cyrl-RS"/>
        </w:rPr>
      </w:pPr>
      <w:r w:rsidRPr="00EA3D8C">
        <w:rPr>
          <w:noProof/>
        </w:rPr>
        <w:drawing>
          <wp:inline distT="0" distB="0" distL="0" distR="0" wp14:anchorId="479D7925" wp14:editId="7F3D5FAC">
            <wp:extent cx="2757805" cy="2137144"/>
            <wp:effectExtent l="0" t="0" r="4445" b="0"/>
            <wp:docPr id="75" name="Chart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p w14:paraId="025A36E3" w14:textId="77777777" w:rsidR="001901FC" w:rsidRPr="00EA3D8C" w:rsidRDefault="001901FC" w:rsidP="003E2EFC">
      <w:pPr>
        <w:spacing w:after="40" w:line="240" w:lineRule="auto"/>
        <w:rPr>
          <w:rFonts w:cstheme="minorHAnsi"/>
          <w:bCs/>
          <w:sz w:val="16"/>
          <w:szCs w:val="72"/>
          <w:lang w:val="sr-Cyrl-RS"/>
        </w:rPr>
      </w:pPr>
      <w:r w:rsidRPr="00EA3D8C">
        <w:rPr>
          <w:rFonts w:ascii="Calibri" w:eastAsia="Calibri" w:hAnsi="Calibri" w:cs="Calibri"/>
          <w:sz w:val="16"/>
          <w:szCs w:val="16"/>
          <w:lang w:val="sr-Cyrl-RS"/>
        </w:rPr>
        <w:t xml:space="preserve">* </w:t>
      </w:r>
      <w:r w:rsidRPr="00EA3D8C">
        <w:rPr>
          <w:rFonts w:cstheme="minorHAnsi"/>
          <w:bCs/>
          <w:sz w:val="16"/>
          <w:szCs w:val="72"/>
          <w:lang w:val="sr-Cyrl-RS"/>
        </w:rPr>
        <w:t>за период 2021. до 2023. дате су пројектоване вредности</w:t>
      </w:r>
    </w:p>
    <w:p w14:paraId="59F858B6" w14:textId="77777777" w:rsidR="001901FC" w:rsidRPr="00EA3D8C" w:rsidRDefault="001901FC" w:rsidP="003E2EFC">
      <w:pPr>
        <w:spacing w:after="120" w:line="276" w:lineRule="auto"/>
        <w:rPr>
          <w:rFonts w:ascii="Calibri" w:eastAsia="MS PGothic" w:hAnsi="Calibri" w:cs="Calibri"/>
          <w:b/>
          <w:color w:val="2F5496" w:themeColor="accent1" w:themeShade="BF"/>
          <w:szCs w:val="20"/>
          <w:lang w:val="sr-Cyrl-RS" w:eastAsia="ja-JP"/>
        </w:rPr>
      </w:pPr>
      <w:r w:rsidRPr="00EA3D8C">
        <w:rPr>
          <w:rFonts w:cstheme="minorHAnsi"/>
          <w:bCs/>
          <w:sz w:val="16"/>
          <w:szCs w:val="72"/>
          <w:lang w:val="sr-Cyrl-RS"/>
        </w:rPr>
        <w:t>Извор: Министарство финансија</w:t>
      </w:r>
    </w:p>
    <w:p w14:paraId="27702B71"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У периоду од 2021–2023. године, у складу са фискалним оквиром датим у овом документу, пројектоване су позитивне вредности овог параметра.</w:t>
      </w:r>
    </w:p>
    <w:p w14:paraId="153F590F"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Пројектована је динамика спуштања нивоа јавног дуга на 45% БДП, у складу са важећим фискалним правилима, а основни сценарио представљен овим фискалним оквиром предвиђа постепено смањивање фискалног дефицита на 1% БДП на крају 2023. године.</w:t>
      </w:r>
    </w:p>
    <w:p w14:paraId="3A48411B" w14:textId="5739005B" w:rsidR="001901FC" w:rsidRPr="00EA3D8C" w:rsidRDefault="00374B60" w:rsidP="00374B60">
      <w:pPr>
        <w:rPr>
          <w:rFonts w:ascii="Calibri" w:eastAsia="Calibri" w:hAnsi="Calibri" w:cs="Calibri"/>
          <w:szCs w:val="20"/>
          <w:lang w:val="sr-Cyrl-RS"/>
        </w:rPr>
      </w:pPr>
      <w:r>
        <w:rPr>
          <w:rFonts w:ascii="Calibri" w:eastAsia="Calibri" w:hAnsi="Calibri" w:cs="Calibri"/>
          <w:szCs w:val="20"/>
          <w:lang w:val="sr-Cyrl-RS"/>
        </w:rPr>
        <w:br w:type="column"/>
      </w:r>
      <w:r w:rsidR="001901FC" w:rsidRPr="00EA3D8C">
        <w:rPr>
          <w:rFonts w:ascii="Calibri" w:eastAsia="Calibri" w:hAnsi="Calibri" w:cs="Calibri"/>
          <w:szCs w:val="20"/>
          <w:lang w:val="sr-Cyrl-RS"/>
        </w:rPr>
        <w:lastRenderedPageBreak/>
        <w:t>Управљање и одрживост јавног дуга ће се додатно обезбедити:</w:t>
      </w:r>
    </w:p>
    <w:p w14:paraId="00F68C8B" w14:textId="77777777" w:rsidR="001901FC" w:rsidRPr="00EA3D8C" w:rsidRDefault="001901FC" w:rsidP="00374B60">
      <w:pPr>
        <w:numPr>
          <w:ilvl w:val="0"/>
          <w:numId w:val="10"/>
        </w:numPr>
        <w:ind w:left="180" w:hanging="180"/>
        <w:rPr>
          <w:rFonts w:ascii="Calibri" w:eastAsia="Calibri" w:hAnsi="Calibri" w:cs="Calibri"/>
          <w:szCs w:val="20"/>
          <w:lang w:val="sr-Cyrl-RS"/>
        </w:rPr>
      </w:pPr>
      <w:r w:rsidRPr="00EA3D8C">
        <w:rPr>
          <w:rFonts w:ascii="Calibri" w:eastAsia="Calibri" w:hAnsi="Calibri" w:cs="Calibri"/>
          <w:szCs w:val="20"/>
          <w:lang w:val="sr-Cyrl-RS"/>
        </w:rPr>
        <w:t>ограничењем издавања нових гаранција;</w:t>
      </w:r>
    </w:p>
    <w:p w14:paraId="0D7A5AE9" w14:textId="77777777" w:rsidR="001901FC" w:rsidRPr="00EA3D8C" w:rsidRDefault="001901FC" w:rsidP="00374B60">
      <w:pPr>
        <w:numPr>
          <w:ilvl w:val="0"/>
          <w:numId w:val="10"/>
        </w:numPr>
        <w:ind w:left="180" w:hanging="180"/>
        <w:rPr>
          <w:rFonts w:ascii="Calibri" w:eastAsia="Calibri" w:hAnsi="Calibri" w:cs="Calibri"/>
          <w:szCs w:val="20"/>
          <w:lang w:val="sr-Cyrl-RS"/>
        </w:rPr>
      </w:pPr>
      <w:r w:rsidRPr="00EA3D8C">
        <w:rPr>
          <w:rFonts w:ascii="Calibri" w:eastAsia="Calibri" w:hAnsi="Calibri" w:cs="Calibri"/>
          <w:szCs w:val="20"/>
          <w:lang w:val="sr-Cyrl-RS"/>
        </w:rPr>
        <w:t>ограничењем закључивања нових пројектних зајмова у случајевима да претходно одобрени зајмови нису ефикасно коришћени;</w:t>
      </w:r>
    </w:p>
    <w:p w14:paraId="29FE48C8" w14:textId="77777777" w:rsidR="001901FC" w:rsidRPr="00EA3D8C" w:rsidRDefault="001901FC" w:rsidP="00374B60">
      <w:pPr>
        <w:numPr>
          <w:ilvl w:val="0"/>
          <w:numId w:val="10"/>
        </w:numPr>
        <w:ind w:left="180" w:hanging="180"/>
        <w:rPr>
          <w:rFonts w:ascii="Calibri" w:eastAsia="Calibri" w:hAnsi="Calibri" w:cs="Calibri"/>
          <w:szCs w:val="20"/>
          <w:lang w:val="sr-Cyrl-RS"/>
        </w:rPr>
      </w:pPr>
      <w:r w:rsidRPr="00EA3D8C">
        <w:rPr>
          <w:rFonts w:ascii="Calibri" w:eastAsia="Calibri" w:hAnsi="Calibri" w:cs="Calibri"/>
          <w:szCs w:val="20"/>
          <w:lang w:val="sr-Cyrl-RS"/>
        </w:rPr>
        <w:t>откупом једног дела скупог дуга коришћењем средстава из повољнијих зајмова или приватизационих прихода уколико за то постоје могућности;</w:t>
      </w:r>
    </w:p>
    <w:p w14:paraId="1B3ADF1D" w14:textId="77777777" w:rsidR="001901FC" w:rsidRPr="00EA3D8C" w:rsidRDefault="001901FC" w:rsidP="00374B60">
      <w:pPr>
        <w:numPr>
          <w:ilvl w:val="0"/>
          <w:numId w:val="10"/>
        </w:numPr>
        <w:ind w:left="181" w:hanging="181"/>
        <w:rPr>
          <w:rFonts w:ascii="Calibri" w:eastAsia="Calibri" w:hAnsi="Calibri" w:cs="Calibri"/>
          <w:szCs w:val="20"/>
          <w:lang w:val="sr-Cyrl-RS"/>
        </w:rPr>
      </w:pPr>
      <w:r w:rsidRPr="00EA3D8C">
        <w:rPr>
          <w:rFonts w:ascii="Calibri" w:eastAsia="Calibri" w:hAnsi="Calibri" w:cs="Calibri"/>
          <w:szCs w:val="20"/>
          <w:lang w:val="sr-Cyrl-RS"/>
        </w:rPr>
        <w:t>идентификацијом и бољим управљањем фискалним ризицима.</w:t>
      </w:r>
    </w:p>
    <w:p w14:paraId="3C8E0B14"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Законски предвиђено учешће јавног дуга у БДП од 45% биће достигнуто током 2028. године. Успех претходног програма структурног фискалног прилагођавања омогућио је смањење учешћа дуга од 2015. до 2019. године за 18,3 п.п. БДП. Овакве околности утицале су на могућност Републике Србије да без тешкоће обезбеди потребно финансирање фискалног дефицита током 2020. године, као и несметану отплату доспелог дуга.</w:t>
      </w:r>
    </w:p>
    <w:p w14:paraId="304BCE8D"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Неизвесност у погледу тока и трајања пандемије на светском нивоу, као и предузетих здравствених мера захтева опрезно вођење фискалне политике у наредном периоду.</w:t>
      </w:r>
    </w:p>
    <w:p w14:paraId="673FD5EE"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Како је фискалним правилима предвиђена граница дуга од 45% БДП која се достиже током 2028. године, урађена је симулација кретања учешћа у случају варијације фактора који утичу на динамику дуга.</w:t>
      </w:r>
    </w:p>
    <w:p w14:paraId="16FEFC15" w14:textId="77777777" w:rsidR="001901FC" w:rsidRPr="00EA3D8C" w:rsidRDefault="001901FC" w:rsidP="00374B60">
      <w:pPr>
        <w:rPr>
          <w:rFonts w:ascii="Calibri" w:eastAsia="Calibri" w:hAnsi="Calibri" w:cs="Calibri"/>
          <w:color w:val="2F5496" w:themeColor="accent1" w:themeShade="BF"/>
          <w:szCs w:val="20"/>
          <w:lang w:val="sr-Cyrl-RS"/>
        </w:rPr>
      </w:pPr>
      <w:r w:rsidRPr="00EA3D8C">
        <w:rPr>
          <w:rFonts w:ascii="Calibri" w:eastAsia="Calibri" w:hAnsi="Calibri" w:cs="Calibri"/>
          <w:color w:val="2F5496" w:themeColor="accent1" w:themeShade="BF"/>
          <w:szCs w:val="20"/>
          <w:lang w:val="sr-Cyrl-RS"/>
        </w:rPr>
        <w:t>Претпоставке у основном сценарију су:</w:t>
      </w:r>
    </w:p>
    <w:p w14:paraId="4F196554" w14:textId="77777777" w:rsidR="001901FC" w:rsidRPr="00EA3D8C" w:rsidRDefault="001901FC" w:rsidP="00374B60">
      <w:pPr>
        <w:numPr>
          <w:ilvl w:val="0"/>
          <w:numId w:val="11"/>
        </w:numPr>
        <w:ind w:left="90" w:hanging="180"/>
        <w:contextualSpacing/>
        <w:rPr>
          <w:rFonts w:cs="Calibri"/>
          <w:bCs/>
          <w:szCs w:val="20"/>
          <w:lang w:val="sr-Cyrl-RS" w:eastAsia="ja-JP"/>
        </w:rPr>
      </w:pPr>
      <w:r w:rsidRPr="00EA3D8C">
        <w:rPr>
          <w:rFonts w:cs="Calibri"/>
          <w:bCs/>
          <w:szCs w:val="20"/>
          <w:lang w:val="sr-Cyrl-RS" w:eastAsia="ja-JP"/>
        </w:rPr>
        <w:t>након оствареног високог нивоа фискалног дефицита у 2020. години, у периоду од 2021. до 2023. године ниво општег и примарног фискалног резултата омогућава постепено смањење учешће јавног дуга у БДП. Након тога, фискални дефицит је коригован на 0,5% БДП;</w:t>
      </w:r>
    </w:p>
    <w:p w14:paraId="1C512E18" w14:textId="77777777" w:rsidR="001901FC" w:rsidRPr="00EA3D8C" w:rsidRDefault="001901FC" w:rsidP="00374B60">
      <w:pPr>
        <w:numPr>
          <w:ilvl w:val="0"/>
          <w:numId w:val="11"/>
        </w:numPr>
        <w:ind w:left="90" w:hanging="180"/>
        <w:contextualSpacing/>
        <w:rPr>
          <w:rFonts w:cs="Calibri"/>
          <w:bCs/>
          <w:szCs w:val="20"/>
          <w:lang w:val="sr-Cyrl-RS" w:eastAsia="ja-JP"/>
        </w:rPr>
      </w:pPr>
      <w:r w:rsidRPr="00EA3D8C">
        <w:rPr>
          <w:rFonts w:cs="Calibri"/>
          <w:bCs/>
          <w:szCs w:val="20"/>
          <w:lang w:val="sr-Cyrl-RS" w:eastAsia="ja-JP"/>
        </w:rPr>
        <w:t xml:space="preserve">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w:t>
      </w:r>
      <w:r w:rsidRPr="00EA3D8C">
        <w:rPr>
          <w:rFonts w:cs="Calibri"/>
          <w:bCs/>
          <w:szCs w:val="20"/>
          <w:lang w:val="sr-Cyrl-RS" w:eastAsia="ja-JP"/>
        </w:rPr>
        <w:lastRenderedPageBreak/>
        <w:t>постојећег напора у борби против сиве економије;</w:t>
      </w:r>
    </w:p>
    <w:p w14:paraId="71621BBE" w14:textId="77777777" w:rsidR="001901FC" w:rsidRPr="00EA3D8C" w:rsidRDefault="001901FC" w:rsidP="00374B60">
      <w:pPr>
        <w:numPr>
          <w:ilvl w:val="0"/>
          <w:numId w:val="11"/>
        </w:numPr>
        <w:ind w:left="90" w:hanging="180"/>
        <w:contextualSpacing/>
        <w:rPr>
          <w:rFonts w:cs="Calibri"/>
          <w:bCs/>
          <w:szCs w:val="20"/>
          <w:lang w:val="sr-Cyrl-RS" w:eastAsia="ja-JP"/>
        </w:rPr>
      </w:pPr>
      <w:r w:rsidRPr="00EA3D8C">
        <w:rPr>
          <w:rFonts w:cs="Calibri"/>
          <w:bCs/>
          <w:szCs w:val="20"/>
          <w:lang w:val="sr-Cyrl-RS" w:eastAsia="ja-JP"/>
        </w:rPr>
        <w:t>изостанак нето прираста издатих гаранција након 2022. године;</w:t>
      </w:r>
    </w:p>
    <w:p w14:paraId="5BCF3DBC" w14:textId="77777777" w:rsidR="001901FC" w:rsidRPr="00EA3D8C" w:rsidRDefault="001901FC" w:rsidP="00374B60">
      <w:pPr>
        <w:numPr>
          <w:ilvl w:val="0"/>
          <w:numId w:val="11"/>
        </w:numPr>
        <w:ind w:left="90" w:hanging="180"/>
        <w:contextualSpacing/>
        <w:rPr>
          <w:rFonts w:cs="Calibri"/>
          <w:szCs w:val="20"/>
          <w:lang w:val="sr-Cyrl-RS" w:eastAsia="ja-JP"/>
        </w:rPr>
      </w:pPr>
      <w:r w:rsidRPr="00EA3D8C">
        <w:rPr>
          <w:rFonts w:cs="Calibri"/>
          <w:bCs/>
          <w:szCs w:val="20"/>
          <w:lang w:val="sr-Cyrl-RS" w:eastAsia="ja-JP"/>
        </w:rPr>
        <w:t>просечна стопа реалног раста БДП од 4% у дугом року</w:t>
      </w:r>
      <w:r w:rsidRPr="00EA3D8C">
        <w:rPr>
          <w:rFonts w:cs="Calibri"/>
          <w:szCs w:val="20"/>
          <w:lang w:val="sr-Cyrl-RS" w:eastAsia="ja-JP"/>
        </w:rPr>
        <w:t>;</w:t>
      </w:r>
    </w:p>
    <w:p w14:paraId="38803CEC" w14:textId="77777777" w:rsidR="001901FC" w:rsidRPr="00EA3D8C" w:rsidRDefault="001901FC" w:rsidP="00374B60">
      <w:pPr>
        <w:numPr>
          <w:ilvl w:val="0"/>
          <w:numId w:val="11"/>
        </w:numPr>
        <w:ind w:left="90" w:hanging="180"/>
        <w:contextualSpacing/>
        <w:rPr>
          <w:rFonts w:cs="Calibri"/>
          <w:szCs w:val="20"/>
          <w:lang w:val="sr-Cyrl-RS" w:eastAsia="ja-JP"/>
        </w:rPr>
      </w:pPr>
      <w:r w:rsidRPr="00EA3D8C">
        <w:rPr>
          <w:rFonts w:cs="Calibri"/>
          <w:bCs/>
          <w:szCs w:val="20"/>
          <w:lang w:val="sr-Cyrl-RS" w:eastAsia="ja-JP"/>
        </w:rPr>
        <w:lastRenderedPageBreak/>
        <w:t>годишња инфлација од око 3% просечно у посматраном периоду</w:t>
      </w:r>
      <w:r w:rsidRPr="00EA3D8C">
        <w:rPr>
          <w:rFonts w:cs="Calibri"/>
          <w:szCs w:val="20"/>
          <w:lang w:val="sr-Cyrl-RS" w:eastAsia="ja-JP"/>
        </w:rPr>
        <w:t>;</w:t>
      </w:r>
    </w:p>
    <w:p w14:paraId="2AAE0B98" w14:textId="34ED2A6E" w:rsidR="001901FC" w:rsidRPr="00EA3D8C" w:rsidRDefault="001901FC" w:rsidP="00374B60">
      <w:pPr>
        <w:numPr>
          <w:ilvl w:val="0"/>
          <w:numId w:val="11"/>
        </w:numPr>
        <w:ind w:left="90" w:hanging="181"/>
        <w:rPr>
          <w:rFonts w:cs="Calibri"/>
          <w:szCs w:val="20"/>
          <w:lang w:val="sr-Cyrl-RS" w:eastAsia="ja-JP"/>
        </w:rPr>
        <w:sectPr w:rsidR="001901FC" w:rsidRPr="00EA3D8C" w:rsidSect="00AE40EB">
          <w:type w:val="continuous"/>
          <w:pgSz w:w="12240" w:h="15840" w:code="1"/>
          <w:pgMar w:top="1417" w:right="1417" w:bottom="1417" w:left="1417" w:header="720" w:footer="720" w:gutter="0"/>
          <w:cols w:num="2" w:space="720"/>
          <w15:footnoteColumns w:val="1"/>
        </w:sectPr>
      </w:pPr>
      <w:r w:rsidRPr="00EA3D8C">
        <w:rPr>
          <w:rFonts w:cs="Calibri"/>
          <w:bCs/>
          <w:szCs w:val="20"/>
          <w:lang w:val="sr-Cyrl-RS" w:eastAsia="ja-JP"/>
        </w:rPr>
        <w:t>изостанак значајних прилива од приватизације у посматраном периоду 2024–2028. године</w:t>
      </w:r>
      <w:r w:rsidRPr="00EA3D8C">
        <w:rPr>
          <w:rFonts w:cs="Calibri"/>
          <w:szCs w:val="20"/>
          <w:lang w:val="sr-Cyrl-RS" w:eastAsia="ja-JP"/>
        </w:rPr>
        <w:t>. Евентуални већи приватизациони приходи смањују потребу за финансирањем и додатно смањују учешће јавног дуга</w:t>
      </w:r>
      <w:r w:rsidR="00374B60">
        <w:rPr>
          <w:rFonts w:cs="Calibri"/>
          <w:szCs w:val="20"/>
          <w:lang w:val="sr-Latn-RS" w:eastAsia="ja-JP"/>
        </w:rPr>
        <w:t>.</w:t>
      </w:r>
    </w:p>
    <w:p w14:paraId="71FF823C" w14:textId="77777777" w:rsidR="001901FC" w:rsidRPr="00EA3D8C" w:rsidRDefault="001901FC" w:rsidP="00374B60">
      <w:pPr>
        <w:spacing w:after="0" w:line="240" w:lineRule="auto"/>
        <w:jc w:val="center"/>
        <w:rPr>
          <w:rFonts w:ascii="Calibri" w:eastAsia="Calibri" w:hAnsi="Calibri" w:cs="Calibri"/>
          <w:b/>
          <w:color w:val="002060"/>
          <w:szCs w:val="20"/>
          <w:lang w:val="sr-Cyrl-RS"/>
        </w:rPr>
        <w:sectPr w:rsidR="001901FC" w:rsidRPr="00EA3D8C" w:rsidSect="00AE40EB">
          <w:type w:val="continuous"/>
          <w:pgSz w:w="12240" w:h="15840" w:code="1"/>
          <w:pgMar w:top="1417" w:right="1417" w:bottom="1417" w:left="1417" w:header="720" w:footer="720" w:gutter="0"/>
          <w:cols w:space="720"/>
        </w:sectPr>
      </w:pPr>
    </w:p>
    <w:p w14:paraId="72342497" w14:textId="5CACF562" w:rsidR="001901FC" w:rsidRPr="00EA3D8C" w:rsidRDefault="00EC4017" w:rsidP="00FE1A26">
      <w:pPr>
        <w:spacing w:after="120" w:line="240" w:lineRule="auto"/>
        <w:jc w:val="center"/>
        <w:rPr>
          <w:rFonts w:ascii="Calibri" w:eastAsia="Calibri" w:hAnsi="Calibri" w:cs="Calibri"/>
          <w:color w:val="002060"/>
          <w:szCs w:val="20"/>
          <w:lang w:val="sr-Cyrl-RS"/>
        </w:rPr>
      </w:pPr>
      <w:r w:rsidRPr="00EA3D8C">
        <w:rPr>
          <w:rFonts w:ascii="Calibri" w:eastAsia="Calibri" w:hAnsi="Calibri" w:cs="Calibri"/>
          <w:b/>
          <w:color w:val="002060"/>
          <w:szCs w:val="20"/>
          <w:lang w:val="sr-Cyrl-RS"/>
        </w:rPr>
        <w:lastRenderedPageBreak/>
        <w:t>Табела 21</w:t>
      </w:r>
      <w:r w:rsidR="001901FC" w:rsidRPr="00EA3D8C">
        <w:rPr>
          <w:rFonts w:ascii="Calibri" w:eastAsia="Calibri" w:hAnsi="Calibri" w:cs="Calibri"/>
          <w:b/>
          <w:color w:val="002060"/>
          <w:szCs w:val="20"/>
          <w:lang w:val="sr-Cyrl-RS"/>
        </w:rPr>
        <w:t>. Симулација нивоа укупног дуга у основном сценарију до 2028. године</w:t>
      </w:r>
      <w:r w:rsidR="001901FC" w:rsidRPr="00EA3D8C">
        <w:rPr>
          <w:rFonts w:ascii="Calibri" w:eastAsia="Calibri" w:hAnsi="Calibri" w:cs="Calibri"/>
          <w:color w:val="002060"/>
          <w:szCs w:val="20"/>
          <w:lang w:val="sr-Cyrl-RS"/>
        </w:rPr>
        <w:t xml:space="preserve">, </w:t>
      </w:r>
      <w:r w:rsidR="001901FC" w:rsidRPr="00EA3D8C">
        <w:rPr>
          <w:rFonts w:ascii="Calibri" w:eastAsia="Calibri" w:hAnsi="Calibri" w:cs="Calibri"/>
          <w:b/>
          <w:color w:val="002060"/>
          <w:szCs w:val="20"/>
          <w:lang w:val="sr-Cyrl-RS"/>
        </w:rPr>
        <w:t>%</w:t>
      </w:r>
      <w:r w:rsidR="001901FC" w:rsidRPr="00EA3D8C">
        <w:rPr>
          <w:rFonts w:ascii="Calibri" w:eastAsia="Calibri" w:hAnsi="Calibri" w:cs="Calibri"/>
          <w:color w:val="002060"/>
          <w:sz w:val="24"/>
          <w:szCs w:val="24"/>
          <w:lang w:val="sr-Cyrl-RS"/>
        </w:rPr>
        <w:t xml:space="preserve"> </w:t>
      </w:r>
      <w:r w:rsidR="001901FC" w:rsidRPr="00EA3D8C">
        <w:rPr>
          <w:rFonts w:ascii="Calibri" w:eastAsia="Calibri" w:hAnsi="Calibri" w:cs="Calibri"/>
          <w:b/>
          <w:color w:val="002060"/>
          <w:szCs w:val="20"/>
          <w:lang w:val="sr-Cyrl-RS"/>
        </w:rPr>
        <w:t>БДП</w:t>
      </w:r>
    </w:p>
    <w:tbl>
      <w:tblPr>
        <w:tblStyle w:val="LightShading-Accent338"/>
        <w:tblW w:w="5285" w:type="pct"/>
        <w:jc w:val="center"/>
        <w:tblLook w:val="04A0" w:firstRow="1" w:lastRow="0" w:firstColumn="1" w:lastColumn="0" w:noHBand="0" w:noVBand="1"/>
      </w:tblPr>
      <w:tblGrid>
        <w:gridCol w:w="2237"/>
        <w:gridCol w:w="770"/>
        <w:gridCol w:w="771"/>
        <w:gridCol w:w="770"/>
        <w:gridCol w:w="771"/>
        <w:gridCol w:w="771"/>
        <w:gridCol w:w="770"/>
        <w:gridCol w:w="771"/>
        <w:gridCol w:w="770"/>
        <w:gridCol w:w="771"/>
        <w:gridCol w:w="770"/>
      </w:tblGrid>
      <w:tr w:rsidR="002C675F" w:rsidRPr="002C675F" w14:paraId="41B296CC" w14:textId="77777777" w:rsidTr="002C675F">
        <w:trPr>
          <w:cnfStyle w:val="100000000000" w:firstRow="1" w:lastRow="0" w:firstColumn="0" w:lastColumn="0" w:oddVBand="0" w:evenVBand="0" w:oddHBand="0"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single" w:sz="4" w:space="0" w:color="002060"/>
              <w:bottom w:val="single" w:sz="4" w:space="0" w:color="002060"/>
            </w:tcBorders>
            <w:shd w:val="clear" w:color="auto" w:fill="auto"/>
            <w:vAlign w:val="center"/>
            <w:hideMark/>
          </w:tcPr>
          <w:p w14:paraId="556CAB2B" w14:textId="77777777" w:rsidR="001901FC" w:rsidRPr="002C675F" w:rsidRDefault="001901FC" w:rsidP="001E3C08">
            <w:pPr>
              <w:ind w:right="-427"/>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Основни сценарио</w:t>
            </w:r>
          </w:p>
        </w:tc>
        <w:tc>
          <w:tcPr>
            <w:tcW w:w="387" w:type="pct"/>
            <w:tcBorders>
              <w:top w:val="single" w:sz="4" w:space="0" w:color="002060"/>
              <w:bottom w:val="single" w:sz="4" w:space="0" w:color="002060"/>
            </w:tcBorders>
            <w:shd w:val="clear" w:color="auto" w:fill="auto"/>
            <w:noWrap/>
            <w:vAlign w:val="center"/>
            <w:hideMark/>
          </w:tcPr>
          <w:p w14:paraId="44EF6344"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2019</w:t>
            </w:r>
          </w:p>
        </w:tc>
        <w:tc>
          <w:tcPr>
            <w:tcW w:w="388" w:type="pct"/>
            <w:tcBorders>
              <w:top w:val="single" w:sz="4" w:space="0" w:color="002060"/>
              <w:bottom w:val="single" w:sz="4" w:space="0" w:color="002060"/>
            </w:tcBorders>
            <w:shd w:val="clear" w:color="auto" w:fill="auto"/>
            <w:noWrap/>
            <w:vAlign w:val="center"/>
            <w:hideMark/>
          </w:tcPr>
          <w:p w14:paraId="2EC00EF5"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2020</w:t>
            </w:r>
          </w:p>
        </w:tc>
        <w:tc>
          <w:tcPr>
            <w:tcW w:w="387" w:type="pct"/>
            <w:tcBorders>
              <w:top w:val="single" w:sz="4" w:space="0" w:color="002060"/>
              <w:bottom w:val="single" w:sz="4" w:space="0" w:color="002060"/>
            </w:tcBorders>
            <w:shd w:val="clear" w:color="auto" w:fill="auto"/>
            <w:noWrap/>
            <w:vAlign w:val="center"/>
            <w:hideMark/>
          </w:tcPr>
          <w:p w14:paraId="190A8C05"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2021</w:t>
            </w:r>
          </w:p>
        </w:tc>
        <w:tc>
          <w:tcPr>
            <w:tcW w:w="388" w:type="pct"/>
            <w:tcBorders>
              <w:top w:val="single" w:sz="4" w:space="0" w:color="002060"/>
              <w:bottom w:val="single" w:sz="4" w:space="0" w:color="002060"/>
            </w:tcBorders>
            <w:shd w:val="clear" w:color="auto" w:fill="auto"/>
            <w:noWrap/>
            <w:vAlign w:val="center"/>
            <w:hideMark/>
          </w:tcPr>
          <w:p w14:paraId="44AA6C70"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2022</w:t>
            </w:r>
          </w:p>
        </w:tc>
        <w:tc>
          <w:tcPr>
            <w:tcW w:w="388" w:type="pct"/>
            <w:tcBorders>
              <w:top w:val="single" w:sz="4" w:space="0" w:color="002060"/>
              <w:bottom w:val="single" w:sz="4" w:space="0" w:color="002060"/>
            </w:tcBorders>
            <w:shd w:val="clear" w:color="auto" w:fill="auto"/>
            <w:noWrap/>
            <w:vAlign w:val="center"/>
            <w:hideMark/>
          </w:tcPr>
          <w:p w14:paraId="590EEF9C"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2023</w:t>
            </w:r>
          </w:p>
        </w:tc>
        <w:tc>
          <w:tcPr>
            <w:tcW w:w="387" w:type="pct"/>
            <w:tcBorders>
              <w:top w:val="single" w:sz="4" w:space="0" w:color="002060"/>
              <w:bottom w:val="single" w:sz="4" w:space="0" w:color="002060"/>
            </w:tcBorders>
            <w:shd w:val="clear" w:color="auto" w:fill="auto"/>
            <w:noWrap/>
            <w:vAlign w:val="center"/>
            <w:hideMark/>
          </w:tcPr>
          <w:p w14:paraId="2D0B153B"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2024</w:t>
            </w:r>
          </w:p>
        </w:tc>
        <w:tc>
          <w:tcPr>
            <w:tcW w:w="388" w:type="pct"/>
            <w:tcBorders>
              <w:top w:val="single" w:sz="4" w:space="0" w:color="002060"/>
              <w:bottom w:val="single" w:sz="4" w:space="0" w:color="002060"/>
            </w:tcBorders>
            <w:shd w:val="clear" w:color="auto" w:fill="auto"/>
            <w:noWrap/>
            <w:vAlign w:val="center"/>
            <w:hideMark/>
          </w:tcPr>
          <w:p w14:paraId="1D3A3EF2"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2025</w:t>
            </w:r>
          </w:p>
        </w:tc>
        <w:tc>
          <w:tcPr>
            <w:tcW w:w="387" w:type="pct"/>
            <w:tcBorders>
              <w:top w:val="single" w:sz="4" w:space="0" w:color="002060"/>
              <w:bottom w:val="single" w:sz="4" w:space="0" w:color="002060"/>
            </w:tcBorders>
            <w:shd w:val="clear" w:color="auto" w:fill="auto"/>
            <w:noWrap/>
            <w:vAlign w:val="center"/>
            <w:hideMark/>
          </w:tcPr>
          <w:p w14:paraId="5E8D7A77"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2026</w:t>
            </w:r>
          </w:p>
        </w:tc>
        <w:tc>
          <w:tcPr>
            <w:tcW w:w="388" w:type="pct"/>
            <w:tcBorders>
              <w:top w:val="single" w:sz="4" w:space="0" w:color="002060"/>
              <w:bottom w:val="single" w:sz="4" w:space="0" w:color="002060"/>
            </w:tcBorders>
            <w:shd w:val="clear" w:color="auto" w:fill="auto"/>
            <w:noWrap/>
            <w:vAlign w:val="center"/>
            <w:hideMark/>
          </w:tcPr>
          <w:p w14:paraId="74A01C0A"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2027</w:t>
            </w:r>
          </w:p>
        </w:tc>
        <w:tc>
          <w:tcPr>
            <w:tcW w:w="388" w:type="pct"/>
            <w:tcBorders>
              <w:top w:val="single" w:sz="4" w:space="0" w:color="002060"/>
              <w:bottom w:val="single" w:sz="4" w:space="0" w:color="002060"/>
            </w:tcBorders>
            <w:shd w:val="clear" w:color="auto" w:fill="auto"/>
            <w:noWrap/>
            <w:vAlign w:val="center"/>
            <w:hideMark/>
          </w:tcPr>
          <w:p w14:paraId="3D60B2A7" w14:textId="77777777" w:rsidR="001901FC" w:rsidRPr="002C675F" w:rsidRDefault="001901F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2C675F">
              <w:rPr>
                <w:rFonts w:ascii="Calibri" w:hAnsi="Calibri" w:cs="Calibri"/>
                <w:b w:val="0"/>
                <w:color w:val="002060"/>
                <w:sz w:val="18"/>
                <w:szCs w:val="18"/>
                <w:lang w:val="sr-Cyrl-RS"/>
              </w:rPr>
              <w:t>2028</w:t>
            </w:r>
          </w:p>
        </w:tc>
      </w:tr>
      <w:tr w:rsidR="002C675F" w:rsidRPr="002C675F" w14:paraId="2ACCDAD8" w14:textId="77777777" w:rsidTr="002C675F">
        <w:trPr>
          <w:cnfStyle w:val="000000100000" w:firstRow="0" w:lastRow="0" w:firstColumn="0" w:lastColumn="0" w:oddVBand="0" w:evenVBand="0" w:oddHBand="1"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single" w:sz="4" w:space="0" w:color="002060"/>
              <w:bottom w:val="nil"/>
            </w:tcBorders>
            <w:shd w:val="clear" w:color="auto" w:fill="auto"/>
            <w:noWrap/>
            <w:vAlign w:val="center"/>
            <w:hideMark/>
          </w:tcPr>
          <w:p w14:paraId="7B4FD9B0"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Приходи</w:t>
            </w:r>
          </w:p>
        </w:tc>
        <w:tc>
          <w:tcPr>
            <w:tcW w:w="387" w:type="pct"/>
            <w:tcBorders>
              <w:top w:val="single" w:sz="4" w:space="0" w:color="002060"/>
              <w:bottom w:val="nil"/>
            </w:tcBorders>
            <w:shd w:val="clear" w:color="auto" w:fill="auto"/>
            <w:noWrap/>
            <w:vAlign w:val="center"/>
            <w:hideMark/>
          </w:tcPr>
          <w:p w14:paraId="415F1D03"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42,1</w:t>
            </w:r>
          </w:p>
        </w:tc>
        <w:tc>
          <w:tcPr>
            <w:tcW w:w="388" w:type="pct"/>
            <w:tcBorders>
              <w:top w:val="single" w:sz="4" w:space="0" w:color="002060"/>
              <w:bottom w:val="nil"/>
            </w:tcBorders>
            <w:shd w:val="clear" w:color="auto" w:fill="auto"/>
            <w:noWrap/>
            <w:vAlign w:val="center"/>
            <w:hideMark/>
          </w:tcPr>
          <w:p w14:paraId="78E8E177"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40,3</w:t>
            </w:r>
          </w:p>
        </w:tc>
        <w:tc>
          <w:tcPr>
            <w:tcW w:w="387" w:type="pct"/>
            <w:tcBorders>
              <w:top w:val="single" w:sz="4" w:space="0" w:color="002060"/>
              <w:bottom w:val="nil"/>
            </w:tcBorders>
            <w:shd w:val="clear" w:color="auto" w:fill="auto"/>
            <w:noWrap/>
            <w:vAlign w:val="center"/>
            <w:hideMark/>
          </w:tcPr>
          <w:p w14:paraId="191E8938" w14:textId="56A375B2" w:rsidR="001901FC" w:rsidRPr="002C675F" w:rsidRDefault="00711E47"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40,4</w:t>
            </w:r>
          </w:p>
        </w:tc>
        <w:tc>
          <w:tcPr>
            <w:tcW w:w="388" w:type="pct"/>
            <w:tcBorders>
              <w:top w:val="single" w:sz="4" w:space="0" w:color="002060"/>
              <w:bottom w:val="nil"/>
            </w:tcBorders>
            <w:shd w:val="clear" w:color="auto" w:fill="auto"/>
            <w:noWrap/>
            <w:vAlign w:val="center"/>
            <w:hideMark/>
          </w:tcPr>
          <w:p w14:paraId="4382EDE7"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40,5</w:t>
            </w:r>
          </w:p>
        </w:tc>
        <w:tc>
          <w:tcPr>
            <w:tcW w:w="388" w:type="pct"/>
            <w:tcBorders>
              <w:top w:val="single" w:sz="4" w:space="0" w:color="002060"/>
              <w:bottom w:val="nil"/>
            </w:tcBorders>
            <w:shd w:val="clear" w:color="auto" w:fill="auto"/>
            <w:noWrap/>
            <w:vAlign w:val="center"/>
            <w:hideMark/>
          </w:tcPr>
          <w:p w14:paraId="10ED987A"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39,7</w:t>
            </w:r>
          </w:p>
        </w:tc>
        <w:tc>
          <w:tcPr>
            <w:tcW w:w="387" w:type="pct"/>
            <w:tcBorders>
              <w:top w:val="single" w:sz="4" w:space="0" w:color="002060"/>
              <w:bottom w:val="nil"/>
            </w:tcBorders>
            <w:shd w:val="clear" w:color="auto" w:fill="auto"/>
            <w:noWrap/>
            <w:vAlign w:val="center"/>
            <w:hideMark/>
          </w:tcPr>
          <w:p w14:paraId="05FF46D5"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39,5</w:t>
            </w:r>
          </w:p>
        </w:tc>
        <w:tc>
          <w:tcPr>
            <w:tcW w:w="388" w:type="pct"/>
            <w:tcBorders>
              <w:top w:val="single" w:sz="4" w:space="0" w:color="002060"/>
              <w:bottom w:val="nil"/>
            </w:tcBorders>
            <w:shd w:val="clear" w:color="auto" w:fill="auto"/>
            <w:noWrap/>
            <w:vAlign w:val="center"/>
            <w:hideMark/>
          </w:tcPr>
          <w:p w14:paraId="2D4D09E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39,3</w:t>
            </w:r>
          </w:p>
        </w:tc>
        <w:tc>
          <w:tcPr>
            <w:tcW w:w="387" w:type="pct"/>
            <w:tcBorders>
              <w:top w:val="single" w:sz="4" w:space="0" w:color="002060"/>
              <w:bottom w:val="nil"/>
            </w:tcBorders>
            <w:shd w:val="clear" w:color="auto" w:fill="auto"/>
            <w:noWrap/>
            <w:vAlign w:val="center"/>
            <w:hideMark/>
          </w:tcPr>
          <w:p w14:paraId="7F82E445"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39,1</w:t>
            </w:r>
          </w:p>
        </w:tc>
        <w:tc>
          <w:tcPr>
            <w:tcW w:w="388" w:type="pct"/>
            <w:tcBorders>
              <w:top w:val="single" w:sz="4" w:space="0" w:color="002060"/>
              <w:bottom w:val="nil"/>
            </w:tcBorders>
            <w:shd w:val="clear" w:color="auto" w:fill="auto"/>
            <w:noWrap/>
            <w:vAlign w:val="center"/>
            <w:hideMark/>
          </w:tcPr>
          <w:p w14:paraId="5B7C3216"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38,9</w:t>
            </w:r>
          </w:p>
        </w:tc>
        <w:tc>
          <w:tcPr>
            <w:tcW w:w="388" w:type="pct"/>
            <w:tcBorders>
              <w:top w:val="single" w:sz="4" w:space="0" w:color="002060"/>
              <w:bottom w:val="nil"/>
            </w:tcBorders>
            <w:shd w:val="clear" w:color="auto" w:fill="auto"/>
            <w:noWrap/>
            <w:vAlign w:val="center"/>
            <w:hideMark/>
          </w:tcPr>
          <w:p w14:paraId="469A5C1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38,7</w:t>
            </w:r>
          </w:p>
        </w:tc>
      </w:tr>
      <w:tr w:rsidR="002C675F" w:rsidRPr="002C675F" w14:paraId="4F43A305" w14:textId="77777777" w:rsidTr="002C675F">
        <w:trPr>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left w:val="nil"/>
              <w:bottom w:val="nil"/>
              <w:right w:val="nil"/>
            </w:tcBorders>
            <w:shd w:val="clear" w:color="auto" w:fill="auto"/>
            <w:noWrap/>
            <w:vAlign w:val="center"/>
            <w:hideMark/>
          </w:tcPr>
          <w:p w14:paraId="0FF4522F"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Расходи</w:t>
            </w:r>
          </w:p>
        </w:tc>
        <w:tc>
          <w:tcPr>
            <w:tcW w:w="387" w:type="pct"/>
            <w:tcBorders>
              <w:top w:val="nil"/>
              <w:left w:val="nil"/>
              <w:bottom w:val="nil"/>
              <w:right w:val="nil"/>
            </w:tcBorders>
            <w:shd w:val="clear" w:color="auto" w:fill="auto"/>
            <w:noWrap/>
            <w:vAlign w:val="center"/>
            <w:hideMark/>
          </w:tcPr>
          <w:p w14:paraId="2B019404"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42,3</w:t>
            </w:r>
          </w:p>
        </w:tc>
        <w:tc>
          <w:tcPr>
            <w:tcW w:w="388" w:type="pct"/>
            <w:tcBorders>
              <w:top w:val="nil"/>
              <w:left w:val="nil"/>
              <w:bottom w:val="nil"/>
              <w:right w:val="nil"/>
            </w:tcBorders>
            <w:shd w:val="clear" w:color="auto" w:fill="auto"/>
            <w:noWrap/>
            <w:vAlign w:val="center"/>
            <w:hideMark/>
          </w:tcPr>
          <w:p w14:paraId="7698271B"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49,2</w:t>
            </w:r>
          </w:p>
        </w:tc>
        <w:tc>
          <w:tcPr>
            <w:tcW w:w="387" w:type="pct"/>
            <w:tcBorders>
              <w:top w:val="nil"/>
              <w:left w:val="nil"/>
              <w:bottom w:val="nil"/>
              <w:right w:val="nil"/>
            </w:tcBorders>
            <w:shd w:val="clear" w:color="auto" w:fill="auto"/>
            <w:noWrap/>
            <w:vAlign w:val="center"/>
            <w:hideMark/>
          </w:tcPr>
          <w:p w14:paraId="462125DA" w14:textId="68E5B010" w:rsidR="001901FC" w:rsidRPr="002C675F" w:rsidRDefault="00711E47"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43,4</w:t>
            </w:r>
          </w:p>
        </w:tc>
        <w:tc>
          <w:tcPr>
            <w:tcW w:w="388" w:type="pct"/>
            <w:tcBorders>
              <w:top w:val="nil"/>
              <w:left w:val="nil"/>
              <w:bottom w:val="nil"/>
              <w:right w:val="nil"/>
            </w:tcBorders>
            <w:shd w:val="clear" w:color="auto" w:fill="auto"/>
            <w:noWrap/>
            <w:vAlign w:val="center"/>
            <w:hideMark/>
          </w:tcPr>
          <w:p w14:paraId="00B5FD88"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42,1</w:t>
            </w:r>
          </w:p>
        </w:tc>
        <w:tc>
          <w:tcPr>
            <w:tcW w:w="388" w:type="pct"/>
            <w:tcBorders>
              <w:top w:val="nil"/>
              <w:left w:val="nil"/>
              <w:bottom w:val="nil"/>
              <w:right w:val="nil"/>
            </w:tcBorders>
            <w:shd w:val="clear" w:color="auto" w:fill="auto"/>
            <w:noWrap/>
            <w:vAlign w:val="center"/>
            <w:hideMark/>
          </w:tcPr>
          <w:p w14:paraId="60CBFC02"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40,7</w:t>
            </w:r>
          </w:p>
        </w:tc>
        <w:tc>
          <w:tcPr>
            <w:tcW w:w="387" w:type="pct"/>
            <w:tcBorders>
              <w:top w:val="nil"/>
              <w:left w:val="nil"/>
              <w:bottom w:val="nil"/>
              <w:right w:val="nil"/>
            </w:tcBorders>
            <w:shd w:val="clear" w:color="auto" w:fill="auto"/>
            <w:noWrap/>
            <w:vAlign w:val="center"/>
            <w:hideMark/>
          </w:tcPr>
          <w:p w14:paraId="0C8FBC03"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40,0</w:t>
            </w:r>
          </w:p>
        </w:tc>
        <w:tc>
          <w:tcPr>
            <w:tcW w:w="388" w:type="pct"/>
            <w:tcBorders>
              <w:top w:val="nil"/>
              <w:left w:val="nil"/>
              <w:bottom w:val="nil"/>
              <w:right w:val="nil"/>
            </w:tcBorders>
            <w:shd w:val="clear" w:color="auto" w:fill="auto"/>
            <w:noWrap/>
            <w:vAlign w:val="center"/>
            <w:hideMark/>
          </w:tcPr>
          <w:p w14:paraId="012C7185"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39,8</w:t>
            </w:r>
          </w:p>
        </w:tc>
        <w:tc>
          <w:tcPr>
            <w:tcW w:w="387" w:type="pct"/>
            <w:tcBorders>
              <w:top w:val="nil"/>
              <w:left w:val="nil"/>
              <w:bottom w:val="nil"/>
              <w:right w:val="nil"/>
            </w:tcBorders>
            <w:shd w:val="clear" w:color="auto" w:fill="auto"/>
            <w:noWrap/>
            <w:vAlign w:val="center"/>
            <w:hideMark/>
          </w:tcPr>
          <w:p w14:paraId="210BB829"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39,6</w:t>
            </w:r>
          </w:p>
        </w:tc>
        <w:tc>
          <w:tcPr>
            <w:tcW w:w="388" w:type="pct"/>
            <w:tcBorders>
              <w:top w:val="nil"/>
              <w:left w:val="nil"/>
              <w:bottom w:val="nil"/>
              <w:right w:val="nil"/>
            </w:tcBorders>
            <w:shd w:val="clear" w:color="auto" w:fill="auto"/>
            <w:noWrap/>
            <w:vAlign w:val="center"/>
            <w:hideMark/>
          </w:tcPr>
          <w:p w14:paraId="59A4C341"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39,4</w:t>
            </w:r>
          </w:p>
        </w:tc>
        <w:tc>
          <w:tcPr>
            <w:tcW w:w="388" w:type="pct"/>
            <w:tcBorders>
              <w:top w:val="nil"/>
              <w:left w:val="nil"/>
              <w:bottom w:val="nil"/>
              <w:right w:val="nil"/>
            </w:tcBorders>
            <w:shd w:val="clear" w:color="auto" w:fill="auto"/>
            <w:noWrap/>
            <w:vAlign w:val="center"/>
            <w:hideMark/>
          </w:tcPr>
          <w:p w14:paraId="20E36919"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39,2</w:t>
            </w:r>
          </w:p>
        </w:tc>
      </w:tr>
      <w:tr w:rsidR="002C675F" w:rsidRPr="002C675F" w14:paraId="5E40DC41" w14:textId="77777777" w:rsidTr="002C675F">
        <w:trPr>
          <w:cnfStyle w:val="000000100000" w:firstRow="0" w:lastRow="0" w:firstColumn="0" w:lastColumn="0" w:oddVBand="0" w:evenVBand="0" w:oddHBand="1"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bottom w:val="nil"/>
            </w:tcBorders>
            <w:shd w:val="clear" w:color="auto" w:fill="auto"/>
            <w:noWrap/>
            <w:vAlign w:val="center"/>
            <w:hideMark/>
          </w:tcPr>
          <w:p w14:paraId="70D1E6D5" w14:textId="77777777" w:rsidR="001901FC" w:rsidRPr="002C675F" w:rsidRDefault="001901FC" w:rsidP="00FE1A26">
            <w:pPr>
              <w:rPr>
                <w:rFonts w:ascii="Calibri" w:eastAsia="Times New Roman" w:hAnsi="Calibri" w:cs="Calibri"/>
                <w:b w:val="0"/>
                <w:iCs/>
                <w:color w:val="002060"/>
                <w:sz w:val="18"/>
                <w:szCs w:val="18"/>
                <w:lang w:val="sr-Cyrl-RS"/>
              </w:rPr>
            </w:pPr>
            <w:r w:rsidRPr="002C675F">
              <w:rPr>
                <w:rFonts w:ascii="Calibri" w:eastAsia="Times New Roman" w:hAnsi="Calibri" w:cs="Calibri"/>
                <w:b w:val="0"/>
                <w:iCs/>
                <w:color w:val="002060"/>
                <w:sz w:val="18"/>
                <w:szCs w:val="18"/>
                <w:lang w:val="sr-Cyrl-RS"/>
              </w:rPr>
              <w:t>Пад учешћа расхода</w:t>
            </w:r>
          </w:p>
        </w:tc>
        <w:tc>
          <w:tcPr>
            <w:tcW w:w="387" w:type="pct"/>
            <w:tcBorders>
              <w:top w:val="nil"/>
              <w:bottom w:val="nil"/>
            </w:tcBorders>
            <w:shd w:val="clear" w:color="auto" w:fill="auto"/>
            <w:noWrap/>
            <w:vAlign w:val="center"/>
            <w:hideMark/>
          </w:tcPr>
          <w:p w14:paraId="3F91686C"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p>
        </w:tc>
        <w:tc>
          <w:tcPr>
            <w:tcW w:w="388" w:type="pct"/>
            <w:tcBorders>
              <w:top w:val="nil"/>
              <w:bottom w:val="nil"/>
            </w:tcBorders>
            <w:shd w:val="clear" w:color="auto" w:fill="auto"/>
            <w:noWrap/>
            <w:vAlign w:val="center"/>
            <w:hideMark/>
          </w:tcPr>
          <w:p w14:paraId="485FD891"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6,9</w:t>
            </w:r>
          </w:p>
        </w:tc>
        <w:tc>
          <w:tcPr>
            <w:tcW w:w="387" w:type="pct"/>
            <w:tcBorders>
              <w:top w:val="nil"/>
              <w:bottom w:val="nil"/>
            </w:tcBorders>
            <w:shd w:val="clear" w:color="auto" w:fill="auto"/>
            <w:noWrap/>
            <w:vAlign w:val="center"/>
            <w:hideMark/>
          </w:tcPr>
          <w:p w14:paraId="20040AA5"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-5,8</w:t>
            </w:r>
          </w:p>
        </w:tc>
        <w:tc>
          <w:tcPr>
            <w:tcW w:w="388" w:type="pct"/>
            <w:tcBorders>
              <w:top w:val="nil"/>
              <w:bottom w:val="nil"/>
            </w:tcBorders>
            <w:shd w:val="clear" w:color="auto" w:fill="auto"/>
            <w:noWrap/>
            <w:vAlign w:val="center"/>
            <w:hideMark/>
          </w:tcPr>
          <w:p w14:paraId="561918DB" w14:textId="7C96E3C5" w:rsidR="001901FC" w:rsidRPr="002C675F" w:rsidRDefault="000A3DA9"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-1,3</w:t>
            </w:r>
          </w:p>
        </w:tc>
        <w:tc>
          <w:tcPr>
            <w:tcW w:w="388" w:type="pct"/>
            <w:tcBorders>
              <w:top w:val="nil"/>
              <w:bottom w:val="nil"/>
            </w:tcBorders>
            <w:shd w:val="clear" w:color="auto" w:fill="auto"/>
            <w:noWrap/>
            <w:vAlign w:val="center"/>
            <w:hideMark/>
          </w:tcPr>
          <w:p w14:paraId="1BDB7D40"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-1,4</w:t>
            </w:r>
          </w:p>
        </w:tc>
        <w:tc>
          <w:tcPr>
            <w:tcW w:w="387" w:type="pct"/>
            <w:tcBorders>
              <w:top w:val="nil"/>
              <w:bottom w:val="nil"/>
            </w:tcBorders>
            <w:shd w:val="clear" w:color="auto" w:fill="auto"/>
            <w:noWrap/>
            <w:vAlign w:val="center"/>
            <w:hideMark/>
          </w:tcPr>
          <w:p w14:paraId="4E60C51C"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-0,7</w:t>
            </w:r>
          </w:p>
        </w:tc>
        <w:tc>
          <w:tcPr>
            <w:tcW w:w="388" w:type="pct"/>
            <w:tcBorders>
              <w:top w:val="nil"/>
              <w:bottom w:val="nil"/>
            </w:tcBorders>
            <w:shd w:val="clear" w:color="auto" w:fill="auto"/>
            <w:noWrap/>
            <w:vAlign w:val="center"/>
            <w:hideMark/>
          </w:tcPr>
          <w:p w14:paraId="71769A3C"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-0,2</w:t>
            </w:r>
          </w:p>
        </w:tc>
        <w:tc>
          <w:tcPr>
            <w:tcW w:w="387" w:type="pct"/>
            <w:tcBorders>
              <w:top w:val="nil"/>
              <w:bottom w:val="nil"/>
            </w:tcBorders>
            <w:shd w:val="clear" w:color="auto" w:fill="auto"/>
            <w:noWrap/>
            <w:vAlign w:val="center"/>
            <w:hideMark/>
          </w:tcPr>
          <w:p w14:paraId="6E07F28B"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-0,2</w:t>
            </w:r>
          </w:p>
        </w:tc>
        <w:tc>
          <w:tcPr>
            <w:tcW w:w="388" w:type="pct"/>
            <w:tcBorders>
              <w:top w:val="nil"/>
              <w:bottom w:val="nil"/>
            </w:tcBorders>
            <w:shd w:val="clear" w:color="auto" w:fill="auto"/>
            <w:noWrap/>
            <w:vAlign w:val="center"/>
            <w:hideMark/>
          </w:tcPr>
          <w:p w14:paraId="41F0BD5A"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-0,2</w:t>
            </w:r>
          </w:p>
        </w:tc>
        <w:tc>
          <w:tcPr>
            <w:tcW w:w="388" w:type="pct"/>
            <w:tcBorders>
              <w:top w:val="nil"/>
              <w:bottom w:val="nil"/>
            </w:tcBorders>
            <w:shd w:val="clear" w:color="auto" w:fill="auto"/>
            <w:noWrap/>
            <w:vAlign w:val="center"/>
            <w:hideMark/>
          </w:tcPr>
          <w:p w14:paraId="4B9CED1A"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-0,2</w:t>
            </w:r>
          </w:p>
        </w:tc>
      </w:tr>
      <w:tr w:rsidR="002C675F" w:rsidRPr="002C675F" w14:paraId="413A1F54" w14:textId="77777777" w:rsidTr="002C675F">
        <w:trPr>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left w:val="nil"/>
              <w:bottom w:val="nil"/>
              <w:right w:val="nil"/>
            </w:tcBorders>
            <w:shd w:val="clear" w:color="auto" w:fill="auto"/>
            <w:noWrap/>
            <w:vAlign w:val="center"/>
            <w:hideMark/>
          </w:tcPr>
          <w:p w14:paraId="794E9355"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 xml:space="preserve">Фискални резултат </w:t>
            </w:r>
          </w:p>
        </w:tc>
        <w:tc>
          <w:tcPr>
            <w:tcW w:w="387" w:type="pct"/>
            <w:tcBorders>
              <w:top w:val="nil"/>
              <w:left w:val="nil"/>
              <w:bottom w:val="nil"/>
              <w:right w:val="nil"/>
            </w:tcBorders>
            <w:shd w:val="clear" w:color="auto" w:fill="auto"/>
            <w:noWrap/>
            <w:vAlign w:val="center"/>
            <w:hideMark/>
          </w:tcPr>
          <w:p w14:paraId="56772F65"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-0,2</w:t>
            </w:r>
          </w:p>
        </w:tc>
        <w:tc>
          <w:tcPr>
            <w:tcW w:w="388" w:type="pct"/>
            <w:tcBorders>
              <w:top w:val="nil"/>
              <w:left w:val="nil"/>
              <w:bottom w:val="nil"/>
              <w:right w:val="nil"/>
            </w:tcBorders>
            <w:shd w:val="clear" w:color="auto" w:fill="auto"/>
            <w:noWrap/>
            <w:vAlign w:val="center"/>
            <w:hideMark/>
          </w:tcPr>
          <w:p w14:paraId="356217EC"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-8,9</w:t>
            </w:r>
          </w:p>
        </w:tc>
        <w:tc>
          <w:tcPr>
            <w:tcW w:w="387" w:type="pct"/>
            <w:tcBorders>
              <w:top w:val="nil"/>
              <w:left w:val="nil"/>
              <w:bottom w:val="nil"/>
              <w:right w:val="nil"/>
            </w:tcBorders>
            <w:shd w:val="clear" w:color="auto" w:fill="auto"/>
            <w:noWrap/>
            <w:vAlign w:val="center"/>
            <w:hideMark/>
          </w:tcPr>
          <w:p w14:paraId="0F3C9799"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-3,0</w:t>
            </w:r>
          </w:p>
        </w:tc>
        <w:tc>
          <w:tcPr>
            <w:tcW w:w="388" w:type="pct"/>
            <w:tcBorders>
              <w:top w:val="nil"/>
              <w:left w:val="nil"/>
              <w:bottom w:val="nil"/>
              <w:right w:val="nil"/>
            </w:tcBorders>
            <w:shd w:val="clear" w:color="auto" w:fill="auto"/>
            <w:noWrap/>
            <w:vAlign w:val="center"/>
            <w:hideMark/>
          </w:tcPr>
          <w:p w14:paraId="22907A69"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-1,6</w:t>
            </w:r>
          </w:p>
        </w:tc>
        <w:tc>
          <w:tcPr>
            <w:tcW w:w="388" w:type="pct"/>
            <w:tcBorders>
              <w:top w:val="nil"/>
              <w:left w:val="nil"/>
              <w:bottom w:val="nil"/>
              <w:right w:val="nil"/>
            </w:tcBorders>
            <w:shd w:val="clear" w:color="auto" w:fill="auto"/>
            <w:noWrap/>
            <w:vAlign w:val="center"/>
            <w:hideMark/>
          </w:tcPr>
          <w:p w14:paraId="1BB4DFF8"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-1,0</w:t>
            </w:r>
          </w:p>
        </w:tc>
        <w:tc>
          <w:tcPr>
            <w:tcW w:w="387" w:type="pct"/>
            <w:tcBorders>
              <w:top w:val="nil"/>
              <w:left w:val="nil"/>
              <w:bottom w:val="nil"/>
              <w:right w:val="nil"/>
            </w:tcBorders>
            <w:shd w:val="clear" w:color="auto" w:fill="auto"/>
            <w:noWrap/>
            <w:vAlign w:val="center"/>
            <w:hideMark/>
          </w:tcPr>
          <w:p w14:paraId="0500EE0F"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-0,5</w:t>
            </w:r>
          </w:p>
        </w:tc>
        <w:tc>
          <w:tcPr>
            <w:tcW w:w="388" w:type="pct"/>
            <w:tcBorders>
              <w:top w:val="nil"/>
              <w:left w:val="nil"/>
              <w:bottom w:val="nil"/>
              <w:right w:val="nil"/>
            </w:tcBorders>
            <w:shd w:val="clear" w:color="auto" w:fill="auto"/>
            <w:noWrap/>
            <w:vAlign w:val="center"/>
            <w:hideMark/>
          </w:tcPr>
          <w:p w14:paraId="0FB97B6F"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-0,5</w:t>
            </w:r>
          </w:p>
        </w:tc>
        <w:tc>
          <w:tcPr>
            <w:tcW w:w="387" w:type="pct"/>
            <w:tcBorders>
              <w:top w:val="nil"/>
              <w:left w:val="nil"/>
              <w:bottom w:val="nil"/>
              <w:right w:val="nil"/>
            </w:tcBorders>
            <w:shd w:val="clear" w:color="auto" w:fill="auto"/>
            <w:noWrap/>
            <w:vAlign w:val="center"/>
            <w:hideMark/>
          </w:tcPr>
          <w:p w14:paraId="59C11DD3"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-0,5</w:t>
            </w:r>
          </w:p>
        </w:tc>
        <w:tc>
          <w:tcPr>
            <w:tcW w:w="388" w:type="pct"/>
            <w:tcBorders>
              <w:top w:val="nil"/>
              <w:left w:val="nil"/>
              <w:bottom w:val="nil"/>
              <w:right w:val="nil"/>
            </w:tcBorders>
            <w:shd w:val="clear" w:color="auto" w:fill="auto"/>
            <w:noWrap/>
            <w:vAlign w:val="center"/>
            <w:hideMark/>
          </w:tcPr>
          <w:p w14:paraId="60A212F3"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-0,5</w:t>
            </w:r>
          </w:p>
        </w:tc>
        <w:tc>
          <w:tcPr>
            <w:tcW w:w="388" w:type="pct"/>
            <w:tcBorders>
              <w:top w:val="nil"/>
              <w:left w:val="nil"/>
              <w:bottom w:val="nil"/>
              <w:right w:val="nil"/>
            </w:tcBorders>
            <w:shd w:val="clear" w:color="auto" w:fill="auto"/>
            <w:noWrap/>
            <w:vAlign w:val="center"/>
            <w:hideMark/>
          </w:tcPr>
          <w:p w14:paraId="44BDD250"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-0,5</w:t>
            </w:r>
          </w:p>
        </w:tc>
      </w:tr>
      <w:tr w:rsidR="002C675F" w:rsidRPr="002C675F" w14:paraId="45B9945F" w14:textId="77777777" w:rsidTr="002C675F">
        <w:trPr>
          <w:cnfStyle w:val="000000100000" w:firstRow="0" w:lastRow="0" w:firstColumn="0" w:lastColumn="0" w:oddVBand="0" w:evenVBand="0" w:oddHBand="1"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bottom w:val="nil"/>
            </w:tcBorders>
            <w:shd w:val="clear" w:color="auto" w:fill="auto"/>
            <w:noWrap/>
            <w:vAlign w:val="center"/>
            <w:hideMark/>
          </w:tcPr>
          <w:p w14:paraId="6DD0B24E"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Примарни фис. резултат</w:t>
            </w:r>
          </w:p>
        </w:tc>
        <w:tc>
          <w:tcPr>
            <w:tcW w:w="387" w:type="pct"/>
            <w:tcBorders>
              <w:top w:val="nil"/>
              <w:bottom w:val="nil"/>
            </w:tcBorders>
            <w:shd w:val="clear" w:color="auto" w:fill="auto"/>
            <w:noWrap/>
            <w:vAlign w:val="center"/>
            <w:hideMark/>
          </w:tcPr>
          <w:p w14:paraId="7A553D8A"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1,8</w:t>
            </w:r>
          </w:p>
        </w:tc>
        <w:tc>
          <w:tcPr>
            <w:tcW w:w="388" w:type="pct"/>
            <w:tcBorders>
              <w:top w:val="nil"/>
              <w:bottom w:val="nil"/>
            </w:tcBorders>
            <w:shd w:val="clear" w:color="auto" w:fill="auto"/>
            <w:noWrap/>
            <w:vAlign w:val="center"/>
            <w:hideMark/>
          </w:tcPr>
          <w:p w14:paraId="3326C3DB"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-6,9</w:t>
            </w:r>
          </w:p>
        </w:tc>
        <w:tc>
          <w:tcPr>
            <w:tcW w:w="387" w:type="pct"/>
            <w:tcBorders>
              <w:top w:val="nil"/>
              <w:bottom w:val="nil"/>
            </w:tcBorders>
            <w:shd w:val="clear" w:color="auto" w:fill="auto"/>
            <w:noWrap/>
            <w:vAlign w:val="center"/>
            <w:hideMark/>
          </w:tcPr>
          <w:p w14:paraId="7134719C"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-1,1</w:t>
            </w:r>
          </w:p>
        </w:tc>
        <w:tc>
          <w:tcPr>
            <w:tcW w:w="388" w:type="pct"/>
            <w:tcBorders>
              <w:top w:val="nil"/>
              <w:bottom w:val="nil"/>
            </w:tcBorders>
            <w:shd w:val="clear" w:color="auto" w:fill="auto"/>
            <w:noWrap/>
            <w:vAlign w:val="center"/>
            <w:hideMark/>
          </w:tcPr>
          <w:p w14:paraId="03F771B3"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0,2</w:t>
            </w:r>
          </w:p>
        </w:tc>
        <w:tc>
          <w:tcPr>
            <w:tcW w:w="388" w:type="pct"/>
            <w:tcBorders>
              <w:top w:val="nil"/>
              <w:bottom w:val="nil"/>
            </w:tcBorders>
            <w:shd w:val="clear" w:color="auto" w:fill="auto"/>
            <w:noWrap/>
            <w:vAlign w:val="center"/>
            <w:hideMark/>
          </w:tcPr>
          <w:p w14:paraId="46D1959A"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0,6</w:t>
            </w:r>
          </w:p>
        </w:tc>
        <w:tc>
          <w:tcPr>
            <w:tcW w:w="387" w:type="pct"/>
            <w:tcBorders>
              <w:top w:val="nil"/>
              <w:bottom w:val="nil"/>
            </w:tcBorders>
            <w:shd w:val="clear" w:color="auto" w:fill="auto"/>
            <w:noWrap/>
            <w:vAlign w:val="center"/>
            <w:hideMark/>
          </w:tcPr>
          <w:p w14:paraId="716509E9"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1,0</w:t>
            </w:r>
          </w:p>
        </w:tc>
        <w:tc>
          <w:tcPr>
            <w:tcW w:w="388" w:type="pct"/>
            <w:tcBorders>
              <w:top w:val="nil"/>
              <w:bottom w:val="nil"/>
            </w:tcBorders>
            <w:shd w:val="clear" w:color="auto" w:fill="auto"/>
            <w:noWrap/>
            <w:vAlign w:val="center"/>
            <w:hideMark/>
          </w:tcPr>
          <w:p w14:paraId="4C3A2F19"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0,9</w:t>
            </w:r>
          </w:p>
        </w:tc>
        <w:tc>
          <w:tcPr>
            <w:tcW w:w="387" w:type="pct"/>
            <w:tcBorders>
              <w:top w:val="nil"/>
              <w:bottom w:val="nil"/>
            </w:tcBorders>
            <w:shd w:val="clear" w:color="auto" w:fill="auto"/>
            <w:noWrap/>
            <w:vAlign w:val="center"/>
            <w:hideMark/>
          </w:tcPr>
          <w:p w14:paraId="6F2DAAD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0,8</w:t>
            </w:r>
          </w:p>
        </w:tc>
        <w:tc>
          <w:tcPr>
            <w:tcW w:w="388" w:type="pct"/>
            <w:tcBorders>
              <w:top w:val="nil"/>
              <w:bottom w:val="nil"/>
            </w:tcBorders>
            <w:shd w:val="clear" w:color="auto" w:fill="auto"/>
            <w:noWrap/>
            <w:vAlign w:val="center"/>
            <w:hideMark/>
          </w:tcPr>
          <w:p w14:paraId="46011037"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0,7</w:t>
            </w:r>
          </w:p>
        </w:tc>
        <w:tc>
          <w:tcPr>
            <w:tcW w:w="388" w:type="pct"/>
            <w:tcBorders>
              <w:top w:val="nil"/>
              <w:bottom w:val="nil"/>
            </w:tcBorders>
            <w:shd w:val="clear" w:color="auto" w:fill="auto"/>
            <w:noWrap/>
            <w:vAlign w:val="center"/>
            <w:hideMark/>
          </w:tcPr>
          <w:p w14:paraId="31D7FAB4"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olor w:val="002060"/>
                <w:sz w:val="18"/>
                <w:szCs w:val="18"/>
                <w:lang w:val="sr-Cyrl-RS"/>
              </w:rPr>
            </w:pPr>
            <w:r w:rsidRPr="002C675F">
              <w:rPr>
                <w:rFonts w:asciiTheme="minorHAnsi" w:hAnsiTheme="minorHAnsi"/>
                <w:color w:val="002060"/>
                <w:sz w:val="18"/>
                <w:szCs w:val="18"/>
                <w:lang w:val="sr-Cyrl-RS"/>
              </w:rPr>
              <w:t>0,6</w:t>
            </w:r>
          </w:p>
        </w:tc>
      </w:tr>
      <w:tr w:rsidR="002C675F" w:rsidRPr="002C675F" w14:paraId="4E61C0AE" w14:textId="77777777" w:rsidTr="002C675F">
        <w:trPr>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left w:val="nil"/>
              <w:bottom w:val="nil"/>
              <w:right w:val="nil"/>
            </w:tcBorders>
            <w:shd w:val="clear" w:color="auto" w:fill="auto"/>
            <w:noWrap/>
            <w:vAlign w:val="center"/>
            <w:hideMark/>
          </w:tcPr>
          <w:p w14:paraId="7B7DD733"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Јавни дуг у БДП</w:t>
            </w:r>
          </w:p>
        </w:tc>
        <w:tc>
          <w:tcPr>
            <w:tcW w:w="387" w:type="pct"/>
            <w:tcBorders>
              <w:top w:val="nil"/>
              <w:left w:val="nil"/>
              <w:bottom w:val="nil"/>
              <w:right w:val="nil"/>
            </w:tcBorders>
            <w:shd w:val="clear" w:color="auto" w:fill="auto"/>
            <w:noWrap/>
            <w:vAlign w:val="center"/>
            <w:hideMark/>
          </w:tcPr>
          <w:p w14:paraId="25B5C5CD"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52,9</w:t>
            </w:r>
          </w:p>
        </w:tc>
        <w:tc>
          <w:tcPr>
            <w:tcW w:w="388" w:type="pct"/>
            <w:tcBorders>
              <w:top w:val="nil"/>
              <w:left w:val="nil"/>
              <w:bottom w:val="nil"/>
              <w:right w:val="nil"/>
            </w:tcBorders>
            <w:shd w:val="clear" w:color="auto" w:fill="auto"/>
            <w:noWrap/>
            <w:vAlign w:val="center"/>
            <w:hideMark/>
          </w:tcPr>
          <w:p w14:paraId="49721021"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59,0</w:t>
            </w:r>
          </w:p>
        </w:tc>
        <w:tc>
          <w:tcPr>
            <w:tcW w:w="387" w:type="pct"/>
            <w:tcBorders>
              <w:top w:val="nil"/>
              <w:left w:val="nil"/>
              <w:bottom w:val="nil"/>
              <w:right w:val="nil"/>
            </w:tcBorders>
            <w:shd w:val="clear" w:color="auto" w:fill="auto"/>
            <w:noWrap/>
            <w:vAlign w:val="center"/>
            <w:hideMark/>
          </w:tcPr>
          <w:p w14:paraId="37E1A6D8"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58,7</w:t>
            </w:r>
          </w:p>
        </w:tc>
        <w:tc>
          <w:tcPr>
            <w:tcW w:w="388" w:type="pct"/>
            <w:tcBorders>
              <w:top w:val="nil"/>
              <w:left w:val="nil"/>
              <w:bottom w:val="nil"/>
              <w:right w:val="nil"/>
            </w:tcBorders>
            <w:shd w:val="clear" w:color="auto" w:fill="auto"/>
            <w:noWrap/>
            <w:vAlign w:val="center"/>
            <w:hideMark/>
          </w:tcPr>
          <w:p w14:paraId="66CA72AD"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57,9</w:t>
            </w:r>
          </w:p>
        </w:tc>
        <w:tc>
          <w:tcPr>
            <w:tcW w:w="388" w:type="pct"/>
            <w:tcBorders>
              <w:top w:val="nil"/>
              <w:left w:val="nil"/>
              <w:bottom w:val="nil"/>
              <w:right w:val="nil"/>
            </w:tcBorders>
            <w:shd w:val="clear" w:color="auto" w:fill="auto"/>
            <w:noWrap/>
            <w:vAlign w:val="center"/>
            <w:hideMark/>
          </w:tcPr>
          <w:p w14:paraId="7F9E3840"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56,0</w:t>
            </w:r>
          </w:p>
        </w:tc>
        <w:tc>
          <w:tcPr>
            <w:tcW w:w="387" w:type="pct"/>
            <w:tcBorders>
              <w:top w:val="nil"/>
              <w:left w:val="nil"/>
              <w:bottom w:val="nil"/>
              <w:right w:val="nil"/>
            </w:tcBorders>
            <w:shd w:val="clear" w:color="auto" w:fill="auto"/>
            <w:noWrap/>
            <w:vAlign w:val="center"/>
            <w:hideMark/>
          </w:tcPr>
          <w:p w14:paraId="73E0F48B"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53,4</w:t>
            </w:r>
          </w:p>
        </w:tc>
        <w:tc>
          <w:tcPr>
            <w:tcW w:w="388" w:type="pct"/>
            <w:tcBorders>
              <w:top w:val="nil"/>
              <w:left w:val="nil"/>
              <w:bottom w:val="nil"/>
              <w:right w:val="nil"/>
            </w:tcBorders>
            <w:shd w:val="clear" w:color="auto" w:fill="auto"/>
            <w:noWrap/>
            <w:vAlign w:val="center"/>
            <w:hideMark/>
          </w:tcPr>
          <w:p w14:paraId="18127E19"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51,0</w:t>
            </w:r>
          </w:p>
        </w:tc>
        <w:tc>
          <w:tcPr>
            <w:tcW w:w="387" w:type="pct"/>
            <w:tcBorders>
              <w:top w:val="nil"/>
              <w:left w:val="nil"/>
              <w:bottom w:val="nil"/>
              <w:right w:val="nil"/>
            </w:tcBorders>
            <w:shd w:val="clear" w:color="auto" w:fill="auto"/>
            <w:noWrap/>
            <w:vAlign w:val="center"/>
            <w:hideMark/>
          </w:tcPr>
          <w:p w14:paraId="187C3377"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48,7</w:t>
            </w:r>
          </w:p>
        </w:tc>
        <w:tc>
          <w:tcPr>
            <w:tcW w:w="388" w:type="pct"/>
            <w:tcBorders>
              <w:top w:val="nil"/>
              <w:left w:val="nil"/>
              <w:bottom w:val="nil"/>
              <w:right w:val="nil"/>
            </w:tcBorders>
            <w:shd w:val="clear" w:color="auto" w:fill="auto"/>
            <w:noWrap/>
            <w:vAlign w:val="center"/>
            <w:hideMark/>
          </w:tcPr>
          <w:p w14:paraId="6FCF206A"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46,5</w:t>
            </w:r>
          </w:p>
        </w:tc>
        <w:tc>
          <w:tcPr>
            <w:tcW w:w="388" w:type="pct"/>
            <w:tcBorders>
              <w:top w:val="nil"/>
              <w:left w:val="nil"/>
              <w:bottom w:val="nil"/>
              <w:right w:val="nil"/>
            </w:tcBorders>
            <w:shd w:val="clear" w:color="auto" w:fill="auto"/>
            <w:noWrap/>
            <w:vAlign w:val="center"/>
            <w:hideMark/>
          </w:tcPr>
          <w:p w14:paraId="781B6795" w14:textId="77777777" w:rsidR="001901FC" w:rsidRPr="002C675F" w:rsidRDefault="001901FC" w:rsidP="00FE1A2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44,5</w:t>
            </w:r>
          </w:p>
        </w:tc>
      </w:tr>
      <w:tr w:rsidR="002C675F" w:rsidRPr="002C675F" w14:paraId="6A4A71B2" w14:textId="77777777" w:rsidTr="002C675F">
        <w:trPr>
          <w:cnfStyle w:val="000000100000" w:firstRow="0" w:lastRow="0" w:firstColumn="0" w:lastColumn="0" w:oddVBand="0" w:evenVBand="0" w:oddHBand="1"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125" w:type="pct"/>
            <w:tcBorders>
              <w:top w:val="nil"/>
              <w:bottom w:val="single" w:sz="4" w:space="0" w:color="002060"/>
            </w:tcBorders>
            <w:shd w:val="clear" w:color="auto" w:fill="auto"/>
            <w:noWrap/>
            <w:vAlign w:val="center"/>
            <w:hideMark/>
          </w:tcPr>
          <w:p w14:paraId="1729AF4D" w14:textId="77777777" w:rsidR="001901FC" w:rsidRPr="002C675F" w:rsidRDefault="001901FC" w:rsidP="00FE1A26">
            <w:pPr>
              <w:rPr>
                <w:rFonts w:ascii="Calibri" w:eastAsia="Times New Roman" w:hAnsi="Calibri" w:cs="Calibri"/>
                <w:b w:val="0"/>
                <w:color w:val="002060"/>
                <w:sz w:val="18"/>
                <w:szCs w:val="18"/>
                <w:lang w:val="sr-Cyrl-RS"/>
              </w:rPr>
            </w:pPr>
            <w:r w:rsidRPr="002C675F">
              <w:rPr>
                <w:rFonts w:ascii="Calibri" w:eastAsia="Times New Roman" w:hAnsi="Calibri" w:cs="Calibri"/>
                <w:b w:val="0"/>
                <w:color w:val="002060"/>
                <w:sz w:val="18"/>
                <w:szCs w:val="18"/>
                <w:lang w:val="sr-Cyrl-RS"/>
              </w:rPr>
              <w:t>БДП реални раст, %</w:t>
            </w:r>
          </w:p>
        </w:tc>
        <w:tc>
          <w:tcPr>
            <w:tcW w:w="387" w:type="pct"/>
            <w:tcBorders>
              <w:top w:val="nil"/>
              <w:bottom w:val="single" w:sz="4" w:space="0" w:color="002060"/>
            </w:tcBorders>
            <w:shd w:val="clear" w:color="auto" w:fill="auto"/>
            <w:noWrap/>
            <w:vAlign w:val="center"/>
            <w:hideMark/>
          </w:tcPr>
          <w:p w14:paraId="3536D984"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4,2</w:t>
            </w:r>
          </w:p>
        </w:tc>
        <w:tc>
          <w:tcPr>
            <w:tcW w:w="388" w:type="pct"/>
            <w:tcBorders>
              <w:top w:val="nil"/>
              <w:bottom w:val="single" w:sz="4" w:space="0" w:color="002060"/>
            </w:tcBorders>
            <w:shd w:val="clear" w:color="auto" w:fill="auto"/>
            <w:noWrap/>
            <w:vAlign w:val="center"/>
            <w:hideMark/>
          </w:tcPr>
          <w:p w14:paraId="14436DCE"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-1,0</w:t>
            </w:r>
          </w:p>
        </w:tc>
        <w:tc>
          <w:tcPr>
            <w:tcW w:w="387" w:type="pct"/>
            <w:tcBorders>
              <w:top w:val="nil"/>
              <w:bottom w:val="single" w:sz="4" w:space="0" w:color="002060"/>
            </w:tcBorders>
            <w:shd w:val="clear" w:color="auto" w:fill="auto"/>
            <w:noWrap/>
            <w:vAlign w:val="center"/>
            <w:hideMark/>
          </w:tcPr>
          <w:p w14:paraId="79D82AE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6,0</w:t>
            </w:r>
          </w:p>
        </w:tc>
        <w:tc>
          <w:tcPr>
            <w:tcW w:w="388" w:type="pct"/>
            <w:tcBorders>
              <w:top w:val="nil"/>
              <w:bottom w:val="single" w:sz="4" w:space="0" w:color="002060"/>
            </w:tcBorders>
            <w:shd w:val="clear" w:color="auto" w:fill="auto"/>
            <w:noWrap/>
            <w:vAlign w:val="center"/>
            <w:hideMark/>
          </w:tcPr>
          <w:p w14:paraId="74F40E61"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8" w:type="pct"/>
            <w:tcBorders>
              <w:top w:val="nil"/>
              <w:bottom w:val="single" w:sz="4" w:space="0" w:color="002060"/>
            </w:tcBorders>
            <w:shd w:val="clear" w:color="auto" w:fill="auto"/>
            <w:noWrap/>
            <w:vAlign w:val="center"/>
            <w:hideMark/>
          </w:tcPr>
          <w:p w14:paraId="51D88D4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7" w:type="pct"/>
            <w:tcBorders>
              <w:top w:val="nil"/>
              <w:bottom w:val="single" w:sz="4" w:space="0" w:color="002060"/>
            </w:tcBorders>
            <w:shd w:val="clear" w:color="auto" w:fill="auto"/>
            <w:noWrap/>
            <w:vAlign w:val="center"/>
            <w:hideMark/>
          </w:tcPr>
          <w:p w14:paraId="7BB1E317"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8" w:type="pct"/>
            <w:tcBorders>
              <w:top w:val="nil"/>
              <w:bottom w:val="single" w:sz="4" w:space="0" w:color="002060"/>
            </w:tcBorders>
            <w:shd w:val="clear" w:color="auto" w:fill="auto"/>
            <w:noWrap/>
            <w:vAlign w:val="center"/>
            <w:hideMark/>
          </w:tcPr>
          <w:p w14:paraId="7261EFED"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7" w:type="pct"/>
            <w:tcBorders>
              <w:top w:val="nil"/>
              <w:bottom w:val="single" w:sz="4" w:space="0" w:color="002060"/>
            </w:tcBorders>
            <w:shd w:val="clear" w:color="auto" w:fill="auto"/>
            <w:noWrap/>
            <w:vAlign w:val="center"/>
            <w:hideMark/>
          </w:tcPr>
          <w:p w14:paraId="323E39A1"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8" w:type="pct"/>
            <w:tcBorders>
              <w:top w:val="nil"/>
              <w:bottom w:val="single" w:sz="4" w:space="0" w:color="002060"/>
            </w:tcBorders>
            <w:shd w:val="clear" w:color="auto" w:fill="auto"/>
            <w:noWrap/>
            <w:vAlign w:val="center"/>
            <w:hideMark/>
          </w:tcPr>
          <w:p w14:paraId="1835A9E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c>
          <w:tcPr>
            <w:tcW w:w="388" w:type="pct"/>
            <w:tcBorders>
              <w:top w:val="nil"/>
              <w:bottom w:val="single" w:sz="4" w:space="0" w:color="002060"/>
            </w:tcBorders>
            <w:shd w:val="clear" w:color="auto" w:fill="auto"/>
            <w:noWrap/>
            <w:vAlign w:val="center"/>
            <w:hideMark/>
          </w:tcPr>
          <w:p w14:paraId="5DC5047F" w14:textId="77777777" w:rsidR="001901FC" w:rsidRPr="002C675F" w:rsidRDefault="001901FC" w:rsidP="00FE1A2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szCs w:val="18"/>
                <w:lang w:val="sr-Cyrl-RS"/>
              </w:rPr>
            </w:pPr>
            <w:r w:rsidRPr="002C675F">
              <w:rPr>
                <w:rFonts w:asciiTheme="minorHAnsi" w:hAnsiTheme="minorHAnsi"/>
                <w:color w:val="002060"/>
                <w:sz w:val="18"/>
                <w:szCs w:val="18"/>
                <w:lang w:val="sr-Cyrl-RS"/>
              </w:rPr>
              <w:t>4,0</w:t>
            </w:r>
          </w:p>
        </w:tc>
      </w:tr>
    </w:tbl>
    <w:p w14:paraId="44F8B9A4" w14:textId="77777777" w:rsidR="001901FC" w:rsidRPr="00EA3D8C" w:rsidRDefault="001901FC" w:rsidP="00570B3E">
      <w:pPr>
        <w:spacing w:line="276" w:lineRule="auto"/>
        <w:jc w:val="left"/>
        <w:rPr>
          <w:rFonts w:ascii="Calibri" w:eastAsia="MS PGothic" w:hAnsi="Calibri" w:cs="Calibri"/>
          <w:sz w:val="16"/>
          <w:szCs w:val="16"/>
          <w:lang w:val="sr-Cyrl-RS" w:eastAsia="ja-JP"/>
        </w:rPr>
      </w:pPr>
      <w:r w:rsidRPr="00EA3D8C">
        <w:rPr>
          <w:rFonts w:ascii="Calibri" w:eastAsia="MS PGothic" w:hAnsi="Calibri" w:cs="Calibri"/>
          <w:sz w:val="16"/>
          <w:szCs w:val="16"/>
          <w:lang w:val="sr-Cyrl-RS" w:eastAsia="ja-JP"/>
        </w:rPr>
        <w:t xml:space="preserve">Извор: </w:t>
      </w:r>
      <w:r w:rsidRPr="00EA3D8C">
        <w:rPr>
          <w:rFonts w:ascii="Calibri" w:eastAsia="Calibri" w:hAnsi="Calibri" w:cs="Calibri"/>
          <w:sz w:val="16"/>
          <w:szCs w:val="20"/>
          <w:lang w:val="sr-Cyrl-RS"/>
        </w:rPr>
        <w:t>Министарство финансија</w:t>
      </w:r>
    </w:p>
    <w:p w14:paraId="14F6ABB6" w14:textId="77777777" w:rsidR="001901FC" w:rsidRPr="00EA3D8C" w:rsidRDefault="001901FC" w:rsidP="00570B3E">
      <w:pPr>
        <w:spacing w:line="276" w:lineRule="auto"/>
        <w:rPr>
          <w:rFonts w:ascii="Calibri" w:eastAsia="Calibri" w:hAnsi="Calibri" w:cs="Calibri"/>
          <w:szCs w:val="20"/>
          <w:lang w:val="sr-Cyrl-RS" w:eastAsia="ja-JP"/>
        </w:rPr>
        <w:sectPr w:rsidR="001901FC" w:rsidRPr="00EA3D8C" w:rsidSect="00AE40EB">
          <w:type w:val="continuous"/>
          <w:pgSz w:w="12240" w:h="15840" w:code="1"/>
          <w:pgMar w:top="1417" w:right="1417" w:bottom="1417" w:left="1417" w:header="720" w:footer="720" w:gutter="0"/>
          <w:cols w:space="720"/>
        </w:sectPr>
      </w:pPr>
    </w:p>
    <w:p w14:paraId="56262481"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lastRenderedPageBreak/>
        <w:t xml:space="preserve">Основним сценаријем предвиђено је спуштање јавног дуга на око 45% БДП у 2028. години. </w:t>
      </w:r>
      <w:r w:rsidRPr="00EA3D8C">
        <w:rPr>
          <w:rFonts w:ascii="Calibri" w:eastAsia="Calibri" w:hAnsi="Calibri" w:cs="Calibri"/>
          <w:spacing w:val="-2"/>
          <w:szCs w:val="20"/>
          <w:lang w:val="sr-Cyrl-RS"/>
        </w:rPr>
        <w:t xml:space="preserve">На графикону су приказане симулације алтернативних сценарија кретања јавног дуга, у зависности од промена одређених претпоставки у основном сценарију. </w:t>
      </w:r>
      <w:r w:rsidRPr="00EA3D8C">
        <w:rPr>
          <w:rFonts w:ascii="Calibri" w:eastAsia="Calibri" w:hAnsi="Calibri" w:cs="Calibri"/>
          <w:szCs w:val="20"/>
          <w:lang w:val="sr-Cyrl-RS"/>
        </w:rPr>
        <w:t>Ради бољег поређења, извршена је варијација само једне варијабле, као фактора ризика који утиче на ниво дуга.</w:t>
      </w:r>
    </w:p>
    <w:p w14:paraId="10535C55"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 xml:space="preserve">Сценарио „успорени раст након 2023” подразумева просечан реални раст БДП од око 0,7% у посматраном периоду, уз исти ниво фискалног дефицита у односу на основни сценарио. Ово не подразумева и исти ниво фискалног прилагођавања, јер је потребна већа акомодација на расходној страни у ситуацијама када се бележи нижи привредни раст. На крају 2028. године, јавни дуг према овом сценарију достиже ниво од 51,7% БДП. Једна од опасности коју носи сценарио продуженог успореног раста, лежи у томе што и поред одржавања нивоа фискалног дефицита на ниском нивоу, ниво јавног дуга не пада довољно брзо. Са друге стране, успорени раст, путем аутоматских стабилизатора, продукује више нивое фискалног дефицита, па су неопходна већа смањења расхода како би се задржала опадајућа путања учешћа јавног дуга. Присутан је ризик уласка у спиралу успореног </w:t>
      </w:r>
      <w:r w:rsidRPr="00EA3D8C">
        <w:rPr>
          <w:rFonts w:ascii="Calibri" w:eastAsia="Calibri" w:hAnsi="Calibri" w:cs="Calibri"/>
          <w:szCs w:val="20"/>
          <w:lang w:val="sr-Cyrl-RS"/>
        </w:rPr>
        <w:lastRenderedPageBreak/>
        <w:t>раста и неопходност за додатним мерама штедње. И поред ових ризика, сценарио омогућава постепено смањење учешћа јавног дуга, али не и достизање нивоа од 45% у посматраном року, при осталим датим претпоставкама.</w:t>
      </w:r>
    </w:p>
    <w:p w14:paraId="6909D8D5" w14:textId="77777777" w:rsidR="001901FC" w:rsidRPr="00EA3D8C" w:rsidRDefault="001901FC" w:rsidP="00374B60">
      <w:pPr>
        <w:jc w:val="center"/>
        <w:rPr>
          <w:rFonts w:cstheme="minorHAnsi"/>
          <w:b/>
          <w:color w:val="002060"/>
          <w:lang w:val="sr-Cyrl-RS"/>
        </w:rPr>
      </w:pPr>
      <w:r w:rsidRPr="00EA3D8C">
        <w:rPr>
          <w:rFonts w:cstheme="minorHAnsi"/>
          <w:b/>
          <w:color w:val="002060"/>
          <w:lang w:val="sr-Cyrl-RS"/>
        </w:rPr>
        <w:t>Поређење различитих сценарија и утицај на висину јавног дуга, % БДП</w:t>
      </w:r>
    </w:p>
    <w:p w14:paraId="39D046CF" w14:textId="77777777" w:rsidR="001901FC" w:rsidRPr="00EA3D8C" w:rsidRDefault="001901FC" w:rsidP="00FE1A26">
      <w:pPr>
        <w:spacing w:after="120" w:line="276" w:lineRule="auto"/>
        <w:rPr>
          <w:lang w:val="sr-Cyrl-RS"/>
        </w:rPr>
      </w:pPr>
      <w:r w:rsidRPr="00EA3D8C">
        <w:rPr>
          <w:noProof/>
        </w:rPr>
        <w:drawing>
          <wp:inline distT="0" distB="0" distL="0" distR="0" wp14:anchorId="708C4484" wp14:editId="502D5FAF">
            <wp:extent cx="2806065" cy="2402958"/>
            <wp:effectExtent l="0" t="0" r="13335" b="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p w14:paraId="06394E77" w14:textId="77777777" w:rsidR="001901FC" w:rsidRPr="00EA3D8C" w:rsidRDefault="001901FC" w:rsidP="00FE1A26">
      <w:pPr>
        <w:spacing w:after="120" w:line="276" w:lineRule="auto"/>
        <w:rPr>
          <w:rFonts w:ascii="Calibri" w:eastAsia="Calibri" w:hAnsi="Calibri" w:cs="Calibri"/>
          <w:b/>
          <w:bCs/>
          <w:color w:val="002060"/>
          <w:sz w:val="18"/>
          <w:szCs w:val="18"/>
          <w:lang w:val="sr-Cyrl-RS"/>
        </w:rPr>
      </w:pPr>
      <w:r w:rsidRPr="00EA3D8C">
        <w:rPr>
          <w:rFonts w:ascii="Calibri" w:eastAsia="MS PGothic" w:hAnsi="Calibri" w:cs="Calibri"/>
          <w:sz w:val="16"/>
          <w:szCs w:val="16"/>
          <w:lang w:val="sr-Cyrl-RS" w:eastAsia="ja-JP"/>
        </w:rPr>
        <w:t xml:space="preserve">Извор: </w:t>
      </w:r>
      <w:r w:rsidRPr="00EA3D8C">
        <w:rPr>
          <w:rFonts w:ascii="Calibri" w:eastAsia="Calibri" w:hAnsi="Calibri" w:cs="Calibri"/>
          <w:sz w:val="16"/>
          <w:szCs w:val="20"/>
          <w:lang w:val="sr-Cyrl-RS"/>
        </w:rPr>
        <w:t>Министарство финансија</w:t>
      </w:r>
    </w:p>
    <w:p w14:paraId="5F83E7D9"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t xml:space="preserve">Сценарио „фискална експанзија након 2023. године” подразумева значајније одступање од садашњег средњорочно постављеног циља </w:t>
      </w:r>
      <w:r w:rsidRPr="00EA3D8C">
        <w:rPr>
          <w:rFonts w:ascii="Calibri" w:eastAsia="Calibri" w:hAnsi="Calibri" w:cs="Calibri"/>
          <w:szCs w:val="20"/>
          <w:lang w:val="sr-Cyrl-RS"/>
        </w:rPr>
        <w:lastRenderedPageBreak/>
        <w:t>фискалне политике и достизање фискалног дефицита од 3%. У овом случају, учешће јавног дуга у БДП у највећој мери стагнира да би у 2028. години достигло 55,5% БДП. Јавни дуг не достиже законску границу од 45% БДП, а ниво испод 60% одржава се у целом посматраном периоду. И поред значајног погоршања фискалних перформанси, овај сценарио подразумева и даље присутан примарни фискални резултат који омогућава релативну стабилност учешћа дуга при датим стопама раста БДП.</w:t>
      </w:r>
    </w:p>
    <w:p w14:paraId="626247A5" w14:textId="77777777" w:rsidR="001901FC" w:rsidRPr="00EA3D8C" w:rsidRDefault="001901FC" w:rsidP="00374B60">
      <w:pPr>
        <w:rPr>
          <w:rFonts w:ascii="Calibri" w:eastAsia="Calibri" w:hAnsi="Calibri" w:cs="Calibri"/>
          <w:szCs w:val="20"/>
          <w:lang w:val="sr-Cyrl-RS"/>
        </w:rPr>
      </w:pPr>
      <w:r w:rsidRPr="00EA3D8C">
        <w:rPr>
          <w:rFonts w:ascii="Calibri" w:eastAsia="Calibri" w:hAnsi="Calibri" w:cs="Calibri"/>
          <w:szCs w:val="20"/>
          <w:lang w:val="sr-Cyrl-RS"/>
        </w:rPr>
        <w:lastRenderedPageBreak/>
        <w:t>Сценарио који комбинује мањи реални раст БДП и подизање нивоа фискалног дефицита у просеку од 3% БДП има најнеповољнију путању јавног дуга. При томе једино у овом сценарију дуг има изразито растућу путању у периоду након 2023. године, а учешће јавног дуга почиње да убрзава ка нивоу значајно изнад 60% БДП на крају посматраног периода.</w:t>
      </w:r>
      <w:bookmarkStart w:id="37" w:name="_Toc530635111"/>
    </w:p>
    <w:bookmarkEnd w:id="37"/>
    <w:p w14:paraId="6F6380A5" w14:textId="77777777" w:rsidR="001901FC" w:rsidRPr="00EA3D8C" w:rsidRDefault="001901FC" w:rsidP="00570B3E">
      <w:pPr>
        <w:rPr>
          <w:lang w:val="sr-Cyrl-RS"/>
        </w:rPr>
        <w:sectPr w:rsidR="001901FC" w:rsidRPr="00EA3D8C" w:rsidSect="00AE40EB">
          <w:headerReference w:type="even" r:id="rId162"/>
          <w:footerReference w:type="even" r:id="rId163"/>
          <w:footerReference w:type="default" r:id="rId164"/>
          <w:headerReference w:type="first" r:id="rId165"/>
          <w:type w:val="continuous"/>
          <w:pgSz w:w="12240" w:h="15840" w:code="1"/>
          <w:pgMar w:top="1440" w:right="1440" w:bottom="1440" w:left="1440" w:header="720" w:footer="720" w:gutter="0"/>
          <w:cols w:num="2" w:space="720"/>
          <w:docGrid w:linePitch="360"/>
        </w:sectPr>
      </w:pPr>
    </w:p>
    <w:p w14:paraId="7904F053" w14:textId="77777777" w:rsidR="001901FC" w:rsidRPr="00EA3D8C" w:rsidRDefault="001901FC">
      <w:pPr>
        <w:jc w:val="left"/>
        <w:rPr>
          <w:rFonts w:eastAsiaTheme="majorEastAsia" w:cstheme="minorHAnsi"/>
          <w:b/>
          <w:color w:val="2F5496" w:themeColor="accent1" w:themeShade="BF"/>
          <w:sz w:val="26"/>
          <w:szCs w:val="26"/>
          <w:lang w:val="sr-Cyrl-RS"/>
        </w:rPr>
      </w:pPr>
      <w:r w:rsidRPr="00EA3D8C">
        <w:rPr>
          <w:rFonts w:cstheme="minorHAnsi"/>
          <w:b/>
          <w:sz w:val="26"/>
          <w:szCs w:val="26"/>
          <w:lang w:val="sr-Cyrl-RS"/>
        </w:rPr>
        <w:lastRenderedPageBreak/>
        <w:br w:type="page"/>
      </w:r>
    </w:p>
    <w:p w14:paraId="4094F537" w14:textId="2AD99A65" w:rsidR="004478A8" w:rsidRPr="00EA3D8C" w:rsidRDefault="004478A8" w:rsidP="00E4657F">
      <w:pPr>
        <w:pStyle w:val="Heading1"/>
        <w:spacing w:after="240"/>
        <w:jc w:val="center"/>
        <w:rPr>
          <w:rFonts w:asciiTheme="minorHAnsi" w:hAnsiTheme="minorHAnsi" w:cstheme="minorHAnsi"/>
          <w:b/>
          <w:sz w:val="26"/>
          <w:szCs w:val="26"/>
          <w:lang w:val="sr-Cyrl-RS"/>
        </w:rPr>
      </w:pPr>
      <w:bookmarkStart w:id="38" w:name="_Toc56667082"/>
      <w:r w:rsidRPr="00EA3D8C">
        <w:rPr>
          <w:rFonts w:asciiTheme="minorHAnsi" w:hAnsiTheme="minorHAnsi" w:cstheme="minorHAnsi"/>
          <w:b/>
          <w:sz w:val="26"/>
          <w:szCs w:val="26"/>
          <w:lang w:val="sr-Cyrl-RS"/>
        </w:rPr>
        <w:lastRenderedPageBreak/>
        <w:t>III. СТРАТЕГИЈА УПРАВЉАЊА ЈАВНИМ ДУГОМ ОД 2021. ДО 2023. ГОДИНЕ</w:t>
      </w:r>
      <w:bookmarkEnd w:id="11"/>
      <w:bookmarkEnd w:id="38"/>
    </w:p>
    <w:p w14:paraId="2D900EDB" w14:textId="77777777" w:rsidR="004478A8" w:rsidRPr="00EA3D8C" w:rsidRDefault="004478A8" w:rsidP="00E4657F">
      <w:pPr>
        <w:spacing w:after="120" w:line="276" w:lineRule="auto"/>
        <w:jc w:val="center"/>
        <w:rPr>
          <w:rFonts w:ascii="Calibri" w:eastAsia="Calibri" w:hAnsi="Calibri" w:cs="Calibri"/>
          <w:color w:val="2F5496" w:themeColor="accent1" w:themeShade="BF"/>
          <w:szCs w:val="20"/>
          <w:lang w:val="sr-Cyrl-RS"/>
        </w:rPr>
        <w:sectPr w:rsidR="004478A8" w:rsidRPr="00EA3D8C" w:rsidSect="00AE40EB">
          <w:headerReference w:type="even" r:id="rId166"/>
          <w:footerReference w:type="even" r:id="rId167"/>
          <w:footerReference w:type="default" r:id="rId168"/>
          <w:headerReference w:type="first" r:id="rId169"/>
          <w:type w:val="continuous"/>
          <w:pgSz w:w="12240" w:h="15840" w:code="1"/>
          <w:pgMar w:top="1440" w:right="1440" w:bottom="1440" w:left="1440" w:header="720" w:footer="720" w:gutter="0"/>
          <w:cols w:space="720"/>
          <w:docGrid w:linePitch="360"/>
        </w:sectPr>
      </w:pPr>
    </w:p>
    <w:p w14:paraId="0A96B32A" w14:textId="77777777" w:rsidR="004478A8" w:rsidRPr="00EA3D8C" w:rsidRDefault="004478A8" w:rsidP="00E4657F">
      <w:pPr>
        <w:rPr>
          <w:rFonts w:cstheme="minorHAnsi"/>
          <w:bCs/>
          <w:szCs w:val="72"/>
          <w:lang w:val="sr-Cyrl-RS"/>
        </w:rPr>
      </w:pPr>
      <w:r w:rsidRPr="00EA3D8C">
        <w:rPr>
          <w:rFonts w:cstheme="minorHAnsi"/>
          <w:bCs/>
          <w:szCs w:val="72"/>
          <w:lang w:val="sr-Cyrl-RS"/>
        </w:rPr>
        <w:lastRenderedPageBreak/>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EA3D8C">
        <w:rPr>
          <w:rFonts w:cstheme="minorHAnsi"/>
          <w:bCs/>
          <w:spacing w:val="-2"/>
          <w:szCs w:val="72"/>
          <w:lang w:val="sr-Cyrl-RS"/>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EA3D8C">
        <w:rPr>
          <w:rFonts w:cstheme="minorHAnsi"/>
          <w:bCs/>
          <w:szCs w:val="72"/>
          <w:lang w:val="sr-Cyrl-RS"/>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5264104C" w14:textId="77777777" w:rsidR="004478A8" w:rsidRPr="00EA3D8C" w:rsidRDefault="004478A8" w:rsidP="00E4657F">
      <w:pPr>
        <w:rPr>
          <w:rFonts w:cstheme="minorHAnsi"/>
          <w:bCs/>
          <w:szCs w:val="72"/>
          <w:lang w:val="sr-Cyrl-RS"/>
        </w:rPr>
      </w:pPr>
      <w:r w:rsidRPr="00EA3D8C">
        <w:rPr>
          <w:rFonts w:cstheme="minorHAnsi"/>
          <w:bCs/>
          <w:szCs w:val="72"/>
          <w:lang w:val="sr-Cyrl-RS"/>
        </w:rPr>
        <w:t>За формулисање Стратегије за управљање јавним дугом коришћен је квантитативни приступ, идентификујући могућа ограничења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63D21CBB" w14:textId="4DFB86B9" w:rsidR="004478A8" w:rsidRPr="00EA3D8C" w:rsidRDefault="004478A8" w:rsidP="004478A8">
      <w:pPr>
        <w:rPr>
          <w:rFonts w:cstheme="minorHAnsi"/>
          <w:bCs/>
          <w:szCs w:val="72"/>
          <w:lang w:val="sr-Cyrl-RS"/>
        </w:rPr>
      </w:pPr>
      <w:r w:rsidRPr="00EA3D8C">
        <w:rPr>
          <w:rFonts w:cstheme="minorHAnsi"/>
          <w:bCs/>
          <w:szCs w:val="72"/>
          <w:lang w:val="sr-Cyrl-RS"/>
        </w:rPr>
        <w:t xml:space="preserve">Анализирајући могуће стратегије задуживања, модел Светске банке MTDS указује да структура задуживања која се заснивала на хартијама од вредности емитованим у динарима и еврима представља најбољу опцију са аспекта трошкова (ризика). Стратегија задуживања Републике Србије која је примењивана у протеклих пет година и која се заснивала на комбинацији финансирања из тржишних извора највећим делом и делимично из концесионалних извора финансирања показала је да у ситуацијама када се могу обезбедити концесионални извори финансирања треба искористити та средства, јер се на тај начин смањују трошкови финансирања уз </w:t>
      </w:r>
      <w:r w:rsidRPr="00EA3D8C">
        <w:rPr>
          <w:rFonts w:cstheme="minorHAnsi"/>
          <w:bCs/>
          <w:szCs w:val="72"/>
          <w:lang w:val="sr-Cyrl-RS"/>
        </w:rPr>
        <w:lastRenderedPageBreak/>
        <w:t>прихватљив ризик, чиме се остварује основни циљ управљања јавним дугом. 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последњих неколико година и смањивања ризико премије за српске државне хартије од вредности на историјски минимум.</w:t>
      </w:r>
    </w:p>
    <w:p w14:paraId="0EA52C12" w14:textId="26F6BBF7" w:rsidR="004478A8" w:rsidRPr="00EA3D8C" w:rsidRDefault="004478A8" w:rsidP="00E4657F">
      <w:pPr>
        <w:rPr>
          <w:rFonts w:cstheme="minorHAnsi"/>
          <w:bCs/>
          <w:szCs w:val="72"/>
          <w:lang w:val="sr-Cyrl-RS"/>
        </w:rPr>
      </w:pPr>
      <w:r w:rsidRPr="00EA3D8C">
        <w:rPr>
          <w:rFonts w:cstheme="minorHAnsi"/>
          <w:bCs/>
          <w:szCs w:val="72"/>
          <w:lang w:val="sr-Cyrl-RS"/>
        </w:rPr>
        <w:t xml:space="preserve">Фискална стратегија предвиђа смањење јавног дуга општег нивоа државе до краја 2023. године на ниво од 56,0% БДП, при чему се у складу са Смерницама управљања јавним дугом дефинисаним од стране Светске банке и </w:t>
      </w:r>
      <w:r w:rsidR="00F26D56">
        <w:rPr>
          <w:rFonts w:cstheme="minorHAnsi"/>
          <w:bCs/>
          <w:szCs w:val="72"/>
          <w:lang w:val="sr-Cyrl-RS"/>
        </w:rPr>
        <w:t>ММФ</w:t>
      </w:r>
      <w:r w:rsidRPr="00EA3D8C">
        <w:rPr>
          <w:rFonts w:cstheme="minorHAnsi"/>
          <w:bCs/>
          <w:szCs w:val="72"/>
          <w:lang w:val="sr-Cyrl-RS"/>
        </w:rPr>
        <w:t>,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719864DC" w14:textId="77777777" w:rsidR="004478A8" w:rsidRPr="00EA3D8C" w:rsidRDefault="004478A8" w:rsidP="00E4657F">
      <w:pPr>
        <w:rPr>
          <w:rFonts w:cstheme="minorHAnsi"/>
          <w:bCs/>
          <w:szCs w:val="72"/>
          <w:lang w:val="sr-Cyrl-RS"/>
        </w:rPr>
      </w:pPr>
      <w:r w:rsidRPr="00EA3D8C">
        <w:rPr>
          <w:rFonts w:cstheme="minorHAnsi"/>
          <w:bCs/>
          <w:szCs w:val="72"/>
          <w:lang w:val="sr-Cyrl-RS"/>
        </w:rPr>
        <w:t>У последњих седам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купонска стопа динарских државних хартија од вредности смањена са 12,4%, колико је износила на крају септембра 2012. године, на 4,8% на крају септембра 2020. године.</w:t>
      </w:r>
    </w:p>
    <w:p w14:paraId="7E624035" w14:textId="4FF64704" w:rsidR="004478A8" w:rsidRPr="00EA3D8C" w:rsidRDefault="004478A8" w:rsidP="00E4657F">
      <w:pPr>
        <w:rPr>
          <w:rFonts w:cstheme="minorHAnsi"/>
          <w:bCs/>
          <w:szCs w:val="72"/>
          <w:lang w:val="sr-Cyrl-RS"/>
        </w:rPr>
      </w:pPr>
      <w:r w:rsidRPr="00EA3D8C">
        <w:rPr>
          <w:rFonts w:cstheme="minorHAnsi"/>
          <w:bCs/>
          <w:szCs w:val="72"/>
          <w:lang w:val="sr-Cyrl-RS"/>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доћи ће до раста унутрашњег дуга и повећања његовог учешћа у укупном дугу, као и изложености јавног дуга према девизном ризику, што ће позитивно утицати на повећање кредитног рејтинга Републике Србије.</w:t>
      </w:r>
    </w:p>
    <w:p w14:paraId="1A462DDD" w14:textId="7EB2E4A2" w:rsidR="004478A8" w:rsidRPr="00EA3D8C" w:rsidRDefault="004478A8" w:rsidP="00E4657F">
      <w:pPr>
        <w:rPr>
          <w:rFonts w:cstheme="minorHAnsi"/>
          <w:bCs/>
          <w:spacing w:val="-2"/>
          <w:szCs w:val="72"/>
          <w:lang w:val="sr-Cyrl-RS"/>
        </w:rPr>
      </w:pPr>
      <w:r w:rsidRPr="00EA3D8C">
        <w:rPr>
          <w:rFonts w:cstheme="minorHAnsi"/>
          <w:bCs/>
          <w:spacing w:val="-2"/>
          <w:szCs w:val="72"/>
          <w:lang w:val="sr-Cyrl-RS"/>
        </w:rPr>
        <w:t xml:space="preserve">Република Србија се након неколико година одсуства 2019. године појавила као емитент на међународном финансијском тржишту са жељом да искористи повољне околности и велико </w:t>
      </w:r>
      <w:r w:rsidRPr="00EA3D8C">
        <w:rPr>
          <w:rFonts w:cstheme="minorHAnsi"/>
          <w:bCs/>
          <w:spacing w:val="-2"/>
          <w:szCs w:val="72"/>
          <w:lang w:val="sr-Cyrl-RS"/>
        </w:rPr>
        <w:lastRenderedPageBreak/>
        <w:t>интересовање инвеститора и намером да скупљи доларски дуг замени јефтинијим дугом у еврима. Емитована је десетогодишња еврообвезница у еврима Србија 2029 вредности 1 млрд евра са купонском стопом од 1,5% и стопом приноса од 1,619%, а средства су искоришћена за превремени откуп доларских еврообвезница Србија 2020 и Србија 2021 у укупној вредности од 1,1 млрд америчких долара, чије су купонске стопе 4,875% и 7,25%. На реотварању наведене емисије еврообвезница, у новембру месецу 2019. године, Република Србије је продала додатних 550 милиона евра обвезница са приносом од 1,25 %, што је ниже за чак 37 базних поена у односу на иницијалну стопу приноса на обвезнице које су емитоване у јуну ове године, и уједно најнижи принос икада остварен на обвезнице Републике Србије емитоване на међународном финансијском тржишту, а средства су искоришћена за додатни превремени от</w:t>
      </w:r>
      <w:r w:rsidR="00D750A8">
        <w:rPr>
          <w:rFonts w:cstheme="minorHAnsi"/>
          <w:bCs/>
          <w:spacing w:val="-2"/>
          <w:szCs w:val="72"/>
          <w:lang w:val="sr-Cyrl-RS"/>
        </w:rPr>
        <w:t>к</w:t>
      </w:r>
      <w:r w:rsidRPr="00EA3D8C">
        <w:rPr>
          <w:rFonts w:cstheme="minorHAnsi"/>
          <w:bCs/>
          <w:spacing w:val="-2"/>
          <w:szCs w:val="72"/>
          <w:lang w:val="sr-Cyrl-RS"/>
        </w:rPr>
        <w:t xml:space="preserve">уп доларске еврообвезнице Србија 2020. Република Србија је дана 7. маја 2020. године у циљу финансирања мера подршке привреди и грађанима за борбу против коронавируса, храбро изашла на међународно финансијско тржиште, међу првима у групи земаља чији је рејтинг одмах испод инвестиционог, изазвала велику пажњу инвеститора и успешно продала своју државну обвезницу деноминовану у еврима у укупном износу од 2,0 милијарде EUR са купонском стопом </w:t>
      </w:r>
      <w:r w:rsidRPr="00EA3D8C">
        <w:rPr>
          <w:rFonts w:cstheme="minorHAnsi"/>
          <w:bCs/>
          <w:spacing w:val="-2"/>
          <w:szCs w:val="72"/>
          <w:lang w:val="sr-Cyrl-RS"/>
        </w:rPr>
        <w:lastRenderedPageBreak/>
        <w:t>3,125% која доспева 2027. године и која је листирана на Лондонској берзи.</w:t>
      </w:r>
    </w:p>
    <w:p w14:paraId="115A2D76" w14:textId="77777777" w:rsidR="004478A8" w:rsidRPr="00EA3D8C" w:rsidRDefault="004478A8" w:rsidP="00E4657F">
      <w:pPr>
        <w:rPr>
          <w:rFonts w:cstheme="minorHAnsi"/>
          <w:bCs/>
          <w:szCs w:val="72"/>
          <w:lang w:val="sr-Cyrl-RS"/>
        </w:rPr>
      </w:pPr>
      <w:r w:rsidRPr="00EA3D8C">
        <w:rPr>
          <w:rFonts w:cstheme="minorHAnsi"/>
          <w:bCs/>
          <w:szCs w:val="72"/>
          <w:lang w:val="sr-Cyrl-RS"/>
        </w:rPr>
        <w:t>На крају септембра 2020. године укупно стање јавног дуга општег нивоа државе износило је 3.175,5 млрд динара, односно 57,6% БДП. Од тога се на директне обавезе односило 2.962,5 млрд динара, на индиректне обавезе 165,7 млрд динара, док се 37,3 млрд динара односи на негарантовани дуг јединица локалне самоуправе и 10,0 млрд динара на негарантовани дуг ЈП „Путеви Србије” и предузећа Коридори Србије д.о.о.</w:t>
      </w:r>
    </w:p>
    <w:p w14:paraId="4B8EC7DB" w14:textId="77777777" w:rsidR="004478A8" w:rsidRPr="00EA3D8C" w:rsidRDefault="004478A8" w:rsidP="001A0449">
      <w:pPr>
        <w:keepNext/>
        <w:rPr>
          <w:b/>
          <w:color w:val="002060"/>
          <w:lang w:val="sr-Cyrl-RS"/>
        </w:rPr>
      </w:pPr>
      <w:r w:rsidRPr="00EA3D8C">
        <w:rPr>
          <w:b/>
          <w:color w:val="002060"/>
          <w:lang w:val="sr-Cyrl-RS"/>
        </w:rPr>
        <w:t>Учешће јавног дуга општег нивоа државе у БДП,%</w:t>
      </w:r>
    </w:p>
    <w:p w14:paraId="3F95FB0B" w14:textId="77777777" w:rsidR="004478A8" w:rsidRPr="00EA3D8C" w:rsidRDefault="004478A8" w:rsidP="00582D52">
      <w:pPr>
        <w:spacing w:after="280"/>
        <w:rPr>
          <w:b/>
          <w:lang w:val="sr-Cyrl-RS"/>
        </w:rPr>
      </w:pPr>
      <w:r w:rsidRPr="00EA3D8C">
        <w:rPr>
          <w:noProof/>
        </w:rPr>
        <w:drawing>
          <wp:inline distT="0" distB="0" distL="0" distR="0" wp14:anchorId="440B174D" wp14:editId="7889B751">
            <wp:extent cx="2809875" cy="238125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77CCB0B5" w14:textId="77777777" w:rsidR="004478A8" w:rsidRPr="00EA3D8C" w:rsidRDefault="004478A8" w:rsidP="00582D52">
      <w:pPr>
        <w:spacing w:after="280"/>
        <w:rPr>
          <w:b/>
          <w:lang w:val="sr-Cyrl-RS"/>
        </w:rPr>
        <w:sectPr w:rsidR="004478A8" w:rsidRPr="00EA3D8C" w:rsidSect="00AE40EB">
          <w:type w:val="continuous"/>
          <w:pgSz w:w="12240" w:h="15840" w:code="1"/>
          <w:pgMar w:top="1440" w:right="1440" w:bottom="1440" w:left="1440" w:header="720" w:footer="720" w:gutter="0"/>
          <w:cols w:num="2" w:space="720"/>
          <w:docGrid w:linePitch="360"/>
        </w:sectPr>
      </w:pPr>
    </w:p>
    <w:p w14:paraId="02A3F62F" w14:textId="51484A99" w:rsidR="004478A8" w:rsidRPr="00EA3D8C" w:rsidRDefault="00EC4017" w:rsidP="00E4657F">
      <w:pPr>
        <w:jc w:val="center"/>
        <w:rPr>
          <w:b/>
          <w:color w:val="002060"/>
          <w:lang w:val="sr-Cyrl-RS"/>
        </w:rPr>
      </w:pPr>
      <w:r w:rsidRPr="00EA3D8C">
        <w:rPr>
          <w:b/>
          <w:color w:val="002060"/>
          <w:lang w:val="sr-Cyrl-RS"/>
        </w:rPr>
        <w:lastRenderedPageBreak/>
        <w:t>Табела 22</w:t>
      </w:r>
      <w:r w:rsidR="004478A8" w:rsidRPr="00EA3D8C">
        <w:rPr>
          <w:b/>
          <w:color w:val="002060"/>
          <w:lang w:val="sr-Cyrl-RS"/>
        </w:rPr>
        <w:t xml:space="preserve">. </w:t>
      </w:r>
      <w:r w:rsidR="004478A8" w:rsidRPr="00EA3D8C">
        <w:rPr>
          <w:b/>
          <w:bCs/>
          <w:color w:val="002060"/>
          <w:lang w:val="sr-Cyrl-RS"/>
        </w:rPr>
        <w:t xml:space="preserve">Јавни дуг општег нивоа државе Републике Србије у периоду </w:t>
      </w:r>
      <w:r w:rsidR="004478A8" w:rsidRPr="00EA3D8C">
        <w:rPr>
          <w:b/>
          <w:bCs/>
          <w:color w:val="002060"/>
          <w:lang w:val="sr-Cyrl-RS"/>
        </w:rPr>
        <w:br w:type="textWrapping" w:clear="all"/>
        <w:t>крај 2017–30. септембар 2020. године</w:t>
      </w:r>
    </w:p>
    <w:tbl>
      <w:tblPr>
        <w:tblStyle w:val="LightShading-Accent1212"/>
        <w:tblW w:w="5000" w:type="pct"/>
        <w:tblLook w:val="04A0" w:firstRow="1" w:lastRow="0" w:firstColumn="1" w:lastColumn="0" w:noHBand="0" w:noVBand="1"/>
      </w:tblPr>
      <w:tblGrid>
        <w:gridCol w:w="4046"/>
        <w:gridCol w:w="1328"/>
        <w:gridCol w:w="1330"/>
        <w:gridCol w:w="1327"/>
        <w:gridCol w:w="1329"/>
      </w:tblGrid>
      <w:tr w:rsidR="004478A8" w:rsidRPr="00EA3D8C" w14:paraId="1A20E332" w14:textId="77777777" w:rsidTr="003E2EFC">
        <w:trPr>
          <w:cnfStyle w:val="100000000000" w:firstRow="1" w:lastRow="0" w:firstColumn="0" w:lastColumn="0" w:oddVBand="0" w:evenVBand="0" w:oddHBand="0" w:evenHBand="0" w:firstRowFirstColumn="0" w:firstRowLastColumn="0" w:lastRowFirstColumn="0" w:lastRowLastColumn="0"/>
          <w:trHeight w:val="14"/>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shd w:val="clear" w:color="auto" w:fill="auto"/>
            <w:noWrap/>
            <w:hideMark/>
          </w:tcPr>
          <w:p w14:paraId="6728283D" w14:textId="77777777" w:rsidR="004478A8" w:rsidRPr="00EA3D8C" w:rsidRDefault="004478A8" w:rsidP="00E4657F">
            <w:pPr>
              <w:jc w:val="center"/>
              <w:rPr>
                <w:rFonts w:asciiTheme="minorHAnsi" w:hAnsiTheme="minorHAnsi" w:cstheme="minorHAnsi"/>
                <w:color w:val="002060"/>
                <w:sz w:val="18"/>
                <w:szCs w:val="18"/>
                <w:lang w:val="sr-Cyrl-RS"/>
              </w:rPr>
            </w:pPr>
            <w:bookmarkStart w:id="39" w:name="_Hlk529193448"/>
            <w:r w:rsidRPr="00EA3D8C">
              <w:rPr>
                <w:rFonts w:asciiTheme="minorHAnsi" w:hAnsiTheme="minorHAnsi" w:cstheme="minorHAnsi"/>
                <w:color w:val="002060"/>
                <w:sz w:val="18"/>
                <w:szCs w:val="18"/>
                <w:lang w:val="sr-Cyrl-RS"/>
              </w:rPr>
              <w:t> </w:t>
            </w:r>
          </w:p>
        </w:tc>
        <w:tc>
          <w:tcPr>
            <w:tcW w:w="709" w:type="pct"/>
            <w:tcBorders>
              <w:top w:val="single" w:sz="4" w:space="0" w:color="002060"/>
              <w:bottom w:val="single" w:sz="4" w:space="0" w:color="002060"/>
            </w:tcBorders>
            <w:shd w:val="clear" w:color="auto" w:fill="auto"/>
            <w:vAlign w:val="center"/>
          </w:tcPr>
          <w:p w14:paraId="0A9C8ABA" w14:textId="77777777" w:rsidR="004478A8" w:rsidRPr="00EA3D8C" w:rsidRDefault="004478A8"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2017</w:t>
            </w:r>
          </w:p>
        </w:tc>
        <w:tc>
          <w:tcPr>
            <w:tcW w:w="710" w:type="pct"/>
            <w:tcBorders>
              <w:top w:val="single" w:sz="4" w:space="0" w:color="002060"/>
              <w:bottom w:val="single" w:sz="4" w:space="0" w:color="002060"/>
            </w:tcBorders>
            <w:shd w:val="clear" w:color="auto" w:fill="auto"/>
            <w:vAlign w:val="center"/>
          </w:tcPr>
          <w:p w14:paraId="3282AE87" w14:textId="77777777" w:rsidR="004478A8" w:rsidRPr="00EA3D8C" w:rsidRDefault="004478A8"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2018</w:t>
            </w:r>
          </w:p>
        </w:tc>
        <w:tc>
          <w:tcPr>
            <w:tcW w:w="709" w:type="pct"/>
            <w:tcBorders>
              <w:top w:val="single" w:sz="4" w:space="0" w:color="002060"/>
              <w:bottom w:val="single" w:sz="4" w:space="0" w:color="002060"/>
            </w:tcBorders>
            <w:shd w:val="clear" w:color="auto" w:fill="auto"/>
            <w:noWrap/>
            <w:vAlign w:val="center"/>
            <w:hideMark/>
          </w:tcPr>
          <w:p w14:paraId="5A6E4A48" w14:textId="77777777" w:rsidR="004478A8" w:rsidRPr="00EA3D8C" w:rsidRDefault="004478A8"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2019</w:t>
            </w:r>
          </w:p>
        </w:tc>
        <w:tc>
          <w:tcPr>
            <w:tcW w:w="710" w:type="pct"/>
            <w:tcBorders>
              <w:top w:val="single" w:sz="4" w:space="0" w:color="002060"/>
              <w:bottom w:val="single" w:sz="4" w:space="0" w:color="002060"/>
            </w:tcBorders>
            <w:shd w:val="clear" w:color="auto" w:fill="auto"/>
            <w:noWrap/>
            <w:vAlign w:val="center"/>
            <w:hideMark/>
          </w:tcPr>
          <w:p w14:paraId="542492CF" w14:textId="77777777" w:rsidR="004478A8" w:rsidRPr="00EA3D8C"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2020/IX</w:t>
            </w:r>
          </w:p>
        </w:tc>
      </w:tr>
      <w:tr w:rsidR="004478A8" w:rsidRPr="00EA3D8C" w14:paraId="038DAE62" w14:textId="77777777" w:rsidTr="003E2EFC">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tcBorders>
            <w:shd w:val="clear" w:color="auto" w:fill="auto"/>
            <w:noWrap/>
            <w:vAlign w:val="center"/>
            <w:hideMark/>
          </w:tcPr>
          <w:p w14:paraId="7AB8C064"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Јавни дуг (у млрд динара)</w:t>
            </w:r>
          </w:p>
        </w:tc>
        <w:tc>
          <w:tcPr>
            <w:tcW w:w="709" w:type="pct"/>
            <w:tcBorders>
              <w:top w:val="single" w:sz="4" w:space="0" w:color="002060"/>
            </w:tcBorders>
            <w:shd w:val="clear" w:color="auto" w:fill="auto"/>
            <w:vAlign w:val="center"/>
          </w:tcPr>
          <w:p w14:paraId="1CB9A442"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2.790,5</w:t>
            </w:r>
          </w:p>
        </w:tc>
        <w:tc>
          <w:tcPr>
            <w:tcW w:w="710" w:type="pct"/>
            <w:tcBorders>
              <w:top w:val="single" w:sz="4" w:space="0" w:color="002060"/>
            </w:tcBorders>
            <w:shd w:val="clear" w:color="auto" w:fill="auto"/>
            <w:vAlign w:val="center"/>
          </w:tcPr>
          <w:p w14:paraId="18DF290F"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2.757,3</w:t>
            </w:r>
          </w:p>
        </w:tc>
        <w:tc>
          <w:tcPr>
            <w:tcW w:w="709" w:type="pct"/>
            <w:tcBorders>
              <w:top w:val="single" w:sz="4" w:space="0" w:color="002060"/>
            </w:tcBorders>
            <w:shd w:val="clear" w:color="auto" w:fill="auto"/>
            <w:noWrap/>
            <w:vAlign w:val="center"/>
            <w:hideMark/>
          </w:tcPr>
          <w:p w14:paraId="4436D6F3"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2.864,0</w:t>
            </w:r>
          </w:p>
        </w:tc>
        <w:tc>
          <w:tcPr>
            <w:tcW w:w="710" w:type="pct"/>
            <w:tcBorders>
              <w:top w:val="single" w:sz="4" w:space="0" w:color="002060"/>
            </w:tcBorders>
            <w:shd w:val="clear" w:color="auto" w:fill="auto"/>
            <w:noWrap/>
            <w:vAlign w:val="center"/>
            <w:hideMark/>
          </w:tcPr>
          <w:p w14:paraId="06E11274"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3.175,5</w:t>
            </w:r>
          </w:p>
        </w:tc>
      </w:tr>
      <w:tr w:rsidR="004478A8" w:rsidRPr="00EA3D8C" w14:paraId="28FE7D83" w14:textId="77777777" w:rsidTr="003E2EFC">
        <w:trPr>
          <w:trHeight w:val="252"/>
        </w:trPr>
        <w:tc>
          <w:tcPr>
            <w:cnfStyle w:val="001000000000" w:firstRow="0" w:lastRow="0" w:firstColumn="1" w:lastColumn="0" w:oddVBand="0" w:evenVBand="0" w:oddHBand="0" w:evenHBand="0" w:firstRowFirstColumn="0" w:firstRowLastColumn="0" w:lastRowFirstColumn="0" w:lastRowLastColumn="0"/>
            <w:tcW w:w="2161" w:type="pct"/>
            <w:shd w:val="clear" w:color="auto" w:fill="auto"/>
            <w:noWrap/>
            <w:vAlign w:val="center"/>
            <w:hideMark/>
          </w:tcPr>
          <w:p w14:paraId="6D678897"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Јавни дуг (у мил. евра)</w:t>
            </w:r>
          </w:p>
        </w:tc>
        <w:tc>
          <w:tcPr>
            <w:tcW w:w="709" w:type="pct"/>
            <w:shd w:val="clear" w:color="auto" w:fill="auto"/>
            <w:vAlign w:val="center"/>
          </w:tcPr>
          <w:p w14:paraId="37F00264"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23.554,0</w:t>
            </w:r>
          </w:p>
        </w:tc>
        <w:tc>
          <w:tcPr>
            <w:tcW w:w="710" w:type="pct"/>
            <w:shd w:val="clear" w:color="auto" w:fill="auto"/>
            <w:vAlign w:val="center"/>
          </w:tcPr>
          <w:p w14:paraId="0D9881C9"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23.328,4</w:t>
            </w:r>
          </w:p>
        </w:tc>
        <w:tc>
          <w:tcPr>
            <w:tcW w:w="709" w:type="pct"/>
            <w:shd w:val="clear" w:color="auto" w:fill="auto"/>
            <w:noWrap/>
            <w:vAlign w:val="center"/>
            <w:hideMark/>
          </w:tcPr>
          <w:p w14:paraId="2EB7AC20"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24.354,9</w:t>
            </w:r>
          </w:p>
        </w:tc>
        <w:tc>
          <w:tcPr>
            <w:tcW w:w="710" w:type="pct"/>
            <w:shd w:val="clear" w:color="auto" w:fill="auto"/>
            <w:noWrap/>
            <w:vAlign w:val="center"/>
            <w:hideMark/>
          </w:tcPr>
          <w:p w14:paraId="575312A1"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27.007,3</w:t>
            </w:r>
          </w:p>
        </w:tc>
      </w:tr>
      <w:tr w:rsidR="004478A8" w:rsidRPr="00EA3D8C" w14:paraId="6775E664" w14:textId="77777777" w:rsidTr="003E2EFC">
        <w:trPr>
          <w:cnfStyle w:val="000000100000" w:firstRow="0" w:lastRow="0" w:firstColumn="0" w:lastColumn="0" w:oddVBand="0" w:evenVBand="0" w:oddHBand="1" w:evenHBand="0" w:firstRowFirstColumn="0" w:firstRowLastColumn="0" w:lastRowFirstColumn="0" w:lastRowLastColumn="0"/>
          <w:trHeight w:val="333"/>
        </w:trPr>
        <w:tc>
          <w:tcPr>
            <w:cnfStyle w:val="001000000000" w:firstRow="0" w:lastRow="0" w:firstColumn="1" w:lastColumn="0" w:oddVBand="0" w:evenVBand="0" w:oddHBand="0" w:evenHBand="0" w:firstRowFirstColumn="0" w:firstRowLastColumn="0" w:lastRowFirstColumn="0" w:lastRowLastColumn="0"/>
            <w:tcW w:w="2161" w:type="pct"/>
            <w:tcBorders>
              <w:bottom w:val="single" w:sz="4" w:space="0" w:color="002060"/>
            </w:tcBorders>
            <w:shd w:val="clear" w:color="auto" w:fill="auto"/>
            <w:noWrap/>
            <w:vAlign w:val="center"/>
            <w:hideMark/>
          </w:tcPr>
          <w:p w14:paraId="4621C7F5"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Јавни дуг (у мил. долара)</w:t>
            </w:r>
          </w:p>
        </w:tc>
        <w:tc>
          <w:tcPr>
            <w:tcW w:w="709" w:type="pct"/>
            <w:tcBorders>
              <w:bottom w:val="single" w:sz="4" w:space="0" w:color="002060"/>
            </w:tcBorders>
            <w:shd w:val="clear" w:color="auto" w:fill="auto"/>
            <w:vAlign w:val="center"/>
          </w:tcPr>
          <w:p w14:paraId="1900D2C8"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28.154,0</w:t>
            </w:r>
          </w:p>
        </w:tc>
        <w:tc>
          <w:tcPr>
            <w:tcW w:w="710" w:type="pct"/>
            <w:tcBorders>
              <w:bottom w:val="single" w:sz="4" w:space="0" w:color="002060"/>
            </w:tcBorders>
            <w:shd w:val="clear" w:color="auto" w:fill="auto"/>
            <w:vAlign w:val="center"/>
          </w:tcPr>
          <w:p w14:paraId="4FA2EECA"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26.669,1</w:t>
            </w:r>
          </w:p>
        </w:tc>
        <w:tc>
          <w:tcPr>
            <w:tcW w:w="709" w:type="pct"/>
            <w:tcBorders>
              <w:bottom w:val="single" w:sz="4" w:space="0" w:color="002060"/>
            </w:tcBorders>
            <w:shd w:val="clear" w:color="auto" w:fill="auto"/>
            <w:noWrap/>
            <w:vAlign w:val="center"/>
            <w:hideMark/>
          </w:tcPr>
          <w:p w14:paraId="38AF94B3"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27.296,9</w:t>
            </w:r>
          </w:p>
        </w:tc>
        <w:tc>
          <w:tcPr>
            <w:tcW w:w="710" w:type="pct"/>
            <w:tcBorders>
              <w:bottom w:val="single" w:sz="4" w:space="0" w:color="002060"/>
            </w:tcBorders>
            <w:shd w:val="clear" w:color="auto" w:fill="auto"/>
            <w:noWrap/>
            <w:vAlign w:val="center"/>
            <w:hideMark/>
          </w:tcPr>
          <w:p w14:paraId="42E85E49"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31.701,2</w:t>
            </w:r>
          </w:p>
        </w:tc>
      </w:tr>
      <w:bookmarkEnd w:id="39"/>
    </w:tbl>
    <w:p w14:paraId="31147C4C" w14:textId="77777777" w:rsidR="004478A8" w:rsidRPr="00EA3D8C" w:rsidRDefault="004478A8" w:rsidP="006950DE">
      <w:pPr>
        <w:spacing w:after="100"/>
        <w:rPr>
          <w:b/>
          <w:lang w:val="sr-Cyrl-RS"/>
        </w:rPr>
      </w:pPr>
    </w:p>
    <w:p w14:paraId="79F12DA6" w14:textId="77777777" w:rsidR="004478A8" w:rsidRPr="00EA3D8C" w:rsidRDefault="004478A8" w:rsidP="006950DE">
      <w:pPr>
        <w:spacing w:after="100"/>
        <w:rPr>
          <w:rFonts w:cstheme="minorHAnsi"/>
          <w:bCs/>
          <w:sz w:val="10"/>
          <w:szCs w:val="10"/>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3471226E" w14:textId="3F55617B" w:rsidR="004478A8" w:rsidRPr="00EA3D8C" w:rsidRDefault="004478A8" w:rsidP="00CD0079">
      <w:pPr>
        <w:spacing w:after="120"/>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lastRenderedPageBreak/>
        <w:t xml:space="preserve">У првих девет месеци 2020. године, услед потребе да се финансирају мере подршке </w:t>
      </w:r>
      <w:r w:rsidRPr="00EA3D8C">
        <w:rPr>
          <w:rFonts w:cstheme="minorHAnsi"/>
          <w:bCs/>
          <w:spacing w:val="-2"/>
          <w:szCs w:val="72"/>
          <w:lang w:val="sr-Cyrl-RS"/>
        </w:rPr>
        <w:t>привреди и грађанима за борбу против пандемије изазване коронавирусом COVID-19,</w:t>
      </w:r>
      <w:r w:rsidRPr="00EA3D8C">
        <w:rPr>
          <w:rFonts w:cstheme="minorHAnsi"/>
          <w:bCs/>
          <w:szCs w:val="72"/>
          <w:lang w:val="sr-Cyrl-RS"/>
        </w:rPr>
        <w:t xml:space="preserve"> приметан је раст јавног дуга централног нивоа власти у валутама са највећим учешћем у јавном дугу, тј. у еврима и динарима. Услед задуживања на домаћем тржишту хартија од вредности које се током 2020. године доминантно обављало у динарима дошло је до раста јавног дуга у динарима од 138,3 млрд </w:t>
      </w:r>
      <w:r w:rsidRPr="00EA3D8C">
        <w:rPr>
          <w:rFonts w:cstheme="minorHAnsi"/>
          <w:bCs/>
          <w:szCs w:val="72"/>
          <w:lang w:val="sr-Cyrl-RS"/>
        </w:rPr>
        <w:lastRenderedPageBreak/>
        <w:t>динара. У еврима је дошло до раста од 1.961,7 мил. евра, услед емисије еврообвезнице Србија 2027. У фебруару 2020. године отплаћен је преостали износ од 210,3 м</w:t>
      </w:r>
      <w:r w:rsidR="006873BE">
        <w:rPr>
          <w:rFonts w:cstheme="minorHAnsi"/>
          <w:bCs/>
          <w:szCs w:val="72"/>
          <w:lang w:val="sr-Cyrl-RS"/>
        </w:rPr>
        <w:t>ил.</w:t>
      </w:r>
      <w:r w:rsidRPr="00EA3D8C">
        <w:rPr>
          <w:rFonts w:cstheme="minorHAnsi"/>
          <w:bCs/>
          <w:szCs w:val="72"/>
          <w:lang w:val="sr-Cyrl-RS"/>
        </w:rPr>
        <w:t xml:space="preserve"> америчких долара еврообвезнице Србија 2020. Услед ове трансакције дошло је до даљег пада дуга деноминованог у америчким доларима у првих девет месеци 2020. године за 210,5 м</w:t>
      </w:r>
      <w:r w:rsidR="006873BE">
        <w:rPr>
          <w:rFonts w:cstheme="minorHAnsi"/>
          <w:bCs/>
          <w:szCs w:val="72"/>
          <w:lang w:val="sr-Cyrl-RS"/>
        </w:rPr>
        <w:t>и</w:t>
      </w:r>
      <w:r w:rsidRPr="00EA3D8C">
        <w:rPr>
          <w:rFonts w:cstheme="minorHAnsi"/>
          <w:bCs/>
          <w:szCs w:val="72"/>
          <w:lang w:val="sr-Cyrl-RS"/>
        </w:rPr>
        <w:t>л</w:t>
      </w:r>
      <w:r w:rsidR="006873BE">
        <w:rPr>
          <w:rFonts w:cstheme="minorHAnsi"/>
          <w:bCs/>
          <w:szCs w:val="72"/>
          <w:lang w:val="sr-Cyrl-RS"/>
        </w:rPr>
        <w:t>.</w:t>
      </w:r>
      <w:r w:rsidRPr="00EA3D8C">
        <w:rPr>
          <w:rFonts w:cstheme="minorHAnsi"/>
          <w:bCs/>
          <w:szCs w:val="72"/>
          <w:lang w:val="sr-Cyrl-RS"/>
        </w:rPr>
        <w:t xml:space="preserve"> америчких долара.</w:t>
      </w:r>
    </w:p>
    <w:p w14:paraId="7342A9CE" w14:textId="5279DA59" w:rsidR="004478A8" w:rsidRPr="00EA3D8C" w:rsidRDefault="00EC4017" w:rsidP="00E4657F">
      <w:pPr>
        <w:jc w:val="center"/>
        <w:rPr>
          <w:b/>
          <w:color w:val="002060"/>
          <w:lang w:val="sr-Cyrl-RS"/>
        </w:rPr>
      </w:pPr>
      <w:r w:rsidRPr="00EA3D8C">
        <w:rPr>
          <w:b/>
          <w:color w:val="002060"/>
          <w:lang w:val="sr-Cyrl-RS"/>
        </w:rPr>
        <w:lastRenderedPageBreak/>
        <w:t>Табела 23</w:t>
      </w:r>
      <w:r w:rsidR="004478A8" w:rsidRPr="00EA3D8C">
        <w:rPr>
          <w:b/>
          <w:color w:val="002060"/>
          <w:lang w:val="sr-Cyrl-RS"/>
        </w:rPr>
        <w:t xml:space="preserve">. Стање јавног дуга централног нивоа државе по оригиналним валутама у периоду </w:t>
      </w:r>
      <w:r w:rsidR="004478A8" w:rsidRPr="00EA3D8C">
        <w:rPr>
          <w:b/>
          <w:color w:val="002060"/>
          <w:lang w:val="sr-Cyrl-RS"/>
        </w:rPr>
        <w:br/>
        <w:t>крај 2017–30. септембар 2020. године, у милионима</w:t>
      </w:r>
    </w:p>
    <w:tbl>
      <w:tblPr>
        <w:tblStyle w:val="LightShading-Accent1212"/>
        <w:tblW w:w="5000" w:type="pct"/>
        <w:tblInd w:w="-48" w:type="dxa"/>
        <w:tblLook w:val="04A0" w:firstRow="1" w:lastRow="0" w:firstColumn="1" w:lastColumn="0" w:noHBand="0" w:noVBand="1"/>
      </w:tblPr>
      <w:tblGrid>
        <w:gridCol w:w="3230"/>
        <w:gridCol w:w="1532"/>
        <w:gridCol w:w="1534"/>
        <w:gridCol w:w="1531"/>
        <w:gridCol w:w="1533"/>
      </w:tblGrid>
      <w:tr w:rsidR="004478A8" w:rsidRPr="00EA3D8C" w14:paraId="647365A5" w14:textId="77777777" w:rsidTr="003E2EFC">
        <w:trPr>
          <w:cnfStyle w:val="100000000000" w:firstRow="1" w:lastRow="0" w:firstColumn="0" w:lastColumn="0" w:oddVBand="0" w:evenVBand="0" w:oddHBand="0"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shd w:val="clear" w:color="auto" w:fill="auto"/>
            <w:noWrap/>
            <w:hideMark/>
          </w:tcPr>
          <w:p w14:paraId="5F79277D" w14:textId="77777777" w:rsidR="004478A8" w:rsidRPr="00EA3D8C" w:rsidRDefault="004478A8" w:rsidP="004478A8">
            <w:pPr>
              <w:jc w:val="right"/>
              <w:rPr>
                <w:rFonts w:asciiTheme="minorHAnsi" w:hAnsiTheme="minorHAnsi" w:cstheme="minorHAnsi"/>
                <w:b w:val="0"/>
                <w:bCs w:val="0"/>
                <w:color w:val="002060"/>
                <w:sz w:val="18"/>
                <w:szCs w:val="18"/>
                <w:lang w:val="sr-Cyrl-RS"/>
              </w:rPr>
            </w:pPr>
            <w:r w:rsidRPr="00EA3D8C">
              <w:rPr>
                <w:rFonts w:asciiTheme="minorHAnsi" w:hAnsiTheme="minorHAnsi" w:cstheme="minorHAnsi"/>
                <w:b w:val="0"/>
                <w:bCs w:val="0"/>
                <w:color w:val="002060"/>
                <w:sz w:val="18"/>
                <w:szCs w:val="18"/>
                <w:lang w:val="sr-Cyrl-RS"/>
              </w:rPr>
              <w:t> </w:t>
            </w:r>
          </w:p>
        </w:tc>
        <w:tc>
          <w:tcPr>
            <w:tcW w:w="818" w:type="pct"/>
            <w:tcBorders>
              <w:top w:val="single" w:sz="4" w:space="0" w:color="002060"/>
              <w:bottom w:val="single" w:sz="4" w:space="0" w:color="002060"/>
            </w:tcBorders>
            <w:shd w:val="clear" w:color="auto" w:fill="auto"/>
            <w:noWrap/>
            <w:hideMark/>
          </w:tcPr>
          <w:p w14:paraId="45ECD6BA" w14:textId="77777777" w:rsidR="004478A8" w:rsidRPr="00EA3D8C"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A3D8C">
              <w:rPr>
                <w:rFonts w:asciiTheme="minorHAnsi" w:hAnsiTheme="minorHAnsi" w:cstheme="minorHAnsi"/>
                <w:b w:val="0"/>
                <w:bCs w:val="0"/>
                <w:color w:val="002060"/>
                <w:sz w:val="18"/>
                <w:szCs w:val="18"/>
                <w:lang w:val="sr-Cyrl-RS"/>
              </w:rPr>
              <w:t>2017</w:t>
            </w:r>
          </w:p>
        </w:tc>
        <w:tc>
          <w:tcPr>
            <w:tcW w:w="819" w:type="pct"/>
            <w:tcBorders>
              <w:top w:val="single" w:sz="4" w:space="0" w:color="002060"/>
              <w:bottom w:val="single" w:sz="4" w:space="0" w:color="002060"/>
            </w:tcBorders>
            <w:shd w:val="clear" w:color="auto" w:fill="auto"/>
            <w:noWrap/>
            <w:hideMark/>
          </w:tcPr>
          <w:p w14:paraId="29F68220" w14:textId="77777777" w:rsidR="004478A8" w:rsidRPr="00EA3D8C"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A3D8C">
              <w:rPr>
                <w:rFonts w:asciiTheme="minorHAnsi" w:hAnsiTheme="minorHAnsi" w:cstheme="minorHAnsi"/>
                <w:b w:val="0"/>
                <w:bCs w:val="0"/>
                <w:color w:val="002060"/>
                <w:sz w:val="18"/>
                <w:szCs w:val="18"/>
                <w:lang w:val="sr-Cyrl-RS"/>
              </w:rPr>
              <w:t>2018</w:t>
            </w:r>
          </w:p>
        </w:tc>
        <w:tc>
          <w:tcPr>
            <w:tcW w:w="818" w:type="pct"/>
            <w:tcBorders>
              <w:top w:val="single" w:sz="4" w:space="0" w:color="002060"/>
              <w:bottom w:val="single" w:sz="4" w:space="0" w:color="002060"/>
            </w:tcBorders>
            <w:shd w:val="clear" w:color="auto" w:fill="auto"/>
            <w:noWrap/>
            <w:hideMark/>
          </w:tcPr>
          <w:p w14:paraId="70EAD652" w14:textId="77777777" w:rsidR="004478A8" w:rsidRPr="00EA3D8C"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A3D8C">
              <w:rPr>
                <w:rFonts w:asciiTheme="minorHAnsi" w:hAnsiTheme="minorHAnsi" w:cstheme="minorHAnsi"/>
                <w:b w:val="0"/>
                <w:bCs w:val="0"/>
                <w:color w:val="002060"/>
                <w:sz w:val="18"/>
                <w:szCs w:val="18"/>
                <w:lang w:val="sr-Cyrl-RS"/>
              </w:rPr>
              <w:t>2019</w:t>
            </w:r>
          </w:p>
        </w:tc>
        <w:tc>
          <w:tcPr>
            <w:tcW w:w="819" w:type="pct"/>
            <w:tcBorders>
              <w:top w:val="single" w:sz="4" w:space="0" w:color="002060"/>
              <w:bottom w:val="single" w:sz="4" w:space="0" w:color="002060"/>
            </w:tcBorders>
            <w:shd w:val="clear" w:color="auto" w:fill="auto"/>
            <w:noWrap/>
            <w:hideMark/>
          </w:tcPr>
          <w:p w14:paraId="7C2CF9AD" w14:textId="77777777" w:rsidR="004478A8" w:rsidRPr="00EA3D8C"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EA3D8C">
              <w:rPr>
                <w:rFonts w:asciiTheme="minorHAnsi" w:hAnsiTheme="minorHAnsi" w:cstheme="minorHAnsi"/>
                <w:b w:val="0"/>
                <w:color w:val="002060"/>
                <w:sz w:val="18"/>
                <w:szCs w:val="18"/>
                <w:lang w:val="sr-Cyrl-RS"/>
              </w:rPr>
              <w:t>2020/IX</w:t>
            </w:r>
          </w:p>
        </w:tc>
      </w:tr>
      <w:tr w:rsidR="004478A8" w:rsidRPr="00EA3D8C" w14:paraId="5213DFBA" w14:textId="77777777" w:rsidTr="003E2EFC">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tcBorders>
            <w:shd w:val="clear" w:color="auto" w:fill="auto"/>
            <w:noWrap/>
            <w:hideMark/>
          </w:tcPr>
          <w:p w14:paraId="3A0F5843"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ЕУР</w:t>
            </w:r>
          </w:p>
        </w:tc>
        <w:tc>
          <w:tcPr>
            <w:tcW w:w="818" w:type="pct"/>
            <w:tcBorders>
              <w:top w:val="single" w:sz="4" w:space="0" w:color="002060"/>
            </w:tcBorders>
            <w:shd w:val="clear" w:color="auto" w:fill="auto"/>
            <w:noWrap/>
            <w:hideMark/>
          </w:tcPr>
          <w:p w14:paraId="79B9DCB3"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9.656,4</w:t>
            </w:r>
          </w:p>
        </w:tc>
        <w:tc>
          <w:tcPr>
            <w:tcW w:w="819" w:type="pct"/>
            <w:tcBorders>
              <w:top w:val="single" w:sz="4" w:space="0" w:color="002060"/>
            </w:tcBorders>
            <w:shd w:val="clear" w:color="auto" w:fill="auto"/>
            <w:noWrap/>
          </w:tcPr>
          <w:p w14:paraId="6A54C17A"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9.216,7</w:t>
            </w:r>
          </w:p>
        </w:tc>
        <w:tc>
          <w:tcPr>
            <w:tcW w:w="818" w:type="pct"/>
            <w:tcBorders>
              <w:top w:val="single" w:sz="4" w:space="0" w:color="002060"/>
            </w:tcBorders>
            <w:shd w:val="clear" w:color="auto" w:fill="auto"/>
            <w:noWrap/>
          </w:tcPr>
          <w:p w14:paraId="508F484D"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10.582,5</w:t>
            </w:r>
          </w:p>
        </w:tc>
        <w:tc>
          <w:tcPr>
            <w:tcW w:w="819" w:type="pct"/>
            <w:tcBorders>
              <w:top w:val="single" w:sz="4" w:space="0" w:color="002060"/>
            </w:tcBorders>
            <w:shd w:val="clear" w:color="auto" w:fill="auto"/>
            <w:noWrap/>
          </w:tcPr>
          <w:p w14:paraId="23D589CA"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12.544,2</w:t>
            </w:r>
          </w:p>
        </w:tc>
      </w:tr>
      <w:tr w:rsidR="004478A8" w:rsidRPr="00EA3D8C" w14:paraId="016510D8" w14:textId="77777777" w:rsidTr="003E2EFC">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5F7AB823"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УСД</w:t>
            </w:r>
          </w:p>
        </w:tc>
        <w:tc>
          <w:tcPr>
            <w:tcW w:w="818" w:type="pct"/>
            <w:shd w:val="clear" w:color="auto" w:fill="auto"/>
            <w:noWrap/>
            <w:hideMark/>
          </w:tcPr>
          <w:p w14:paraId="01F70131"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8.181,3</w:t>
            </w:r>
          </w:p>
        </w:tc>
        <w:tc>
          <w:tcPr>
            <w:tcW w:w="819" w:type="pct"/>
            <w:shd w:val="clear" w:color="auto" w:fill="auto"/>
            <w:noWrap/>
          </w:tcPr>
          <w:p w14:paraId="7BF56C8B"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6.963,9</w:t>
            </w:r>
          </w:p>
        </w:tc>
        <w:tc>
          <w:tcPr>
            <w:tcW w:w="818" w:type="pct"/>
            <w:shd w:val="clear" w:color="auto" w:fill="auto"/>
            <w:noWrap/>
          </w:tcPr>
          <w:p w14:paraId="11521619"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5.397,3</w:t>
            </w:r>
          </w:p>
        </w:tc>
        <w:tc>
          <w:tcPr>
            <w:tcW w:w="819" w:type="pct"/>
            <w:shd w:val="clear" w:color="auto" w:fill="auto"/>
            <w:noWrap/>
          </w:tcPr>
          <w:p w14:paraId="15268265"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5.186,8</w:t>
            </w:r>
          </w:p>
        </w:tc>
      </w:tr>
      <w:tr w:rsidR="004478A8" w:rsidRPr="00EA3D8C" w14:paraId="5B4B99E7" w14:textId="77777777" w:rsidTr="003E2EFC">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1D43F222"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РСД</w:t>
            </w:r>
          </w:p>
        </w:tc>
        <w:tc>
          <w:tcPr>
            <w:tcW w:w="818" w:type="pct"/>
            <w:shd w:val="clear" w:color="auto" w:fill="auto"/>
            <w:noWrap/>
            <w:hideMark/>
          </w:tcPr>
          <w:p w14:paraId="52ACB6A7"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632.485,6</w:t>
            </w:r>
          </w:p>
        </w:tc>
        <w:tc>
          <w:tcPr>
            <w:tcW w:w="819" w:type="pct"/>
            <w:shd w:val="clear" w:color="auto" w:fill="auto"/>
            <w:noWrap/>
          </w:tcPr>
          <w:p w14:paraId="46E801C4"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708.389,1</w:t>
            </w:r>
          </w:p>
        </w:tc>
        <w:tc>
          <w:tcPr>
            <w:tcW w:w="818" w:type="pct"/>
            <w:shd w:val="clear" w:color="auto" w:fill="auto"/>
            <w:noWrap/>
          </w:tcPr>
          <w:p w14:paraId="4D989D4F"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781.250,4</w:t>
            </w:r>
          </w:p>
        </w:tc>
        <w:tc>
          <w:tcPr>
            <w:tcW w:w="819" w:type="pct"/>
            <w:shd w:val="clear" w:color="auto" w:fill="auto"/>
            <w:noWrap/>
          </w:tcPr>
          <w:p w14:paraId="72D7C91F"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919.504,9</w:t>
            </w:r>
          </w:p>
        </w:tc>
      </w:tr>
      <w:tr w:rsidR="004478A8" w:rsidRPr="00EA3D8C" w14:paraId="4B05A1F3" w14:textId="77777777" w:rsidTr="003E2EFC">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7E5C25A1" w14:textId="22E42DA1" w:rsidR="004478A8" w:rsidRPr="007301C2" w:rsidRDefault="007301C2" w:rsidP="004478A8">
            <w:pPr>
              <w:spacing w:line="240" w:lineRule="auto"/>
              <w:rPr>
                <w:rFonts w:asciiTheme="minorHAnsi" w:hAnsiTheme="minorHAnsi" w:cstheme="minorHAnsi"/>
                <w:b w:val="0"/>
                <w:color w:val="002060"/>
                <w:sz w:val="18"/>
                <w:szCs w:val="18"/>
                <w:lang w:val="sr-Latn-RS"/>
              </w:rPr>
            </w:pPr>
            <w:r>
              <w:rPr>
                <w:rFonts w:asciiTheme="minorHAnsi" w:hAnsiTheme="minorHAnsi" w:cstheme="minorHAnsi"/>
                <w:b w:val="0"/>
                <w:color w:val="002060"/>
                <w:sz w:val="18"/>
                <w:szCs w:val="18"/>
                <w:lang w:val="sr-Cyrl-RS"/>
              </w:rPr>
              <w:t>ЦХФ</w:t>
            </w:r>
          </w:p>
        </w:tc>
        <w:tc>
          <w:tcPr>
            <w:tcW w:w="818" w:type="pct"/>
            <w:shd w:val="clear" w:color="auto" w:fill="auto"/>
            <w:noWrap/>
          </w:tcPr>
          <w:p w14:paraId="301C9537"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129,6</w:t>
            </w:r>
          </w:p>
        </w:tc>
        <w:tc>
          <w:tcPr>
            <w:tcW w:w="819" w:type="pct"/>
            <w:shd w:val="clear" w:color="auto" w:fill="auto"/>
            <w:noWrap/>
          </w:tcPr>
          <w:p w14:paraId="53951F0B"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120,7</w:t>
            </w:r>
          </w:p>
        </w:tc>
        <w:tc>
          <w:tcPr>
            <w:tcW w:w="818" w:type="pct"/>
            <w:shd w:val="clear" w:color="auto" w:fill="auto"/>
            <w:noWrap/>
          </w:tcPr>
          <w:p w14:paraId="1AD4CE74"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110,5</w:t>
            </w:r>
          </w:p>
        </w:tc>
        <w:tc>
          <w:tcPr>
            <w:tcW w:w="819" w:type="pct"/>
            <w:shd w:val="clear" w:color="auto" w:fill="auto"/>
            <w:noWrap/>
          </w:tcPr>
          <w:p w14:paraId="7100E95E"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92,0</w:t>
            </w:r>
          </w:p>
        </w:tc>
      </w:tr>
      <w:tr w:rsidR="004478A8" w:rsidRPr="00EA3D8C" w14:paraId="27296991" w14:textId="77777777" w:rsidTr="003E2EFC">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3222C936"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Специјална права вучења</w:t>
            </w:r>
          </w:p>
        </w:tc>
        <w:tc>
          <w:tcPr>
            <w:tcW w:w="818" w:type="pct"/>
            <w:shd w:val="clear" w:color="auto" w:fill="auto"/>
            <w:noWrap/>
          </w:tcPr>
          <w:p w14:paraId="7B8DDF9A"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665,8</w:t>
            </w:r>
          </w:p>
        </w:tc>
        <w:tc>
          <w:tcPr>
            <w:tcW w:w="819" w:type="pct"/>
            <w:shd w:val="clear" w:color="auto" w:fill="auto"/>
            <w:noWrap/>
          </w:tcPr>
          <w:p w14:paraId="0CC7FFA0"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618,1</w:t>
            </w:r>
          </w:p>
        </w:tc>
        <w:tc>
          <w:tcPr>
            <w:tcW w:w="818" w:type="pct"/>
            <w:shd w:val="clear" w:color="auto" w:fill="auto"/>
            <w:noWrap/>
          </w:tcPr>
          <w:p w14:paraId="6FA64728"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570,4</w:t>
            </w:r>
          </w:p>
        </w:tc>
        <w:tc>
          <w:tcPr>
            <w:tcW w:w="819" w:type="pct"/>
            <w:shd w:val="clear" w:color="auto" w:fill="auto"/>
            <w:noWrap/>
          </w:tcPr>
          <w:p w14:paraId="5904C5E9" w14:textId="77777777" w:rsidR="004478A8" w:rsidRPr="00EA3D8C" w:rsidRDefault="004478A8" w:rsidP="004478A8">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530,7</w:t>
            </w:r>
          </w:p>
        </w:tc>
      </w:tr>
      <w:tr w:rsidR="004478A8" w:rsidRPr="00EA3D8C" w14:paraId="2AC29AF4" w14:textId="77777777" w:rsidTr="003E2EFC">
        <w:trPr>
          <w:trHeight w:val="288"/>
        </w:trPr>
        <w:tc>
          <w:tcPr>
            <w:cnfStyle w:val="001000000000" w:firstRow="0" w:lastRow="0" w:firstColumn="1" w:lastColumn="0" w:oddVBand="0" w:evenVBand="0" w:oddHBand="0" w:evenHBand="0" w:firstRowFirstColumn="0" w:firstRowLastColumn="0" w:lastRowFirstColumn="0" w:lastRowLastColumn="0"/>
            <w:tcW w:w="1725" w:type="pct"/>
            <w:tcBorders>
              <w:bottom w:val="single" w:sz="4" w:space="0" w:color="002060"/>
            </w:tcBorders>
            <w:shd w:val="clear" w:color="auto" w:fill="auto"/>
            <w:noWrap/>
            <w:hideMark/>
          </w:tcPr>
          <w:p w14:paraId="7AC3A50E" w14:textId="77777777" w:rsidR="004478A8" w:rsidRPr="00EA3D8C" w:rsidRDefault="004478A8" w:rsidP="004478A8">
            <w:pPr>
              <w:spacing w:line="240" w:lineRule="auto"/>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Друге валуте (у РСД)</w:t>
            </w:r>
          </w:p>
        </w:tc>
        <w:tc>
          <w:tcPr>
            <w:tcW w:w="818" w:type="pct"/>
            <w:tcBorders>
              <w:bottom w:val="single" w:sz="4" w:space="0" w:color="002060"/>
            </w:tcBorders>
            <w:shd w:val="clear" w:color="auto" w:fill="auto"/>
            <w:noWrap/>
            <w:hideMark/>
          </w:tcPr>
          <w:p w14:paraId="3EA011EE"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56.843,9</w:t>
            </w:r>
          </w:p>
        </w:tc>
        <w:tc>
          <w:tcPr>
            <w:tcW w:w="819" w:type="pct"/>
            <w:tcBorders>
              <w:bottom w:val="single" w:sz="4" w:space="0" w:color="002060"/>
            </w:tcBorders>
            <w:shd w:val="clear" w:color="auto" w:fill="auto"/>
            <w:noWrap/>
          </w:tcPr>
          <w:p w14:paraId="1DDCBD71"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100.910,4</w:t>
            </w:r>
          </w:p>
        </w:tc>
        <w:tc>
          <w:tcPr>
            <w:tcW w:w="818" w:type="pct"/>
            <w:tcBorders>
              <w:bottom w:val="single" w:sz="4" w:space="0" w:color="002060"/>
            </w:tcBorders>
            <w:shd w:val="clear" w:color="auto" w:fill="auto"/>
            <w:noWrap/>
          </w:tcPr>
          <w:p w14:paraId="385C53B2"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128.958,8</w:t>
            </w:r>
          </w:p>
        </w:tc>
        <w:tc>
          <w:tcPr>
            <w:tcW w:w="819" w:type="pct"/>
            <w:tcBorders>
              <w:bottom w:val="single" w:sz="4" w:space="0" w:color="002060"/>
            </w:tcBorders>
            <w:shd w:val="clear" w:color="auto" w:fill="auto"/>
            <w:noWrap/>
          </w:tcPr>
          <w:p w14:paraId="49039D9E" w14:textId="77777777" w:rsidR="004478A8" w:rsidRPr="00EA3D8C" w:rsidRDefault="004478A8" w:rsidP="004478A8">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EA3D8C">
              <w:rPr>
                <w:rFonts w:asciiTheme="minorHAnsi" w:hAnsiTheme="minorHAnsi" w:cstheme="minorHAnsi"/>
                <w:color w:val="002060"/>
                <w:sz w:val="18"/>
                <w:szCs w:val="18"/>
                <w:lang w:val="sr-Cyrl-RS"/>
              </w:rPr>
              <w:t>129.347,9</w:t>
            </w:r>
          </w:p>
        </w:tc>
      </w:tr>
    </w:tbl>
    <w:p w14:paraId="06BF5358" w14:textId="77777777" w:rsidR="004478A8" w:rsidRPr="00EA3D8C" w:rsidRDefault="004478A8" w:rsidP="00E4657F">
      <w:pPr>
        <w:rPr>
          <w:rFonts w:cstheme="minorHAnsi"/>
          <w:sz w:val="14"/>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74ECFC21" w14:textId="77777777" w:rsidR="004478A8" w:rsidRPr="00EA3D8C" w:rsidRDefault="004478A8" w:rsidP="00E4657F">
      <w:pPr>
        <w:rPr>
          <w:rFonts w:cstheme="minorHAnsi"/>
          <w:bCs/>
          <w:szCs w:val="72"/>
          <w:lang w:val="sr-Cyrl-RS"/>
        </w:rPr>
      </w:pPr>
      <w:r w:rsidRPr="00EA3D8C">
        <w:rPr>
          <w:rFonts w:cstheme="minorHAnsi"/>
          <w:bCs/>
          <w:szCs w:val="72"/>
          <w:lang w:val="sr-Cyrl-RS"/>
        </w:rPr>
        <w:lastRenderedPageBreak/>
        <w:t>У складу са тежњом да се смањи изложеност валутном ризику, продужи рочност и настави са развојем нових инструмената задуживања на домаћем финансијском тржишту, основни извор финансирања у периоду 2017–2020. године су емисије динарских хартија од вредности, што је утицало на повећање учешћа јавног дуга централног нивоа власти у динарима са 23,0% на крају 2017. године на 29,4% јавног дуга Републике Србије на крају септембра 2020. године, односно са 632,5 млрд динара колико је износио јавни дуг у динарима на крају 2017. године на 919,5 млрд динара на крају септембру 2020. године.</w:t>
      </w:r>
    </w:p>
    <w:p w14:paraId="429181CA" w14:textId="6CAA2D39" w:rsidR="004478A8" w:rsidRPr="00EA3D8C" w:rsidRDefault="004478A8" w:rsidP="004478A8">
      <w:pPr>
        <w:rPr>
          <w:rFonts w:cstheme="minorHAnsi"/>
          <w:bCs/>
          <w:szCs w:val="72"/>
          <w:lang w:val="sr-Cyrl-RS"/>
        </w:rPr>
      </w:pPr>
      <w:r w:rsidRPr="00EA3D8C">
        <w:rPr>
          <w:rFonts w:cstheme="minorHAnsi"/>
          <w:bCs/>
          <w:szCs w:val="72"/>
          <w:lang w:val="sr-Cyrl-RS"/>
        </w:rPr>
        <w:t>Према подацима од 30. септембра 2020. године, највећи део јавног дуга општег нивоа државе Републике Србије је и даље деноминован у еврима и износи 47,6%. Затим су највише заступљени динар са 29,2% и амерички долар са 16,4%. Остатак дуга је деноминован у специјалним правима вучења 2,4% и осталим валутама 4,4%. Током 2020. године дошло је до даљег смањења учешћа јавног дуга у доларима услед емисије нове еврообвезнице Србија 2027 у еврима на међународном финансијском тржишту за финансирање мера подршке привреди и грађанима за борбу против последица пандемије изазване коронавирусом COVID-19 и услед редовног доспећа преосталог износа еврообвезнице Србија 2020. Током 2019. године емитована је еврообвезница Србија 2029 и извршен превремени откупа доларских еврообвезница Србија 2020 у износу од 1,3 млрд америчких долара и Србија 2021 у износу од 400 м</w:t>
      </w:r>
      <w:r w:rsidR="006873BE">
        <w:rPr>
          <w:rFonts w:cstheme="minorHAnsi"/>
          <w:bCs/>
          <w:szCs w:val="72"/>
          <w:lang w:val="sr-Cyrl-RS"/>
        </w:rPr>
        <w:t>и</w:t>
      </w:r>
      <w:r w:rsidRPr="00EA3D8C">
        <w:rPr>
          <w:rFonts w:cstheme="minorHAnsi"/>
          <w:bCs/>
          <w:szCs w:val="72"/>
          <w:lang w:val="sr-Cyrl-RS"/>
        </w:rPr>
        <w:t>л</w:t>
      </w:r>
      <w:r w:rsidR="006873BE">
        <w:rPr>
          <w:rFonts w:cstheme="minorHAnsi"/>
          <w:bCs/>
          <w:szCs w:val="72"/>
          <w:lang w:val="sr-Cyrl-RS"/>
        </w:rPr>
        <w:t>.</w:t>
      </w:r>
      <w:r w:rsidRPr="00EA3D8C">
        <w:rPr>
          <w:rFonts w:cstheme="minorHAnsi"/>
          <w:bCs/>
          <w:szCs w:val="72"/>
          <w:lang w:val="sr-Cyrl-RS"/>
        </w:rPr>
        <w:t xml:space="preserve"> америчких долара. Ове трансакције су довеле до значајног раста учешћа јавног дуга у еврима у протекле две године, а са друге стране смањења доларског дуга и ризика изложености </w:t>
      </w:r>
      <w:r w:rsidRPr="00EA3D8C">
        <w:rPr>
          <w:rFonts w:cstheme="minorHAnsi"/>
          <w:bCs/>
          <w:szCs w:val="72"/>
          <w:lang w:val="sr-Cyrl-RS"/>
        </w:rPr>
        <w:lastRenderedPageBreak/>
        <w:t>курсу долара, што је један од циљева дефинисаних овом стратегијом. Наведеним трансакцијама долази и до смањења трошкова задуживања због замене скупљег дуга јефтинијим, с обзиром да је купон нове еврообвезнице Србија 2029 емитоване у еврима износио 1,5%, док су купони превремено откупљених доларских еврообвезница 4,875% и 7,25%. Купон емитоване еврообвезнице Србија 2027 износи 3,125%. Такође, услед операција на домаћем тржишту хартија од вредности, дошло је до раста учешћа јавног дуга у динарима, те је начињен додатни помак у процесу динаризације. Из године у годину се повећава учешће емисија динарских државних хартија од вредности у складу са стратешки дефинисаним циљевима. Тако је њихово учешће у реализацији државних обвезница емитованих на домаћем тржишту током првих девет месеци 2020. године износило чак 85,0%.</w:t>
      </w:r>
    </w:p>
    <w:p w14:paraId="632CE957" w14:textId="77777777" w:rsidR="004478A8" w:rsidRPr="00EA3D8C" w:rsidRDefault="004478A8" w:rsidP="00E4657F">
      <w:pPr>
        <w:jc w:val="center"/>
        <w:rPr>
          <w:b/>
          <w:color w:val="002060"/>
          <w:lang w:val="sr-Cyrl-RS"/>
        </w:rPr>
      </w:pPr>
      <w:r w:rsidRPr="00EA3D8C">
        <w:rPr>
          <w:b/>
          <w:color w:val="002060"/>
          <w:lang w:val="sr-Cyrl-RS"/>
        </w:rPr>
        <w:t>Валутна структура дуга општег нивоа државе у периоду од 2017. до 30. септембра 2020. године</w:t>
      </w:r>
    </w:p>
    <w:p w14:paraId="4D0088F8" w14:textId="77777777" w:rsidR="004478A8" w:rsidRPr="00EA3D8C" w:rsidRDefault="004478A8" w:rsidP="00E4657F">
      <w:pPr>
        <w:rPr>
          <w:b/>
          <w:lang w:val="sr-Cyrl-RS"/>
        </w:rPr>
      </w:pPr>
      <w:r w:rsidRPr="00EA3D8C">
        <w:rPr>
          <w:noProof/>
        </w:rPr>
        <w:drawing>
          <wp:inline distT="0" distB="0" distL="0" distR="0" wp14:anchorId="564A902A" wp14:editId="05899146">
            <wp:extent cx="2799715" cy="2324100"/>
            <wp:effectExtent l="0" t="0" r="635"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p w14:paraId="28936E2F" w14:textId="77777777" w:rsidR="004478A8" w:rsidRPr="00EA3D8C" w:rsidRDefault="004478A8" w:rsidP="00E4657F">
      <w:pPr>
        <w:rPr>
          <w:rFonts w:cstheme="minorHAnsi"/>
          <w:bCs/>
          <w:szCs w:val="72"/>
          <w:lang w:val="sr-Cyrl-RS"/>
        </w:rPr>
      </w:pPr>
      <w:r w:rsidRPr="00EA3D8C">
        <w:rPr>
          <w:rFonts w:cstheme="minorHAnsi"/>
          <w:bCs/>
          <w:szCs w:val="72"/>
          <w:lang w:val="sr-Cyrl-RS"/>
        </w:rPr>
        <w:lastRenderedPageBreak/>
        <w:t>На дан 30. септембар 2020. године, највећи део јавног дуга општег нивоа државе Републике Србије је са фиксном каматном стопом – 85,3%, док се на јавни дуг са варијабилном каматном стопом односи 14,7% укупног јавног дуга. Међу варијабилним каматним стопама највише су заступљени EURIBOR и LIBOR на евро који чине 82,8%, затим варијабилна каматна стопа за специјална права вучења 11,7% и LIBOR на амерички долар 3,3%, док је учешће обавеза са осталим каматним стопама 2,1%.</w:t>
      </w:r>
    </w:p>
    <w:p w14:paraId="3AF6BD9E" w14:textId="77777777" w:rsidR="004478A8" w:rsidRPr="00EA3D8C" w:rsidRDefault="004478A8" w:rsidP="00E4657F">
      <w:pPr>
        <w:jc w:val="center"/>
        <w:rPr>
          <w:rFonts w:cstheme="minorHAnsi"/>
          <w:bCs/>
          <w:color w:val="002060"/>
          <w:szCs w:val="72"/>
          <w:lang w:val="sr-Cyrl-RS"/>
        </w:rPr>
      </w:pPr>
      <w:r w:rsidRPr="00EA3D8C">
        <w:rPr>
          <w:b/>
          <w:color w:val="002060"/>
          <w:lang w:val="sr-Cyrl-RS"/>
        </w:rPr>
        <w:t>Структура каматних стопа дуга општег нивоа државе у периоду од 2017. до 30. септембра 2020. године, %</w:t>
      </w:r>
    </w:p>
    <w:p w14:paraId="26D5273F" w14:textId="77777777" w:rsidR="004478A8" w:rsidRPr="00EA3D8C" w:rsidRDefault="004478A8" w:rsidP="00E4657F">
      <w:pPr>
        <w:rPr>
          <w:rFonts w:cstheme="minorHAnsi"/>
          <w:bCs/>
          <w:szCs w:val="72"/>
          <w:lang w:val="sr-Cyrl-RS"/>
        </w:rPr>
      </w:pPr>
      <w:r w:rsidRPr="00EA3D8C">
        <w:rPr>
          <w:noProof/>
        </w:rPr>
        <w:drawing>
          <wp:inline distT="0" distB="0" distL="0" distR="0" wp14:anchorId="0996E122" wp14:editId="7C477964">
            <wp:extent cx="2743200" cy="2257425"/>
            <wp:effectExtent l="0" t="0" r="0" b="0"/>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14:paraId="5A4F755A" w14:textId="77E65493" w:rsidR="004478A8" w:rsidRPr="00EA3D8C" w:rsidRDefault="004478A8" w:rsidP="004478A8">
      <w:pPr>
        <w:rPr>
          <w:rFonts w:cstheme="minorHAnsi"/>
          <w:bCs/>
          <w:szCs w:val="72"/>
          <w:lang w:val="sr-Cyrl-RS"/>
        </w:rPr>
      </w:pPr>
      <w:r w:rsidRPr="00EA3D8C">
        <w:rPr>
          <w:rFonts w:cstheme="minorHAnsi"/>
          <w:bCs/>
          <w:szCs w:val="72"/>
          <w:lang w:val="sr-Cyrl-RS"/>
        </w:rPr>
        <w:t>У последњих неколико година присутан је тренд пада трошкова задуживања, који је најизраженији код државних хартија од вредности емитованих на домаћем тржишту. Током 2019. и 2020. године дошло је до даљег пада трошкова задуживања Републике Србије по основу динарских и евро деноминованих хартија од вредности захваљујући расту кредитног рејтинга земље, односно смањењу премије ризика, ниској стопи инфлације и паду референтне каматне стопе НБС, која тренутно износи 1,25%, чиме је настављен тренд започет у последњем кварталу 2012. године. Током 2020. године, захваљујући оствареним резултатима међу којима је као један од најзначајнијих наведен управљање јавним дугом, и уп</w:t>
      </w:r>
      <w:r w:rsidR="00285491">
        <w:rPr>
          <w:rFonts w:cstheme="minorHAnsi"/>
          <w:bCs/>
          <w:szCs w:val="72"/>
          <w:lang w:val="sr-Cyrl-RS"/>
        </w:rPr>
        <w:t>ркос пандемији изазваној корона</w:t>
      </w:r>
      <w:r w:rsidRPr="00EA3D8C">
        <w:rPr>
          <w:rFonts w:cstheme="minorHAnsi"/>
          <w:bCs/>
          <w:szCs w:val="72"/>
          <w:lang w:val="sr-Cyrl-RS"/>
        </w:rPr>
        <w:t>вирусом COVID-19, све рејтинг агенције потврдиле су кредитни рејтинг Републике Србије са стабилним изгледима за даље повећање.</w:t>
      </w:r>
    </w:p>
    <w:p w14:paraId="3555D2E4" w14:textId="77777777" w:rsidR="004478A8" w:rsidRPr="00EA3D8C" w:rsidRDefault="004478A8" w:rsidP="004478A8">
      <w:pPr>
        <w:jc w:val="center"/>
        <w:rPr>
          <w:b/>
          <w:color w:val="002060"/>
          <w:spacing w:val="-2"/>
          <w:lang w:val="sr-Cyrl-RS"/>
        </w:rPr>
      </w:pPr>
      <w:r w:rsidRPr="00EA3D8C">
        <w:rPr>
          <w:b/>
          <w:color w:val="002060"/>
          <w:spacing w:val="-2"/>
          <w:lang w:val="sr-Cyrl-RS"/>
        </w:rPr>
        <w:lastRenderedPageBreak/>
        <w:t>Преглед кретања просечних извршних каматних стопа на динарске државне хартије од вредности у периоду 2014–30. септембар 2020. године</w:t>
      </w:r>
    </w:p>
    <w:p w14:paraId="38883C76" w14:textId="77777777" w:rsidR="004478A8" w:rsidRPr="00EA3D8C" w:rsidRDefault="004478A8" w:rsidP="004478A8">
      <w:pPr>
        <w:ind w:hanging="142"/>
        <w:rPr>
          <w:b/>
          <w:lang w:val="sr-Cyrl-RS"/>
        </w:rPr>
      </w:pPr>
      <w:r w:rsidRPr="00EA3D8C">
        <w:rPr>
          <w:noProof/>
          <w:sz w:val="36"/>
          <w:szCs w:val="36"/>
        </w:rPr>
        <w:drawing>
          <wp:inline distT="0" distB="0" distL="0" distR="0" wp14:anchorId="5D08D954" wp14:editId="378649DA">
            <wp:extent cx="3190875" cy="3533775"/>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3"/>
              </a:graphicData>
            </a:graphic>
          </wp:inline>
        </w:drawing>
      </w:r>
    </w:p>
    <w:p w14:paraId="5D844738" w14:textId="77777777" w:rsidR="004478A8" w:rsidRPr="00EA3D8C" w:rsidRDefault="004478A8" w:rsidP="004478A8">
      <w:pPr>
        <w:jc w:val="center"/>
        <w:rPr>
          <w:b/>
          <w:color w:val="002060"/>
          <w:lang w:val="sr-Cyrl-RS"/>
        </w:rPr>
      </w:pPr>
      <w:r w:rsidRPr="00EA3D8C">
        <w:rPr>
          <w:b/>
          <w:color w:val="002060"/>
          <w:lang w:val="sr-Cyrl-RS"/>
        </w:rPr>
        <w:t>Преглед кретања просечних извршних каматних стопа на евро деноминоване државне хартије од вредности у периоду 2014–30. септембар 2020. године</w:t>
      </w:r>
    </w:p>
    <w:p w14:paraId="36AD0CB5" w14:textId="77777777" w:rsidR="004478A8" w:rsidRPr="00EA3D8C" w:rsidRDefault="004478A8" w:rsidP="004478A8">
      <w:pPr>
        <w:rPr>
          <w:b/>
          <w:lang w:val="sr-Cyrl-RS"/>
        </w:rPr>
      </w:pPr>
      <w:r w:rsidRPr="00EA3D8C">
        <w:rPr>
          <w:noProof/>
        </w:rPr>
        <w:drawing>
          <wp:inline distT="0" distB="0" distL="0" distR="0" wp14:anchorId="35CBFDF9" wp14:editId="6DDB01C3">
            <wp:extent cx="2990850" cy="266700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4"/>
              </a:graphicData>
            </a:graphic>
          </wp:inline>
        </w:drawing>
      </w:r>
    </w:p>
    <w:p w14:paraId="27CD3BAB" w14:textId="77777777" w:rsidR="004478A8" w:rsidRPr="00EA3D8C" w:rsidRDefault="004478A8" w:rsidP="004478A8">
      <w:pPr>
        <w:spacing w:after="0"/>
        <w:jc w:val="center"/>
        <w:rPr>
          <w:b/>
          <w:bCs/>
          <w:color w:val="002060"/>
          <w:spacing w:val="-4"/>
          <w:lang w:val="sr-Cyrl-RS"/>
        </w:rPr>
      </w:pPr>
    </w:p>
    <w:p w14:paraId="0776E6A4" w14:textId="77777777" w:rsidR="004478A8" w:rsidRPr="00EA3D8C" w:rsidRDefault="004478A8" w:rsidP="004478A8">
      <w:pPr>
        <w:spacing w:after="0"/>
        <w:rPr>
          <w:b/>
          <w:bCs/>
          <w:color w:val="002060"/>
          <w:spacing w:val="-4"/>
          <w:lang w:val="sr-Cyrl-RS"/>
        </w:rPr>
      </w:pPr>
    </w:p>
    <w:p w14:paraId="777ADB0C" w14:textId="77777777" w:rsidR="004478A8" w:rsidRPr="00EA3D8C" w:rsidRDefault="004478A8" w:rsidP="004478A8">
      <w:pPr>
        <w:spacing w:after="0"/>
        <w:jc w:val="center"/>
        <w:rPr>
          <w:b/>
          <w:bCs/>
          <w:color w:val="002060"/>
          <w:spacing w:val="-4"/>
          <w:lang w:val="sr-Cyrl-RS"/>
        </w:rPr>
      </w:pPr>
      <w:r w:rsidRPr="00EA3D8C">
        <w:rPr>
          <w:b/>
          <w:bCs/>
          <w:color w:val="002060"/>
          <w:spacing w:val="-4"/>
          <w:lang w:val="sr-Cyrl-RS"/>
        </w:rPr>
        <w:lastRenderedPageBreak/>
        <w:t xml:space="preserve">Преглед кретања цене и приноса на </w:t>
      </w:r>
      <w:r w:rsidRPr="00EA3D8C">
        <w:rPr>
          <w:b/>
          <w:bCs/>
          <w:color w:val="002060"/>
          <w:spacing w:val="-4"/>
          <w:lang w:val="sr-Cyrl-RS"/>
        </w:rPr>
        <w:br w:type="textWrapping" w:clear="all"/>
        <w:t>еврообвезницу Србија 2021</w:t>
      </w:r>
    </w:p>
    <w:p w14:paraId="06044246" w14:textId="09E9E4D8" w:rsidR="004478A8" w:rsidRPr="00EA3D8C" w:rsidRDefault="00EE7FB0" w:rsidP="004478A8">
      <w:pPr>
        <w:spacing w:after="0"/>
        <w:jc w:val="center"/>
        <w:rPr>
          <w:b/>
          <w:bCs/>
          <w:spacing w:val="-4"/>
          <w:lang w:val="sr-Cyrl-RS"/>
        </w:rPr>
      </w:pPr>
      <w:r w:rsidRPr="00F60622">
        <w:rPr>
          <w:noProof/>
        </w:rPr>
        <w:drawing>
          <wp:inline distT="0" distB="0" distL="0" distR="0" wp14:anchorId="6CFCEA96" wp14:editId="192638E4">
            <wp:extent cx="2743200" cy="1852097"/>
            <wp:effectExtent l="0" t="0" r="0" b="0"/>
            <wp:docPr id="96" name="Chart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p w14:paraId="6C6F24D5" w14:textId="77777777" w:rsidR="004478A8" w:rsidRPr="00EA3D8C" w:rsidRDefault="004478A8" w:rsidP="004478A8">
      <w:pPr>
        <w:spacing w:after="0"/>
        <w:rPr>
          <w:b/>
          <w:bCs/>
          <w:color w:val="002060"/>
          <w:spacing w:val="-4"/>
          <w:lang w:val="sr-Cyrl-RS"/>
        </w:rPr>
      </w:pPr>
    </w:p>
    <w:p w14:paraId="7EE5026D" w14:textId="77777777" w:rsidR="004478A8" w:rsidRPr="00EA3D8C" w:rsidRDefault="004478A8" w:rsidP="004478A8">
      <w:pPr>
        <w:spacing w:after="0"/>
        <w:jc w:val="center"/>
        <w:rPr>
          <w:b/>
          <w:bCs/>
          <w:color w:val="002060"/>
          <w:spacing w:val="-4"/>
          <w:lang w:val="sr-Cyrl-RS"/>
        </w:rPr>
      </w:pPr>
    </w:p>
    <w:p w14:paraId="329B03F6" w14:textId="77777777" w:rsidR="004478A8" w:rsidRPr="00EA3D8C" w:rsidRDefault="004478A8" w:rsidP="004478A8">
      <w:pPr>
        <w:spacing w:after="0"/>
        <w:jc w:val="center"/>
        <w:rPr>
          <w:b/>
          <w:bCs/>
          <w:color w:val="002060"/>
          <w:spacing w:val="-4"/>
          <w:lang w:val="sr-Cyrl-RS"/>
        </w:rPr>
      </w:pPr>
      <w:r w:rsidRPr="00EA3D8C">
        <w:rPr>
          <w:b/>
          <w:bCs/>
          <w:color w:val="002060"/>
          <w:spacing w:val="-4"/>
          <w:lang w:val="sr-Cyrl-RS"/>
        </w:rPr>
        <w:t xml:space="preserve">Преглед кретања цене и приноса на </w:t>
      </w:r>
      <w:r w:rsidRPr="00EA3D8C">
        <w:rPr>
          <w:b/>
          <w:bCs/>
          <w:color w:val="002060"/>
          <w:spacing w:val="-4"/>
          <w:lang w:val="sr-Cyrl-RS"/>
        </w:rPr>
        <w:br w:type="textWrapping" w:clear="all"/>
        <w:t>еврообвезницу Србија 2029</w:t>
      </w:r>
    </w:p>
    <w:p w14:paraId="7FF3D1A6" w14:textId="2367D018" w:rsidR="004478A8" w:rsidRPr="00EA3D8C" w:rsidRDefault="002E6AEF" w:rsidP="004478A8">
      <w:pPr>
        <w:rPr>
          <w:b/>
          <w:lang w:val="sr-Cyrl-RS"/>
        </w:rPr>
      </w:pPr>
      <w:r>
        <w:rPr>
          <w:noProof/>
        </w:rPr>
        <w:drawing>
          <wp:inline distT="0" distB="0" distL="0" distR="0" wp14:anchorId="60A70122" wp14:editId="37758E68">
            <wp:extent cx="2924175" cy="1729740"/>
            <wp:effectExtent l="0" t="0" r="0" b="3810"/>
            <wp:docPr id="84" name="Chart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14:paraId="47BED2FA" w14:textId="77777777" w:rsidR="004478A8" w:rsidRPr="00EA3D8C" w:rsidRDefault="004478A8" w:rsidP="004478A8">
      <w:pPr>
        <w:spacing w:after="0"/>
        <w:jc w:val="center"/>
        <w:rPr>
          <w:b/>
          <w:bCs/>
          <w:color w:val="002060"/>
          <w:spacing w:val="-4"/>
          <w:lang w:val="sr-Cyrl-RS"/>
        </w:rPr>
      </w:pPr>
      <w:r w:rsidRPr="00EA3D8C">
        <w:rPr>
          <w:b/>
          <w:bCs/>
          <w:color w:val="002060"/>
          <w:spacing w:val="-4"/>
          <w:lang w:val="sr-Cyrl-RS"/>
        </w:rPr>
        <w:lastRenderedPageBreak/>
        <w:t xml:space="preserve">Преглед кретања цене и приноса на </w:t>
      </w:r>
      <w:r w:rsidRPr="00EA3D8C">
        <w:rPr>
          <w:b/>
          <w:bCs/>
          <w:color w:val="002060"/>
          <w:spacing w:val="-4"/>
          <w:lang w:val="sr-Cyrl-RS"/>
        </w:rPr>
        <w:br w:type="textWrapping" w:clear="all"/>
        <w:t>еврообвезницу Србија 2027</w:t>
      </w:r>
    </w:p>
    <w:p w14:paraId="7EB09C74" w14:textId="1348DC6F" w:rsidR="004478A8" w:rsidRPr="00EA3D8C" w:rsidRDefault="00EE7FB0" w:rsidP="004478A8">
      <w:pPr>
        <w:spacing w:after="0"/>
        <w:jc w:val="center"/>
        <w:rPr>
          <w:b/>
          <w:bCs/>
          <w:color w:val="002060"/>
          <w:spacing w:val="-4"/>
          <w:lang w:val="sr-Cyrl-RS"/>
        </w:rPr>
      </w:pPr>
      <w:r>
        <w:rPr>
          <w:noProof/>
        </w:rPr>
        <w:drawing>
          <wp:inline distT="0" distB="0" distL="0" distR="0" wp14:anchorId="6D3D4671" wp14:editId="57EFAD60">
            <wp:extent cx="2743200" cy="1800225"/>
            <wp:effectExtent l="0" t="0" r="0" b="0"/>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p w14:paraId="586F13F6" w14:textId="77777777" w:rsidR="004478A8" w:rsidRPr="00EA3D8C" w:rsidRDefault="004478A8" w:rsidP="004478A8">
      <w:pPr>
        <w:spacing w:after="0"/>
        <w:jc w:val="center"/>
        <w:rPr>
          <w:b/>
          <w:bCs/>
          <w:color w:val="002060"/>
          <w:spacing w:val="-4"/>
          <w:lang w:val="sr-Cyrl-RS"/>
        </w:rPr>
      </w:pPr>
    </w:p>
    <w:p w14:paraId="385DAE18" w14:textId="77777777" w:rsidR="004478A8" w:rsidRPr="00EA3D8C" w:rsidRDefault="004478A8" w:rsidP="004478A8">
      <w:pPr>
        <w:spacing w:after="0"/>
        <w:jc w:val="center"/>
        <w:rPr>
          <w:b/>
          <w:bCs/>
          <w:spacing w:val="-4"/>
          <w:lang w:val="sr-Cyrl-RS"/>
        </w:rPr>
      </w:pPr>
    </w:p>
    <w:p w14:paraId="7CEC8D81" w14:textId="77777777" w:rsidR="004478A8" w:rsidRPr="00EA3D8C" w:rsidRDefault="004478A8" w:rsidP="00E4657F">
      <w:pPr>
        <w:rPr>
          <w:rFonts w:cstheme="minorHAnsi"/>
          <w:bCs/>
          <w:szCs w:val="72"/>
          <w:lang w:val="sr-Cyrl-RS"/>
        </w:rPr>
      </w:pPr>
    </w:p>
    <w:p w14:paraId="19FD964F" w14:textId="77777777" w:rsidR="004478A8" w:rsidRPr="00EA3D8C" w:rsidRDefault="004478A8" w:rsidP="00E4657F">
      <w:pPr>
        <w:rPr>
          <w:b/>
          <w:lang w:val="sr-Cyrl-RS"/>
        </w:rPr>
      </w:pPr>
    </w:p>
    <w:p w14:paraId="307C25B3" w14:textId="77777777" w:rsidR="004478A8" w:rsidRPr="00EA3D8C" w:rsidRDefault="004478A8" w:rsidP="00E4657F">
      <w:pPr>
        <w:rPr>
          <w:b/>
          <w:lang w:val="sr-Cyrl-RS"/>
        </w:rPr>
      </w:pPr>
    </w:p>
    <w:p w14:paraId="25BF0511" w14:textId="77777777" w:rsidR="004478A8" w:rsidRPr="00EA3D8C" w:rsidRDefault="004478A8" w:rsidP="00E4657F">
      <w:pPr>
        <w:rPr>
          <w:b/>
          <w:lang w:val="sr-Cyrl-RS"/>
        </w:rPr>
      </w:pPr>
    </w:p>
    <w:p w14:paraId="2C322A21" w14:textId="77777777" w:rsidR="004478A8" w:rsidRPr="00EA3D8C" w:rsidRDefault="004478A8" w:rsidP="00E4657F">
      <w:pPr>
        <w:rPr>
          <w:b/>
          <w:lang w:val="sr-Cyrl-RS"/>
        </w:rPr>
      </w:pPr>
    </w:p>
    <w:p w14:paraId="1B86FC5F" w14:textId="77777777" w:rsidR="004478A8" w:rsidRPr="00EA3D8C" w:rsidRDefault="004478A8" w:rsidP="00E4657F">
      <w:pPr>
        <w:rPr>
          <w:b/>
          <w:lang w:val="sr-Cyrl-RS"/>
        </w:rPr>
        <w:sectPr w:rsidR="004478A8" w:rsidRPr="00EA3D8C" w:rsidSect="00AE40EB">
          <w:type w:val="continuous"/>
          <w:pgSz w:w="12240" w:h="15840" w:code="1"/>
          <w:pgMar w:top="1440" w:right="1440" w:bottom="1440" w:left="1440" w:header="720" w:footer="720" w:gutter="0"/>
          <w:cols w:num="2" w:space="720"/>
          <w:docGrid w:linePitch="360"/>
        </w:sectPr>
      </w:pPr>
    </w:p>
    <w:p w14:paraId="248C8DD3" w14:textId="77777777" w:rsidR="004478A8" w:rsidRPr="00EA3D8C" w:rsidRDefault="004478A8" w:rsidP="00E4657F">
      <w:pPr>
        <w:jc w:val="center"/>
        <w:rPr>
          <w:b/>
          <w:lang w:val="sr-Cyrl-RS"/>
        </w:rPr>
      </w:pPr>
    </w:p>
    <w:p w14:paraId="3F298BCE" w14:textId="2FF82405" w:rsidR="004478A8" w:rsidRPr="00EA3D8C" w:rsidRDefault="00EC4017" w:rsidP="00E4657F">
      <w:pPr>
        <w:jc w:val="center"/>
        <w:rPr>
          <w:b/>
          <w:color w:val="002060"/>
          <w:lang w:val="sr-Cyrl-RS"/>
        </w:rPr>
      </w:pPr>
      <w:r w:rsidRPr="00EA3D8C">
        <w:rPr>
          <w:b/>
          <w:color w:val="002060"/>
          <w:lang w:val="sr-Cyrl-RS"/>
        </w:rPr>
        <w:t>Табела 24</w:t>
      </w:r>
      <w:r w:rsidR="004478A8" w:rsidRPr="00EA3D8C">
        <w:rPr>
          <w:b/>
          <w:color w:val="002060"/>
          <w:lang w:val="sr-Cyrl-RS"/>
        </w:rPr>
        <w:t>. Пројекције отплате камата и главница до 2023. године</w:t>
      </w:r>
      <w:r w:rsidR="004478A8" w:rsidRPr="00EA3D8C">
        <w:rPr>
          <w:color w:val="002060"/>
          <w:lang w:val="sr-Cyrl-RS"/>
        </w:rPr>
        <w:t xml:space="preserve"> </w:t>
      </w:r>
      <w:r w:rsidR="004478A8" w:rsidRPr="00EA3D8C">
        <w:rPr>
          <w:b/>
          <w:color w:val="002060"/>
          <w:lang w:val="sr-Cyrl-RS"/>
        </w:rPr>
        <w:t>(млрд динара)</w:t>
      </w:r>
    </w:p>
    <w:tbl>
      <w:tblPr>
        <w:tblStyle w:val="LightShading-Accent122"/>
        <w:tblW w:w="5000" w:type="pct"/>
        <w:tblLook w:val="0420" w:firstRow="1" w:lastRow="0" w:firstColumn="0" w:lastColumn="0" w:noHBand="0" w:noVBand="1"/>
      </w:tblPr>
      <w:tblGrid>
        <w:gridCol w:w="4937"/>
        <w:gridCol w:w="1105"/>
        <w:gridCol w:w="1106"/>
        <w:gridCol w:w="1106"/>
        <w:gridCol w:w="1106"/>
      </w:tblGrid>
      <w:tr w:rsidR="004478A8" w:rsidRPr="00EA3D8C" w14:paraId="6E1299BF" w14:textId="77777777" w:rsidTr="003E2EFC">
        <w:trPr>
          <w:cnfStyle w:val="100000000000" w:firstRow="1" w:lastRow="0" w:firstColumn="0" w:lastColumn="0" w:oddVBand="0" w:evenVBand="0" w:oddHBand="0" w:evenHBand="0" w:firstRowFirstColumn="0" w:firstRowLastColumn="0" w:lastRowFirstColumn="0" w:lastRowLastColumn="0"/>
          <w:trHeight w:val="93"/>
        </w:trPr>
        <w:tc>
          <w:tcPr>
            <w:tcW w:w="2637" w:type="pct"/>
            <w:tcBorders>
              <w:top w:val="single" w:sz="4" w:space="0" w:color="002060"/>
              <w:bottom w:val="single" w:sz="4" w:space="0" w:color="FFFFFF" w:themeColor="background1"/>
            </w:tcBorders>
            <w:shd w:val="clear" w:color="auto" w:fill="auto"/>
            <w:noWrap/>
            <w:hideMark/>
          </w:tcPr>
          <w:p w14:paraId="37E5217F" w14:textId="77777777" w:rsidR="004478A8" w:rsidRPr="00EA3D8C" w:rsidRDefault="004478A8" w:rsidP="004478A8">
            <w:pPr>
              <w:rPr>
                <w:rFonts w:asciiTheme="minorHAnsi" w:eastAsiaTheme="minorEastAsia" w:hAnsiTheme="minorHAnsi" w:cstheme="minorHAnsi"/>
                <w:b w:val="0"/>
                <w:bCs w:val="0"/>
                <w:color w:val="002060"/>
                <w:sz w:val="18"/>
                <w:szCs w:val="18"/>
                <w:lang w:val="sr-Cyrl-RS" w:eastAsia="ja-JP"/>
              </w:rPr>
            </w:pPr>
            <w:r w:rsidRPr="00EA3D8C">
              <w:rPr>
                <w:rFonts w:asciiTheme="minorHAnsi" w:eastAsiaTheme="minorEastAsia" w:hAnsiTheme="minorHAnsi" w:cstheme="minorHAnsi"/>
                <w:b w:val="0"/>
                <w:bCs w:val="0"/>
                <w:color w:val="002060"/>
                <w:sz w:val="18"/>
                <w:szCs w:val="18"/>
                <w:lang w:val="sr-Cyrl-RS" w:eastAsia="ja-JP"/>
              </w:rPr>
              <w:t> </w:t>
            </w:r>
          </w:p>
        </w:tc>
        <w:tc>
          <w:tcPr>
            <w:tcW w:w="590" w:type="pct"/>
            <w:tcBorders>
              <w:top w:val="single" w:sz="4" w:space="0" w:color="002060"/>
              <w:bottom w:val="single" w:sz="4" w:space="0" w:color="002060"/>
            </w:tcBorders>
            <w:shd w:val="clear" w:color="auto" w:fill="auto"/>
            <w:noWrap/>
            <w:hideMark/>
          </w:tcPr>
          <w:p w14:paraId="6C42DFCC"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2020 п</w:t>
            </w:r>
          </w:p>
        </w:tc>
        <w:tc>
          <w:tcPr>
            <w:tcW w:w="591" w:type="pct"/>
            <w:tcBorders>
              <w:top w:val="single" w:sz="4" w:space="0" w:color="002060"/>
              <w:bottom w:val="single" w:sz="4" w:space="0" w:color="002060"/>
            </w:tcBorders>
            <w:shd w:val="clear" w:color="auto" w:fill="auto"/>
            <w:noWrap/>
          </w:tcPr>
          <w:p w14:paraId="5C908D11"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2021 п</w:t>
            </w:r>
          </w:p>
        </w:tc>
        <w:tc>
          <w:tcPr>
            <w:tcW w:w="591" w:type="pct"/>
            <w:tcBorders>
              <w:top w:val="single" w:sz="4" w:space="0" w:color="002060"/>
              <w:bottom w:val="single" w:sz="4" w:space="0" w:color="002060"/>
            </w:tcBorders>
            <w:shd w:val="clear" w:color="auto" w:fill="auto"/>
            <w:noWrap/>
          </w:tcPr>
          <w:p w14:paraId="3080BE09"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2022 п</w:t>
            </w:r>
          </w:p>
        </w:tc>
        <w:tc>
          <w:tcPr>
            <w:tcW w:w="591" w:type="pct"/>
            <w:tcBorders>
              <w:top w:val="single" w:sz="4" w:space="0" w:color="002060"/>
              <w:bottom w:val="single" w:sz="4" w:space="0" w:color="002060"/>
            </w:tcBorders>
            <w:shd w:val="clear" w:color="auto" w:fill="auto"/>
            <w:noWrap/>
          </w:tcPr>
          <w:p w14:paraId="56073895"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2023 п</w:t>
            </w:r>
          </w:p>
        </w:tc>
      </w:tr>
      <w:tr w:rsidR="004478A8" w:rsidRPr="00EA3D8C" w14:paraId="098848C4"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tcW w:w="2637" w:type="pct"/>
            <w:tcBorders>
              <w:top w:val="single" w:sz="4" w:space="0" w:color="FFFFFF" w:themeColor="background1"/>
            </w:tcBorders>
            <w:shd w:val="clear" w:color="auto" w:fill="auto"/>
            <w:noWrap/>
            <w:hideMark/>
          </w:tcPr>
          <w:p w14:paraId="5AA12A9F" w14:textId="77777777" w:rsidR="004478A8" w:rsidRPr="00EA3D8C" w:rsidRDefault="004478A8" w:rsidP="004478A8">
            <w:pPr>
              <w:spacing w:line="240" w:lineRule="auto"/>
              <w:rPr>
                <w:rFonts w:asciiTheme="minorHAnsi" w:hAnsiTheme="minorHAnsi" w:cstheme="minorHAnsi"/>
                <w:color w:val="002060"/>
                <w:sz w:val="18"/>
                <w:szCs w:val="18"/>
                <w:lang w:val="sr-Cyrl-RS"/>
              </w:rPr>
            </w:pPr>
            <w:r w:rsidRPr="00EA3D8C">
              <w:rPr>
                <w:rFonts w:asciiTheme="minorHAnsi" w:hAnsiTheme="minorHAnsi" w:cstheme="minorHAnsi"/>
                <w:bCs/>
                <w:color w:val="002060"/>
                <w:sz w:val="18"/>
                <w:szCs w:val="18"/>
                <w:lang w:val="sr-Cyrl-RS"/>
              </w:rPr>
              <w:t>Главница</w:t>
            </w:r>
          </w:p>
        </w:tc>
        <w:tc>
          <w:tcPr>
            <w:tcW w:w="590" w:type="pct"/>
            <w:tcBorders>
              <w:top w:val="single" w:sz="4" w:space="0" w:color="002060"/>
            </w:tcBorders>
            <w:shd w:val="clear" w:color="auto" w:fill="auto"/>
            <w:noWrap/>
          </w:tcPr>
          <w:p w14:paraId="73ED07E0"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400,2</w:t>
            </w:r>
          </w:p>
        </w:tc>
        <w:tc>
          <w:tcPr>
            <w:tcW w:w="591" w:type="pct"/>
            <w:tcBorders>
              <w:top w:val="single" w:sz="4" w:space="0" w:color="002060"/>
            </w:tcBorders>
            <w:shd w:val="clear" w:color="auto" w:fill="auto"/>
            <w:noWrap/>
          </w:tcPr>
          <w:p w14:paraId="67540EB7"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471,5</w:t>
            </w:r>
          </w:p>
        </w:tc>
        <w:tc>
          <w:tcPr>
            <w:tcW w:w="591" w:type="pct"/>
            <w:tcBorders>
              <w:top w:val="single" w:sz="4" w:space="0" w:color="002060"/>
            </w:tcBorders>
            <w:shd w:val="clear" w:color="auto" w:fill="auto"/>
            <w:noWrap/>
          </w:tcPr>
          <w:p w14:paraId="1EC56384"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430,2</w:t>
            </w:r>
          </w:p>
        </w:tc>
        <w:tc>
          <w:tcPr>
            <w:tcW w:w="591" w:type="pct"/>
            <w:tcBorders>
              <w:top w:val="single" w:sz="4" w:space="0" w:color="002060"/>
            </w:tcBorders>
            <w:shd w:val="clear" w:color="auto" w:fill="auto"/>
            <w:noWrap/>
          </w:tcPr>
          <w:p w14:paraId="15877B0C"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458,8</w:t>
            </w:r>
          </w:p>
        </w:tc>
      </w:tr>
      <w:tr w:rsidR="004478A8" w:rsidRPr="00EA3D8C" w14:paraId="776747A9" w14:textId="77777777" w:rsidTr="003E2EFC">
        <w:trPr>
          <w:trHeight w:val="93"/>
        </w:trPr>
        <w:tc>
          <w:tcPr>
            <w:tcW w:w="2637" w:type="pct"/>
            <w:shd w:val="clear" w:color="auto" w:fill="auto"/>
            <w:noWrap/>
            <w:hideMark/>
          </w:tcPr>
          <w:p w14:paraId="4C5C2CAB"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Камата</w:t>
            </w:r>
          </w:p>
        </w:tc>
        <w:tc>
          <w:tcPr>
            <w:tcW w:w="590" w:type="pct"/>
            <w:shd w:val="clear" w:color="auto" w:fill="auto"/>
            <w:noWrap/>
          </w:tcPr>
          <w:p w14:paraId="072A6F12"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108,9</w:t>
            </w:r>
          </w:p>
        </w:tc>
        <w:tc>
          <w:tcPr>
            <w:tcW w:w="591" w:type="pct"/>
            <w:shd w:val="clear" w:color="auto" w:fill="auto"/>
            <w:noWrap/>
          </w:tcPr>
          <w:p w14:paraId="01F3BBF1"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110,8</w:t>
            </w:r>
          </w:p>
        </w:tc>
        <w:tc>
          <w:tcPr>
            <w:tcW w:w="591" w:type="pct"/>
            <w:shd w:val="clear" w:color="auto" w:fill="auto"/>
            <w:noWrap/>
          </w:tcPr>
          <w:p w14:paraId="7E7DBB14"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109,5</w:t>
            </w:r>
          </w:p>
        </w:tc>
        <w:tc>
          <w:tcPr>
            <w:tcW w:w="591" w:type="pct"/>
            <w:shd w:val="clear" w:color="auto" w:fill="auto"/>
            <w:noWrap/>
          </w:tcPr>
          <w:p w14:paraId="387EE6C1"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108,8</w:t>
            </w:r>
          </w:p>
        </w:tc>
      </w:tr>
      <w:tr w:rsidR="004478A8" w:rsidRPr="00EA3D8C" w14:paraId="0ADB107C" w14:textId="77777777" w:rsidTr="003E2EFC">
        <w:trPr>
          <w:cnfStyle w:val="000000100000" w:firstRow="0" w:lastRow="0" w:firstColumn="0" w:lastColumn="0" w:oddVBand="0" w:evenVBand="0" w:oddHBand="1" w:evenHBand="0" w:firstRowFirstColumn="0" w:firstRowLastColumn="0" w:lastRowFirstColumn="0" w:lastRowLastColumn="0"/>
          <w:trHeight w:val="93"/>
        </w:trPr>
        <w:tc>
          <w:tcPr>
            <w:tcW w:w="2637" w:type="pct"/>
            <w:shd w:val="clear" w:color="auto" w:fill="auto"/>
            <w:noWrap/>
            <w:hideMark/>
          </w:tcPr>
          <w:p w14:paraId="50351E85" w14:textId="77777777" w:rsidR="004478A8" w:rsidRPr="00EA3D8C" w:rsidRDefault="004478A8" w:rsidP="004478A8">
            <w:pPr>
              <w:spacing w:line="240" w:lineRule="auto"/>
              <w:rPr>
                <w:rFonts w:asciiTheme="minorHAnsi" w:hAnsiTheme="minorHAnsi" w:cstheme="minorHAnsi"/>
                <w:color w:val="002060"/>
                <w:sz w:val="18"/>
                <w:szCs w:val="18"/>
                <w:lang w:val="sr-Cyrl-RS"/>
              </w:rPr>
            </w:pPr>
            <w:r w:rsidRPr="00EA3D8C">
              <w:rPr>
                <w:rFonts w:asciiTheme="minorHAnsi" w:hAnsiTheme="minorHAnsi" w:cstheme="minorHAnsi"/>
                <w:bCs/>
                <w:color w:val="002060"/>
                <w:sz w:val="18"/>
                <w:szCs w:val="18"/>
                <w:lang w:val="sr-Cyrl-RS"/>
              </w:rPr>
              <w:t>Укупно</w:t>
            </w:r>
          </w:p>
        </w:tc>
        <w:tc>
          <w:tcPr>
            <w:tcW w:w="590" w:type="pct"/>
            <w:shd w:val="clear" w:color="auto" w:fill="auto"/>
            <w:noWrap/>
          </w:tcPr>
          <w:p w14:paraId="20E0C589"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509,1</w:t>
            </w:r>
          </w:p>
        </w:tc>
        <w:tc>
          <w:tcPr>
            <w:tcW w:w="591" w:type="pct"/>
            <w:shd w:val="clear" w:color="auto" w:fill="auto"/>
            <w:noWrap/>
          </w:tcPr>
          <w:p w14:paraId="6A06DDDA"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582,3</w:t>
            </w:r>
          </w:p>
        </w:tc>
        <w:tc>
          <w:tcPr>
            <w:tcW w:w="591" w:type="pct"/>
            <w:shd w:val="clear" w:color="auto" w:fill="auto"/>
            <w:noWrap/>
          </w:tcPr>
          <w:p w14:paraId="2479E02B"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539,7</w:t>
            </w:r>
          </w:p>
        </w:tc>
        <w:tc>
          <w:tcPr>
            <w:tcW w:w="591" w:type="pct"/>
            <w:shd w:val="clear" w:color="auto" w:fill="auto"/>
            <w:noWrap/>
          </w:tcPr>
          <w:p w14:paraId="7299A1A4"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567,6</w:t>
            </w:r>
          </w:p>
        </w:tc>
      </w:tr>
      <w:tr w:rsidR="004478A8" w:rsidRPr="00EA3D8C" w14:paraId="2CD56E11" w14:textId="77777777" w:rsidTr="003E2EFC">
        <w:trPr>
          <w:trHeight w:val="93"/>
        </w:trPr>
        <w:tc>
          <w:tcPr>
            <w:tcW w:w="2637" w:type="pct"/>
            <w:tcBorders>
              <w:bottom w:val="single" w:sz="4" w:space="0" w:color="002060"/>
            </w:tcBorders>
            <w:shd w:val="clear" w:color="auto" w:fill="auto"/>
            <w:noWrap/>
            <w:hideMark/>
          </w:tcPr>
          <w:p w14:paraId="11141AEC"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 xml:space="preserve"> У односу на јавни дуг на дан 30.9.2020. године</w:t>
            </w:r>
          </w:p>
        </w:tc>
        <w:tc>
          <w:tcPr>
            <w:tcW w:w="590" w:type="pct"/>
            <w:tcBorders>
              <w:bottom w:val="single" w:sz="4" w:space="0" w:color="002060"/>
            </w:tcBorders>
            <w:shd w:val="clear" w:color="auto" w:fill="auto"/>
            <w:noWrap/>
          </w:tcPr>
          <w:p w14:paraId="4B599A36"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16,3%</w:t>
            </w:r>
          </w:p>
        </w:tc>
        <w:tc>
          <w:tcPr>
            <w:tcW w:w="591" w:type="pct"/>
            <w:tcBorders>
              <w:bottom w:val="single" w:sz="4" w:space="0" w:color="002060"/>
            </w:tcBorders>
            <w:shd w:val="clear" w:color="auto" w:fill="auto"/>
            <w:noWrap/>
          </w:tcPr>
          <w:p w14:paraId="477DF896"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18,6%</w:t>
            </w:r>
          </w:p>
        </w:tc>
        <w:tc>
          <w:tcPr>
            <w:tcW w:w="591" w:type="pct"/>
            <w:tcBorders>
              <w:bottom w:val="single" w:sz="4" w:space="0" w:color="002060"/>
            </w:tcBorders>
            <w:shd w:val="clear" w:color="auto" w:fill="auto"/>
            <w:noWrap/>
          </w:tcPr>
          <w:p w14:paraId="46B66CB5"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17,3%</w:t>
            </w:r>
          </w:p>
        </w:tc>
        <w:tc>
          <w:tcPr>
            <w:tcW w:w="591" w:type="pct"/>
            <w:tcBorders>
              <w:bottom w:val="single" w:sz="4" w:space="0" w:color="002060"/>
            </w:tcBorders>
            <w:shd w:val="clear" w:color="auto" w:fill="auto"/>
            <w:noWrap/>
          </w:tcPr>
          <w:p w14:paraId="5F7529E7"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18,1%</w:t>
            </w:r>
          </w:p>
        </w:tc>
      </w:tr>
    </w:tbl>
    <w:p w14:paraId="12EC5247" w14:textId="77777777" w:rsidR="004478A8" w:rsidRPr="00EA3D8C" w:rsidRDefault="004478A8" w:rsidP="00E4657F">
      <w:pPr>
        <w:spacing w:after="240" w:line="240" w:lineRule="auto"/>
        <w:rPr>
          <w:rFonts w:cstheme="minorHAnsi"/>
          <w:bCs/>
          <w:sz w:val="18"/>
          <w:szCs w:val="18"/>
          <w:lang w:val="sr-Cyrl-RS"/>
        </w:rPr>
      </w:pPr>
      <w:r w:rsidRPr="00EA3D8C">
        <w:rPr>
          <w:rFonts w:eastAsia="Calibri" w:cstheme="minorHAnsi"/>
          <w:bCs/>
          <w:sz w:val="18"/>
          <w:szCs w:val="18"/>
          <w:lang w:val="sr-Cyrl-RS" w:eastAsia="sr-Cyrl-CS"/>
        </w:rPr>
        <w:t xml:space="preserve">* са планираним </w:t>
      </w:r>
      <w:r w:rsidRPr="00EA3D8C">
        <w:rPr>
          <w:rFonts w:eastAsia="Calibri" w:cstheme="minorHAnsi"/>
          <w:bCs/>
          <w:i/>
          <w:sz w:val="18"/>
          <w:szCs w:val="18"/>
          <w:lang w:val="sr-Cyrl-RS" w:eastAsia="sr-Cyrl-CS"/>
        </w:rPr>
        <w:t>buy-back</w:t>
      </w:r>
      <w:r w:rsidRPr="00EA3D8C">
        <w:rPr>
          <w:rFonts w:eastAsia="Calibri" w:cstheme="minorHAnsi"/>
          <w:bCs/>
          <w:sz w:val="18"/>
          <w:szCs w:val="18"/>
          <w:lang w:val="sr-Cyrl-RS" w:eastAsia="sr-Cyrl-CS"/>
        </w:rPr>
        <w:t xml:space="preserve"> операцијама</w:t>
      </w:r>
    </w:p>
    <w:p w14:paraId="0F1D27F1" w14:textId="533F43BE" w:rsidR="004478A8" w:rsidRPr="00EA3D8C" w:rsidRDefault="00EC4017" w:rsidP="00E4657F">
      <w:pPr>
        <w:jc w:val="center"/>
        <w:rPr>
          <w:b/>
          <w:color w:val="002060"/>
          <w:lang w:val="sr-Cyrl-RS"/>
        </w:rPr>
      </w:pPr>
      <w:r w:rsidRPr="00EA3D8C">
        <w:rPr>
          <w:b/>
          <w:color w:val="002060"/>
          <w:lang w:val="sr-Cyrl-RS"/>
        </w:rPr>
        <w:t>Табела 25</w:t>
      </w:r>
      <w:r w:rsidR="004478A8" w:rsidRPr="00EA3D8C">
        <w:rPr>
          <w:b/>
          <w:color w:val="002060"/>
          <w:lang w:val="sr-Cyrl-RS"/>
        </w:rPr>
        <w:t>. Пројекције отплате камата и главница до 2023. године (%</w:t>
      </w:r>
      <w:r w:rsidR="00745F06">
        <w:rPr>
          <w:b/>
          <w:color w:val="002060"/>
          <w:lang w:val="sr-Latn-RS"/>
        </w:rPr>
        <w:t xml:space="preserve"> </w:t>
      </w:r>
      <w:r w:rsidR="004478A8" w:rsidRPr="00EA3D8C">
        <w:rPr>
          <w:b/>
          <w:color w:val="002060"/>
          <w:lang w:val="sr-Cyrl-RS"/>
        </w:rPr>
        <w:t>БДП)</w:t>
      </w:r>
    </w:p>
    <w:tbl>
      <w:tblPr>
        <w:tblStyle w:val="LightShading-Accent122"/>
        <w:tblW w:w="5000" w:type="pct"/>
        <w:tblLook w:val="0420" w:firstRow="1" w:lastRow="0" w:firstColumn="0" w:lastColumn="0" w:noHBand="0" w:noVBand="1"/>
      </w:tblPr>
      <w:tblGrid>
        <w:gridCol w:w="4949"/>
        <w:gridCol w:w="1102"/>
        <w:gridCol w:w="1103"/>
        <w:gridCol w:w="1103"/>
        <w:gridCol w:w="1103"/>
      </w:tblGrid>
      <w:tr w:rsidR="004478A8" w:rsidRPr="00EA3D8C" w14:paraId="665BC622" w14:textId="77777777" w:rsidTr="003E2EFC">
        <w:trPr>
          <w:cnfStyle w:val="100000000000" w:firstRow="1" w:lastRow="0" w:firstColumn="0" w:lastColumn="0" w:oddVBand="0" w:evenVBand="0" w:oddHBand="0" w:evenHBand="0" w:firstRowFirstColumn="0" w:firstRowLastColumn="0" w:lastRowFirstColumn="0" w:lastRowLastColumn="0"/>
          <w:trHeight w:val="22"/>
        </w:trPr>
        <w:tc>
          <w:tcPr>
            <w:tcW w:w="2644" w:type="pct"/>
            <w:tcBorders>
              <w:top w:val="single" w:sz="4" w:space="0" w:color="002060"/>
              <w:bottom w:val="single" w:sz="4" w:space="0" w:color="FFFFFF" w:themeColor="background1"/>
            </w:tcBorders>
            <w:shd w:val="clear" w:color="auto" w:fill="auto"/>
            <w:noWrap/>
            <w:hideMark/>
          </w:tcPr>
          <w:p w14:paraId="6C91FA3A" w14:textId="77777777" w:rsidR="004478A8" w:rsidRPr="00EA3D8C" w:rsidRDefault="004478A8" w:rsidP="004478A8">
            <w:pPr>
              <w:jc w:val="right"/>
              <w:rPr>
                <w:rFonts w:asciiTheme="minorHAnsi" w:hAnsiTheme="minorHAnsi" w:cstheme="minorHAnsi"/>
                <w:b w:val="0"/>
                <w:color w:val="002060"/>
                <w:sz w:val="18"/>
                <w:szCs w:val="18"/>
                <w:lang w:val="sr-Cyrl-RS"/>
              </w:rPr>
            </w:pPr>
            <w:bookmarkStart w:id="40" w:name="_Hlk529257961"/>
            <w:r w:rsidRPr="00EA3D8C">
              <w:rPr>
                <w:rFonts w:asciiTheme="minorHAnsi" w:hAnsiTheme="minorHAnsi" w:cstheme="minorHAnsi"/>
                <w:b w:val="0"/>
                <w:color w:val="002060"/>
                <w:sz w:val="18"/>
                <w:szCs w:val="18"/>
                <w:lang w:val="sr-Cyrl-RS"/>
              </w:rPr>
              <w:t> </w:t>
            </w:r>
          </w:p>
        </w:tc>
        <w:tc>
          <w:tcPr>
            <w:tcW w:w="589" w:type="pct"/>
            <w:tcBorders>
              <w:top w:val="single" w:sz="4" w:space="0" w:color="002060"/>
              <w:bottom w:val="single" w:sz="4" w:space="0" w:color="002060"/>
            </w:tcBorders>
            <w:shd w:val="clear" w:color="auto" w:fill="auto"/>
            <w:noWrap/>
            <w:hideMark/>
          </w:tcPr>
          <w:p w14:paraId="37396D52"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2020 п</w:t>
            </w:r>
          </w:p>
        </w:tc>
        <w:tc>
          <w:tcPr>
            <w:tcW w:w="589" w:type="pct"/>
            <w:tcBorders>
              <w:top w:val="single" w:sz="4" w:space="0" w:color="002060"/>
              <w:bottom w:val="single" w:sz="4" w:space="0" w:color="002060"/>
            </w:tcBorders>
            <w:shd w:val="clear" w:color="auto" w:fill="auto"/>
            <w:noWrap/>
            <w:hideMark/>
          </w:tcPr>
          <w:p w14:paraId="3123AC25"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2021 п</w:t>
            </w:r>
          </w:p>
        </w:tc>
        <w:tc>
          <w:tcPr>
            <w:tcW w:w="589" w:type="pct"/>
            <w:tcBorders>
              <w:top w:val="single" w:sz="4" w:space="0" w:color="002060"/>
              <w:bottom w:val="single" w:sz="4" w:space="0" w:color="002060"/>
            </w:tcBorders>
            <w:shd w:val="clear" w:color="auto" w:fill="auto"/>
            <w:noWrap/>
            <w:hideMark/>
          </w:tcPr>
          <w:p w14:paraId="408FDA9D"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2022 п</w:t>
            </w:r>
          </w:p>
        </w:tc>
        <w:tc>
          <w:tcPr>
            <w:tcW w:w="589" w:type="pct"/>
            <w:tcBorders>
              <w:top w:val="single" w:sz="4" w:space="0" w:color="002060"/>
              <w:bottom w:val="single" w:sz="4" w:space="0" w:color="002060"/>
            </w:tcBorders>
            <w:shd w:val="clear" w:color="auto" w:fill="auto"/>
            <w:noWrap/>
            <w:hideMark/>
          </w:tcPr>
          <w:p w14:paraId="69C28456"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2023 п</w:t>
            </w:r>
          </w:p>
        </w:tc>
      </w:tr>
      <w:tr w:rsidR="004478A8" w:rsidRPr="00EA3D8C" w14:paraId="6E9EB897" w14:textId="77777777" w:rsidTr="003E2EFC">
        <w:trPr>
          <w:cnfStyle w:val="000000100000" w:firstRow="0" w:lastRow="0" w:firstColumn="0" w:lastColumn="0" w:oddVBand="0" w:evenVBand="0" w:oddHBand="1" w:evenHBand="0" w:firstRowFirstColumn="0" w:firstRowLastColumn="0" w:lastRowFirstColumn="0" w:lastRowLastColumn="0"/>
          <w:trHeight w:val="22"/>
        </w:trPr>
        <w:tc>
          <w:tcPr>
            <w:tcW w:w="2644" w:type="pct"/>
            <w:shd w:val="clear" w:color="auto" w:fill="auto"/>
            <w:noWrap/>
            <w:hideMark/>
          </w:tcPr>
          <w:p w14:paraId="69CCFFF5"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Главница</w:t>
            </w:r>
          </w:p>
        </w:tc>
        <w:tc>
          <w:tcPr>
            <w:tcW w:w="589" w:type="pct"/>
            <w:shd w:val="clear" w:color="auto" w:fill="auto"/>
            <w:noWrap/>
          </w:tcPr>
          <w:p w14:paraId="788452A3"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7,3%</w:t>
            </w:r>
          </w:p>
        </w:tc>
        <w:tc>
          <w:tcPr>
            <w:tcW w:w="589" w:type="pct"/>
            <w:shd w:val="clear" w:color="auto" w:fill="auto"/>
            <w:noWrap/>
          </w:tcPr>
          <w:p w14:paraId="076321FE"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7,9%</w:t>
            </w:r>
          </w:p>
        </w:tc>
        <w:tc>
          <w:tcPr>
            <w:tcW w:w="589" w:type="pct"/>
            <w:shd w:val="clear" w:color="auto" w:fill="auto"/>
            <w:noWrap/>
          </w:tcPr>
          <w:p w14:paraId="011BBA9C"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6,7%</w:t>
            </w:r>
          </w:p>
        </w:tc>
        <w:tc>
          <w:tcPr>
            <w:tcW w:w="589" w:type="pct"/>
            <w:shd w:val="clear" w:color="auto" w:fill="auto"/>
            <w:noWrap/>
          </w:tcPr>
          <w:p w14:paraId="1FD2A207"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6,7%</w:t>
            </w:r>
          </w:p>
        </w:tc>
      </w:tr>
      <w:tr w:rsidR="004478A8" w:rsidRPr="00EA3D8C" w14:paraId="6CC3CB85" w14:textId="77777777" w:rsidTr="003E2EFC">
        <w:trPr>
          <w:trHeight w:val="90"/>
        </w:trPr>
        <w:tc>
          <w:tcPr>
            <w:tcW w:w="2644" w:type="pct"/>
            <w:shd w:val="clear" w:color="auto" w:fill="auto"/>
            <w:noWrap/>
            <w:hideMark/>
          </w:tcPr>
          <w:p w14:paraId="5A1C5A39" w14:textId="77777777" w:rsidR="004478A8" w:rsidRPr="00EA3D8C" w:rsidRDefault="004478A8" w:rsidP="004478A8">
            <w:pPr>
              <w:spacing w:line="240" w:lineRule="auto"/>
              <w:rPr>
                <w:rFonts w:asciiTheme="minorHAnsi" w:hAnsiTheme="minorHAnsi" w:cstheme="minorHAnsi"/>
                <w:color w:val="002060"/>
                <w:sz w:val="18"/>
                <w:szCs w:val="18"/>
                <w:lang w:val="sr-Cyrl-RS"/>
              </w:rPr>
            </w:pPr>
            <w:r w:rsidRPr="00EA3D8C">
              <w:rPr>
                <w:rFonts w:asciiTheme="minorHAnsi" w:hAnsiTheme="minorHAnsi" w:cstheme="minorHAnsi"/>
                <w:bCs/>
                <w:color w:val="002060"/>
                <w:sz w:val="18"/>
                <w:szCs w:val="18"/>
                <w:lang w:val="sr-Cyrl-RS"/>
              </w:rPr>
              <w:t>Камата</w:t>
            </w:r>
          </w:p>
        </w:tc>
        <w:tc>
          <w:tcPr>
            <w:tcW w:w="589" w:type="pct"/>
            <w:shd w:val="clear" w:color="auto" w:fill="auto"/>
            <w:noWrap/>
          </w:tcPr>
          <w:p w14:paraId="0CBE2B61"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2,0%</w:t>
            </w:r>
          </w:p>
        </w:tc>
        <w:tc>
          <w:tcPr>
            <w:tcW w:w="589" w:type="pct"/>
            <w:shd w:val="clear" w:color="auto" w:fill="auto"/>
            <w:noWrap/>
          </w:tcPr>
          <w:p w14:paraId="7692E693"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1,9%</w:t>
            </w:r>
          </w:p>
        </w:tc>
        <w:tc>
          <w:tcPr>
            <w:tcW w:w="589" w:type="pct"/>
            <w:shd w:val="clear" w:color="auto" w:fill="auto"/>
            <w:noWrap/>
          </w:tcPr>
          <w:p w14:paraId="7CA49A66"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1,7%</w:t>
            </w:r>
          </w:p>
        </w:tc>
        <w:tc>
          <w:tcPr>
            <w:tcW w:w="589" w:type="pct"/>
            <w:shd w:val="clear" w:color="auto" w:fill="auto"/>
            <w:noWrap/>
          </w:tcPr>
          <w:p w14:paraId="51C424C7"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1,6%</w:t>
            </w:r>
          </w:p>
        </w:tc>
      </w:tr>
      <w:tr w:rsidR="004478A8" w:rsidRPr="00EA3D8C" w14:paraId="624A31C8" w14:textId="77777777" w:rsidTr="003E2EFC">
        <w:trPr>
          <w:cnfStyle w:val="000000100000" w:firstRow="0" w:lastRow="0" w:firstColumn="0" w:lastColumn="0" w:oddVBand="0" w:evenVBand="0" w:oddHBand="1" w:evenHBand="0" w:firstRowFirstColumn="0" w:firstRowLastColumn="0" w:lastRowFirstColumn="0" w:lastRowLastColumn="0"/>
          <w:trHeight w:val="22"/>
        </w:trPr>
        <w:tc>
          <w:tcPr>
            <w:tcW w:w="2644" w:type="pct"/>
            <w:tcBorders>
              <w:bottom w:val="single" w:sz="4" w:space="0" w:color="002060"/>
            </w:tcBorders>
            <w:shd w:val="clear" w:color="auto" w:fill="auto"/>
            <w:noWrap/>
            <w:hideMark/>
          </w:tcPr>
          <w:p w14:paraId="2E63965E"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Укупно</w:t>
            </w:r>
          </w:p>
        </w:tc>
        <w:tc>
          <w:tcPr>
            <w:tcW w:w="589" w:type="pct"/>
            <w:tcBorders>
              <w:bottom w:val="single" w:sz="4" w:space="0" w:color="002060"/>
            </w:tcBorders>
            <w:shd w:val="clear" w:color="auto" w:fill="auto"/>
            <w:noWrap/>
          </w:tcPr>
          <w:p w14:paraId="3D8C611A"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9,2%</w:t>
            </w:r>
          </w:p>
        </w:tc>
        <w:tc>
          <w:tcPr>
            <w:tcW w:w="589" w:type="pct"/>
            <w:tcBorders>
              <w:bottom w:val="single" w:sz="4" w:space="0" w:color="002060"/>
            </w:tcBorders>
            <w:shd w:val="clear" w:color="auto" w:fill="auto"/>
            <w:noWrap/>
          </w:tcPr>
          <w:p w14:paraId="4D75EAD3"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9,7%</w:t>
            </w:r>
          </w:p>
        </w:tc>
        <w:tc>
          <w:tcPr>
            <w:tcW w:w="589" w:type="pct"/>
            <w:tcBorders>
              <w:bottom w:val="single" w:sz="4" w:space="0" w:color="002060"/>
            </w:tcBorders>
            <w:shd w:val="clear" w:color="auto" w:fill="auto"/>
            <w:noWrap/>
          </w:tcPr>
          <w:p w14:paraId="3FBE8C53"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8,4%</w:t>
            </w:r>
          </w:p>
        </w:tc>
        <w:tc>
          <w:tcPr>
            <w:tcW w:w="589" w:type="pct"/>
            <w:tcBorders>
              <w:bottom w:val="single" w:sz="4" w:space="0" w:color="002060"/>
            </w:tcBorders>
            <w:shd w:val="clear" w:color="auto" w:fill="auto"/>
            <w:noWrap/>
          </w:tcPr>
          <w:p w14:paraId="0C1A26AB"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8,3%</w:t>
            </w:r>
          </w:p>
        </w:tc>
      </w:tr>
      <w:bookmarkEnd w:id="40"/>
    </w:tbl>
    <w:p w14:paraId="5364A052" w14:textId="77777777" w:rsidR="004478A8" w:rsidRPr="00EA3D8C" w:rsidRDefault="004478A8" w:rsidP="00E4657F">
      <w:pPr>
        <w:rPr>
          <w:rFonts w:cstheme="minorHAnsi"/>
          <w:bCs/>
          <w:szCs w:val="72"/>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56673B63" w14:textId="5E9BA8C1" w:rsidR="004478A8" w:rsidRPr="00EA3D8C" w:rsidRDefault="004478A8" w:rsidP="004478A8">
      <w:pPr>
        <w:rPr>
          <w:rFonts w:cstheme="minorHAnsi"/>
          <w:bCs/>
          <w:szCs w:val="72"/>
          <w:lang w:val="sr-Cyrl-RS"/>
        </w:rPr>
      </w:pPr>
      <w:r w:rsidRPr="00EA3D8C">
        <w:rPr>
          <w:rFonts w:cstheme="minorHAnsi"/>
          <w:bCs/>
          <w:szCs w:val="72"/>
          <w:lang w:val="sr-Cyrl-RS"/>
        </w:rPr>
        <w:lastRenderedPageBreak/>
        <w:t xml:space="preserve">Планирани износи за отплату камата и главница у 2020. години, на централном нивоу државе, укључују и средства за </w:t>
      </w:r>
      <w:r w:rsidRPr="007301C2">
        <w:rPr>
          <w:rFonts w:cstheme="minorHAnsi"/>
          <w:bCs/>
          <w:i/>
          <w:szCs w:val="72"/>
          <w:lang w:val="sr-Cyrl-RS"/>
        </w:rPr>
        <w:t>buy-back</w:t>
      </w:r>
      <w:r w:rsidRPr="00EA3D8C">
        <w:rPr>
          <w:rFonts w:cstheme="minorHAnsi"/>
          <w:bCs/>
          <w:szCs w:val="72"/>
          <w:lang w:val="sr-Cyrl-RS"/>
        </w:rPr>
        <w:t xml:space="preserve"> операције, тј. превремену отплату дуга, како би се скупљи дуг замениo јефтинијим.</w:t>
      </w:r>
    </w:p>
    <w:p w14:paraId="515E1763"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lastRenderedPageBreak/>
        <w:t>Пројекција стања јавног дуга општег нивоа државе у периоду 2020–2023. године</w:t>
      </w:r>
    </w:p>
    <w:p w14:paraId="44E77787" w14:textId="61CFE720" w:rsidR="004478A8" w:rsidRPr="00EA3D8C" w:rsidRDefault="004478A8" w:rsidP="00E4657F">
      <w:pPr>
        <w:spacing w:after="240"/>
        <w:rPr>
          <w:rFonts w:cstheme="minorHAnsi"/>
          <w:bCs/>
          <w:szCs w:val="72"/>
          <w:lang w:val="sr-Cyrl-RS"/>
        </w:rPr>
      </w:pPr>
      <w:r w:rsidRPr="00EA3D8C">
        <w:rPr>
          <w:rFonts w:cstheme="minorHAnsi"/>
          <w:bCs/>
          <w:szCs w:val="72"/>
          <w:lang w:val="sr-Cyrl-RS"/>
        </w:rPr>
        <w:t xml:space="preserve">Имајући у виду пројектовани примарни резултат буџета Републике Србије за период 2020–2023. </w:t>
      </w:r>
      <w:r w:rsidRPr="00EA3D8C">
        <w:rPr>
          <w:rFonts w:cstheme="minorHAnsi"/>
          <w:bCs/>
          <w:szCs w:val="72"/>
          <w:lang w:val="sr-Cyrl-RS"/>
        </w:rPr>
        <w:lastRenderedPageBreak/>
        <w:t xml:space="preserve">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w:t>
      </w:r>
      <w:r w:rsidRPr="00EA3D8C">
        <w:rPr>
          <w:rFonts w:cstheme="minorHAnsi"/>
          <w:bCs/>
          <w:szCs w:val="72"/>
          <w:lang w:val="sr-Cyrl-RS"/>
        </w:rPr>
        <w:lastRenderedPageBreak/>
        <w:t>основном макроекономском сценарију, стање дуга централног нивоа државе требало би да буде на нивоу од 55,0% БДП на крају 2023. године.</w:t>
      </w:r>
    </w:p>
    <w:p w14:paraId="21B40350" w14:textId="7EE13DAC" w:rsidR="004478A8" w:rsidRPr="00EA3D8C" w:rsidRDefault="004478A8" w:rsidP="00E4657F">
      <w:pPr>
        <w:spacing w:after="240"/>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p>
    <w:p w14:paraId="11EFDF72" w14:textId="77777777" w:rsidR="004478A8" w:rsidRPr="00EA3D8C" w:rsidRDefault="004478A8" w:rsidP="00025B30">
      <w:pPr>
        <w:spacing w:after="0"/>
        <w:jc w:val="center"/>
        <w:rPr>
          <w:b/>
          <w:color w:val="002060"/>
          <w:lang w:val="sr-Cyrl-RS"/>
        </w:rPr>
      </w:pPr>
    </w:p>
    <w:p w14:paraId="3A5BC18D" w14:textId="14E80469" w:rsidR="004478A8" w:rsidRPr="00EA3D8C" w:rsidRDefault="00EC4017" w:rsidP="00E4657F">
      <w:pPr>
        <w:jc w:val="center"/>
        <w:rPr>
          <w:b/>
          <w:color w:val="002060"/>
          <w:lang w:val="sr-Cyrl-RS"/>
        </w:rPr>
      </w:pPr>
      <w:r w:rsidRPr="00EA3D8C">
        <w:rPr>
          <w:b/>
          <w:color w:val="002060"/>
          <w:lang w:val="sr-Cyrl-RS"/>
        </w:rPr>
        <w:t>Табела 26</w:t>
      </w:r>
      <w:r w:rsidR="004478A8" w:rsidRPr="00EA3D8C">
        <w:rPr>
          <w:b/>
          <w:color w:val="002060"/>
          <w:lang w:val="sr-Cyrl-RS"/>
        </w:rPr>
        <w:t>. Основна пројекција стања јавног дуга општег нивоа државе до 2023. године</w:t>
      </w:r>
    </w:p>
    <w:tbl>
      <w:tblPr>
        <w:tblStyle w:val="LightShading-Accent122"/>
        <w:tblW w:w="5000" w:type="pct"/>
        <w:tblLook w:val="0420" w:firstRow="1" w:lastRow="0" w:firstColumn="0" w:lastColumn="0" w:noHBand="0" w:noVBand="1"/>
      </w:tblPr>
      <w:tblGrid>
        <w:gridCol w:w="5100"/>
        <w:gridCol w:w="1065"/>
        <w:gridCol w:w="1065"/>
        <w:gridCol w:w="1065"/>
        <w:gridCol w:w="1065"/>
      </w:tblGrid>
      <w:tr w:rsidR="004478A8" w:rsidRPr="00EA3D8C" w14:paraId="3C03EC79" w14:textId="77777777" w:rsidTr="003E2EFC">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shd w:val="clear" w:color="auto" w:fill="auto"/>
            <w:noWrap/>
            <w:hideMark/>
          </w:tcPr>
          <w:p w14:paraId="6D1D0D58" w14:textId="77777777" w:rsidR="004478A8" w:rsidRPr="00EA3D8C" w:rsidRDefault="004478A8" w:rsidP="004478A8">
            <w:pPr>
              <w:rPr>
                <w:rFonts w:asciiTheme="minorHAnsi" w:hAnsiTheme="minorHAnsi" w:cstheme="minorHAnsi"/>
                <w:b w:val="0"/>
                <w:color w:val="002060"/>
                <w:sz w:val="18"/>
                <w:szCs w:val="18"/>
                <w:lang w:val="sr-Cyrl-RS"/>
              </w:rPr>
            </w:pPr>
          </w:p>
        </w:tc>
        <w:tc>
          <w:tcPr>
            <w:tcW w:w="569" w:type="pct"/>
            <w:tcBorders>
              <w:top w:val="single" w:sz="4" w:space="0" w:color="002060"/>
              <w:bottom w:val="single" w:sz="4" w:space="0" w:color="002060"/>
            </w:tcBorders>
            <w:shd w:val="clear" w:color="auto" w:fill="auto"/>
            <w:noWrap/>
            <w:hideMark/>
          </w:tcPr>
          <w:p w14:paraId="0E95E1FB"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2020 п</w:t>
            </w:r>
          </w:p>
        </w:tc>
        <w:tc>
          <w:tcPr>
            <w:tcW w:w="569" w:type="pct"/>
            <w:tcBorders>
              <w:top w:val="single" w:sz="4" w:space="0" w:color="002060"/>
              <w:bottom w:val="single" w:sz="4" w:space="0" w:color="002060"/>
            </w:tcBorders>
            <w:shd w:val="clear" w:color="auto" w:fill="auto"/>
            <w:noWrap/>
            <w:hideMark/>
          </w:tcPr>
          <w:p w14:paraId="270B1B26"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2021 п</w:t>
            </w:r>
          </w:p>
        </w:tc>
        <w:tc>
          <w:tcPr>
            <w:tcW w:w="569" w:type="pct"/>
            <w:tcBorders>
              <w:top w:val="single" w:sz="4" w:space="0" w:color="002060"/>
              <w:bottom w:val="single" w:sz="4" w:space="0" w:color="002060"/>
            </w:tcBorders>
            <w:shd w:val="clear" w:color="auto" w:fill="auto"/>
            <w:noWrap/>
            <w:hideMark/>
          </w:tcPr>
          <w:p w14:paraId="701D46C9"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2022 п</w:t>
            </w:r>
          </w:p>
        </w:tc>
        <w:tc>
          <w:tcPr>
            <w:tcW w:w="569" w:type="pct"/>
            <w:tcBorders>
              <w:top w:val="single" w:sz="4" w:space="0" w:color="002060"/>
              <w:bottom w:val="single" w:sz="4" w:space="0" w:color="002060"/>
            </w:tcBorders>
            <w:shd w:val="clear" w:color="auto" w:fill="auto"/>
            <w:noWrap/>
            <w:hideMark/>
          </w:tcPr>
          <w:p w14:paraId="2E317FE3" w14:textId="77777777" w:rsidR="004478A8" w:rsidRPr="00EA3D8C" w:rsidRDefault="004478A8" w:rsidP="004478A8">
            <w:pPr>
              <w:jc w:val="right"/>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2023 п</w:t>
            </w:r>
          </w:p>
        </w:tc>
      </w:tr>
      <w:tr w:rsidR="004478A8" w:rsidRPr="00EA3D8C" w14:paraId="79902E20" w14:textId="77777777" w:rsidTr="003E2EFC">
        <w:trPr>
          <w:cnfStyle w:val="000000100000" w:firstRow="0" w:lastRow="0" w:firstColumn="0" w:lastColumn="0" w:oddVBand="0" w:evenVBand="0" w:oddHBand="1" w:evenHBand="0" w:firstRowFirstColumn="0" w:firstRowLastColumn="0" w:lastRowFirstColumn="0" w:lastRowLastColumn="0"/>
          <w:trHeight w:val="20"/>
        </w:trPr>
        <w:tc>
          <w:tcPr>
            <w:tcW w:w="2724" w:type="pct"/>
            <w:shd w:val="clear" w:color="auto" w:fill="auto"/>
            <w:noWrap/>
            <w:hideMark/>
          </w:tcPr>
          <w:p w14:paraId="7D93C2F5" w14:textId="44A6E6A5" w:rsidR="004478A8" w:rsidRPr="007301C2"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Јавни дуг (централни ниво власти)</w:t>
            </w:r>
            <w:r w:rsidR="007301C2">
              <w:rPr>
                <w:rFonts w:asciiTheme="minorHAnsi" w:hAnsiTheme="minorHAnsi" w:cstheme="minorHAnsi"/>
                <w:bCs/>
                <w:color w:val="002060"/>
                <w:sz w:val="18"/>
                <w:szCs w:val="18"/>
                <w:lang w:val="sr-Cyrl-RS"/>
              </w:rPr>
              <w:t>, млрд РСД</w:t>
            </w:r>
          </w:p>
        </w:tc>
        <w:tc>
          <w:tcPr>
            <w:tcW w:w="569" w:type="pct"/>
            <w:tcBorders>
              <w:top w:val="single" w:sz="4" w:space="0" w:color="002060"/>
            </w:tcBorders>
            <w:shd w:val="clear" w:color="auto" w:fill="auto"/>
            <w:noWrap/>
            <w:hideMark/>
          </w:tcPr>
          <w:p w14:paraId="28AB2B83"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3.193,8</w:t>
            </w:r>
          </w:p>
        </w:tc>
        <w:tc>
          <w:tcPr>
            <w:tcW w:w="569" w:type="pct"/>
            <w:tcBorders>
              <w:top w:val="single" w:sz="4" w:space="0" w:color="002060"/>
            </w:tcBorders>
            <w:shd w:val="clear" w:color="auto" w:fill="auto"/>
            <w:noWrap/>
            <w:hideMark/>
          </w:tcPr>
          <w:p w14:paraId="49B119D4"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3.447,8</w:t>
            </w:r>
          </w:p>
        </w:tc>
        <w:tc>
          <w:tcPr>
            <w:tcW w:w="569" w:type="pct"/>
            <w:tcBorders>
              <w:top w:val="single" w:sz="4" w:space="0" w:color="002060"/>
            </w:tcBorders>
            <w:shd w:val="clear" w:color="auto" w:fill="auto"/>
            <w:noWrap/>
            <w:hideMark/>
          </w:tcPr>
          <w:p w14:paraId="2A38C0AB"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3.639,0</w:t>
            </w:r>
          </w:p>
        </w:tc>
        <w:tc>
          <w:tcPr>
            <w:tcW w:w="569" w:type="pct"/>
            <w:tcBorders>
              <w:top w:val="single" w:sz="4" w:space="0" w:color="002060"/>
            </w:tcBorders>
            <w:shd w:val="clear" w:color="auto" w:fill="auto"/>
            <w:noWrap/>
            <w:hideMark/>
          </w:tcPr>
          <w:p w14:paraId="5E44341D"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3.781,1</w:t>
            </w:r>
          </w:p>
        </w:tc>
      </w:tr>
      <w:tr w:rsidR="004478A8" w:rsidRPr="00EA3D8C" w14:paraId="2C45FFF4" w14:textId="77777777" w:rsidTr="003E2EFC">
        <w:trPr>
          <w:trHeight w:val="20"/>
        </w:trPr>
        <w:tc>
          <w:tcPr>
            <w:tcW w:w="2724" w:type="pct"/>
            <w:shd w:val="clear" w:color="auto" w:fill="auto"/>
            <w:hideMark/>
          </w:tcPr>
          <w:p w14:paraId="2B46698D"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Дуг централне државе, у % БДП</w:t>
            </w:r>
          </w:p>
        </w:tc>
        <w:tc>
          <w:tcPr>
            <w:tcW w:w="569" w:type="pct"/>
            <w:shd w:val="clear" w:color="auto" w:fill="auto"/>
            <w:noWrap/>
            <w:vAlign w:val="bottom"/>
            <w:hideMark/>
          </w:tcPr>
          <w:p w14:paraId="474C1DAA"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57,9%</w:t>
            </w:r>
          </w:p>
        </w:tc>
        <w:tc>
          <w:tcPr>
            <w:tcW w:w="569" w:type="pct"/>
            <w:shd w:val="clear" w:color="auto" w:fill="auto"/>
            <w:noWrap/>
            <w:vAlign w:val="bottom"/>
            <w:hideMark/>
          </w:tcPr>
          <w:p w14:paraId="4E1ADB9F"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57,5%</w:t>
            </w:r>
          </w:p>
        </w:tc>
        <w:tc>
          <w:tcPr>
            <w:tcW w:w="569" w:type="pct"/>
            <w:shd w:val="clear" w:color="auto" w:fill="auto"/>
            <w:noWrap/>
            <w:vAlign w:val="bottom"/>
            <w:hideMark/>
          </w:tcPr>
          <w:p w14:paraId="77684CEF"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56,8%</w:t>
            </w:r>
          </w:p>
        </w:tc>
        <w:tc>
          <w:tcPr>
            <w:tcW w:w="569" w:type="pct"/>
            <w:shd w:val="clear" w:color="auto" w:fill="auto"/>
            <w:noWrap/>
            <w:vAlign w:val="bottom"/>
            <w:hideMark/>
          </w:tcPr>
          <w:p w14:paraId="775C556C"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55,0%</w:t>
            </w:r>
          </w:p>
        </w:tc>
      </w:tr>
      <w:tr w:rsidR="004478A8" w:rsidRPr="00EA3D8C" w14:paraId="3C393C68" w14:textId="77777777" w:rsidTr="003E2EFC">
        <w:trPr>
          <w:cnfStyle w:val="000000100000" w:firstRow="0" w:lastRow="0" w:firstColumn="0" w:lastColumn="0" w:oddVBand="0" w:evenVBand="0" w:oddHBand="1" w:evenHBand="0" w:firstRowFirstColumn="0" w:firstRowLastColumn="0" w:lastRowFirstColumn="0" w:lastRowLastColumn="0"/>
          <w:trHeight w:val="20"/>
        </w:trPr>
        <w:tc>
          <w:tcPr>
            <w:tcW w:w="2724" w:type="pct"/>
            <w:tcBorders>
              <w:bottom w:val="nil"/>
            </w:tcBorders>
            <w:shd w:val="clear" w:color="auto" w:fill="auto"/>
          </w:tcPr>
          <w:p w14:paraId="147906E4"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Негарантовани дуг јединица локалне самоуправе, у % БДП</w:t>
            </w:r>
          </w:p>
        </w:tc>
        <w:tc>
          <w:tcPr>
            <w:tcW w:w="569" w:type="pct"/>
            <w:tcBorders>
              <w:bottom w:val="nil"/>
            </w:tcBorders>
            <w:shd w:val="clear" w:color="auto" w:fill="auto"/>
            <w:noWrap/>
            <w:vAlign w:val="bottom"/>
          </w:tcPr>
          <w:p w14:paraId="020A04BD"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1,1%</w:t>
            </w:r>
          </w:p>
        </w:tc>
        <w:tc>
          <w:tcPr>
            <w:tcW w:w="569" w:type="pct"/>
            <w:tcBorders>
              <w:bottom w:val="nil"/>
            </w:tcBorders>
            <w:shd w:val="clear" w:color="auto" w:fill="auto"/>
            <w:noWrap/>
            <w:vAlign w:val="bottom"/>
          </w:tcPr>
          <w:p w14:paraId="55648B12"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1,2%</w:t>
            </w:r>
          </w:p>
        </w:tc>
        <w:tc>
          <w:tcPr>
            <w:tcW w:w="569" w:type="pct"/>
            <w:tcBorders>
              <w:bottom w:val="nil"/>
            </w:tcBorders>
            <w:shd w:val="clear" w:color="auto" w:fill="auto"/>
            <w:noWrap/>
            <w:vAlign w:val="bottom"/>
          </w:tcPr>
          <w:p w14:paraId="0D38052A"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1,1%</w:t>
            </w:r>
          </w:p>
        </w:tc>
        <w:tc>
          <w:tcPr>
            <w:tcW w:w="569" w:type="pct"/>
            <w:tcBorders>
              <w:bottom w:val="nil"/>
            </w:tcBorders>
            <w:shd w:val="clear" w:color="auto" w:fill="auto"/>
            <w:noWrap/>
            <w:vAlign w:val="bottom"/>
          </w:tcPr>
          <w:p w14:paraId="392ADBA6"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1,0%</w:t>
            </w:r>
          </w:p>
        </w:tc>
      </w:tr>
      <w:tr w:rsidR="004478A8" w:rsidRPr="00EA3D8C" w14:paraId="4ADD5CB2" w14:textId="77777777" w:rsidTr="003E2EFC">
        <w:trPr>
          <w:trHeight w:val="20"/>
        </w:trPr>
        <w:tc>
          <w:tcPr>
            <w:tcW w:w="2724" w:type="pct"/>
            <w:tcBorders>
              <w:top w:val="nil"/>
              <w:bottom w:val="single" w:sz="4" w:space="0" w:color="002060"/>
            </w:tcBorders>
            <w:shd w:val="clear" w:color="auto" w:fill="auto"/>
          </w:tcPr>
          <w:p w14:paraId="7ACF3818"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Дуг опште државе, у % БДП</w:t>
            </w:r>
          </w:p>
        </w:tc>
        <w:tc>
          <w:tcPr>
            <w:tcW w:w="569" w:type="pct"/>
            <w:tcBorders>
              <w:top w:val="nil"/>
              <w:bottom w:val="single" w:sz="4" w:space="0" w:color="002060"/>
            </w:tcBorders>
            <w:shd w:val="clear" w:color="auto" w:fill="auto"/>
            <w:noWrap/>
            <w:vAlign w:val="bottom"/>
          </w:tcPr>
          <w:p w14:paraId="7AA7FA82"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59,0%</w:t>
            </w:r>
          </w:p>
        </w:tc>
        <w:tc>
          <w:tcPr>
            <w:tcW w:w="569" w:type="pct"/>
            <w:tcBorders>
              <w:top w:val="nil"/>
              <w:bottom w:val="single" w:sz="4" w:space="0" w:color="002060"/>
            </w:tcBorders>
            <w:shd w:val="clear" w:color="auto" w:fill="auto"/>
            <w:noWrap/>
            <w:vAlign w:val="bottom"/>
          </w:tcPr>
          <w:p w14:paraId="19424EEE"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58,7%</w:t>
            </w:r>
          </w:p>
        </w:tc>
        <w:tc>
          <w:tcPr>
            <w:tcW w:w="569" w:type="pct"/>
            <w:tcBorders>
              <w:top w:val="nil"/>
              <w:bottom w:val="single" w:sz="4" w:space="0" w:color="002060"/>
            </w:tcBorders>
            <w:shd w:val="clear" w:color="auto" w:fill="auto"/>
            <w:noWrap/>
            <w:vAlign w:val="bottom"/>
          </w:tcPr>
          <w:p w14:paraId="1FDAC420"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57,9%</w:t>
            </w:r>
          </w:p>
        </w:tc>
        <w:tc>
          <w:tcPr>
            <w:tcW w:w="569" w:type="pct"/>
            <w:tcBorders>
              <w:top w:val="nil"/>
              <w:bottom w:val="single" w:sz="4" w:space="0" w:color="002060"/>
            </w:tcBorders>
            <w:shd w:val="clear" w:color="auto" w:fill="auto"/>
            <w:noWrap/>
            <w:vAlign w:val="bottom"/>
          </w:tcPr>
          <w:p w14:paraId="26A2B3ED" w14:textId="77777777" w:rsidR="004478A8" w:rsidRPr="00EA3D8C" w:rsidRDefault="004478A8" w:rsidP="004478A8">
            <w:pPr>
              <w:spacing w:line="240" w:lineRule="auto"/>
              <w:jc w:val="right"/>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56,0%</w:t>
            </w:r>
          </w:p>
        </w:tc>
      </w:tr>
    </w:tbl>
    <w:p w14:paraId="2939EB16" w14:textId="77777777" w:rsidR="004478A8" w:rsidRPr="00EA3D8C" w:rsidRDefault="004478A8" w:rsidP="00E4657F">
      <w:pPr>
        <w:rPr>
          <w:rFonts w:cstheme="minorHAnsi"/>
          <w:bCs/>
          <w:sz w:val="4"/>
          <w:szCs w:val="72"/>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2DFC7D57" w14:textId="0A97B1A6" w:rsidR="004478A8" w:rsidRPr="00EA3D8C" w:rsidRDefault="004478A8" w:rsidP="004478A8">
      <w:pPr>
        <w:rPr>
          <w:rFonts w:cstheme="minorHAnsi"/>
          <w:bCs/>
          <w:spacing w:val="-2"/>
          <w:szCs w:val="72"/>
          <w:lang w:val="sr-Cyrl-RS"/>
        </w:rPr>
      </w:pPr>
      <w:r w:rsidRPr="00EA3D8C">
        <w:rPr>
          <w:rFonts w:cstheme="minorHAnsi"/>
          <w:bCs/>
          <w:spacing w:val="-2"/>
          <w:szCs w:val="72"/>
          <w:lang w:val="sr-Cyrl-RS"/>
        </w:rPr>
        <w:lastRenderedPageBreak/>
        <w:t xml:space="preserve">У 2020. години се очекује раст рација који показује учешће јавног дуга општег нивоа државе у БДП на 59,0% услед неопходности да се </w:t>
      </w:r>
      <w:r w:rsidRPr="00EA3D8C">
        <w:rPr>
          <w:rFonts w:cstheme="minorHAnsi"/>
          <w:bCs/>
          <w:szCs w:val="72"/>
          <w:lang w:val="sr-Cyrl-RS"/>
        </w:rPr>
        <w:t xml:space="preserve">финансирају мере подршке </w:t>
      </w:r>
      <w:r w:rsidRPr="00EA3D8C">
        <w:rPr>
          <w:rFonts w:cstheme="minorHAnsi"/>
          <w:bCs/>
          <w:spacing w:val="-2"/>
          <w:szCs w:val="72"/>
          <w:lang w:val="sr-Cyrl-RS"/>
        </w:rPr>
        <w:t xml:space="preserve">привреди и грађанима погођеним пандемијом изазваном коронавирусом COVID-19. Након тога се у наредним годинама очекује стабилизација прилика и враћање рација на силазну путању, те се очекује да на крају 2021. године износи 58,7%, на крају 2022. године 57,9%, а на крају 2023. године 56,0%. У датом периоду се очекује реализација великих инфраструктурних пројеката који ће бити финансирани углавном из пројектних зајмова, те њихова </w:t>
      </w:r>
      <w:r w:rsidR="00285491" w:rsidRPr="00EA3D8C">
        <w:rPr>
          <w:rFonts w:cstheme="minorHAnsi"/>
          <w:bCs/>
          <w:spacing w:val="-2"/>
          <w:szCs w:val="72"/>
          <w:lang w:val="sr-Cyrl-RS"/>
        </w:rPr>
        <w:t>интензивнија</w:t>
      </w:r>
      <w:r w:rsidRPr="00EA3D8C">
        <w:rPr>
          <w:rFonts w:cstheme="minorHAnsi"/>
          <w:bCs/>
          <w:spacing w:val="-2"/>
          <w:szCs w:val="72"/>
          <w:lang w:val="sr-Cyrl-RS"/>
        </w:rPr>
        <w:t xml:space="preserve"> реализација у односу на претходни период. Да није тога, пад рација би био израженији. Међутим, ово је управо једна од тачака где се може видети јасна координација фискалних и развојних циљева. Води се рачуна о одрживости јавног дуга и постепеном благом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у наредном периоду бити на релативно стабилном нивоу од око 1,0% до 1,2% БДП у периоду од 2021. до 2023. године.</w:t>
      </w:r>
    </w:p>
    <w:p w14:paraId="31A1E77C" w14:textId="161C09DD"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Принципи управљања јавним дугом</w:t>
      </w:r>
    </w:p>
    <w:p w14:paraId="2B3A52B2" w14:textId="77777777" w:rsidR="004478A8" w:rsidRPr="00EA3D8C" w:rsidRDefault="004478A8" w:rsidP="00E4657F">
      <w:pPr>
        <w:rPr>
          <w:rFonts w:cstheme="minorHAnsi"/>
          <w:bCs/>
          <w:szCs w:val="72"/>
          <w:lang w:val="sr-Cyrl-RS"/>
        </w:rPr>
      </w:pPr>
      <w:r w:rsidRPr="00EA3D8C">
        <w:rPr>
          <w:rFonts w:cstheme="minorHAnsi"/>
          <w:bCs/>
          <w:szCs w:val="72"/>
          <w:lang w:val="sr-Cyrl-RS"/>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7783378D" w14:textId="77777777" w:rsidR="004478A8" w:rsidRPr="00EA3D8C" w:rsidRDefault="004478A8" w:rsidP="00E4657F">
      <w:pPr>
        <w:rPr>
          <w:rFonts w:cstheme="minorHAnsi"/>
          <w:bCs/>
          <w:szCs w:val="72"/>
          <w:lang w:val="sr-Cyrl-RS"/>
        </w:rPr>
      </w:pPr>
      <w:r w:rsidRPr="00EA3D8C">
        <w:rPr>
          <w:rFonts w:cstheme="minorHAnsi"/>
          <w:bCs/>
          <w:szCs w:val="72"/>
          <w:lang w:val="sr-Cyrl-RS"/>
        </w:rPr>
        <w:lastRenderedPageBreak/>
        <w:t>1) Осигурати финансирање фискалног дефицита и редовно сервисирање обавеза по основу јавног дуга Републике Србије;</w:t>
      </w:r>
    </w:p>
    <w:p w14:paraId="7FF70199" w14:textId="77777777" w:rsidR="004478A8" w:rsidRPr="00EA3D8C" w:rsidRDefault="004478A8" w:rsidP="00E4657F">
      <w:pPr>
        <w:rPr>
          <w:rFonts w:cstheme="minorHAnsi"/>
          <w:bCs/>
          <w:szCs w:val="72"/>
          <w:lang w:val="sr-Cyrl-RS"/>
        </w:rPr>
      </w:pPr>
      <w:r w:rsidRPr="00EA3D8C">
        <w:rPr>
          <w:rFonts w:cstheme="minorHAnsi"/>
          <w:bCs/>
          <w:szCs w:val="72"/>
          <w:lang w:val="sr-Cyrl-RS"/>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420541A5" w14:textId="77777777" w:rsidR="004478A8" w:rsidRPr="00EA3D8C" w:rsidRDefault="004478A8" w:rsidP="00E4657F">
      <w:pPr>
        <w:rPr>
          <w:rFonts w:cstheme="minorHAnsi"/>
          <w:bCs/>
          <w:szCs w:val="72"/>
          <w:lang w:val="sr-Cyrl-RS"/>
        </w:rPr>
      </w:pPr>
      <w:r w:rsidRPr="00EA3D8C">
        <w:rPr>
          <w:rFonts w:cstheme="minorHAnsi"/>
          <w:bCs/>
          <w:szCs w:val="72"/>
          <w:lang w:val="sr-Cyrl-RS"/>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5EB4228B" w14:textId="77777777" w:rsidR="004478A8" w:rsidRPr="00EA3D8C" w:rsidRDefault="004478A8" w:rsidP="00E4657F">
      <w:pPr>
        <w:rPr>
          <w:rFonts w:cstheme="minorHAnsi"/>
          <w:bCs/>
          <w:szCs w:val="72"/>
          <w:lang w:val="sr-Cyrl-RS"/>
        </w:rPr>
      </w:pPr>
      <w:r w:rsidRPr="00EA3D8C">
        <w:rPr>
          <w:rFonts w:cstheme="minorHAnsi"/>
          <w:bCs/>
          <w:szCs w:val="72"/>
          <w:lang w:val="sr-Cyrl-RS"/>
        </w:rPr>
        <w:t>4) Омогућити транспарентност и предвидивост процеса задуживања.</w:t>
      </w:r>
    </w:p>
    <w:p w14:paraId="3F9E12E6" w14:textId="77777777" w:rsidR="004478A8" w:rsidRPr="00EA3D8C" w:rsidRDefault="004478A8" w:rsidP="00E4657F">
      <w:pPr>
        <w:rPr>
          <w:rFonts w:cstheme="minorHAnsi"/>
          <w:bCs/>
          <w:szCs w:val="72"/>
          <w:lang w:val="sr-Cyrl-RS"/>
        </w:rPr>
      </w:pPr>
      <w:r w:rsidRPr="00EA3D8C">
        <w:rPr>
          <w:rFonts w:cstheme="minorHAnsi"/>
          <w:bCs/>
          <w:szCs w:val="72"/>
          <w:lang w:val="sr-Cyrl-RS"/>
        </w:rPr>
        <w:t>Стратегија управљања јавним дугом конзистентна је са општим средњорочним макроекономским и фискалним оквиром.</w:t>
      </w:r>
    </w:p>
    <w:p w14:paraId="2E47EAAE" w14:textId="77777777" w:rsidR="004478A8" w:rsidRPr="00341D14" w:rsidRDefault="004478A8" w:rsidP="00E4657F">
      <w:pPr>
        <w:rPr>
          <w:rFonts w:cstheme="minorHAnsi"/>
          <w:bCs/>
          <w:spacing w:val="-2"/>
          <w:szCs w:val="72"/>
          <w:lang w:val="sr-Cyrl-RS"/>
        </w:rPr>
      </w:pPr>
      <w:r w:rsidRPr="00341D14">
        <w:rPr>
          <w:rFonts w:cstheme="minorHAnsi"/>
          <w:bCs/>
          <w:spacing w:val="-2"/>
          <w:szCs w:val="72"/>
          <w:lang w:val="sr-Cyrl-RS"/>
        </w:rPr>
        <w:t xml:space="preserve">Стратегија управљања јавним дугом у наредном средњорочном периоду базира се на финансирању дефицита и главнице дуга буџета Републике Србије углавном путем емисије државних хартија од вредности на домаћем и међународном тржишту капитала. Домаће тржиште државних хартија од вредности је још увек у развоју и један од принципа управљања јавним дугом је флексибилност, како би редовно сервисирање обавеза било обезбеђено. Флексибилност ће се огледати у домену избора тржишта на коме ће се вршити задуживање, валуте задуживања и инструмента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w:t>
      </w:r>
      <w:r w:rsidRPr="00341D14">
        <w:rPr>
          <w:rFonts w:cstheme="minorHAnsi"/>
          <w:bCs/>
          <w:spacing w:val="-2"/>
          <w:szCs w:val="72"/>
          <w:lang w:val="sr-Cyrl-RS"/>
        </w:rPr>
        <w:lastRenderedPageBreak/>
        <w:t>референтних валута) и прихватљив ниво изложености финансијским ризицима.</w:t>
      </w:r>
    </w:p>
    <w:p w14:paraId="1802E8FC" w14:textId="77777777" w:rsidR="004478A8" w:rsidRPr="00EA3D8C" w:rsidRDefault="004478A8" w:rsidP="00E4657F">
      <w:pPr>
        <w:rPr>
          <w:rFonts w:cstheme="minorHAnsi"/>
          <w:bCs/>
          <w:szCs w:val="72"/>
          <w:lang w:val="sr-Cyrl-RS"/>
        </w:rPr>
      </w:pPr>
      <w:r w:rsidRPr="00EA3D8C">
        <w:rPr>
          <w:rFonts w:cstheme="minorHAnsi"/>
          <w:bCs/>
          <w:szCs w:val="72"/>
          <w:lang w:val="sr-Cyrl-RS"/>
        </w:rPr>
        <w:t xml:space="preserve">Циљ је да се у наредном дугорочном периоду финансирање обавља пре свега емитовањем динарских хартија од вредности на домаћем тржишту. Међутим, тренутна ситуација упућује на то да, упркос чврстој одлучности ка развоју домаћег тржишта државних хартија од вредности, један део финансирања може бити обезбеђен на међународном финансијском тржишту у средњорочном периоду, кроз успостављање </w:t>
      </w:r>
      <w:r w:rsidRPr="00745F06">
        <w:rPr>
          <w:rFonts w:cstheme="minorHAnsi"/>
          <w:bCs/>
          <w:i/>
          <w:szCs w:val="72"/>
          <w:lang w:val="sr-Cyrl-RS"/>
        </w:rPr>
        <w:t>GMTN</w:t>
      </w:r>
      <w:r w:rsidRPr="00EA3D8C">
        <w:rPr>
          <w:rFonts w:cstheme="minorHAnsi"/>
          <w:bCs/>
          <w:szCs w:val="72"/>
          <w:lang w:val="sr-Cyrl-RS"/>
        </w:rPr>
        <w:t xml:space="preserve"> програма.</w:t>
      </w:r>
    </w:p>
    <w:p w14:paraId="42B0C1DF" w14:textId="77777777" w:rsidR="004478A8" w:rsidRPr="00EA3D8C" w:rsidRDefault="004478A8" w:rsidP="00E4657F">
      <w:pPr>
        <w:rPr>
          <w:rFonts w:cstheme="minorHAnsi"/>
          <w:bCs/>
          <w:szCs w:val="72"/>
          <w:lang w:val="sr-Cyrl-RS"/>
        </w:rPr>
      </w:pPr>
      <w:r w:rsidRPr="00EA3D8C">
        <w:rPr>
          <w:rFonts w:cstheme="minorHAnsi"/>
          <w:bCs/>
          <w:szCs w:val="72"/>
          <w:lang w:val="sr-Cyrl-RS"/>
        </w:rPr>
        <w:t>Позајмљивање у страној валути, као нпр. у америчким доларима, за собом повлачи и девизни ризик услед промене курсa евро – амерички долар, те ће из тог разлога користити могућност хеџинга.</w:t>
      </w:r>
    </w:p>
    <w:p w14:paraId="120A55F1" w14:textId="77777777" w:rsidR="004478A8" w:rsidRPr="00EA3D8C" w:rsidRDefault="004478A8" w:rsidP="00E4657F">
      <w:pPr>
        <w:rPr>
          <w:rFonts w:cstheme="minorHAnsi"/>
          <w:bCs/>
          <w:szCs w:val="72"/>
          <w:lang w:val="sr-Cyrl-RS"/>
        </w:rPr>
      </w:pPr>
      <w:r w:rsidRPr="00EA3D8C">
        <w:rPr>
          <w:rFonts w:cstheme="minorHAnsi"/>
          <w:bCs/>
          <w:szCs w:val="72"/>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318FAE6E"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Финансијски ризици и мере за управљање финансијским ризицима</w:t>
      </w:r>
    </w:p>
    <w:p w14:paraId="70238E6B" w14:textId="77777777" w:rsidR="004478A8" w:rsidRPr="00EA3D8C" w:rsidRDefault="004478A8" w:rsidP="00E4657F">
      <w:pPr>
        <w:rPr>
          <w:rFonts w:cstheme="minorHAnsi"/>
          <w:bCs/>
          <w:szCs w:val="72"/>
          <w:lang w:val="sr-Cyrl-RS"/>
        </w:rPr>
      </w:pPr>
      <w:r w:rsidRPr="00EA3D8C">
        <w:rPr>
          <w:rFonts w:cstheme="minorHAnsi"/>
          <w:bCs/>
          <w:szCs w:val="72"/>
          <w:lang w:val="sr-Cyrl-RS"/>
        </w:rPr>
        <w:t>Финансијски и фискални ризици могу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1F1BA49F" w14:textId="77777777" w:rsidR="004478A8" w:rsidRPr="00EA3D8C" w:rsidRDefault="004478A8" w:rsidP="00E4657F">
      <w:pPr>
        <w:spacing w:after="120"/>
        <w:rPr>
          <w:rFonts w:cstheme="minorHAnsi"/>
          <w:bCs/>
          <w:szCs w:val="72"/>
          <w:lang w:val="sr-Cyrl-RS"/>
        </w:rPr>
      </w:pPr>
      <w:r w:rsidRPr="00EA3D8C">
        <w:rPr>
          <w:rFonts w:cstheme="minorHAnsi"/>
          <w:bCs/>
          <w:szCs w:val="72"/>
          <w:lang w:val="sr-Cyrl-RS"/>
        </w:rPr>
        <w:t>У циљу смањења изложености финансијским ризицима потребно је спроводити следеће мере:</w:t>
      </w:r>
    </w:p>
    <w:p w14:paraId="02872415" w14:textId="77777777" w:rsidR="004478A8" w:rsidRPr="00EA3D8C" w:rsidRDefault="004478A8" w:rsidP="00E4657F">
      <w:pPr>
        <w:spacing w:after="60"/>
        <w:rPr>
          <w:rFonts w:cstheme="minorHAnsi"/>
          <w:bCs/>
          <w:szCs w:val="72"/>
          <w:lang w:val="sr-Cyrl-RS"/>
        </w:rPr>
      </w:pPr>
      <w:r w:rsidRPr="00EA3D8C">
        <w:rPr>
          <w:rFonts w:cstheme="minorHAnsi"/>
          <w:bCs/>
          <w:szCs w:val="72"/>
          <w:lang w:val="sr-Cyrl-RS"/>
        </w:rPr>
        <w:t>1. ризик рефинансирања</w:t>
      </w:r>
    </w:p>
    <w:p w14:paraId="157FF593" w14:textId="77777777" w:rsidR="004478A8" w:rsidRPr="00EA3D8C" w:rsidRDefault="004478A8" w:rsidP="00E4657F">
      <w:pPr>
        <w:numPr>
          <w:ilvl w:val="0"/>
          <w:numId w:val="22"/>
        </w:numPr>
        <w:ind w:left="180" w:hanging="180"/>
        <w:contextualSpacing/>
        <w:rPr>
          <w:rFonts w:cstheme="minorHAnsi"/>
          <w:bCs/>
          <w:szCs w:val="72"/>
          <w:lang w:val="sr-Cyrl-RS"/>
        </w:rPr>
      </w:pPr>
      <w:r w:rsidRPr="00EA3D8C">
        <w:rPr>
          <w:rFonts w:cstheme="minorHAnsi"/>
          <w:bCs/>
          <w:szCs w:val="72"/>
          <w:lang w:val="sr-Cyrl-RS"/>
        </w:rPr>
        <w:t>повећање учешћа средњорочних и дугорочних финансијских инструмената деноминованих у динарима на домаћем финансијском тржишту;</w:t>
      </w:r>
    </w:p>
    <w:p w14:paraId="68FCC7DE" w14:textId="77777777" w:rsidR="004478A8" w:rsidRPr="00EA3D8C" w:rsidRDefault="004478A8" w:rsidP="00E4657F">
      <w:pPr>
        <w:numPr>
          <w:ilvl w:val="0"/>
          <w:numId w:val="22"/>
        </w:numPr>
        <w:ind w:left="180" w:hanging="180"/>
        <w:contextualSpacing/>
        <w:rPr>
          <w:rFonts w:cstheme="minorHAnsi"/>
          <w:bCs/>
          <w:szCs w:val="72"/>
          <w:lang w:val="sr-Cyrl-RS"/>
        </w:rPr>
      </w:pPr>
      <w:r w:rsidRPr="00EA3D8C">
        <w:rPr>
          <w:rFonts w:cstheme="minorHAnsi"/>
          <w:bCs/>
          <w:szCs w:val="72"/>
          <w:lang w:val="sr-Cyrl-RS"/>
        </w:rPr>
        <w:lastRenderedPageBreak/>
        <w:t>равномерна расподела обавеза по основу јавног дуга на годишњем нивоу у наредном дугорочном периоду;</w:t>
      </w:r>
    </w:p>
    <w:p w14:paraId="448C7AB9" w14:textId="77777777" w:rsidR="004478A8" w:rsidRPr="00EA3D8C" w:rsidRDefault="004478A8" w:rsidP="00E4657F">
      <w:pPr>
        <w:numPr>
          <w:ilvl w:val="0"/>
          <w:numId w:val="22"/>
        </w:numPr>
        <w:spacing w:after="120"/>
        <w:ind w:left="181" w:hanging="181"/>
        <w:rPr>
          <w:rFonts w:cstheme="minorHAnsi"/>
          <w:bCs/>
          <w:szCs w:val="72"/>
          <w:lang w:val="sr-Cyrl-RS"/>
        </w:rPr>
      </w:pPr>
      <w:r w:rsidRPr="00EA3D8C">
        <w:rPr>
          <w:rFonts w:cstheme="minorHAnsi"/>
          <w:bCs/>
          <w:szCs w:val="72"/>
          <w:lang w:val="sr-Cyrl-RS"/>
        </w:rPr>
        <w:t>продужавање просечне рочности дуга који се емитује у хартијама од вредности;</w:t>
      </w:r>
    </w:p>
    <w:p w14:paraId="5C4CD456" w14:textId="77777777" w:rsidR="004478A8" w:rsidRPr="00EA3D8C" w:rsidRDefault="004478A8" w:rsidP="00E4657F">
      <w:pPr>
        <w:spacing w:after="60"/>
        <w:rPr>
          <w:rFonts w:cstheme="minorHAnsi"/>
          <w:bCs/>
          <w:szCs w:val="72"/>
          <w:lang w:val="sr-Cyrl-RS"/>
        </w:rPr>
      </w:pPr>
      <w:r w:rsidRPr="00EA3D8C">
        <w:rPr>
          <w:rFonts w:cstheme="minorHAnsi"/>
          <w:bCs/>
          <w:szCs w:val="72"/>
          <w:lang w:val="sr-Cyrl-RS"/>
        </w:rPr>
        <w:t>2. девизни ризик</w:t>
      </w:r>
    </w:p>
    <w:p w14:paraId="0A7ACBE0" w14:textId="77777777" w:rsidR="004478A8" w:rsidRPr="00EA3D8C" w:rsidRDefault="004478A8" w:rsidP="00E4657F">
      <w:pPr>
        <w:numPr>
          <w:ilvl w:val="1"/>
          <w:numId w:val="25"/>
        </w:numPr>
        <w:ind w:left="180" w:hanging="180"/>
        <w:contextualSpacing/>
        <w:rPr>
          <w:rFonts w:cstheme="minorHAnsi"/>
          <w:bCs/>
          <w:szCs w:val="72"/>
          <w:lang w:val="sr-Cyrl-RS"/>
        </w:rPr>
      </w:pPr>
      <w:r w:rsidRPr="00EA3D8C">
        <w:rPr>
          <w:rFonts w:cstheme="minorHAnsi"/>
          <w:bCs/>
          <w:szCs w:val="72"/>
          <w:lang w:val="sr-Cyrl-RS"/>
        </w:rPr>
        <w:t>настојање да се смањи учешће дуга деноминованог у ино-валути уз уважавање трошкова новог дуга (трошкови динаризације дуга);</w:t>
      </w:r>
    </w:p>
    <w:p w14:paraId="23EC01AE" w14:textId="77777777" w:rsidR="004478A8" w:rsidRPr="00EA3D8C" w:rsidRDefault="004478A8" w:rsidP="00E4657F">
      <w:pPr>
        <w:numPr>
          <w:ilvl w:val="1"/>
          <w:numId w:val="25"/>
        </w:numPr>
        <w:ind w:left="180" w:hanging="180"/>
        <w:contextualSpacing/>
        <w:rPr>
          <w:rFonts w:cstheme="minorHAnsi"/>
          <w:bCs/>
          <w:szCs w:val="72"/>
          <w:lang w:val="sr-Cyrl-RS"/>
        </w:rPr>
      </w:pPr>
      <w:r w:rsidRPr="00EA3D8C">
        <w:rPr>
          <w:rFonts w:cstheme="minorHAnsi"/>
          <w:bCs/>
          <w:szCs w:val="72"/>
          <w:lang w:val="sr-Cyrl-RS"/>
        </w:rPr>
        <w:t>коришћење финансијских деривата у циљу лимитирања ефеката промене курсева референтних валута;</w:t>
      </w:r>
    </w:p>
    <w:p w14:paraId="3009379E" w14:textId="77777777" w:rsidR="004478A8" w:rsidRPr="00EA3D8C" w:rsidRDefault="004478A8" w:rsidP="00E4657F">
      <w:pPr>
        <w:numPr>
          <w:ilvl w:val="1"/>
          <w:numId w:val="25"/>
        </w:numPr>
        <w:spacing w:after="120"/>
        <w:ind w:left="181" w:hanging="181"/>
        <w:rPr>
          <w:rFonts w:cstheme="minorHAnsi"/>
          <w:bCs/>
          <w:szCs w:val="72"/>
          <w:lang w:val="sr-Cyrl-RS"/>
        </w:rPr>
      </w:pPr>
      <w:r w:rsidRPr="00EA3D8C">
        <w:rPr>
          <w:rFonts w:cstheme="minorHAnsi"/>
          <w:bCs/>
          <w:szCs w:val="72"/>
          <w:lang w:val="sr-Cyrl-R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6CA78635" w14:textId="77777777" w:rsidR="004478A8" w:rsidRPr="00EA3D8C" w:rsidRDefault="004478A8" w:rsidP="00E4657F">
      <w:pPr>
        <w:spacing w:after="60"/>
        <w:rPr>
          <w:rFonts w:cstheme="minorHAnsi"/>
          <w:bCs/>
          <w:szCs w:val="72"/>
          <w:lang w:val="sr-Cyrl-RS"/>
        </w:rPr>
      </w:pPr>
      <w:r w:rsidRPr="00EA3D8C">
        <w:rPr>
          <w:rFonts w:cstheme="minorHAnsi"/>
          <w:bCs/>
          <w:szCs w:val="72"/>
          <w:lang w:val="sr-Cyrl-RS"/>
        </w:rPr>
        <w:t>3. тржишни ризик (ризик каматних стопа, ризик инфлације)</w:t>
      </w:r>
    </w:p>
    <w:p w14:paraId="71D488FA" w14:textId="77777777" w:rsidR="004478A8" w:rsidRPr="00EA3D8C" w:rsidRDefault="004478A8" w:rsidP="00E4657F">
      <w:pPr>
        <w:numPr>
          <w:ilvl w:val="1"/>
          <w:numId w:val="27"/>
        </w:numPr>
        <w:ind w:left="180" w:hanging="180"/>
        <w:contextualSpacing/>
        <w:rPr>
          <w:rFonts w:cstheme="minorHAnsi"/>
          <w:bCs/>
          <w:szCs w:val="72"/>
          <w:lang w:val="sr-Cyrl-RS"/>
        </w:rPr>
      </w:pPr>
      <w:r w:rsidRPr="00EA3D8C">
        <w:rPr>
          <w:rFonts w:cstheme="minorHAnsi"/>
          <w:bCs/>
          <w:szCs w:val="72"/>
          <w:lang w:val="sr-Cyrl-RS"/>
        </w:rPr>
        <w:t>настојање да се продужи просечна рочност домаћег дуга у динарима;</w:t>
      </w:r>
    </w:p>
    <w:p w14:paraId="0197C40D" w14:textId="77777777" w:rsidR="004478A8" w:rsidRPr="00EA3D8C" w:rsidRDefault="004478A8" w:rsidP="00E4657F">
      <w:pPr>
        <w:numPr>
          <w:ilvl w:val="1"/>
          <w:numId w:val="27"/>
        </w:numPr>
        <w:spacing w:after="120"/>
        <w:ind w:left="181" w:hanging="181"/>
        <w:rPr>
          <w:rFonts w:cstheme="minorHAnsi"/>
          <w:bCs/>
          <w:szCs w:val="72"/>
          <w:lang w:val="sr-Cyrl-RS"/>
        </w:rPr>
      </w:pPr>
      <w:r w:rsidRPr="00EA3D8C">
        <w:rPr>
          <w:rFonts w:cstheme="minorHAnsi"/>
          <w:bCs/>
          <w:szCs w:val="72"/>
          <w:lang w:val="sr-Cyrl-RS"/>
        </w:rPr>
        <w:t>настојање да ризик по основу каматних стопа на спољни дуг не угрожава дугорочни циљ минимизације трошкова јавног дуга;</w:t>
      </w:r>
    </w:p>
    <w:p w14:paraId="3648E97C" w14:textId="09B789D5" w:rsidR="004478A8" w:rsidRPr="00EA3D8C" w:rsidRDefault="004478A8" w:rsidP="00E4657F">
      <w:pPr>
        <w:spacing w:after="60"/>
        <w:rPr>
          <w:rFonts w:cstheme="minorHAnsi"/>
          <w:bCs/>
          <w:szCs w:val="72"/>
          <w:lang w:val="sr-Cyrl-RS"/>
        </w:rPr>
      </w:pPr>
      <w:r w:rsidRPr="00EA3D8C">
        <w:rPr>
          <w:rFonts w:cstheme="minorHAnsi"/>
          <w:bCs/>
          <w:szCs w:val="72"/>
          <w:lang w:val="sr-Cyrl-RS"/>
        </w:rPr>
        <w:t>4. ризик ликвидности</w:t>
      </w:r>
    </w:p>
    <w:p w14:paraId="26320DD2" w14:textId="77777777" w:rsidR="004478A8" w:rsidRPr="00EA3D8C" w:rsidRDefault="004478A8" w:rsidP="00E4657F">
      <w:pPr>
        <w:numPr>
          <w:ilvl w:val="1"/>
          <w:numId w:val="29"/>
        </w:numPr>
        <w:ind w:left="180" w:hanging="180"/>
        <w:contextualSpacing/>
        <w:rPr>
          <w:rFonts w:cstheme="minorHAnsi"/>
          <w:bCs/>
          <w:szCs w:val="72"/>
          <w:lang w:val="sr-Cyrl-RS"/>
        </w:rPr>
      </w:pPr>
      <w:r w:rsidRPr="00EA3D8C">
        <w:rPr>
          <w:rFonts w:cstheme="minorHAnsi"/>
          <w:bCs/>
          <w:szCs w:val="72"/>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6948F313" w14:textId="77777777" w:rsidR="004478A8" w:rsidRPr="00EA3D8C" w:rsidRDefault="004478A8" w:rsidP="00E4657F">
      <w:pPr>
        <w:numPr>
          <w:ilvl w:val="1"/>
          <w:numId w:val="29"/>
        </w:numPr>
        <w:spacing w:after="120"/>
        <w:ind w:left="181" w:hanging="181"/>
        <w:rPr>
          <w:rFonts w:cstheme="minorHAnsi"/>
          <w:bCs/>
          <w:szCs w:val="72"/>
          <w:lang w:val="sr-Cyrl-RS"/>
        </w:rPr>
      </w:pPr>
      <w:r w:rsidRPr="00EA3D8C">
        <w:rPr>
          <w:rFonts w:cstheme="minorHAnsi"/>
          <w:bCs/>
          <w:szCs w:val="72"/>
          <w:lang w:val="sr-Cyrl-RS"/>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2EA20C2D" w14:textId="643BC07E" w:rsidR="004478A8" w:rsidRPr="00EA3D8C" w:rsidRDefault="004478A8" w:rsidP="00E4657F">
      <w:pPr>
        <w:spacing w:after="60"/>
        <w:rPr>
          <w:rFonts w:cstheme="minorHAnsi"/>
          <w:bCs/>
          <w:szCs w:val="72"/>
          <w:lang w:val="sr-Cyrl-RS"/>
        </w:rPr>
      </w:pPr>
      <w:r w:rsidRPr="00EA3D8C">
        <w:rPr>
          <w:rFonts w:cstheme="minorHAnsi"/>
          <w:bCs/>
          <w:szCs w:val="72"/>
          <w:lang w:val="sr-Cyrl-RS"/>
        </w:rPr>
        <w:t>5. кредитни и оперативни ризици</w:t>
      </w:r>
    </w:p>
    <w:p w14:paraId="19B9DFE2" w14:textId="77777777" w:rsidR="004478A8" w:rsidRPr="00EA3D8C" w:rsidRDefault="004478A8" w:rsidP="00E4657F">
      <w:pPr>
        <w:numPr>
          <w:ilvl w:val="1"/>
          <w:numId w:val="31"/>
        </w:numPr>
        <w:ind w:left="180" w:hanging="180"/>
        <w:contextualSpacing/>
        <w:rPr>
          <w:rFonts w:cstheme="minorHAnsi"/>
          <w:bCs/>
          <w:szCs w:val="72"/>
          <w:lang w:val="sr-Cyrl-RS"/>
        </w:rPr>
      </w:pPr>
      <w:r w:rsidRPr="00EA3D8C">
        <w:rPr>
          <w:rFonts w:cstheme="minorHAnsi"/>
          <w:bCs/>
          <w:szCs w:val="72"/>
          <w:lang w:val="sr-Cyrl-RS"/>
        </w:rPr>
        <w:t>спровођење трансакција са финансијским дериватима само са финансијским институцијама које имају висок кредитни рејтинг;</w:t>
      </w:r>
    </w:p>
    <w:p w14:paraId="0ACEAA29" w14:textId="77777777" w:rsidR="004478A8" w:rsidRPr="00EA3D8C" w:rsidRDefault="004478A8" w:rsidP="00E4657F">
      <w:pPr>
        <w:numPr>
          <w:ilvl w:val="1"/>
          <w:numId w:val="31"/>
        </w:numPr>
        <w:ind w:left="180" w:hanging="180"/>
        <w:contextualSpacing/>
        <w:rPr>
          <w:rFonts w:cstheme="minorHAnsi"/>
          <w:bCs/>
          <w:szCs w:val="72"/>
          <w:lang w:val="sr-Cyrl-RS"/>
        </w:rPr>
      </w:pPr>
      <w:r w:rsidRPr="00EA3D8C">
        <w:rPr>
          <w:rFonts w:cstheme="minorHAnsi"/>
          <w:bCs/>
          <w:szCs w:val="72"/>
          <w:lang w:val="sr-Cyrl-RS"/>
        </w:rPr>
        <w:t>коришћење финансијских инструмената који лимитирају кредитни ризик;</w:t>
      </w:r>
    </w:p>
    <w:p w14:paraId="35629E31" w14:textId="77777777" w:rsidR="004478A8" w:rsidRPr="00EA3D8C" w:rsidRDefault="004478A8" w:rsidP="00E4657F">
      <w:pPr>
        <w:numPr>
          <w:ilvl w:val="1"/>
          <w:numId w:val="31"/>
        </w:numPr>
        <w:ind w:left="180" w:hanging="180"/>
        <w:contextualSpacing/>
        <w:rPr>
          <w:rFonts w:cstheme="minorHAnsi"/>
          <w:bCs/>
          <w:szCs w:val="72"/>
          <w:lang w:val="sr-Cyrl-RS"/>
        </w:rPr>
      </w:pPr>
      <w:r w:rsidRPr="00EA3D8C">
        <w:rPr>
          <w:rFonts w:cstheme="minorHAnsi"/>
          <w:bCs/>
          <w:szCs w:val="72"/>
          <w:lang w:val="sr-Cyrl-RS"/>
        </w:rPr>
        <w:t xml:space="preserve">давање гаранција и одобравање новог дуга јединицама локалне самоуправе само ако </w:t>
      </w:r>
      <w:r w:rsidRPr="00EA3D8C">
        <w:rPr>
          <w:rFonts w:cstheme="minorHAnsi"/>
          <w:bCs/>
          <w:szCs w:val="72"/>
          <w:lang w:val="sr-Cyrl-RS"/>
        </w:rPr>
        <w:lastRenderedPageBreak/>
        <w:t>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235B9997" w14:textId="77777777" w:rsidR="004478A8" w:rsidRPr="00EA3D8C" w:rsidRDefault="004478A8" w:rsidP="00E4657F">
      <w:pPr>
        <w:numPr>
          <w:ilvl w:val="0"/>
          <w:numId w:val="17"/>
        </w:numPr>
        <w:tabs>
          <w:tab w:val="left" w:pos="90"/>
        </w:tabs>
        <w:spacing w:after="120"/>
        <w:ind w:left="181" w:hanging="272"/>
        <w:rPr>
          <w:rFonts w:cstheme="minorHAnsi"/>
          <w:bCs/>
          <w:szCs w:val="72"/>
          <w:lang w:val="sr-Cyrl-RS"/>
        </w:rPr>
      </w:pPr>
      <w:r w:rsidRPr="00EA3D8C">
        <w:rPr>
          <w:rFonts w:cstheme="minorHAnsi"/>
          <w:bCs/>
          <w:szCs w:val="72"/>
          <w:lang w:val="sr-Cyrl-RS"/>
        </w:rPr>
        <w:t>увођење адекватне контроле у свим пословним активностима у Управи за јавни дуг и унапређење знања запослених;</w:t>
      </w:r>
    </w:p>
    <w:p w14:paraId="0C1FFCE4" w14:textId="77777777" w:rsidR="004478A8" w:rsidRPr="00EA3D8C" w:rsidRDefault="004478A8" w:rsidP="00E4657F">
      <w:pPr>
        <w:tabs>
          <w:tab w:val="left" w:pos="90"/>
        </w:tabs>
        <w:spacing w:after="60"/>
        <w:ind w:left="-90"/>
        <w:rPr>
          <w:rFonts w:cstheme="minorHAnsi"/>
          <w:bCs/>
          <w:szCs w:val="72"/>
          <w:lang w:val="sr-Cyrl-RS"/>
        </w:rPr>
      </w:pPr>
      <w:r w:rsidRPr="00EA3D8C">
        <w:rPr>
          <w:rFonts w:cstheme="minorHAnsi"/>
          <w:bCs/>
          <w:szCs w:val="72"/>
          <w:lang w:val="sr-Cyrl-RS"/>
        </w:rPr>
        <w:t>6. ризици везани за дистрибуцију трошкова сервисирања</w:t>
      </w:r>
    </w:p>
    <w:p w14:paraId="423571CC" w14:textId="77777777" w:rsidR="004478A8" w:rsidRPr="00EA3D8C" w:rsidRDefault="004478A8" w:rsidP="00E4657F">
      <w:pPr>
        <w:numPr>
          <w:ilvl w:val="0"/>
          <w:numId w:val="17"/>
        </w:numPr>
        <w:tabs>
          <w:tab w:val="left" w:pos="90"/>
        </w:tabs>
        <w:ind w:left="180" w:hanging="270"/>
        <w:contextualSpacing/>
        <w:rPr>
          <w:rFonts w:cstheme="minorHAnsi"/>
          <w:bCs/>
          <w:szCs w:val="72"/>
          <w:lang w:val="sr-Cyrl-RS"/>
        </w:rPr>
      </w:pPr>
      <w:r w:rsidRPr="00EA3D8C">
        <w:rPr>
          <w:rFonts w:cstheme="minorHAnsi"/>
          <w:bCs/>
          <w:szCs w:val="72"/>
          <w:lang w:val="sr-Cyrl-R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175B7714" w14:textId="77777777" w:rsidR="004478A8" w:rsidRPr="00EA3D8C" w:rsidRDefault="004478A8" w:rsidP="00E4657F">
      <w:pPr>
        <w:numPr>
          <w:ilvl w:val="0"/>
          <w:numId w:val="17"/>
        </w:numPr>
        <w:tabs>
          <w:tab w:val="left" w:pos="90"/>
        </w:tabs>
        <w:ind w:left="180" w:hanging="270"/>
        <w:contextualSpacing/>
        <w:rPr>
          <w:rFonts w:cstheme="minorHAnsi"/>
          <w:bCs/>
          <w:szCs w:val="72"/>
          <w:lang w:val="sr-Cyrl-RS"/>
        </w:rPr>
      </w:pPr>
      <w:r w:rsidRPr="00EA3D8C">
        <w:rPr>
          <w:rFonts w:cstheme="minorHAnsi"/>
          <w:bCs/>
          <w:szCs w:val="72"/>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2AF3F72F" w14:textId="77777777" w:rsidR="004478A8" w:rsidRPr="00EA3D8C" w:rsidRDefault="004478A8" w:rsidP="00E4657F">
      <w:pPr>
        <w:tabs>
          <w:tab w:val="left" w:pos="90"/>
        </w:tabs>
        <w:contextualSpacing/>
        <w:rPr>
          <w:rFonts w:cstheme="minorHAnsi"/>
          <w:bCs/>
          <w:szCs w:val="72"/>
          <w:lang w:val="sr-Cyrl-RS"/>
        </w:rPr>
      </w:pPr>
    </w:p>
    <w:p w14:paraId="6C5E9366" w14:textId="77777777" w:rsidR="004478A8" w:rsidRPr="00EA3D8C" w:rsidRDefault="004478A8" w:rsidP="00E4657F">
      <w:pPr>
        <w:tabs>
          <w:tab w:val="left" w:pos="90"/>
        </w:tabs>
        <w:rPr>
          <w:rFonts w:cstheme="minorHAnsi"/>
          <w:bCs/>
          <w:szCs w:val="72"/>
          <w:lang w:val="sr-Cyrl-RS"/>
        </w:rPr>
      </w:pPr>
      <w:r w:rsidRPr="00EA3D8C">
        <w:rPr>
          <w:rFonts w:cstheme="minorHAnsi"/>
          <w:bCs/>
          <w:szCs w:val="72"/>
          <w:lang w:val="sr-Cyrl-RS"/>
        </w:rPr>
        <w:t>Захваљујући спровођењу дефинисаних мера у претходних неколико година дошло је до значајног побољшања структуре јавног дуга у скоро свим сегментима – побољшане су валутна структура и структура каматних стопа, значајно повећана рочност, смањени трошкови задуживања, смањен гарантовани јавни дуг, долази до равномерније расподеле обавеза уз перманентно одржавање адекватног нивоа ликвидности. Примера ради, на централном нивоу власти удео јавног дуга у динарима је порастао са 20,9%, колико је износио на крају 2016. године, на 29,4% на крају септембра 2020. године. У истом временском интервалу удео јавног дуга у америчким доларима се смањио са 33,9% на 16,6%. Удео дуга са фиксном каматном стопом је у периоду од 2013. године до септембра 2020. године порастао са 73,2% на 86,1%. У истом периоду је дошло до пада гарантованог дуга са 2,8 млрд евра на 1,4 млрд евра и пада просечно пондерисане каматне стопе на јавни дуг са 5,64% на 3,10%.</w:t>
      </w:r>
    </w:p>
    <w:p w14:paraId="39D6C9EF"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Анализе коришћене приликом израде Стратегије за управљање јавним дугом</w:t>
      </w:r>
    </w:p>
    <w:p w14:paraId="000DB930" w14:textId="77777777" w:rsidR="004478A8" w:rsidRPr="00EA3D8C" w:rsidRDefault="004478A8" w:rsidP="00E4657F">
      <w:pPr>
        <w:rPr>
          <w:rFonts w:cstheme="minorHAnsi"/>
          <w:bCs/>
          <w:szCs w:val="72"/>
          <w:lang w:val="sr-Cyrl-RS"/>
        </w:rPr>
      </w:pPr>
      <w:r w:rsidRPr="00EA3D8C">
        <w:rPr>
          <w:rFonts w:cstheme="minorHAnsi"/>
          <w:bCs/>
          <w:szCs w:val="72"/>
          <w:lang w:val="sr-Cyrl-RS"/>
        </w:rPr>
        <w:t xml:space="preserve">Управа за јавни дуг је користила квантитативни приступ за формулисање Стратегије за управљање јавним дугом, идентификујући могућа ограничења кроз макроекономске показатеље, анализу </w:t>
      </w:r>
      <w:r w:rsidRPr="00EA3D8C">
        <w:rPr>
          <w:rFonts w:cstheme="minorHAnsi"/>
          <w:bCs/>
          <w:szCs w:val="72"/>
          <w:lang w:val="sr-Cyrl-RS"/>
        </w:rPr>
        <w:lastRenderedPageBreak/>
        <w:t>трошкова и ризика и тржишних услова који утичу на управљање јавним дугом. Приликом анализирања трошкова и ризика разматрају се све изводљиве алтернативе финансирања. Удео сваког инструмента у укупним потребама за финансирањем у датој години одређен је у складу са циљевима Стратегије.</w:t>
      </w:r>
    </w:p>
    <w:p w14:paraId="29860503" w14:textId="77777777" w:rsidR="004478A8" w:rsidRPr="00EA3D8C" w:rsidRDefault="004478A8" w:rsidP="00E4657F">
      <w:pPr>
        <w:rPr>
          <w:rFonts w:cstheme="minorHAnsi"/>
          <w:bCs/>
          <w:szCs w:val="72"/>
          <w:lang w:val="sr-Cyrl-RS"/>
        </w:rPr>
      </w:pPr>
      <w:r w:rsidRPr="00EA3D8C">
        <w:rPr>
          <w:rFonts w:cstheme="minorHAnsi"/>
          <w:bCs/>
          <w:szCs w:val="72"/>
          <w:lang w:val="sr-Cyrl-RS"/>
        </w:rPr>
        <w:t>У сврху анализе коришћени су доле описани инструменти доступни на домаћем и међународном финансијском тржишту.</w:t>
      </w:r>
    </w:p>
    <w:p w14:paraId="157AFBC4"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Извори финансирања деноминовани у страној валути</w:t>
      </w:r>
    </w:p>
    <w:p w14:paraId="2A194DBE" w14:textId="77777777" w:rsidR="004478A8" w:rsidRPr="00EA3D8C" w:rsidRDefault="004478A8" w:rsidP="00E4657F">
      <w:pPr>
        <w:numPr>
          <w:ilvl w:val="0"/>
          <w:numId w:val="18"/>
        </w:numPr>
        <w:ind w:left="180" w:hanging="180"/>
        <w:contextualSpacing/>
        <w:rPr>
          <w:rFonts w:cstheme="minorHAnsi"/>
          <w:bCs/>
          <w:szCs w:val="72"/>
          <w:lang w:val="sr-Cyrl-RS"/>
        </w:rPr>
      </w:pPr>
      <w:r w:rsidRPr="00EA3D8C">
        <w:rPr>
          <w:rFonts w:cstheme="minorHAnsi"/>
          <w:bCs/>
          <w:szCs w:val="72"/>
          <w:lang w:val="sr-Cyrl-RS"/>
        </w:rPr>
        <w:t>Зајмови страних влада и међународних финансијских институција – приказани као концесионални инструменти деноминовани у еврима или америчким доларима, са фиксном или варијабилном каматном стопом;</w:t>
      </w:r>
    </w:p>
    <w:p w14:paraId="27C84D10" w14:textId="77777777" w:rsidR="004478A8" w:rsidRPr="00EA3D8C" w:rsidRDefault="004478A8" w:rsidP="00E4657F">
      <w:pPr>
        <w:numPr>
          <w:ilvl w:val="0"/>
          <w:numId w:val="18"/>
        </w:numPr>
        <w:ind w:left="180" w:hanging="180"/>
        <w:contextualSpacing/>
        <w:rPr>
          <w:rFonts w:cstheme="minorHAnsi"/>
          <w:bCs/>
          <w:szCs w:val="72"/>
          <w:lang w:val="sr-Cyrl-RS"/>
        </w:rPr>
      </w:pPr>
      <w:r w:rsidRPr="00EA3D8C">
        <w:rPr>
          <w:rFonts w:cstheme="minorHAnsi"/>
          <w:bCs/>
          <w:szCs w:val="72"/>
          <w:lang w:val="sr-Cyrl-RS"/>
        </w:rPr>
        <w:t>Домаћи дуг деноминован у еврима исказан кроз два инструмента – државни записи и државне обвезнице емитоване на домаћем финансијском тржишту;</w:t>
      </w:r>
    </w:p>
    <w:p w14:paraId="4A412CE3" w14:textId="77777777" w:rsidR="004478A8" w:rsidRPr="00EA3D8C" w:rsidRDefault="004478A8" w:rsidP="00341D14">
      <w:pPr>
        <w:numPr>
          <w:ilvl w:val="1"/>
          <w:numId w:val="21"/>
        </w:numPr>
        <w:ind w:left="181" w:hanging="181"/>
        <w:rPr>
          <w:rFonts w:cstheme="minorHAnsi"/>
          <w:bCs/>
          <w:szCs w:val="72"/>
          <w:lang w:val="sr-Cyrl-RS"/>
        </w:rPr>
      </w:pPr>
      <w:r w:rsidRPr="00EA3D8C">
        <w:rPr>
          <w:rFonts w:cstheme="minorHAnsi"/>
          <w:bCs/>
          <w:spacing w:val="-2"/>
          <w:szCs w:val="72"/>
          <w:lang w:val="sr-Cyrl-RS"/>
        </w:rPr>
        <w:t>Еврообвезница (еуробонд) – емитована у еврима</w:t>
      </w:r>
      <w:r w:rsidRPr="00EA3D8C">
        <w:rPr>
          <w:rFonts w:cstheme="minorHAnsi"/>
          <w:bCs/>
          <w:szCs w:val="72"/>
          <w:lang w:val="sr-Cyrl-RS"/>
        </w:rPr>
        <w:t xml:space="preserve"> или америчким доларима на међународном финансијском тржишту.</w:t>
      </w:r>
    </w:p>
    <w:p w14:paraId="30476229"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Извори финансирања у домаћој валути</w:t>
      </w:r>
    </w:p>
    <w:p w14:paraId="3D8D9F07" w14:textId="4AF394E3" w:rsidR="004478A8" w:rsidRPr="00EA3D8C" w:rsidRDefault="004478A8" w:rsidP="00E4657F">
      <w:pPr>
        <w:rPr>
          <w:rFonts w:cstheme="minorHAnsi"/>
          <w:bCs/>
          <w:szCs w:val="72"/>
          <w:lang w:val="sr-Cyrl-RS"/>
        </w:rPr>
      </w:pPr>
      <w:r w:rsidRPr="00EA3D8C">
        <w:rPr>
          <w:rFonts w:cstheme="minorHAnsi"/>
          <w:bCs/>
          <w:szCs w:val="72"/>
          <w:lang w:val="sr-Cyrl-RS"/>
        </w:rPr>
        <w:t>Све државне хартије од вредности деноминоване у динарима груписане су у неколико група, и то: у краткорочне државне записе (са роковима доспећа до 53 недеље) и дугорочне (са роковима доспећа од 2 до 15 година)</w:t>
      </w:r>
      <w:r w:rsidR="00BC799A" w:rsidRPr="00EA3D8C">
        <w:rPr>
          <w:rFonts w:cstheme="minorHAnsi"/>
          <w:bCs/>
          <w:szCs w:val="72"/>
          <w:lang w:val="sr-Cyrl-RS"/>
        </w:rPr>
        <w:t>.</w:t>
      </w:r>
    </w:p>
    <w:p w14:paraId="7D1AAB1A"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Будуће тржишне каматне стопе и сценарио анализа</w:t>
      </w:r>
    </w:p>
    <w:p w14:paraId="0323034E" w14:textId="77777777" w:rsidR="004478A8" w:rsidRPr="00EA3D8C" w:rsidRDefault="004478A8" w:rsidP="00E4657F">
      <w:pPr>
        <w:rPr>
          <w:rFonts w:cstheme="minorHAnsi"/>
          <w:bCs/>
          <w:szCs w:val="72"/>
          <w:lang w:val="sr-Cyrl-RS"/>
        </w:rPr>
      </w:pPr>
      <w:r w:rsidRPr="00EA3D8C">
        <w:rPr>
          <w:rFonts w:cstheme="minorHAnsi"/>
          <w:bCs/>
          <w:szCs w:val="72"/>
          <w:lang w:val="sr-Cyrl-RS"/>
        </w:rPr>
        <w:t>Приликом израде средњорочне стратегије управљања јавним дугом за период 2021–2023. године коришћене су квантитативне анализе трошкова и ризика засноване на различитим сценаријима и пројекцијама.</w:t>
      </w:r>
    </w:p>
    <w:p w14:paraId="71426860" w14:textId="77777777" w:rsidR="004478A8" w:rsidRPr="00EA3D8C" w:rsidRDefault="004478A8" w:rsidP="00E4657F">
      <w:pPr>
        <w:rPr>
          <w:rFonts w:cstheme="minorHAnsi"/>
          <w:bCs/>
          <w:szCs w:val="72"/>
          <w:lang w:val="sr-Cyrl-RS"/>
        </w:rPr>
      </w:pPr>
      <w:r w:rsidRPr="00EA3D8C">
        <w:rPr>
          <w:rFonts w:cstheme="minorHAnsi"/>
          <w:bCs/>
          <w:szCs w:val="72"/>
          <w:lang w:val="sr-Cyrl-RS"/>
        </w:rPr>
        <w:t xml:space="preserve">Полази се од основног сценарија који се базира на највише вероватним тржишним условима. Затим, идентификоване су три групе тржишних варијабли: девизни курс, каматне стопе на међународном тржишту и каматне стопе на домаћем тржишту. Претпостављено је кретање </w:t>
      </w:r>
      <w:r w:rsidRPr="00EA3D8C">
        <w:rPr>
          <w:rFonts w:cstheme="minorHAnsi"/>
          <w:bCs/>
          <w:szCs w:val="72"/>
          <w:lang w:val="sr-Cyrl-RS"/>
        </w:rPr>
        <w:lastRenderedPageBreak/>
        <w:t>курса динара у односу на евро и у односу на амерички долар у складу са макроекономским оквиром у посматраном периоду и задржан је релативно стабилан однос евра и америчког долара, како би се добила чиста слика датог ефекта примењеног шока. У шоковима су тестирани ефекти промена тржишних каматних стопа. Приступ за динарске и евро каматне стопе заснива се на стопама оствареним током претходне и текуће године.</w:t>
      </w:r>
    </w:p>
    <w:p w14:paraId="1BAB2F0E" w14:textId="77777777" w:rsidR="004478A8" w:rsidRPr="00EA3D8C" w:rsidRDefault="004478A8" w:rsidP="00E4657F">
      <w:pPr>
        <w:rPr>
          <w:rFonts w:cstheme="minorHAnsi"/>
          <w:bCs/>
          <w:szCs w:val="72"/>
          <w:lang w:val="sr-Cyrl-RS"/>
        </w:rPr>
      </w:pPr>
      <w:r w:rsidRPr="00EA3D8C">
        <w:rPr>
          <w:rFonts w:cstheme="minorHAnsi"/>
          <w:bCs/>
          <w:szCs w:val="72"/>
          <w:lang w:val="sr-Cyrl-RS"/>
        </w:rPr>
        <w:t>Након дефинисања основног сценарија, у циљу стрес тестирања одабране су додатне врсте сценарија – шокова:</w:t>
      </w:r>
    </w:p>
    <w:p w14:paraId="1138E02A" w14:textId="77777777" w:rsidR="004478A8" w:rsidRPr="00EA3D8C" w:rsidRDefault="004478A8" w:rsidP="004478A8">
      <w:pPr>
        <w:rPr>
          <w:rFonts w:cstheme="minorHAnsi"/>
          <w:bCs/>
          <w:szCs w:val="72"/>
          <w:lang w:val="sr-Cyrl-RS"/>
        </w:rPr>
      </w:pPr>
      <w:r w:rsidRPr="00EA3D8C">
        <w:rPr>
          <w:rFonts w:cstheme="minorHAnsi"/>
          <w:bCs/>
          <w:szCs w:val="72"/>
          <w:lang w:val="sr-Cyrl-RS"/>
        </w:rPr>
        <w:t>-     Депрецијација динара у односу на све валуте од 15% у 2022. години. У овом сценарију однос евра и америчког долара би остао стабилан, док би само динар депрецирао у односу на обе валуте;</w:t>
      </w:r>
    </w:p>
    <w:p w14:paraId="4DFC67F3" w14:textId="4A44C3A4" w:rsidR="004478A8" w:rsidRPr="00EA3D8C" w:rsidRDefault="004478A8" w:rsidP="00E4657F">
      <w:pPr>
        <w:rPr>
          <w:rFonts w:cstheme="minorHAnsi"/>
          <w:bCs/>
          <w:szCs w:val="72"/>
          <w:lang w:val="sr-Cyrl-RS"/>
        </w:rPr>
      </w:pPr>
      <w:r w:rsidRPr="00EA3D8C">
        <w:rPr>
          <w:rFonts w:cstheme="minorHAnsi"/>
          <w:bCs/>
          <w:szCs w:val="72"/>
          <w:lang w:val="sr-Cyrl-RS"/>
        </w:rPr>
        <w:t>-  Повећање каматних стопа на домаћем и међународном тржишту за око 2 п.п.;</w:t>
      </w:r>
    </w:p>
    <w:p w14:paraId="672CB40F" w14:textId="16E5EDE6" w:rsidR="004478A8" w:rsidRPr="00EA3D8C" w:rsidRDefault="004478A8" w:rsidP="00E4657F">
      <w:pPr>
        <w:rPr>
          <w:rFonts w:cstheme="minorHAnsi"/>
          <w:bCs/>
          <w:szCs w:val="72"/>
          <w:lang w:val="sr-Cyrl-RS"/>
        </w:rPr>
      </w:pPr>
      <w:r w:rsidRPr="00EA3D8C">
        <w:rPr>
          <w:rFonts w:cstheme="minorHAnsi"/>
          <w:bCs/>
          <w:spacing w:val="-2"/>
          <w:szCs w:val="72"/>
          <w:lang w:val="sr-Cyrl-RS"/>
        </w:rPr>
        <w:t>-  Повећање каматних стопа на међународном тржишту до 3 п.п., а на домаћем тржишту до 4 п.п</w:t>
      </w:r>
      <w:r w:rsidRPr="00EA3D8C">
        <w:rPr>
          <w:rFonts w:cstheme="minorHAnsi"/>
          <w:bCs/>
          <w:szCs w:val="72"/>
          <w:lang w:val="sr-Cyrl-RS"/>
        </w:rPr>
        <w:t>.;</w:t>
      </w:r>
    </w:p>
    <w:p w14:paraId="39049B09" w14:textId="0DE45558" w:rsidR="004478A8" w:rsidRPr="00EA3D8C" w:rsidRDefault="004478A8" w:rsidP="00E4657F">
      <w:pPr>
        <w:rPr>
          <w:rFonts w:cstheme="minorHAnsi"/>
          <w:bCs/>
          <w:szCs w:val="72"/>
          <w:lang w:val="sr-Cyrl-RS"/>
        </w:rPr>
      </w:pPr>
      <w:r w:rsidRPr="00EA3D8C">
        <w:rPr>
          <w:rFonts w:cstheme="minorHAnsi"/>
          <w:bCs/>
          <w:szCs w:val="72"/>
          <w:lang w:val="sr-Cyrl-RS"/>
        </w:rPr>
        <w:t>- Комбиновани шок који се односи на депрецијацију динара у односу на долар 15% у 2022. години и раст каматних стопа за око 2 п.п.;</w:t>
      </w:r>
    </w:p>
    <w:p w14:paraId="00BC7E37" w14:textId="745B401B" w:rsidR="004478A8" w:rsidRPr="00EA3D8C" w:rsidRDefault="004478A8" w:rsidP="00E4657F">
      <w:pPr>
        <w:rPr>
          <w:rFonts w:cstheme="minorHAnsi"/>
          <w:bCs/>
          <w:szCs w:val="72"/>
          <w:lang w:val="sr-Cyrl-RS"/>
        </w:rPr>
      </w:pPr>
      <w:r w:rsidRPr="00EA3D8C">
        <w:rPr>
          <w:rFonts w:cstheme="minorHAnsi"/>
          <w:bCs/>
          <w:szCs w:val="72"/>
          <w:lang w:val="sr-Cyrl-RS"/>
        </w:rPr>
        <w:t>- Сваки од горе наведених стрес тестова или сценарија ризика је коришћен за преглед ефеката коштања разматраних стратегија.</w:t>
      </w:r>
    </w:p>
    <w:p w14:paraId="5A42C491"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Алтернативне стратегије задуживања за период 2021–2023. године</w:t>
      </w:r>
    </w:p>
    <w:p w14:paraId="4E7BDE8B" w14:textId="77777777" w:rsidR="004478A8" w:rsidRPr="00EA3D8C" w:rsidRDefault="004478A8" w:rsidP="00E4657F">
      <w:pPr>
        <w:rPr>
          <w:rFonts w:cstheme="minorHAnsi"/>
          <w:bCs/>
          <w:szCs w:val="72"/>
          <w:lang w:val="sr-Cyrl-RS"/>
        </w:rPr>
      </w:pPr>
      <w:r w:rsidRPr="00EA3D8C">
        <w:rPr>
          <w:rFonts w:cstheme="minorHAnsi"/>
          <w:bCs/>
          <w:szCs w:val="72"/>
          <w:lang w:val="sr-Cyrl-RS"/>
        </w:rPr>
        <w:t xml:space="preserve">Оптимални избор између трошкова и ризика, на бази модела Светске банке </w:t>
      </w:r>
      <w:r w:rsidRPr="00EA3D8C">
        <w:rPr>
          <w:rFonts w:cstheme="minorHAnsi"/>
          <w:bCs/>
          <w:i/>
          <w:szCs w:val="72"/>
          <w:lang w:val="sr-Cyrl-RS"/>
        </w:rPr>
        <w:t>Medium Term Debt Strategy Model</w:t>
      </w:r>
      <w:r w:rsidRPr="00EA3D8C">
        <w:rPr>
          <w:rFonts w:cstheme="minorHAnsi"/>
          <w:bCs/>
          <w:szCs w:val="72"/>
          <w:lang w:val="sr-Cyrl-RS"/>
        </w:rPr>
        <w:t xml:space="preserve"> – </w:t>
      </w:r>
      <w:r w:rsidRPr="007301C2">
        <w:rPr>
          <w:rFonts w:cstheme="minorHAnsi"/>
          <w:bCs/>
          <w:szCs w:val="72"/>
          <w:lang w:val="sr-Cyrl-RS"/>
        </w:rPr>
        <w:t>MTDS</w:t>
      </w:r>
      <w:r w:rsidRPr="00EA3D8C">
        <w:rPr>
          <w:rFonts w:cstheme="minorHAnsi"/>
          <w:bCs/>
          <w:szCs w:val="72"/>
          <w:lang w:val="sr-Cyrl-RS"/>
        </w:rPr>
        <w:t>, дефинисао је правац основне стратегије задуживања за наредни средњорочни период. Анализиране алтернативне стратегије задуживања су:</w:t>
      </w:r>
    </w:p>
    <w:p w14:paraId="01156712" w14:textId="0E5BD744" w:rsidR="004478A8" w:rsidRPr="00EA3D8C" w:rsidRDefault="004478A8" w:rsidP="00E4657F">
      <w:pPr>
        <w:rPr>
          <w:rFonts w:cstheme="minorHAnsi"/>
          <w:bCs/>
          <w:szCs w:val="72"/>
          <w:lang w:val="sr-Cyrl-RS"/>
        </w:rPr>
      </w:pPr>
      <w:r w:rsidRPr="00EA3D8C">
        <w:rPr>
          <w:rFonts w:cstheme="minorHAnsi"/>
          <w:bCs/>
          <w:szCs w:val="72"/>
          <w:lang w:val="sr-Cyrl-RS"/>
        </w:rPr>
        <w:t xml:space="preserve">Основна стратегија (С1): представља стратегију која покрива потребе за финансирањем већим делом (око 60%) коришћењем извора </w:t>
      </w:r>
      <w:r w:rsidRPr="00EA3D8C">
        <w:rPr>
          <w:rFonts w:cstheme="minorHAnsi"/>
          <w:bCs/>
          <w:szCs w:val="72"/>
          <w:lang w:val="sr-Cyrl-RS"/>
        </w:rPr>
        <w:lastRenderedPageBreak/>
        <w:t>финансирања у страној валути (емисијом хартија од вредности на домаћем и иностраном тржишту, као и кредитним задуживањем код иностраних поверилаца), а мањим делом (око 40%) коришћењем извора фина</w:t>
      </w:r>
      <w:r w:rsidR="00156088">
        <w:rPr>
          <w:rFonts w:cstheme="minorHAnsi"/>
          <w:bCs/>
          <w:szCs w:val="72"/>
          <w:lang w:val="sr-Cyrl-RS"/>
        </w:rPr>
        <w:t>н</w:t>
      </w:r>
      <w:r w:rsidRPr="00EA3D8C">
        <w:rPr>
          <w:rFonts w:cstheme="minorHAnsi"/>
          <w:bCs/>
          <w:szCs w:val="72"/>
          <w:lang w:val="sr-Cyrl-RS"/>
        </w:rPr>
        <w:t>сирања у домаћој валути (емисијом хартија од вредности на домаћем тржишту).</w:t>
      </w:r>
    </w:p>
    <w:p w14:paraId="2D1FD896" w14:textId="6BB730BC" w:rsidR="004478A8" w:rsidRPr="00EA3D8C" w:rsidRDefault="004478A8" w:rsidP="00E4657F">
      <w:pPr>
        <w:rPr>
          <w:rFonts w:cstheme="minorHAnsi"/>
          <w:bCs/>
          <w:szCs w:val="72"/>
          <w:lang w:val="sr-Cyrl-RS"/>
        </w:rPr>
      </w:pPr>
      <w:r w:rsidRPr="00EA3D8C">
        <w:rPr>
          <w:rFonts w:cstheme="minorHAnsi"/>
          <w:bCs/>
          <w:szCs w:val="72"/>
          <w:lang w:val="sr-Cyrl-RS"/>
        </w:rPr>
        <w:t>Стратегија (С2): у односу на стратегију С1, потребе за финансирањем задовољавају се емисијом државних хартија од вредности на домаћем тржишту, у домаћој валути (50%) и страној валути (50%).</w:t>
      </w:r>
    </w:p>
    <w:p w14:paraId="39C4AB11" w14:textId="77777777" w:rsidR="004478A8" w:rsidRPr="00EA3D8C" w:rsidRDefault="004478A8" w:rsidP="00E4657F">
      <w:pPr>
        <w:rPr>
          <w:rFonts w:cstheme="minorHAnsi"/>
          <w:bCs/>
          <w:szCs w:val="72"/>
          <w:lang w:val="sr-Cyrl-RS"/>
        </w:rPr>
      </w:pPr>
      <w:r w:rsidRPr="00EA3D8C">
        <w:rPr>
          <w:rFonts w:cstheme="minorHAnsi"/>
          <w:bCs/>
          <w:szCs w:val="72"/>
          <w:lang w:val="sr-Cyrl-RS"/>
        </w:rPr>
        <w:t>Стратегија заснована на емисијама еврообвезница (С3): стратегија С3, у односу на стратегију С1, представља стратегију која целокупно финансирање заснива на емисијама еврообвезница у еврима рочности седам и петнаест година.</w:t>
      </w:r>
    </w:p>
    <w:p w14:paraId="48E36F79" w14:textId="77777777" w:rsidR="004478A8" w:rsidRPr="00EA3D8C" w:rsidRDefault="004478A8" w:rsidP="00E4657F">
      <w:pPr>
        <w:rPr>
          <w:rFonts w:cstheme="minorHAnsi"/>
          <w:bCs/>
          <w:szCs w:val="72"/>
          <w:lang w:val="sr-Cyrl-RS"/>
        </w:rPr>
      </w:pPr>
      <w:r w:rsidRPr="00EA3D8C">
        <w:rPr>
          <w:rFonts w:cstheme="minorHAnsi"/>
          <w:bCs/>
          <w:szCs w:val="72"/>
          <w:lang w:val="sr-Cyrl-R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3EE97E07" w14:textId="77777777" w:rsidR="00341D14" w:rsidRDefault="004478A8" w:rsidP="00E4657F">
      <w:pPr>
        <w:rPr>
          <w:rFonts w:cstheme="minorHAnsi"/>
          <w:bCs/>
          <w:szCs w:val="72"/>
          <w:lang w:val="sr-Cyrl-RS"/>
        </w:rPr>
      </w:pPr>
      <w:r w:rsidRPr="00EA3D8C">
        <w:rPr>
          <w:rFonts w:cstheme="minorHAnsi"/>
          <w:bCs/>
          <w:szCs w:val="72"/>
          <w:lang w:val="sr-Cyrl-RS"/>
        </w:rPr>
        <w:t>Финансирање издатака буџета Републике Србије по свим стратегијама вршиће се углавном путем емисија државних хартија од вредности на међународном и домаћем тржишту капитала.</w:t>
      </w:r>
    </w:p>
    <w:p w14:paraId="297EAD70" w14:textId="6A89AE1D" w:rsidR="004478A8" w:rsidRPr="00EA3D8C" w:rsidRDefault="004478A8" w:rsidP="00E4657F">
      <w:pPr>
        <w:rPr>
          <w:b/>
          <w:color w:val="2F5496" w:themeColor="accent1" w:themeShade="BF"/>
          <w:lang w:val="sr-Cyrl-RS"/>
        </w:rPr>
      </w:pPr>
      <w:r w:rsidRPr="00EA3D8C">
        <w:rPr>
          <w:b/>
          <w:color w:val="2F5496" w:themeColor="accent1" w:themeShade="BF"/>
          <w:sz w:val="22"/>
          <w:lang w:val="sr-Cyrl-RS"/>
        </w:rPr>
        <w:t>Поређење алтернативних стратегија</w:t>
      </w:r>
    </w:p>
    <w:p w14:paraId="34D1774C" w14:textId="77777777" w:rsidR="00341D14" w:rsidRDefault="004478A8" w:rsidP="004478A8">
      <w:pPr>
        <w:rPr>
          <w:rFonts w:cstheme="minorHAnsi"/>
          <w:bCs/>
          <w:szCs w:val="72"/>
          <w:lang w:val="sr-Cyrl-RS"/>
        </w:rPr>
        <w:sectPr w:rsidR="00341D14" w:rsidSect="00AE40EB">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t>Квантитативна анализа представља учинке сваке од четири алтернативне стратегије задуживања, где се на вертикалној оси налази учешће дуга у БДП, односно трошка камата у БДП при основном макроекономском оквиру, док се на хоризонталној оси налази потенцијални трошак одређене стратегије задуживања (резултат стрес теста).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2023. године.</w:t>
      </w:r>
    </w:p>
    <w:p w14:paraId="7BD07C46" w14:textId="4E58841F" w:rsidR="004478A8" w:rsidRPr="00EA3D8C" w:rsidRDefault="004478A8" w:rsidP="004478A8">
      <w:pPr>
        <w:rPr>
          <w:rFonts w:cstheme="minorHAnsi"/>
          <w:bCs/>
          <w:szCs w:val="72"/>
          <w:lang w:val="sr-Cyrl-RS"/>
        </w:rPr>
      </w:pPr>
    </w:p>
    <w:p w14:paraId="64108A9A" w14:textId="77777777" w:rsidR="002E6AEF" w:rsidRDefault="002E6AEF">
      <w:pPr>
        <w:jc w:val="left"/>
        <w:rPr>
          <w:b/>
          <w:color w:val="002060"/>
          <w:lang w:val="sr-Cyrl-RS"/>
        </w:rPr>
      </w:pPr>
      <w:r>
        <w:rPr>
          <w:b/>
          <w:color w:val="002060"/>
          <w:lang w:val="sr-Cyrl-RS"/>
        </w:rPr>
        <w:br w:type="page"/>
      </w:r>
    </w:p>
    <w:p w14:paraId="083C7A6D" w14:textId="040F8FE9" w:rsidR="004478A8" w:rsidRPr="00EA3D8C" w:rsidRDefault="004478A8" w:rsidP="00E4657F">
      <w:pPr>
        <w:jc w:val="center"/>
        <w:rPr>
          <w:b/>
          <w:color w:val="002060"/>
          <w:lang w:val="sr-Cyrl-RS"/>
        </w:rPr>
      </w:pPr>
      <w:r w:rsidRPr="00EA3D8C">
        <w:rPr>
          <w:b/>
          <w:color w:val="002060"/>
          <w:lang w:val="sr-Cyrl-RS"/>
        </w:rPr>
        <w:lastRenderedPageBreak/>
        <w:t>Однос дуга и БДП на крају 2023. године</w:t>
      </w:r>
    </w:p>
    <w:p w14:paraId="133157C8" w14:textId="77777777" w:rsidR="004478A8" w:rsidRPr="00EA3D8C" w:rsidRDefault="004478A8" w:rsidP="004478A8">
      <w:pPr>
        <w:jc w:val="center"/>
        <w:rPr>
          <w:b/>
          <w:color w:val="002060"/>
          <w:lang w:val="sr-Cyrl-RS"/>
        </w:rPr>
      </w:pPr>
      <w:r w:rsidRPr="00EA3D8C">
        <w:rPr>
          <w:noProof/>
        </w:rPr>
        <w:drawing>
          <wp:inline distT="0" distB="0" distL="0" distR="0" wp14:anchorId="2D8926A3" wp14:editId="6A3702CF">
            <wp:extent cx="2685600" cy="1707573"/>
            <wp:effectExtent l="0" t="0" r="635" b="6985"/>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67013F43" w14:textId="77777777" w:rsidR="004478A8" w:rsidRPr="00EA3D8C" w:rsidRDefault="004478A8" w:rsidP="00E4657F">
      <w:pPr>
        <w:jc w:val="center"/>
        <w:rPr>
          <w:b/>
          <w:color w:val="002060"/>
          <w:lang w:val="sr-Cyrl-RS"/>
        </w:rPr>
      </w:pPr>
      <w:r w:rsidRPr="00EA3D8C">
        <w:rPr>
          <w:b/>
          <w:color w:val="002060"/>
          <w:lang w:val="sr-Cyrl-RS"/>
        </w:rPr>
        <w:t>Однос камата и БДП на крају 2023. године</w:t>
      </w:r>
    </w:p>
    <w:p w14:paraId="35E4E29B" w14:textId="77777777" w:rsidR="004478A8" w:rsidRPr="00EA3D8C" w:rsidRDefault="004478A8" w:rsidP="004478A8">
      <w:pPr>
        <w:jc w:val="center"/>
        <w:rPr>
          <w:b/>
          <w:color w:val="002060"/>
          <w:lang w:val="sr-Cyrl-RS"/>
        </w:rPr>
      </w:pPr>
      <w:r w:rsidRPr="00EA3D8C">
        <w:rPr>
          <w:noProof/>
        </w:rPr>
        <w:drawing>
          <wp:inline distT="0" distB="0" distL="0" distR="0" wp14:anchorId="57ECB948" wp14:editId="71E9890F">
            <wp:extent cx="2619578" cy="1565453"/>
            <wp:effectExtent l="0" t="0" r="0" b="0"/>
            <wp:docPr id="82" name="Chart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14:paraId="28D6120D" w14:textId="6B2CB2C5" w:rsidR="004478A8" w:rsidRPr="00EA3D8C" w:rsidRDefault="004478A8" w:rsidP="00E4657F">
      <w:pPr>
        <w:rPr>
          <w:rFonts w:cstheme="minorHAnsi"/>
          <w:bCs/>
          <w:spacing w:val="-2"/>
          <w:szCs w:val="72"/>
          <w:lang w:val="sr-Cyrl-RS"/>
        </w:rPr>
      </w:pPr>
      <w:r w:rsidRPr="00EA3D8C">
        <w:rPr>
          <w:rFonts w:cstheme="minorHAnsi"/>
          <w:bCs/>
          <w:spacing w:val="-2"/>
          <w:szCs w:val="72"/>
          <w:lang w:val="sr-Cyrl-RS"/>
        </w:rPr>
        <w:t xml:space="preserve">На основу графикона јасно се уочавају трошкови које свака од разматраних стратегија носи са собом – стратегија С3 има релативно највећу изложеност </w:t>
      </w:r>
      <w:r w:rsidRPr="00EA3D8C">
        <w:rPr>
          <w:rFonts w:cstheme="minorHAnsi"/>
          <w:bCs/>
          <w:spacing w:val="-2"/>
          <w:szCs w:val="72"/>
          <w:lang w:val="sr-Cyrl-RS"/>
        </w:rPr>
        <w:lastRenderedPageBreak/>
        <w:t>ризику девизног курса. Стратегије С4 и С2 имају највећу изложеност могућим осцилацијама динарских каматних стопа, због емисије динарских хартија од вредности. Стратегије С1 и С3 при основном макроекономском оквиру имају нижи рацио учешћа дуга у БДП на крају 2023 године. Код стратегије С1 присутан је најмањи ризик код каматних стопа у односу на све четири посматране стратегије услед ниског фиксног трошка еврообвезница у еврима, али је релативно више ризична у погледу рација дуг-БДП. Стратегије С4 је релативно скупља са аспекта учешћа камата у БДП, али најмање ризичне са аспекта девизног ризика, с обзиром на то да се по овој стратегији финансирање буџета врши емитовањем динарских хартија од вредности.</w:t>
      </w:r>
    </w:p>
    <w:p w14:paraId="2494F009" w14:textId="50881664" w:rsidR="004478A8" w:rsidRPr="00EA3D8C" w:rsidRDefault="004478A8" w:rsidP="00D06D24">
      <w:pPr>
        <w:spacing w:after="360"/>
        <w:rPr>
          <w:rFonts w:cstheme="minorHAnsi"/>
          <w:bCs/>
          <w:szCs w:val="72"/>
          <w:lang w:val="sr-Cyrl-RS"/>
        </w:rPr>
      </w:pPr>
      <w:r w:rsidRPr="00EA3D8C">
        <w:rPr>
          <w:rFonts w:cstheme="minorHAnsi"/>
          <w:bCs/>
          <w:szCs w:val="72"/>
          <w:lang w:val="sr-Cyrl-RS"/>
        </w:rPr>
        <w:t>Приликом анализе односа јавног дуга и БДП оцењено је да стратегија С1 и С2, при основном сценарију имају приближно сличан рацио дуг и БДП, са ризиком повећања рациа нижим од С3 и вишим од С4. Стратегија С4 има највише трошкове камата услед већег учешћа динарских хартија од вредности, као и ризик проузрокован могућим растом домаћих каматних стопа. На основу ових анализа евидентно је да ће се у наредном средњорочном периоду основне операције задужив</w:t>
      </w:r>
      <w:r w:rsidR="00341D14">
        <w:rPr>
          <w:rFonts w:cstheme="minorHAnsi"/>
          <w:bCs/>
          <w:szCs w:val="72"/>
          <w:lang w:val="sr-Cyrl-RS"/>
        </w:rPr>
        <w:t>ања заснивати на стратегији С1.</w:t>
      </w:r>
    </w:p>
    <w:p w14:paraId="00C96283" w14:textId="77777777" w:rsidR="004478A8" w:rsidRPr="00EA3D8C" w:rsidRDefault="004478A8" w:rsidP="004478A8">
      <w:pPr>
        <w:spacing w:after="240"/>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p>
    <w:p w14:paraId="48D4FBE1" w14:textId="56A30393" w:rsidR="004478A8" w:rsidRPr="00EA3D8C" w:rsidRDefault="00EC4017" w:rsidP="00E4657F">
      <w:pPr>
        <w:jc w:val="center"/>
        <w:rPr>
          <w:b/>
          <w:color w:val="002060"/>
          <w:lang w:val="sr-Cyrl-RS"/>
        </w:rPr>
      </w:pPr>
      <w:r w:rsidRPr="00EA3D8C">
        <w:rPr>
          <w:b/>
          <w:color w:val="002060"/>
          <w:lang w:val="sr-Cyrl-RS"/>
        </w:rPr>
        <w:lastRenderedPageBreak/>
        <w:t>Табела 27</w:t>
      </w:r>
      <w:r w:rsidR="004478A8" w:rsidRPr="00EA3D8C">
        <w:rPr>
          <w:b/>
          <w:color w:val="002060"/>
          <w:lang w:val="sr-Cyrl-RS"/>
        </w:rPr>
        <w:t>. Однос јавног дуга и БДП на крају 2023. године</w:t>
      </w:r>
    </w:p>
    <w:tbl>
      <w:tblPr>
        <w:tblStyle w:val="LightShading-Accent122"/>
        <w:tblW w:w="5000" w:type="pct"/>
        <w:tblLook w:val="04A0" w:firstRow="1" w:lastRow="0" w:firstColumn="1" w:lastColumn="0" w:noHBand="0" w:noVBand="1"/>
      </w:tblPr>
      <w:tblGrid>
        <w:gridCol w:w="5032"/>
        <w:gridCol w:w="1082"/>
        <w:gridCol w:w="1082"/>
        <w:gridCol w:w="1082"/>
        <w:gridCol w:w="1082"/>
      </w:tblGrid>
      <w:tr w:rsidR="003E2EFC" w:rsidRPr="002C675F" w14:paraId="37AE42C6" w14:textId="77777777" w:rsidTr="003E2EFC">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shd w:val="clear" w:color="auto" w:fill="auto"/>
            <w:noWrap/>
            <w:hideMark/>
          </w:tcPr>
          <w:p w14:paraId="2DCFBABC" w14:textId="77777777" w:rsidR="004478A8" w:rsidRPr="002C675F" w:rsidRDefault="004478A8" w:rsidP="00E4657F">
            <w:pPr>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Сценарији</w:t>
            </w:r>
          </w:p>
        </w:tc>
        <w:tc>
          <w:tcPr>
            <w:tcW w:w="578" w:type="pct"/>
            <w:tcBorders>
              <w:top w:val="single" w:sz="4" w:space="0" w:color="002060"/>
              <w:bottom w:val="single" w:sz="4" w:space="0" w:color="002060"/>
            </w:tcBorders>
            <w:shd w:val="clear" w:color="auto" w:fill="auto"/>
            <w:noWrap/>
            <w:hideMark/>
          </w:tcPr>
          <w:p w14:paraId="153B94FE"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C1</w:t>
            </w:r>
          </w:p>
        </w:tc>
        <w:tc>
          <w:tcPr>
            <w:tcW w:w="578" w:type="pct"/>
            <w:tcBorders>
              <w:top w:val="single" w:sz="4" w:space="0" w:color="002060"/>
              <w:bottom w:val="single" w:sz="4" w:space="0" w:color="002060"/>
            </w:tcBorders>
            <w:shd w:val="clear" w:color="auto" w:fill="auto"/>
            <w:noWrap/>
            <w:hideMark/>
          </w:tcPr>
          <w:p w14:paraId="29CF8DD2"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C2</w:t>
            </w:r>
          </w:p>
        </w:tc>
        <w:tc>
          <w:tcPr>
            <w:tcW w:w="578" w:type="pct"/>
            <w:tcBorders>
              <w:top w:val="single" w:sz="4" w:space="0" w:color="002060"/>
              <w:bottom w:val="single" w:sz="4" w:space="0" w:color="002060"/>
            </w:tcBorders>
            <w:shd w:val="clear" w:color="auto" w:fill="auto"/>
            <w:noWrap/>
            <w:hideMark/>
          </w:tcPr>
          <w:p w14:paraId="1A8077F3"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C3</w:t>
            </w:r>
          </w:p>
        </w:tc>
        <w:tc>
          <w:tcPr>
            <w:tcW w:w="578" w:type="pct"/>
            <w:tcBorders>
              <w:top w:val="single" w:sz="4" w:space="0" w:color="002060"/>
              <w:bottom w:val="single" w:sz="4" w:space="0" w:color="002060"/>
            </w:tcBorders>
            <w:shd w:val="clear" w:color="auto" w:fill="auto"/>
            <w:noWrap/>
            <w:hideMark/>
          </w:tcPr>
          <w:p w14:paraId="4D8663C4"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C4</w:t>
            </w:r>
          </w:p>
        </w:tc>
      </w:tr>
      <w:tr w:rsidR="003E2EFC" w:rsidRPr="002C675F" w14:paraId="0ED94FF0"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tcBorders>
            <w:shd w:val="clear" w:color="auto" w:fill="auto"/>
            <w:noWrap/>
            <w:hideMark/>
          </w:tcPr>
          <w:p w14:paraId="33448756"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Основни сценарио</w:t>
            </w:r>
          </w:p>
        </w:tc>
        <w:tc>
          <w:tcPr>
            <w:tcW w:w="578" w:type="pct"/>
            <w:tcBorders>
              <w:top w:val="nil"/>
              <w:bottom w:val="nil"/>
            </w:tcBorders>
            <w:shd w:val="clear" w:color="auto" w:fill="auto"/>
            <w:noWrap/>
            <w:vAlign w:val="bottom"/>
            <w:hideMark/>
          </w:tcPr>
          <w:p w14:paraId="6708CD2D" w14:textId="3A318BF5"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578" w:type="pct"/>
            <w:tcBorders>
              <w:top w:val="nil"/>
              <w:bottom w:val="nil"/>
            </w:tcBorders>
            <w:shd w:val="clear" w:color="auto" w:fill="auto"/>
            <w:noWrap/>
            <w:vAlign w:val="bottom"/>
            <w:hideMark/>
          </w:tcPr>
          <w:p w14:paraId="57B41681" w14:textId="4F8CB4BA"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578" w:type="pct"/>
            <w:tcBorders>
              <w:top w:val="nil"/>
              <w:bottom w:val="nil"/>
            </w:tcBorders>
            <w:shd w:val="clear" w:color="auto" w:fill="auto"/>
            <w:noWrap/>
            <w:vAlign w:val="bottom"/>
            <w:hideMark/>
          </w:tcPr>
          <w:p w14:paraId="32D046EE" w14:textId="2A2AAF3F"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578" w:type="pct"/>
            <w:tcBorders>
              <w:top w:val="nil"/>
              <w:bottom w:val="nil"/>
            </w:tcBorders>
            <w:shd w:val="clear" w:color="auto" w:fill="auto"/>
            <w:noWrap/>
            <w:vAlign w:val="bottom"/>
            <w:hideMark/>
          </w:tcPr>
          <w:p w14:paraId="7B3DD9CC" w14:textId="6BE0B4B2"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3E2EFC" w:rsidRPr="002C675F" w14:paraId="76AB31C5"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41DC6229"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vAlign w:val="bottom"/>
            <w:hideMark/>
          </w:tcPr>
          <w:p w14:paraId="3EAE8CAC" w14:textId="3DD044A8"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578" w:type="pct"/>
            <w:tcBorders>
              <w:top w:val="nil"/>
              <w:left w:val="nil"/>
              <w:bottom w:val="nil"/>
              <w:right w:val="nil"/>
            </w:tcBorders>
            <w:shd w:val="clear" w:color="auto" w:fill="auto"/>
            <w:noWrap/>
            <w:vAlign w:val="bottom"/>
            <w:hideMark/>
          </w:tcPr>
          <w:p w14:paraId="49576ACA" w14:textId="255F1A62"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578" w:type="pct"/>
            <w:tcBorders>
              <w:top w:val="nil"/>
              <w:left w:val="nil"/>
              <w:bottom w:val="nil"/>
              <w:right w:val="nil"/>
            </w:tcBorders>
            <w:shd w:val="clear" w:color="auto" w:fill="auto"/>
            <w:noWrap/>
            <w:vAlign w:val="bottom"/>
            <w:hideMark/>
          </w:tcPr>
          <w:p w14:paraId="39A8AC16" w14:textId="794A29A8"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578" w:type="pct"/>
            <w:tcBorders>
              <w:top w:val="nil"/>
              <w:left w:val="nil"/>
              <w:bottom w:val="nil"/>
              <w:right w:val="nil"/>
            </w:tcBorders>
            <w:shd w:val="clear" w:color="auto" w:fill="auto"/>
            <w:noWrap/>
            <w:vAlign w:val="bottom"/>
            <w:hideMark/>
          </w:tcPr>
          <w:p w14:paraId="16DEA6A1" w14:textId="35C8120B"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r>
      <w:tr w:rsidR="003E2EFC" w:rsidRPr="002C675F" w14:paraId="40304154"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20A1571E"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Каматни шок (сценарио 1) </w:t>
            </w:r>
          </w:p>
        </w:tc>
        <w:tc>
          <w:tcPr>
            <w:tcW w:w="578" w:type="pct"/>
            <w:tcBorders>
              <w:top w:val="nil"/>
              <w:bottom w:val="nil"/>
            </w:tcBorders>
            <w:shd w:val="clear" w:color="auto" w:fill="auto"/>
            <w:noWrap/>
            <w:vAlign w:val="bottom"/>
            <w:hideMark/>
          </w:tcPr>
          <w:p w14:paraId="6897D9CF" w14:textId="73520C6C"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c>
          <w:tcPr>
            <w:tcW w:w="578" w:type="pct"/>
            <w:tcBorders>
              <w:top w:val="nil"/>
              <w:bottom w:val="nil"/>
            </w:tcBorders>
            <w:shd w:val="clear" w:color="auto" w:fill="auto"/>
            <w:noWrap/>
            <w:vAlign w:val="bottom"/>
            <w:hideMark/>
          </w:tcPr>
          <w:p w14:paraId="248BD815" w14:textId="580DE6A5"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578" w:type="pct"/>
            <w:tcBorders>
              <w:top w:val="nil"/>
              <w:bottom w:val="nil"/>
            </w:tcBorders>
            <w:shd w:val="clear" w:color="auto" w:fill="auto"/>
            <w:noWrap/>
            <w:vAlign w:val="bottom"/>
            <w:hideMark/>
          </w:tcPr>
          <w:p w14:paraId="23ED571A" w14:textId="0A71F1CF"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c>
          <w:tcPr>
            <w:tcW w:w="578" w:type="pct"/>
            <w:tcBorders>
              <w:top w:val="nil"/>
              <w:bottom w:val="nil"/>
            </w:tcBorders>
            <w:shd w:val="clear" w:color="auto" w:fill="auto"/>
            <w:noWrap/>
            <w:vAlign w:val="bottom"/>
            <w:hideMark/>
          </w:tcPr>
          <w:p w14:paraId="63334022" w14:textId="16F2C416"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r>
      <w:tr w:rsidR="003E2EFC" w:rsidRPr="002C675F" w14:paraId="5724753C"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1646F95A"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vAlign w:val="bottom"/>
            <w:hideMark/>
          </w:tcPr>
          <w:p w14:paraId="3BD8B043" w14:textId="4B7CEFBD"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578" w:type="pct"/>
            <w:tcBorders>
              <w:top w:val="nil"/>
              <w:left w:val="nil"/>
              <w:bottom w:val="nil"/>
              <w:right w:val="nil"/>
            </w:tcBorders>
            <w:shd w:val="clear" w:color="auto" w:fill="auto"/>
            <w:noWrap/>
            <w:vAlign w:val="bottom"/>
            <w:hideMark/>
          </w:tcPr>
          <w:p w14:paraId="02EEC785" w14:textId="697AD3E9"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578" w:type="pct"/>
            <w:tcBorders>
              <w:top w:val="nil"/>
              <w:left w:val="nil"/>
              <w:bottom w:val="nil"/>
              <w:right w:val="nil"/>
            </w:tcBorders>
            <w:shd w:val="clear" w:color="auto" w:fill="auto"/>
            <w:noWrap/>
            <w:vAlign w:val="bottom"/>
            <w:hideMark/>
          </w:tcPr>
          <w:p w14:paraId="1D68F03E" w14:textId="00943108"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578" w:type="pct"/>
            <w:tcBorders>
              <w:top w:val="nil"/>
              <w:left w:val="nil"/>
              <w:bottom w:val="nil"/>
              <w:right w:val="nil"/>
            </w:tcBorders>
            <w:shd w:val="clear" w:color="auto" w:fill="auto"/>
            <w:noWrap/>
            <w:vAlign w:val="bottom"/>
            <w:hideMark/>
          </w:tcPr>
          <w:p w14:paraId="5DD53378" w14:textId="69AE5577"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r>
      <w:tr w:rsidR="003E2EFC" w:rsidRPr="002C675F" w14:paraId="56F9B236"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2CB25531"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Комбиновани шок (15% УСД и каматни шок1) </w:t>
            </w:r>
          </w:p>
        </w:tc>
        <w:tc>
          <w:tcPr>
            <w:tcW w:w="578" w:type="pct"/>
            <w:tcBorders>
              <w:top w:val="nil"/>
              <w:bottom w:val="nil"/>
            </w:tcBorders>
            <w:shd w:val="clear" w:color="auto" w:fill="auto"/>
            <w:noWrap/>
            <w:vAlign w:val="bottom"/>
            <w:hideMark/>
          </w:tcPr>
          <w:p w14:paraId="507AFCD6" w14:textId="1E38240C"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578" w:type="pct"/>
            <w:tcBorders>
              <w:top w:val="nil"/>
              <w:bottom w:val="nil"/>
            </w:tcBorders>
            <w:shd w:val="clear" w:color="auto" w:fill="auto"/>
            <w:noWrap/>
            <w:vAlign w:val="bottom"/>
            <w:hideMark/>
          </w:tcPr>
          <w:p w14:paraId="194274E3" w14:textId="222C454D"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578" w:type="pct"/>
            <w:tcBorders>
              <w:top w:val="nil"/>
              <w:bottom w:val="nil"/>
            </w:tcBorders>
            <w:shd w:val="clear" w:color="auto" w:fill="auto"/>
            <w:noWrap/>
            <w:vAlign w:val="bottom"/>
            <w:hideMark/>
          </w:tcPr>
          <w:p w14:paraId="258AE575" w14:textId="0B9918D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578" w:type="pct"/>
            <w:tcBorders>
              <w:top w:val="nil"/>
              <w:bottom w:val="nil"/>
            </w:tcBorders>
            <w:shd w:val="clear" w:color="auto" w:fill="auto"/>
            <w:noWrap/>
            <w:vAlign w:val="bottom"/>
            <w:hideMark/>
          </w:tcPr>
          <w:p w14:paraId="5C918DCC" w14:textId="3BCA4C7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r>
      <w:tr w:rsidR="003E2EFC" w:rsidRPr="002C675F" w14:paraId="5E17D934"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auto"/>
            </w:tcBorders>
            <w:shd w:val="clear" w:color="auto" w:fill="auto"/>
            <w:noWrap/>
            <w:hideMark/>
          </w:tcPr>
          <w:p w14:paraId="4436990F"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Максимални ризик </w:t>
            </w:r>
          </w:p>
        </w:tc>
        <w:tc>
          <w:tcPr>
            <w:tcW w:w="578" w:type="pct"/>
            <w:tcBorders>
              <w:top w:val="nil"/>
              <w:left w:val="nil"/>
              <w:bottom w:val="single" w:sz="4" w:space="0" w:color="auto"/>
              <w:right w:val="nil"/>
            </w:tcBorders>
            <w:shd w:val="clear" w:color="auto" w:fill="auto"/>
            <w:noWrap/>
            <w:vAlign w:val="bottom"/>
            <w:hideMark/>
          </w:tcPr>
          <w:p w14:paraId="7D9AAD50" w14:textId="0F3B77CD"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578" w:type="pct"/>
            <w:tcBorders>
              <w:top w:val="nil"/>
              <w:left w:val="nil"/>
              <w:bottom w:val="single" w:sz="4" w:space="0" w:color="auto"/>
              <w:right w:val="nil"/>
            </w:tcBorders>
            <w:shd w:val="clear" w:color="auto" w:fill="auto"/>
            <w:noWrap/>
            <w:vAlign w:val="bottom"/>
            <w:hideMark/>
          </w:tcPr>
          <w:p w14:paraId="31F7C03D" w14:textId="12787D89"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578" w:type="pct"/>
            <w:tcBorders>
              <w:top w:val="nil"/>
              <w:left w:val="nil"/>
              <w:bottom w:val="single" w:sz="4" w:space="0" w:color="auto"/>
              <w:right w:val="nil"/>
            </w:tcBorders>
            <w:shd w:val="clear" w:color="auto" w:fill="auto"/>
            <w:noWrap/>
            <w:vAlign w:val="bottom"/>
            <w:hideMark/>
          </w:tcPr>
          <w:p w14:paraId="0896A67A" w14:textId="20B6298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578" w:type="pct"/>
            <w:tcBorders>
              <w:top w:val="nil"/>
              <w:left w:val="nil"/>
              <w:bottom w:val="single" w:sz="4" w:space="0" w:color="auto"/>
              <w:right w:val="nil"/>
            </w:tcBorders>
            <w:shd w:val="clear" w:color="auto" w:fill="auto"/>
            <w:noWrap/>
            <w:vAlign w:val="bottom"/>
            <w:hideMark/>
          </w:tcPr>
          <w:p w14:paraId="167D4048" w14:textId="476FAF65"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4</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r>
    </w:tbl>
    <w:p w14:paraId="61102B08" w14:textId="3996B63D" w:rsidR="00BC799A" w:rsidRPr="00EA3D8C" w:rsidRDefault="00BC799A" w:rsidP="00E4657F">
      <w:pPr>
        <w:jc w:val="center"/>
        <w:rPr>
          <w:b/>
          <w:color w:val="002060"/>
          <w:lang w:val="sr-Cyrl-RS"/>
        </w:rPr>
      </w:pPr>
    </w:p>
    <w:p w14:paraId="688F42D5" w14:textId="3E17F33F" w:rsidR="004478A8" w:rsidRPr="00EA3D8C" w:rsidRDefault="00EC4017" w:rsidP="00E4657F">
      <w:pPr>
        <w:jc w:val="center"/>
        <w:rPr>
          <w:b/>
          <w:color w:val="002060"/>
          <w:lang w:val="sr-Cyrl-RS"/>
        </w:rPr>
      </w:pPr>
      <w:r w:rsidRPr="00EA3D8C">
        <w:rPr>
          <w:b/>
          <w:color w:val="002060"/>
          <w:lang w:val="sr-Cyrl-RS"/>
        </w:rPr>
        <w:t>Табела 28</w:t>
      </w:r>
      <w:r w:rsidR="004478A8" w:rsidRPr="00EA3D8C">
        <w:rPr>
          <w:b/>
          <w:color w:val="002060"/>
          <w:lang w:val="sr-Cyrl-RS"/>
        </w:rPr>
        <w:t>. Однос плаћања по основу камата и БДП на крају 2023. године</w:t>
      </w:r>
    </w:p>
    <w:tbl>
      <w:tblPr>
        <w:tblStyle w:val="LightShading-Accent122"/>
        <w:tblW w:w="5000" w:type="pct"/>
        <w:tblLook w:val="04A0" w:firstRow="1" w:lastRow="0" w:firstColumn="1" w:lastColumn="0" w:noHBand="0" w:noVBand="1"/>
      </w:tblPr>
      <w:tblGrid>
        <w:gridCol w:w="5032"/>
        <w:gridCol w:w="1082"/>
        <w:gridCol w:w="1082"/>
        <w:gridCol w:w="1082"/>
        <w:gridCol w:w="1082"/>
      </w:tblGrid>
      <w:tr w:rsidR="002C675F" w:rsidRPr="002C675F" w14:paraId="33D623E9" w14:textId="77777777" w:rsidTr="003E2EFC">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single" w:sz="8" w:space="0" w:color="FFFFFF" w:themeColor="background1"/>
            </w:tcBorders>
            <w:shd w:val="clear" w:color="auto" w:fill="auto"/>
            <w:noWrap/>
            <w:hideMark/>
          </w:tcPr>
          <w:p w14:paraId="5B03CA62" w14:textId="77777777" w:rsidR="004478A8" w:rsidRPr="002C675F" w:rsidRDefault="004478A8" w:rsidP="00E4657F">
            <w:pPr>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Сценарији</w:t>
            </w:r>
          </w:p>
        </w:tc>
        <w:tc>
          <w:tcPr>
            <w:tcW w:w="578" w:type="pct"/>
            <w:tcBorders>
              <w:top w:val="single" w:sz="4" w:space="0" w:color="002060"/>
              <w:bottom w:val="single" w:sz="4" w:space="0" w:color="002060"/>
            </w:tcBorders>
            <w:shd w:val="clear" w:color="auto" w:fill="auto"/>
            <w:noWrap/>
            <w:hideMark/>
          </w:tcPr>
          <w:p w14:paraId="3B77E5BF"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C1</w:t>
            </w:r>
          </w:p>
        </w:tc>
        <w:tc>
          <w:tcPr>
            <w:tcW w:w="578" w:type="pct"/>
            <w:tcBorders>
              <w:top w:val="single" w:sz="4" w:space="0" w:color="002060"/>
              <w:bottom w:val="single" w:sz="4" w:space="0" w:color="002060"/>
            </w:tcBorders>
            <w:shd w:val="clear" w:color="auto" w:fill="auto"/>
            <w:noWrap/>
            <w:hideMark/>
          </w:tcPr>
          <w:p w14:paraId="01B5A98E"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C2</w:t>
            </w:r>
          </w:p>
        </w:tc>
        <w:tc>
          <w:tcPr>
            <w:tcW w:w="578" w:type="pct"/>
            <w:tcBorders>
              <w:top w:val="single" w:sz="4" w:space="0" w:color="002060"/>
              <w:bottom w:val="single" w:sz="4" w:space="0" w:color="002060"/>
            </w:tcBorders>
            <w:shd w:val="clear" w:color="auto" w:fill="auto"/>
            <w:noWrap/>
            <w:hideMark/>
          </w:tcPr>
          <w:p w14:paraId="313665E8"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C3</w:t>
            </w:r>
          </w:p>
        </w:tc>
        <w:tc>
          <w:tcPr>
            <w:tcW w:w="578" w:type="pct"/>
            <w:tcBorders>
              <w:top w:val="single" w:sz="4" w:space="0" w:color="002060"/>
              <w:bottom w:val="single" w:sz="4" w:space="0" w:color="002060"/>
            </w:tcBorders>
            <w:shd w:val="clear" w:color="auto" w:fill="auto"/>
            <w:noWrap/>
            <w:hideMark/>
          </w:tcPr>
          <w:p w14:paraId="0EF04D67" w14:textId="77777777" w:rsidR="004478A8" w:rsidRPr="002C675F" w:rsidRDefault="004478A8" w:rsidP="004478A8">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C4</w:t>
            </w:r>
          </w:p>
        </w:tc>
      </w:tr>
      <w:tr w:rsidR="002C675F" w:rsidRPr="002C675F" w14:paraId="0C518C08"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8" w:space="0" w:color="FFFFFF" w:themeColor="background1"/>
            </w:tcBorders>
            <w:shd w:val="clear" w:color="auto" w:fill="auto"/>
            <w:noWrap/>
            <w:hideMark/>
          </w:tcPr>
          <w:p w14:paraId="392C8407"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Основни сценарио</w:t>
            </w:r>
          </w:p>
        </w:tc>
        <w:tc>
          <w:tcPr>
            <w:tcW w:w="578" w:type="pct"/>
            <w:tcBorders>
              <w:top w:val="single" w:sz="4" w:space="0" w:color="002060"/>
              <w:bottom w:val="nil"/>
            </w:tcBorders>
            <w:shd w:val="clear" w:color="auto" w:fill="auto"/>
            <w:noWrap/>
            <w:vAlign w:val="bottom"/>
            <w:hideMark/>
          </w:tcPr>
          <w:p w14:paraId="7BD1C6F9" w14:textId="35CB3AC5"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578" w:type="pct"/>
            <w:tcBorders>
              <w:top w:val="single" w:sz="4" w:space="0" w:color="002060"/>
              <w:bottom w:val="nil"/>
            </w:tcBorders>
            <w:shd w:val="clear" w:color="auto" w:fill="auto"/>
            <w:noWrap/>
            <w:vAlign w:val="bottom"/>
            <w:hideMark/>
          </w:tcPr>
          <w:p w14:paraId="39CB34C5" w14:textId="510028D0"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578" w:type="pct"/>
            <w:tcBorders>
              <w:top w:val="single" w:sz="4" w:space="0" w:color="002060"/>
              <w:bottom w:val="nil"/>
            </w:tcBorders>
            <w:shd w:val="clear" w:color="auto" w:fill="auto"/>
            <w:noWrap/>
            <w:vAlign w:val="bottom"/>
            <w:hideMark/>
          </w:tcPr>
          <w:p w14:paraId="43B43C36" w14:textId="1356E4E2"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578" w:type="pct"/>
            <w:tcBorders>
              <w:top w:val="single" w:sz="4" w:space="0" w:color="002060"/>
              <w:bottom w:val="nil"/>
            </w:tcBorders>
            <w:shd w:val="clear" w:color="auto" w:fill="auto"/>
            <w:noWrap/>
            <w:vAlign w:val="bottom"/>
            <w:hideMark/>
          </w:tcPr>
          <w:p w14:paraId="7476CADE" w14:textId="5842D7DD"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2C675F" w:rsidRPr="002C675F" w14:paraId="4806BEF6"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2F75B93E"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vAlign w:val="bottom"/>
            <w:hideMark/>
          </w:tcPr>
          <w:p w14:paraId="52504B0D" w14:textId="5F1D5E04"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578" w:type="pct"/>
            <w:tcBorders>
              <w:top w:val="nil"/>
              <w:left w:val="nil"/>
              <w:bottom w:val="nil"/>
              <w:right w:val="nil"/>
            </w:tcBorders>
            <w:shd w:val="clear" w:color="auto" w:fill="auto"/>
            <w:noWrap/>
            <w:vAlign w:val="bottom"/>
            <w:hideMark/>
          </w:tcPr>
          <w:p w14:paraId="6D5C0F28" w14:textId="6D9B573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578" w:type="pct"/>
            <w:tcBorders>
              <w:top w:val="nil"/>
              <w:left w:val="nil"/>
              <w:bottom w:val="nil"/>
              <w:right w:val="nil"/>
            </w:tcBorders>
            <w:shd w:val="clear" w:color="auto" w:fill="auto"/>
            <w:noWrap/>
            <w:vAlign w:val="bottom"/>
            <w:hideMark/>
          </w:tcPr>
          <w:p w14:paraId="7FBE5EC6" w14:textId="65568602"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578" w:type="pct"/>
            <w:tcBorders>
              <w:top w:val="nil"/>
              <w:left w:val="nil"/>
              <w:bottom w:val="nil"/>
              <w:right w:val="nil"/>
            </w:tcBorders>
            <w:shd w:val="clear" w:color="auto" w:fill="auto"/>
            <w:noWrap/>
            <w:vAlign w:val="bottom"/>
            <w:hideMark/>
          </w:tcPr>
          <w:p w14:paraId="4546CBD7" w14:textId="5321DA08"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r>
      <w:tr w:rsidR="002C675F" w:rsidRPr="002C675F" w14:paraId="4087EACF"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45D8C4A0"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Каматни шок (сценарио 1) </w:t>
            </w:r>
          </w:p>
        </w:tc>
        <w:tc>
          <w:tcPr>
            <w:tcW w:w="578" w:type="pct"/>
            <w:tcBorders>
              <w:top w:val="nil"/>
              <w:bottom w:val="nil"/>
            </w:tcBorders>
            <w:shd w:val="clear" w:color="auto" w:fill="auto"/>
            <w:noWrap/>
            <w:vAlign w:val="bottom"/>
            <w:hideMark/>
          </w:tcPr>
          <w:p w14:paraId="27FBFF20" w14:textId="6DD43F97"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9</w:t>
            </w:r>
          </w:p>
        </w:tc>
        <w:tc>
          <w:tcPr>
            <w:tcW w:w="578" w:type="pct"/>
            <w:tcBorders>
              <w:top w:val="nil"/>
              <w:bottom w:val="nil"/>
            </w:tcBorders>
            <w:shd w:val="clear" w:color="auto" w:fill="auto"/>
            <w:noWrap/>
            <w:vAlign w:val="bottom"/>
            <w:hideMark/>
          </w:tcPr>
          <w:p w14:paraId="09772FAB" w14:textId="30820006"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0</w:t>
            </w:r>
          </w:p>
        </w:tc>
        <w:tc>
          <w:tcPr>
            <w:tcW w:w="578" w:type="pct"/>
            <w:tcBorders>
              <w:top w:val="nil"/>
              <w:bottom w:val="nil"/>
            </w:tcBorders>
            <w:shd w:val="clear" w:color="auto" w:fill="auto"/>
            <w:noWrap/>
            <w:vAlign w:val="bottom"/>
            <w:hideMark/>
          </w:tcPr>
          <w:p w14:paraId="3C6C59B6" w14:textId="08E390E7"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578" w:type="pct"/>
            <w:tcBorders>
              <w:top w:val="nil"/>
              <w:bottom w:val="nil"/>
            </w:tcBorders>
            <w:shd w:val="clear" w:color="auto" w:fill="auto"/>
            <w:noWrap/>
            <w:vAlign w:val="bottom"/>
            <w:hideMark/>
          </w:tcPr>
          <w:p w14:paraId="23BA6380" w14:textId="6BC782F3"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r>
      <w:tr w:rsidR="002C675F" w:rsidRPr="002C675F" w14:paraId="388EFD6C"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3947E1B7"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vAlign w:val="bottom"/>
            <w:hideMark/>
          </w:tcPr>
          <w:p w14:paraId="15AAED25" w14:textId="381DAF13"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c>
          <w:tcPr>
            <w:tcW w:w="578" w:type="pct"/>
            <w:tcBorders>
              <w:top w:val="nil"/>
              <w:left w:val="nil"/>
              <w:bottom w:val="nil"/>
              <w:right w:val="nil"/>
            </w:tcBorders>
            <w:shd w:val="clear" w:color="auto" w:fill="auto"/>
            <w:noWrap/>
            <w:vAlign w:val="bottom"/>
            <w:hideMark/>
          </w:tcPr>
          <w:p w14:paraId="595858BD" w14:textId="4AC26A1F"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578" w:type="pct"/>
            <w:tcBorders>
              <w:top w:val="nil"/>
              <w:left w:val="nil"/>
              <w:bottom w:val="nil"/>
              <w:right w:val="nil"/>
            </w:tcBorders>
            <w:shd w:val="clear" w:color="auto" w:fill="auto"/>
            <w:noWrap/>
            <w:vAlign w:val="bottom"/>
            <w:hideMark/>
          </w:tcPr>
          <w:p w14:paraId="2D51429F" w14:textId="5D5A8F84"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0</w:t>
            </w:r>
          </w:p>
        </w:tc>
        <w:tc>
          <w:tcPr>
            <w:tcW w:w="578" w:type="pct"/>
            <w:tcBorders>
              <w:top w:val="nil"/>
              <w:left w:val="nil"/>
              <w:bottom w:val="nil"/>
              <w:right w:val="nil"/>
            </w:tcBorders>
            <w:shd w:val="clear" w:color="auto" w:fill="auto"/>
            <w:noWrap/>
            <w:vAlign w:val="bottom"/>
            <w:hideMark/>
          </w:tcPr>
          <w:p w14:paraId="2175A02F" w14:textId="29FA3A7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r>
      <w:tr w:rsidR="002C675F" w:rsidRPr="002C675F" w14:paraId="573F93A6" w14:textId="77777777" w:rsidTr="003E2EFC">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609CE39C"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Комбиновани шок (15% УСД и каматни шок1) </w:t>
            </w:r>
          </w:p>
        </w:tc>
        <w:tc>
          <w:tcPr>
            <w:tcW w:w="578" w:type="pct"/>
            <w:tcBorders>
              <w:top w:val="nil"/>
              <w:bottom w:val="nil"/>
            </w:tcBorders>
            <w:shd w:val="clear" w:color="auto" w:fill="auto"/>
            <w:noWrap/>
            <w:vAlign w:val="bottom"/>
            <w:hideMark/>
          </w:tcPr>
          <w:p w14:paraId="7DD4CD88" w14:textId="21BCE878"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9</w:t>
            </w:r>
          </w:p>
        </w:tc>
        <w:tc>
          <w:tcPr>
            <w:tcW w:w="578" w:type="pct"/>
            <w:tcBorders>
              <w:top w:val="nil"/>
              <w:bottom w:val="nil"/>
            </w:tcBorders>
            <w:shd w:val="clear" w:color="auto" w:fill="auto"/>
            <w:noWrap/>
            <w:vAlign w:val="bottom"/>
            <w:hideMark/>
          </w:tcPr>
          <w:p w14:paraId="67DDCFE4" w14:textId="14F383B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0</w:t>
            </w:r>
          </w:p>
        </w:tc>
        <w:tc>
          <w:tcPr>
            <w:tcW w:w="578" w:type="pct"/>
            <w:tcBorders>
              <w:top w:val="nil"/>
              <w:bottom w:val="nil"/>
            </w:tcBorders>
            <w:shd w:val="clear" w:color="auto" w:fill="auto"/>
            <w:noWrap/>
            <w:vAlign w:val="bottom"/>
            <w:hideMark/>
          </w:tcPr>
          <w:p w14:paraId="437D56D6" w14:textId="74143C3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578" w:type="pct"/>
            <w:tcBorders>
              <w:top w:val="nil"/>
              <w:bottom w:val="nil"/>
            </w:tcBorders>
            <w:shd w:val="clear" w:color="auto" w:fill="auto"/>
            <w:noWrap/>
            <w:vAlign w:val="bottom"/>
            <w:hideMark/>
          </w:tcPr>
          <w:p w14:paraId="3A7936FE" w14:textId="794421B4"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r>
      <w:tr w:rsidR="002C675F" w:rsidRPr="002C675F" w14:paraId="2D2B7ADE" w14:textId="77777777" w:rsidTr="003E2EFC">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002060"/>
            </w:tcBorders>
            <w:shd w:val="clear" w:color="auto" w:fill="auto"/>
            <w:noWrap/>
            <w:hideMark/>
          </w:tcPr>
          <w:p w14:paraId="3D103E4B"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 xml:space="preserve"> Максимални ризик </w:t>
            </w:r>
          </w:p>
        </w:tc>
        <w:tc>
          <w:tcPr>
            <w:tcW w:w="578" w:type="pct"/>
            <w:tcBorders>
              <w:top w:val="nil"/>
              <w:left w:val="nil"/>
              <w:bottom w:val="single" w:sz="4" w:space="0" w:color="auto"/>
              <w:right w:val="nil"/>
            </w:tcBorders>
            <w:shd w:val="clear" w:color="auto" w:fill="auto"/>
            <w:noWrap/>
            <w:vAlign w:val="bottom"/>
            <w:hideMark/>
          </w:tcPr>
          <w:p w14:paraId="333287CE" w14:textId="087A228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0</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578" w:type="pct"/>
            <w:tcBorders>
              <w:top w:val="nil"/>
              <w:left w:val="nil"/>
              <w:bottom w:val="single" w:sz="4" w:space="0" w:color="auto"/>
              <w:right w:val="nil"/>
            </w:tcBorders>
            <w:shd w:val="clear" w:color="auto" w:fill="auto"/>
            <w:noWrap/>
            <w:vAlign w:val="bottom"/>
            <w:hideMark/>
          </w:tcPr>
          <w:p w14:paraId="3490CB65" w14:textId="3226BE4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0</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578" w:type="pct"/>
            <w:tcBorders>
              <w:top w:val="nil"/>
              <w:left w:val="nil"/>
              <w:bottom w:val="single" w:sz="4" w:space="0" w:color="auto"/>
              <w:right w:val="nil"/>
            </w:tcBorders>
            <w:shd w:val="clear" w:color="auto" w:fill="auto"/>
            <w:noWrap/>
            <w:vAlign w:val="bottom"/>
            <w:hideMark/>
          </w:tcPr>
          <w:p w14:paraId="31D7A833" w14:textId="53254BCA"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0</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578" w:type="pct"/>
            <w:tcBorders>
              <w:top w:val="nil"/>
              <w:left w:val="nil"/>
              <w:bottom w:val="single" w:sz="4" w:space="0" w:color="auto"/>
              <w:right w:val="nil"/>
            </w:tcBorders>
            <w:shd w:val="clear" w:color="auto" w:fill="auto"/>
            <w:noWrap/>
            <w:vAlign w:val="bottom"/>
            <w:hideMark/>
          </w:tcPr>
          <w:p w14:paraId="395C8372" w14:textId="24A4B207"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0</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bl>
    <w:p w14:paraId="781550F1" w14:textId="77777777" w:rsidR="004478A8" w:rsidRPr="00EA3D8C" w:rsidRDefault="004478A8" w:rsidP="00C26685">
      <w:pPr>
        <w:spacing w:after="60" w:line="276" w:lineRule="auto"/>
        <w:rPr>
          <w:rFonts w:cstheme="minorHAnsi"/>
          <w:bCs/>
          <w:szCs w:val="72"/>
          <w:lang w:val="sr-Cyrl-RS"/>
        </w:rPr>
      </w:pPr>
    </w:p>
    <w:p w14:paraId="64CF1387" w14:textId="77777777" w:rsidR="004478A8" w:rsidRPr="00EA3D8C" w:rsidRDefault="004478A8" w:rsidP="00C26685">
      <w:pPr>
        <w:spacing w:after="60" w:line="276" w:lineRule="auto"/>
        <w:rPr>
          <w:rFonts w:cstheme="minorHAnsi"/>
          <w:bCs/>
          <w:szCs w:val="72"/>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772D041F" w14:textId="77777777" w:rsidR="004478A8" w:rsidRPr="00EA3D8C" w:rsidRDefault="004478A8" w:rsidP="00E4657F">
      <w:pPr>
        <w:spacing w:line="276" w:lineRule="auto"/>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lastRenderedPageBreak/>
        <w:t xml:space="preserve">Наредна табела приказује кретања основних параметара јавног дуга по основу све четири </w:t>
      </w:r>
      <w:r w:rsidRPr="00EA3D8C">
        <w:rPr>
          <w:rFonts w:cstheme="minorHAnsi"/>
          <w:bCs/>
          <w:szCs w:val="72"/>
          <w:lang w:val="sr-Cyrl-RS"/>
        </w:rPr>
        <w:lastRenderedPageBreak/>
        <w:t>разматране стратегије, што осликава горе поменуте карактеристике сваке стратегије:</w:t>
      </w:r>
    </w:p>
    <w:p w14:paraId="1504108D" w14:textId="0365DA93" w:rsidR="004478A8" w:rsidRPr="00EA3D8C" w:rsidRDefault="00EC4017" w:rsidP="00E4657F">
      <w:pPr>
        <w:jc w:val="center"/>
        <w:rPr>
          <w:b/>
          <w:color w:val="002060"/>
          <w:lang w:val="sr-Cyrl-RS"/>
        </w:rPr>
      </w:pPr>
      <w:r w:rsidRPr="00EA3D8C">
        <w:rPr>
          <w:b/>
          <w:color w:val="002060"/>
          <w:lang w:val="sr-Cyrl-RS"/>
        </w:rPr>
        <w:lastRenderedPageBreak/>
        <w:t>Табела 29</w:t>
      </w:r>
      <w:r w:rsidR="004478A8" w:rsidRPr="00EA3D8C">
        <w:rPr>
          <w:b/>
          <w:color w:val="002060"/>
          <w:lang w:val="sr-Cyrl-RS"/>
        </w:rPr>
        <w:t>. Индикатори ризика за алтернативне стратегије</w:t>
      </w:r>
      <w:r w:rsidR="004478A8" w:rsidRPr="00EA3D8C">
        <w:rPr>
          <w:color w:val="002060"/>
          <w:lang w:val="sr-Cyrl-RS"/>
        </w:rPr>
        <w:t xml:space="preserve"> </w:t>
      </w:r>
      <w:r w:rsidR="004478A8" w:rsidRPr="00EA3D8C">
        <w:rPr>
          <w:b/>
          <w:color w:val="002060"/>
          <w:lang w:val="sr-Cyrl-RS"/>
        </w:rPr>
        <w:t>на крају 2023. године</w:t>
      </w:r>
    </w:p>
    <w:tbl>
      <w:tblPr>
        <w:tblStyle w:val="LightShading-Accent122"/>
        <w:tblW w:w="5000" w:type="pct"/>
        <w:tblLayout w:type="fixed"/>
        <w:tblLook w:val="04A0" w:firstRow="1" w:lastRow="0" w:firstColumn="1" w:lastColumn="0" w:noHBand="0" w:noVBand="1"/>
      </w:tblPr>
      <w:tblGrid>
        <w:gridCol w:w="2950"/>
        <w:gridCol w:w="3664"/>
        <w:gridCol w:w="685"/>
        <w:gridCol w:w="687"/>
        <w:gridCol w:w="685"/>
        <w:gridCol w:w="689"/>
      </w:tblGrid>
      <w:tr w:rsidR="002C675F" w:rsidRPr="002C675F" w14:paraId="6C87DD03" w14:textId="77777777" w:rsidTr="004478A8">
        <w:trPr>
          <w:cnfStyle w:val="100000000000" w:firstRow="1" w:lastRow="0" w:firstColumn="0" w:lastColumn="0" w:oddVBand="0" w:evenVBand="0" w:oddHBand="0"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shd w:val="clear" w:color="auto" w:fill="auto"/>
            <w:noWrap/>
            <w:hideMark/>
          </w:tcPr>
          <w:p w14:paraId="57FBAB4A" w14:textId="77777777" w:rsidR="004478A8" w:rsidRPr="002C675F" w:rsidRDefault="004478A8" w:rsidP="00E4657F">
            <w:pPr>
              <w:rPr>
                <w:rFonts w:cstheme="minorHAnsi"/>
                <w:bCs w:val="0"/>
                <w:color w:val="002060"/>
                <w:sz w:val="18"/>
                <w:szCs w:val="18"/>
                <w:lang w:val="sr-Cyrl-RS"/>
              </w:rPr>
            </w:pPr>
          </w:p>
        </w:tc>
        <w:tc>
          <w:tcPr>
            <w:tcW w:w="1957" w:type="pct"/>
            <w:tcBorders>
              <w:top w:val="single" w:sz="4" w:space="0" w:color="002060"/>
              <w:bottom w:val="single" w:sz="4" w:space="0" w:color="002060"/>
            </w:tcBorders>
            <w:shd w:val="clear" w:color="auto" w:fill="auto"/>
          </w:tcPr>
          <w:p w14:paraId="6CE72D51" w14:textId="77777777" w:rsidR="004478A8" w:rsidRPr="002C675F" w:rsidRDefault="004478A8" w:rsidP="00E4657F">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p>
        </w:tc>
        <w:tc>
          <w:tcPr>
            <w:tcW w:w="1467" w:type="pct"/>
            <w:gridSpan w:val="4"/>
            <w:tcBorders>
              <w:top w:val="single" w:sz="4" w:space="0" w:color="002060"/>
              <w:bottom w:val="single" w:sz="4" w:space="0" w:color="auto"/>
            </w:tcBorders>
            <w:shd w:val="clear" w:color="auto" w:fill="auto"/>
            <w:noWrap/>
          </w:tcPr>
          <w:p w14:paraId="7BC26ACB" w14:textId="77777777" w:rsidR="004478A8" w:rsidRPr="002C675F" w:rsidRDefault="004478A8"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C1</w:t>
            </w:r>
            <w:r w:rsidRPr="002C675F">
              <w:rPr>
                <w:rFonts w:asciiTheme="minorHAnsi" w:hAnsiTheme="minorHAnsi" w:cstheme="minorHAnsi"/>
                <w:b w:val="0"/>
                <w:color w:val="002060"/>
                <w:sz w:val="18"/>
                <w:szCs w:val="18"/>
                <w:lang w:val="sr-Cyrl-RS"/>
              </w:rPr>
              <w:tab/>
              <w:t>C2</w:t>
            </w:r>
            <w:r w:rsidRPr="002C675F">
              <w:rPr>
                <w:rFonts w:asciiTheme="minorHAnsi" w:hAnsiTheme="minorHAnsi" w:cstheme="minorHAnsi"/>
                <w:b w:val="0"/>
                <w:color w:val="002060"/>
                <w:sz w:val="18"/>
                <w:szCs w:val="18"/>
                <w:lang w:val="sr-Cyrl-RS"/>
              </w:rPr>
              <w:tab/>
              <w:t>C3</w:t>
            </w:r>
            <w:r w:rsidRPr="002C675F">
              <w:rPr>
                <w:rFonts w:asciiTheme="minorHAnsi" w:hAnsiTheme="minorHAnsi" w:cstheme="minorHAnsi"/>
                <w:b w:val="0"/>
                <w:color w:val="002060"/>
                <w:sz w:val="18"/>
                <w:szCs w:val="18"/>
                <w:lang w:val="sr-Cyrl-RS"/>
              </w:rPr>
              <w:tab/>
              <w:t>C4</w:t>
            </w:r>
          </w:p>
        </w:tc>
      </w:tr>
      <w:tr w:rsidR="002C675F" w:rsidRPr="002C675F" w14:paraId="17A909C8" w14:textId="77777777" w:rsidTr="002C675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auto"/>
            <w:noWrap/>
            <w:hideMark/>
          </w:tcPr>
          <w:p w14:paraId="3336B241"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Номинални дуг (% БДП)</w:t>
            </w:r>
          </w:p>
        </w:tc>
        <w:tc>
          <w:tcPr>
            <w:tcW w:w="1957" w:type="pct"/>
            <w:tcBorders>
              <w:top w:val="single" w:sz="4" w:space="0" w:color="002060"/>
            </w:tcBorders>
            <w:shd w:val="clear" w:color="auto" w:fill="auto"/>
            <w:noWrap/>
            <w:hideMark/>
          </w:tcPr>
          <w:p w14:paraId="54612C52" w14:textId="77777777" w:rsidR="004478A8" w:rsidRPr="002C675F" w:rsidRDefault="004478A8" w:rsidP="004478A8">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2C675F">
              <w:rPr>
                <w:rFonts w:asciiTheme="minorHAnsi" w:hAnsiTheme="minorHAnsi" w:cstheme="minorHAnsi"/>
                <w:color w:val="002060"/>
                <w:sz w:val="18"/>
                <w:szCs w:val="18"/>
                <w:lang w:val="sr-Cyrl-RS"/>
              </w:rPr>
              <w:t> </w:t>
            </w:r>
          </w:p>
        </w:tc>
        <w:tc>
          <w:tcPr>
            <w:tcW w:w="366" w:type="pct"/>
            <w:tcBorders>
              <w:top w:val="single" w:sz="4" w:space="0" w:color="auto"/>
              <w:bottom w:val="nil"/>
            </w:tcBorders>
            <w:shd w:val="clear" w:color="auto" w:fill="auto"/>
            <w:noWrap/>
            <w:vAlign w:val="bottom"/>
          </w:tcPr>
          <w:p w14:paraId="2EEE3549" w14:textId="7FE46187"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367" w:type="pct"/>
            <w:tcBorders>
              <w:top w:val="single" w:sz="4" w:space="0" w:color="auto"/>
              <w:bottom w:val="nil"/>
            </w:tcBorders>
            <w:shd w:val="clear" w:color="auto" w:fill="auto"/>
            <w:noWrap/>
            <w:vAlign w:val="bottom"/>
          </w:tcPr>
          <w:p w14:paraId="037EEFCA" w14:textId="46FDBB7B"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366" w:type="pct"/>
            <w:tcBorders>
              <w:top w:val="single" w:sz="4" w:space="0" w:color="auto"/>
              <w:bottom w:val="nil"/>
            </w:tcBorders>
            <w:shd w:val="clear" w:color="auto" w:fill="auto"/>
            <w:noWrap/>
            <w:vAlign w:val="bottom"/>
          </w:tcPr>
          <w:p w14:paraId="37C1C9B0" w14:textId="32158317"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367" w:type="pct"/>
            <w:tcBorders>
              <w:top w:val="single" w:sz="4" w:space="0" w:color="auto"/>
              <w:bottom w:val="nil"/>
            </w:tcBorders>
            <w:shd w:val="clear" w:color="auto" w:fill="auto"/>
            <w:noWrap/>
            <w:vAlign w:val="bottom"/>
          </w:tcPr>
          <w:p w14:paraId="20632C59" w14:textId="4C0850AA"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51</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2C675F" w:rsidRPr="002C675F" w14:paraId="43E391A6" w14:textId="77777777" w:rsidTr="002C675F">
        <w:trPr>
          <w:trHeight w:hRule="exact" w:val="269"/>
        </w:trPr>
        <w:tc>
          <w:tcPr>
            <w:cnfStyle w:val="001000000000" w:firstRow="0" w:lastRow="0" w:firstColumn="1" w:lastColumn="0" w:oddVBand="0" w:evenVBand="0" w:oddHBand="0" w:evenHBand="0" w:firstRowFirstColumn="0" w:firstRowLastColumn="0" w:lastRowFirstColumn="0" w:lastRowLastColumn="0"/>
            <w:tcW w:w="3533" w:type="pct"/>
            <w:gridSpan w:val="2"/>
            <w:tcBorders>
              <w:bottom w:val="nil"/>
              <w:right w:val="nil"/>
            </w:tcBorders>
            <w:shd w:val="clear" w:color="auto" w:fill="auto"/>
            <w:noWrap/>
            <w:hideMark/>
          </w:tcPr>
          <w:p w14:paraId="4AE90104"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Примењена каматна стопа (%)</w:t>
            </w:r>
          </w:p>
        </w:tc>
        <w:tc>
          <w:tcPr>
            <w:tcW w:w="366" w:type="pct"/>
            <w:tcBorders>
              <w:top w:val="nil"/>
              <w:left w:val="nil"/>
              <w:bottom w:val="nil"/>
              <w:right w:val="nil"/>
            </w:tcBorders>
            <w:shd w:val="clear" w:color="auto" w:fill="auto"/>
            <w:noWrap/>
            <w:vAlign w:val="bottom"/>
          </w:tcPr>
          <w:p w14:paraId="67D8DB9B" w14:textId="0F6A76FE"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c>
          <w:tcPr>
            <w:tcW w:w="367" w:type="pct"/>
            <w:tcBorders>
              <w:top w:val="nil"/>
              <w:left w:val="nil"/>
              <w:bottom w:val="nil"/>
              <w:right w:val="nil"/>
            </w:tcBorders>
            <w:shd w:val="clear" w:color="auto" w:fill="auto"/>
            <w:noWrap/>
            <w:vAlign w:val="bottom"/>
          </w:tcPr>
          <w:p w14:paraId="056DAB65" w14:textId="2EDEABE9"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366" w:type="pct"/>
            <w:tcBorders>
              <w:top w:val="nil"/>
              <w:left w:val="nil"/>
              <w:bottom w:val="nil"/>
              <w:right w:val="nil"/>
            </w:tcBorders>
            <w:shd w:val="clear" w:color="auto" w:fill="auto"/>
            <w:noWrap/>
            <w:vAlign w:val="bottom"/>
          </w:tcPr>
          <w:p w14:paraId="5B54EC40" w14:textId="552F858D"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367" w:type="pct"/>
            <w:tcBorders>
              <w:top w:val="nil"/>
              <w:left w:val="nil"/>
              <w:bottom w:val="nil"/>
              <w:right w:val="nil"/>
            </w:tcBorders>
            <w:shd w:val="clear" w:color="auto" w:fill="auto"/>
            <w:noWrap/>
            <w:vAlign w:val="bottom"/>
          </w:tcPr>
          <w:p w14:paraId="63F833AE" w14:textId="34970E92"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3</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r>
      <w:tr w:rsidR="002C675F" w:rsidRPr="002C675F" w14:paraId="0CDD4ABF" w14:textId="77777777" w:rsidTr="002C675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auto"/>
            <w:noWrap/>
            <w:hideMark/>
          </w:tcPr>
          <w:p w14:paraId="0C575550"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Ризик</w:t>
            </w:r>
          </w:p>
          <w:p w14:paraId="0D70A6E5"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рефинансирања</w:t>
            </w:r>
          </w:p>
        </w:tc>
        <w:tc>
          <w:tcPr>
            <w:tcW w:w="1957" w:type="pct"/>
            <w:tcBorders>
              <w:top w:val="nil"/>
              <w:bottom w:val="nil"/>
            </w:tcBorders>
            <w:shd w:val="clear" w:color="auto" w:fill="auto"/>
            <w:noWrap/>
            <w:hideMark/>
          </w:tcPr>
          <w:p w14:paraId="35BF67F3" w14:textId="77777777" w:rsidR="004478A8" w:rsidRPr="002C675F" w:rsidRDefault="004478A8" w:rsidP="004478A8">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2C675F">
              <w:rPr>
                <w:rFonts w:asciiTheme="minorHAnsi" w:hAnsiTheme="minorHAnsi" w:cstheme="minorHAnsi"/>
                <w:color w:val="002060"/>
                <w:sz w:val="18"/>
                <w:szCs w:val="18"/>
                <w:lang w:val="sr-Cyrl-RS"/>
              </w:rPr>
              <w:t>ATM</w:t>
            </w:r>
            <w:r w:rsidRPr="002C675F">
              <w:rPr>
                <w:rFonts w:asciiTheme="minorHAnsi" w:hAnsiTheme="minorHAnsi" w:cstheme="minorHAnsi"/>
                <w:color w:val="002060"/>
                <w:sz w:val="18"/>
                <w:szCs w:val="18"/>
                <w:vertAlign w:val="superscript"/>
                <w:lang w:val="sr-Cyrl-RS"/>
              </w:rPr>
              <w:footnoteReference w:id="16"/>
            </w:r>
            <w:r w:rsidRPr="002C675F">
              <w:rPr>
                <w:rFonts w:asciiTheme="minorHAnsi" w:hAnsiTheme="minorHAnsi" w:cstheme="minorHAnsi"/>
                <w:color w:val="002060"/>
                <w:sz w:val="18"/>
                <w:szCs w:val="18"/>
                <w:lang w:val="sr-Cyrl-RS"/>
              </w:rPr>
              <w:t xml:space="preserve"> спољни портфолио (у годинама)</w:t>
            </w:r>
          </w:p>
        </w:tc>
        <w:tc>
          <w:tcPr>
            <w:tcW w:w="366" w:type="pct"/>
            <w:tcBorders>
              <w:top w:val="nil"/>
              <w:bottom w:val="nil"/>
            </w:tcBorders>
            <w:shd w:val="clear" w:color="auto" w:fill="auto"/>
            <w:noWrap/>
            <w:vAlign w:val="bottom"/>
          </w:tcPr>
          <w:p w14:paraId="0B039711" w14:textId="5FCE1F9E"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367" w:type="pct"/>
            <w:tcBorders>
              <w:top w:val="nil"/>
              <w:bottom w:val="nil"/>
            </w:tcBorders>
            <w:shd w:val="clear" w:color="auto" w:fill="auto"/>
            <w:noWrap/>
            <w:vAlign w:val="bottom"/>
          </w:tcPr>
          <w:p w14:paraId="23C72D16" w14:textId="6AF30E42"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366" w:type="pct"/>
            <w:tcBorders>
              <w:top w:val="nil"/>
              <w:bottom w:val="nil"/>
            </w:tcBorders>
            <w:shd w:val="clear" w:color="auto" w:fill="auto"/>
            <w:noWrap/>
            <w:vAlign w:val="bottom"/>
          </w:tcPr>
          <w:p w14:paraId="2B196A87" w14:textId="34A2116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367" w:type="pct"/>
            <w:tcBorders>
              <w:top w:val="nil"/>
              <w:bottom w:val="nil"/>
            </w:tcBorders>
            <w:shd w:val="clear" w:color="auto" w:fill="auto"/>
            <w:noWrap/>
            <w:vAlign w:val="bottom"/>
          </w:tcPr>
          <w:p w14:paraId="0918861A" w14:textId="5B766F9B"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2C675F" w:rsidRPr="002C675F" w14:paraId="671C25B6" w14:textId="77777777" w:rsidTr="002C675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nil"/>
              <w:bottom w:val="single" w:sz="4" w:space="0" w:color="auto"/>
            </w:tcBorders>
            <w:shd w:val="clear" w:color="auto" w:fill="auto"/>
            <w:hideMark/>
          </w:tcPr>
          <w:p w14:paraId="208936D0" w14:textId="77777777" w:rsidR="004478A8" w:rsidRPr="002C675F" w:rsidRDefault="004478A8" w:rsidP="004478A8">
            <w:pPr>
              <w:spacing w:line="240" w:lineRule="auto"/>
              <w:rPr>
                <w:rFonts w:asciiTheme="minorHAnsi" w:eastAsiaTheme="minorEastAsia" w:hAnsiTheme="minorHAnsi" w:cstheme="minorBidi"/>
                <w:b w:val="0"/>
                <w:bCs w:val="0"/>
                <w:color w:val="002060"/>
                <w:sz w:val="16"/>
                <w:szCs w:val="16"/>
                <w:lang w:val="sr-Cyrl-RS" w:eastAsia="ja-JP"/>
              </w:rPr>
            </w:pPr>
          </w:p>
        </w:tc>
        <w:tc>
          <w:tcPr>
            <w:tcW w:w="1957" w:type="pct"/>
            <w:tcBorders>
              <w:top w:val="nil"/>
              <w:bottom w:val="nil"/>
              <w:right w:val="nil"/>
            </w:tcBorders>
            <w:shd w:val="clear" w:color="auto" w:fill="auto"/>
            <w:noWrap/>
            <w:hideMark/>
          </w:tcPr>
          <w:p w14:paraId="4B089098" w14:textId="77777777" w:rsidR="004478A8" w:rsidRPr="002C675F" w:rsidRDefault="004478A8" w:rsidP="004478A8">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002060"/>
                <w:sz w:val="18"/>
                <w:szCs w:val="18"/>
                <w:lang w:val="sr-Cyrl-RS"/>
              </w:rPr>
            </w:pPr>
            <w:r w:rsidRPr="002C675F">
              <w:rPr>
                <w:rFonts w:asciiTheme="minorHAnsi" w:hAnsiTheme="minorHAnsi" w:cstheme="minorHAnsi"/>
                <w:bCs/>
                <w:color w:val="002060"/>
                <w:sz w:val="18"/>
                <w:szCs w:val="18"/>
                <w:lang w:val="sr-Cyrl-RS"/>
              </w:rPr>
              <w:t>ATM домаћи портфолио (у годинама)</w:t>
            </w:r>
          </w:p>
        </w:tc>
        <w:tc>
          <w:tcPr>
            <w:tcW w:w="366" w:type="pct"/>
            <w:tcBorders>
              <w:top w:val="nil"/>
              <w:left w:val="nil"/>
              <w:bottom w:val="nil"/>
              <w:right w:val="nil"/>
            </w:tcBorders>
            <w:shd w:val="clear" w:color="auto" w:fill="auto"/>
            <w:noWrap/>
            <w:vAlign w:val="bottom"/>
          </w:tcPr>
          <w:p w14:paraId="229FF88D" w14:textId="64DEF9E9"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9</w:t>
            </w:r>
          </w:p>
        </w:tc>
        <w:tc>
          <w:tcPr>
            <w:tcW w:w="367" w:type="pct"/>
            <w:tcBorders>
              <w:top w:val="nil"/>
              <w:left w:val="nil"/>
              <w:bottom w:val="nil"/>
              <w:right w:val="nil"/>
            </w:tcBorders>
            <w:shd w:val="clear" w:color="auto" w:fill="auto"/>
            <w:noWrap/>
            <w:vAlign w:val="bottom"/>
          </w:tcPr>
          <w:p w14:paraId="6E0F1130" w14:textId="2FB0BF95"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366" w:type="pct"/>
            <w:tcBorders>
              <w:top w:val="nil"/>
              <w:left w:val="nil"/>
              <w:bottom w:val="nil"/>
              <w:right w:val="nil"/>
            </w:tcBorders>
            <w:shd w:val="clear" w:color="auto" w:fill="auto"/>
            <w:noWrap/>
            <w:vAlign w:val="bottom"/>
          </w:tcPr>
          <w:p w14:paraId="531341B7" w14:textId="1FA6E950"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4</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c>
          <w:tcPr>
            <w:tcW w:w="367" w:type="pct"/>
            <w:tcBorders>
              <w:top w:val="nil"/>
              <w:left w:val="nil"/>
              <w:bottom w:val="nil"/>
              <w:right w:val="nil"/>
            </w:tcBorders>
            <w:shd w:val="clear" w:color="auto" w:fill="auto"/>
            <w:noWrap/>
            <w:vAlign w:val="bottom"/>
          </w:tcPr>
          <w:p w14:paraId="24CCFD3F" w14:textId="07FDC44D"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2C675F" w:rsidRPr="002C675F" w14:paraId="55C3810B" w14:textId="77777777" w:rsidTr="002C675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auto"/>
              <w:bottom w:val="single" w:sz="4" w:space="0" w:color="002060"/>
            </w:tcBorders>
            <w:shd w:val="clear" w:color="auto" w:fill="auto"/>
            <w:hideMark/>
          </w:tcPr>
          <w:p w14:paraId="3DDFB06D"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p>
        </w:tc>
        <w:tc>
          <w:tcPr>
            <w:tcW w:w="1957" w:type="pct"/>
            <w:tcBorders>
              <w:top w:val="nil"/>
              <w:bottom w:val="single" w:sz="4" w:space="0" w:color="002060"/>
            </w:tcBorders>
            <w:shd w:val="clear" w:color="auto" w:fill="auto"/>
            <w:noWrap/>
            <w:hideMark/>
          </w:tcPr>
          <w:p w14:paraId="4980225C" w14:textId="77777777" w:rsidR="004478A8" w:rsidRPr="002C675F" w:rsidRDefault="004478A8" w:rsidP="004478A8">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2C675F">
              <w:rPr>
                <w:rFonts w:asciiTheme="minorHAnsi" w:hAnsiTheme="minorHAnsi" w:cstheme="minorHAnsi"/>
                <w:color w:val="002060"/>
                <w:sz w:val="18"/>
                <w:szCs w:val="18"/>
                <w:lang w:val="sr-Cyrl-RS"/>
              </w:rPr>
              <w:t>ATM укупан портфолио (у годинама)</w:t>
            </w:r>
          </w:p>
        </w:tc>
        <w:tc>
          <w:tcPr>
            <w:tcW w:w="366" w:type="pct"/>
            <w:tcBorders>
              <w:top w:val="nil"/>
              <w:bottom w:val="single" w:sz="4" w:space="0" w:color="auto"/>
            </w:tcBorders>
            <w:shd w:val="clear" w:color="auto" w:fill="auto"/>
            <w:noWrap/>
            <w:vAlign w:val="bottom"/>
          </w:tcPr>
          <w:p w14:paraId="53B2F851" w14:textId="674941D2"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367" w:type="pct"/>
            <w:tcBorders>
              <w:top w:val="nil"/>
              <w:bottom w:val="single" w:sz="4" w:space="0" w:color="auto"/>
            </w:tcBorders>
            <w:shd w:val="clear" w:color="auto" w:fill="auto"/>
            <w:noWrap/>
            <w:vAlign w:val="bottom"/>
          </w:tcPr>
          <w:p w14:paraId="13ED0D8D" w14:textId="3B7C6F4A"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6</w:t>
            </w:r>
          </w:p>
        </w:tc>
        <w:tc>
          <w:tcPr>
            <w:tcW w:w="366" w:type="pct"/>
            <w:tcBorders>
              <w:top w:val="nil"/>
              <w:bottom w:val="single" w:sz="4" w:space="0" w:color="auto"/>
            </w:tcBorders>
            <w:shd w:val="clear" w:color="auto" w:fill="auto"/>
            <w:noWrap/>
            <w:vAlign w:val="bottom"/>
          </w:tcPr>
          <w:p w14:paraId="082D90B3" w14:textId="635A9644"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c>
          <w:tcPr>
            <w:tcW w:w="367" w:type="pct"/>
            <w:tcBorders>
              <w:top w:val="nil"/>
              <w:bottom w:val="single" w:sz="4" w:space="0" w:color="auto"/>
            </w:tcBorders>
            <w:shd w:val="clear" w:color="auto" w:fill="auto"/>
            <w:noWrap/>
            <w:vAlign w:val="bottom"/>
          </w:tcPr>
          <w:p w14:paraId="5714D886" w14:textId="2BF3C17F"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7</w:t>
            </w:r>
          </w:p>
        </w:tc>
      </w:tr>
      <w:tr w:rsidR="002C675F" w:rsidRPr="002C675F" w14:paraId="493B9C66" w14:textId="77777777" w:rsidTr="002C675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single" w:sz="4" w:space="0" w:color="002060"/>
              <w:bottom w:val="single" w:sz="4" w:space="0" w:color="auto"/>
            </w:tcBorders>
            <w:shd w:val="clear" w:color="auto" w:fill="auto"/>
            <w:noWrap/>
            <w:hideMark/>
          </w:tcPr>
          <w:p w14:paraId="483A6035"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Ризик каматних стопа</w:t>
            </w:r>
          </w:p>
        </w:tc>
        <w:tc>
          <w:tcPr>
            <w:tcW w:w="1957" w:type="pct"/>
            <w:tcBorders>
              <w:top w:val="single" w:sz="4" w:space="0" w:color="002060"/>
              <w:bottom w:val="nil"/>
              <w:right w:val="nil"/>
            </w:tcBorders>
            <w:shd w:val="clear" w:color="auto" w:fill="auto"/>
            <w:noWrap/>
            <w:hideMark/>
          </w:tcPr>
          <w:p w14:paraId="0289A999" w14:textId="77777777" w:rsidR="004478A8" w:rsidRPr="002C675F" w:rsidRDefault="004478A8" w:rsidP="004478A8">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002060"/>
                <w:sz w:val="18"/>
                <w:szCs w:val="18"/>
                <w:lang w:val="sr-Cyrl-RS"/>
              </w:rPr>
            </w:pPr>
            <w:r w:rsidRPr="002C675F">
              <w:rPr>
                <w:rFonts w:asciiTheme="minorHAnsi" w:hAnsiTheme="minorHAnsi" w:cstheme="minorHAnsi"/>
                <w:bCs/>
                <w:color w:val="002060"/>
                <w:sz w:val="18"/>
                <w:szCs w:val="18"/>
                <w:lang w:val="sr-Cyrl-RS"/>
              </w:rPr>
              <w:t>АТR</w:t>
            </w:r>
            <w:r w:rsidRPr="002C675F">
              <w:rPr>
                <w:rFonts w:asciiTheme="minorHAnsi" w:hAnsiTheme="minorHAnsi" w:cstheme="minorHAnsi"/>
                <w:bCs/>
                <w:color w:val="002060"/>
                <w:sz w:val="18"/>
                <w:szCs w:val="18"/>
                <w:vertAlign w:val="superscript"/>
                <w:lang w:val="sr-Cyrl-RS"/>
              </w:rPr>
              <w:footnoteReference w:id="17"/>
            </w:r>
            <w:r w:rsidRPr="002C675F">
              <w:rPr>
                <w:rFonts w:asciiTheme="minorHAnsi" w:hAnsiTheme="minorHAnsi" w:cstheme="minorHAnsi"/>
                <w:bCs/>
                <w:color w:val="002060"/>
                <w:sz w:val="18"/>
                <w:szCs w:val="18"/>
                <w:lang w:val="sr-Cyrl-RS"/>
              </w:rPr>
              <w:t xml:space="preserve"> (у годинама)</w:t>
            </w:r>
          </w:p>
        </w:tc>
        <w:tc>
          <w:tcPr>
            <w:tcW w:w="366" w:type="pct"/>
            <w:tcBorders>
              <w:top w:val="single" w:sz="4" w:space="0" w:color="auto"/>
              <w:left w:val="nil"/>
              <w:bottom w:val="nil"/>
              <w:right w:val="nil"/>
            </w:tcBorders>
            <w:shd w:val="clear" w:color="auto" w:fill="auto"/>
            <w:noWrap/>
            <w:vAlign w:val="bottom"/>
          </w:tcPr>
          <w:p w14:paraId="763C0BF9" w14:textId="24F33230"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367" w:type="pct"/>
            <w:tcBorders>
              <w:top w:val="single" w:sz="4" w:space="0" w:color="auto"/>
              <w:left w:val="nil"/>
              <w:bottom w:val="nil"/>
              <w:right w:val="nil"/>
            </w:tcBorders>
            <w:shd w:val="clear" w:color="auto" w:fill="auto"/>
            <w:noWrap/>
            <w:vAlign w:val="bottom"/>
          </w:tcPr>
          <w:p w14:paraId="78A454E7" w14:textId="45C70E85"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366" w:type="pct"/>
            <w:tcBorders>
              <w:top w:val="single" w:sz="4" w:space="0" w:color="auto"/>
              <w:left w:val="nil"/>
              <w:bottom w:val="nil"/>
              <w:right w:val="nil"/>
            </w:tcBorders>
            <w:shd w:val="clear" w:color="auto" w:fill="auto"/>
            <w:noWrap/>
            <w:vAlign w:val="bottom"/>
          </w:tcPr>
          <w:p w14:paraId="535A2604" w14:textId="041D7847"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367" w:type="pct"/>
            <w:tcBorders>
              <w:top w:val="single" w:sz="4" w:space="0" w:color="auto"/>
              <w:left w:val="nil"/>
              <w:bottom w:val="nil"/>
              <w:right w:val="nil"/>
            </w:tcBorders>
            <w:shd w:val="clear" w:color="auto" w:fill="auto"/>
            <w:noWrap/>
            <w:vAlign w:val="bottom"/>
          </w:tcPr>
          <w:p w14:paraId="44714A49" w14:textId="6C87DAA2"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r>
      <w:tr w:rsidR="002C675F" w:rsidRPr="002C675F" w14:paraId="3BFAD455" w14:textId="77777777" w:rsidTr="002C675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auto"/>
              <w:bottom w:val="single" w:sz="4" w:space="0" w:color="002060"/>
            </w:tcBorders>
            <w:shd w:val="clear" w:color="auto" w:fill="auto"/>
            <w:hideMark/>
          </w:tcPr>
          <w:p w14:paraId="0EEBD2A5"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p>
        </w:tc>
        <w:tc>
          <w:tcPr>
            <w:tcW w:w="1957" w:type="pct"/>
            <w:tcBorders>
              <w:top w:val="nil"/>
              <w:bottom w:val="nil"/>
            </w:tcBorders>
            <w:shd w:val="clear" w:color="auto" w:fill="auto"/>
            <w:noWrap/>
            <w:hideMark/>
          </w:tcPr>
          <w:p w14:paraId="07FCB267" w14:textId="77777777" w:rsidR="004478A8" w:rsidRPr="002C675F" w:rsidRDefault="004478A8" w:rsidP="004478A8">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2C675F">
              <w:rPr>
                <w:rFonts w:asciiTheme="minorHAnsi" w:hAnsiTheme="minorHAnsi" w:cstheme="minorHAnsi"/>
                <w:color w:val="002060"/>
                <w:sz w:val="18"/>
                <w:szCs w:val="18"/>
                <w:lang w:val="sr-Cyrl-RS"/>
              </w:rPr>
              <w:t>Рефиксирање (% укупног дуга)</w:t>
            </w:r>
          </w:p>
        </w:tc>
        <w:tc>
          <w:tcPr>
            <w:tcW w:w="366" w:type="pct"/>
            <w:tcBorders>
              <w:top w:val="nil"/>
              <w:bottom w:val="nil"/>
            </w:tcBorders>
            <w:shd w:val="clear" w:color="auto" w:fill="auto"/>
            <w:noWrap/>
            <w:vAlign w:val="bottom"/>
          </w:tcPr>
          <w:p w14:paraId="0454BE36" w14:textId="24A3CF2B"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367" w:type="pct"/>
            <w:tcBorders>
              <w:top w:val="nil"/>
              <w:bottom w:val="nil"/>
            </w:tcBorders>
            <w:shd w:val="clear" w:color="auto" w:fill="auto"/>
            <w:noWrap/>
            <w:vAlign w:val="bottom"/>
          </w:tcPr>
          <w:p w14:paraId="4211D836" w14:textId="70BF488D"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15</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5</w:t>
            </w:r>
          </w:p>
        </w:tc>
        <w:tc>
          <w:tcPr>
            <w:tcW w:w="366" w:type="pct"/>
            <w:tcBorders>
              <w:top w:val="nil"/>
              <w:bottom w:val="nil"/>
            </w:tcBorders>
            <w:shd w:val="clear" w:color="auto" w:fill="auto"/>
            <w:noWrap/>
            <w:vAlign w:val="bottom"/>
          </w:tcPr>
          <w:p w14:paraId="41A06B1B" w14:textId="79627EB9"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14</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2</w:t>
            </w:r>
          </w:p>
        </w:tc>
        <w:tc>
          <w:tcPr>
            <w:tcW w:w="367" w:type="pct"/>
            <w:tcBorders>
              <w:top w:val="nil"/>
              <w:bottom w:val="nil"/>
            </w:tcBorders>
            <w:shd w:val="clear" w:color="auto" w:fill="auto"/>
            <w:noWrap/>
            <w:vAlign w:val="bottom"/>
          </w:tcPr>
          <w:p w14:paraId="4239BC55" w14:textId="0C87A795"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16</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r>
      <w:tr w:rsidR="002C675F" w:rsidRPr="002C675F" w14:paraId="39B9DD44" w14:textId="77777777" w:rsidTr="002C675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002060"/>
              <w:bottom w:val="nil"/>
            </w:tcBorders>
            <w:shd w:val="clear" w:color="auto" w:fill="auto"/>
            <w:hideMark/>
          </w:tcPr>
          <w:p w14:paraId="20B09759"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p>
        </w:tc>
        <w:tc>
          <w:tcPr>
            <w:tcW w:w="1957" w:type="pct"/>
            <w:tcBorders>
              <w:top w:val="nil"/>
              <w:bottom w:val="nil"/>
              <w:right w:val="nil"/>
            </w:tcBorders>
            <w:shd w:val="clear" w:color="auto" w:fill="auto"/>
            <w:noWrap/>
            <w:hideMark/>
          </w:tcPr>
          <w:p w14:paraId="31AAFC56" w14:textId="77777777" w:rsidR="004478A8" w:rsidRPr="002C675F" w:rsidRDefault="004478A8" w:rsidP="004478A8">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002060"/>
                <w:sz w:val="18"/>
                <w:szCs w:val="18"/>
                <w:lang w:val="sr-Cyrl-RS"/>
              </w:rPr>
            </w:pPr>
            <w:r w:rsidRPr="002C675F">
              <w:rPr>
                <w:rFonts w:asciiTheme="minorHAnsi" w:hAnsiTheme="minorHAnsi" w:cstheme="minorHAnsi"/>
                <w:bCs/>
                <w:color w:val="002060"/>
                <w:sz w:val="18"/>
                <w:szCs w:val="18"/>
                <w:lang w:val="sr-Cyrl-RS"/>
              </w:rPr>
              <w:t>Дуг по фиксним стопама (% укупног дуга)</w:t>
            </w:r>
          </w:p>
        </w:tc>
        <w:tc>
          <w:tcPr>
            <w:tcW w:w="366" w:type="pct"/>
            <w:tcBorders>
              <w:top w:val="nil"/>
              <w:left w:val="nil"/>
              <w:bottom w:val="nil"/>
              <w:right w:val="nil"/>
            </w:tcBorders>
            <w:shd w:val="clear" w:color="auto" w:fill="auto"/>
            <w:noWrap/>
            <w:vAlign w:val="bottom"/>
          </w:tcPr>
          <w:p w14:paraId="079F4244" w14:textId="4235B924"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92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367" w:type="pct"/>
            <w:tcBorders>
              <w:top w:val="nil"/>
              <w:left w:val="nil"/>
              <w:bottom w:val="nil"/>
              <w:right w:val="nil"/>
            </w:tcBorders>
            <w:shd w:val="clear" w:color="auto" w:fill="auto"/>
            <w:noWrap/>
            <w:vAlign w:val="bottom"/>
          </w:tcPr>
          <w:p w14:paraId="03BDE813" w14:textId="52F8ADD8"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92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366" w:type="pct"/>
            <w:tcBorders>
              <w:top w:val="nil"/>
              <w:left w:val="nil"/>
              <w:bottom w:val="nil"/>
              <w:right w:val="nil"/>
            </w:tcBorders>
            <w:shd w:val="clear" w:color="auto" w:fill="auto"/>
            <w:noWrap/>
            <w:vAlign w:val="bottom"/>
          </w:tcPr>
          <w:p w14:paraId="277CCB50" w14:textId="01BD6AA4"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92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c>
          <w:tcPr>
            <w:tcW w:w="367" w:type="pct"/>
            <w:tcBorders>
              <w:top w:val="nil"/>
              <w:left w:val="nil"/>
              <w:bottom w:val="nil"/>
              <w:right w:val="nil"/>
            </w:tcBorders>
            <w:shd w:val="clear" w:color="auto" w:fill="auto"/>
            <w:noWrap/>
            <w:vAlign w:val="bottom"/>
          </w:tcPr>
          <w:p w14:paraId="79908E8E" w14:textId="4B884AFA" w:rsidR="004478A8" w:rsidRPr="002C675F" w:rsidRDefault="004478A8" w:rsidP="004478A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92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8</w:t>
            </w:r>
          </w:p>
        </w:tc>
      </w:tr>
      <w:tr w:rsidR="002C675F" w:rsidRPr="002C675F" w14:paraId="2332FA84" w14:textId="77777777" w:rsidTr="002C675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auto"/>
            <w:noWrap/>
            <w:hideMark/>
          </w:tcPr>
          <w:p w14:paraId="2A6A40F6" w14:textId="77777777" w:rsidR="004478A8" w:rsidRPr="002C675F" w:rsidRDefault="004478A8" w:rsidP="004478A8">
            <w:pPr>
              <w:spacing w:line="240" w:lineRule="auto"/>
              <w:rPr>
                <w:rFonts w:asciiTheme="minorHAnsi" w:hAnsiTheme="minorHAnsi" w:cstheme="minorHAnsi"/>
                <w:b w:val="0"/>
                <w:color w:val="002060"/>
                <w:sz w:val="18"/>
                <w:szCs w:val="18"/>
                <w:lang w:val="sr-Cyrl-RS"/>
              </w:rPr>
            </w:pPr>
            <w:r w:rsidRPr="002C675F">
              <w:rPr>
                <w:rFonts w:asciiTheme="minorHAnsi" w:hAnsiTheme="minorHAnsi" w:cstheme="minorHAnsi"/>
                <w:b w:val="0"/>
                <w:color w:val="002060"/>
                <w:sz w:val="18"/>
                <w:szCs w:val="18"/>
                <w:lang w:val="sr-Cyrl-RS"/>
              </w:rPr>
              <w:t>Ризик девизног курса</w:t>
            </w:r>
          </w:p>
        </w:tc>
        <w:tc>
          <w:tcPr>
            <w:tcW w:w="1957" w:type="pct"/>
            <w:tcBorders>
              <w:top w:val="nil"/>
              <w:bottom w:val="single" w:sz="4" w:space="0" w:color="002060"/>
            </w:tcBorders>
            <w:shd w:val="clear" w:color="auto" w:fill="auto"/>
            <w:noWrap/>
            <w:hideMark/>
          </w:tcPr>
          <w:p w14:paraId="494AED3E" w14:textId="77777777" w:rsidR="004478A8" w:rsidRPr="002C675F" w:rsidRDefault="004478A8" w:rsidP="004478A8">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2C675F">
              <w:rPr>
                <w:rFonts w:asciiTheme="minorHAnsi" w:hAnsiTheme="minorHAnsi" w:cstheme="minorHAnsi"/>
                <w:color w:val="002060"/>
                <w:sz w:val="18"/>
                <w:szCs w:val="18"/>
                <w:lang w:val="sr-Cyrl-RS"/>
              </w:rPr>
              <w:t>Ино-валутни дуг (% укупног дуга)</w:t>
            </w:r>
          </w:p>
        </w:tc>
        <w:tc>
          <w:tcPr>
            <w:tcW w:w="366" w:type="pct"/>
            <w:tcBorders>
              <w:top w:val="nil"/>
              <w:bottom w:val="single" w:sz="4" w:space="0" w:color="auto"/>
            </w:tcBorders>
            <w:shd w:val="clear" w:color="auto" w:fill="auto"/>
            <w:noWrap/>
            <w:vAlign w:val="bottom"/>
          </w:tcPr>
          <w:p w14:paraId="5A7C2F20" w14:textId="14B828AD"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72</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9</w:t>
            </w:r>
          </w:p>
        </w:tc>
        <w:tc>
          <w:tcPr>
            <w:tcW w:w="367" w:type="pct"/>
            <w:tcBorders>
              <w:top w:val="nil"/>
              <w:bottom w:val="single" w:sz="4" w:space="0" w:color="auto"/>
            </w:tcBorders>
            <w:shd w:val="clear" w:color="auto" w:fill="auto"/>
            <w:noWrap/>
            <w:vAlign w:val="bottom"/>
          </w:tcPr>
          <w:p w14:paraId="6928C307" w14:textId="477C38C1"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68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4</w:t>
            </w:r>
          </w:p>
        </w:tc>
        <w:tc>
          <w:tcPr>
            <w:tcW w:w="366" w:type="pct"/>
            <w:tcBorders>
              <w:top w:val="nil"/>
              <w:bottom w:val="single" w:sz="4" w:space="0" w:color="auto"/>
            </w:tcBorders>
            <w:shd w:val="clear" w:color="auto" w:fill="auto"/>
            <w:noWrap/>
            <w:vAlign w:val="bottom"/>
          </w:tcPr>
          <w:p w14:paraId="5BCECCAA" w14:textId="4967F7BA"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88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3</w:t>
            </w:r>
          </w:p>
        </w:tc>
        <w:tc>
          <w:tcPr>
            <w:tcW w:w="367" w:type="pct"/>
            <w:tcBorders>
              <w:top w:val="nil"/>
              <w:bottom w:val="single" w:sz="4" w:space="0" w:color="auto"/>
            </w:tcBorders>
            <w:shd w:val="clear" w:color="auto" w:fill="auto"/>
            <w:noWrap/>
            <w:vAlign w:val="bottom"/>
          </w:tcPr>
          <w:p w14:paraId="278E8FE5" w14:textId="33145DE7" w:rsidR="004478A8" w:rsidRPr="002C675F" w:rsidRDefault="004478A8" w:rsidP="004478A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2C675F">
              <w:rPr>
                <w:rFonts w:ascii="Calibri" w:hAnsi="Calibri" w:cs="Calibri"/>
                <w:color w:val="002060"/>
                <w:sz w:val="18"/>
                <w:szCs w:val="18"/>
                <w:lang w:val="sr-Cyrl-RS"/>
              </w:rPr>
              <w:t>48</w:t>
            </w:r>
            <w:r w:rsidR="0043564D" w:rsidRPr="002C675F">
              <w:rPr>
                <w:rFonts w:ascii="Calibri" w:hAnsi="Calibri" w:cs="Calibri"/>
                <w:color w:val="002060"/>
                <w:sz w:val="18"/>
                <w:szCs w:val="18"/>
                <w:lang w:val="sr-Cyrl-RS"/>
              </w:rPr>
              <w:t>,</w:t>
            </w:r>
            <w:r w:rsidRPr="002C675F">
              <w:rPr>
                <w:rFonts w:ascii="Calibri" w:hAnsi="Calibri" w:cs="Calibri"/>
                <w:color w:val="002060"/>
                <w:sz w:val="18"/>
                <w:szCs w:val="18"/>
                <w:lang w:val="sr-Cyrl-RS"/>
              </w:rPr>
              <w:t>1</w:t>
            </w:r>
          </w:p>
        </w:tc>
      </w:tr>
    </w:tbl>
    <w:p w14:paraId="75C167E0" w14:textId="77777777" w:rsidR="004478A8" w:rsidRPr="00EA3D8C" w:rsidRDefault="004478A8" w:rsidP="00E4657F">
      <w:pPr>
        <w:rPr>
          <w:rFonts w:ascii="Cambria" w:hAnsi="Cambria"/>
          <w:b/>
          <w:i/>
          <w:lang w:val="sr-Cyrl-RS"/>
        </w:rPr>
        <w:sectPr w:rsidR="004478A8" w:rsidRPr="00EA3D8C" w:rsidSect="00AE40EB">
          <w:type w:val="continuous"/>
          <w:pgSz w:w="12240" w:h="15840" w:code="1"/>
          <w:pgMar w:top="1440" w:right="1440" w:bottom="1440" w:left="1440" w:header="720" w:footer="720" w:gutter="0"/>
          <w:cols w:space="720"/>
          <w:docGrid w:linePitch="360"/>
        </w:sectPr>
      </w:pPr>
    </w:p>
    <w:p w14:paraId="17BAF8FC"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lastRenderedPageBreak/>
        <w:t>Стрес-тест анализа</w:t>
      </w:r>
    </w:p>
    <w:p w14:paraId="7AEE91B7" w14:textId="77777777" w:rsidR="004478A8" w:rsidRPr="00EA3D8C" w:rsidRDefault="004478A8" w:rsidP="00E4657F">
      <w:pPr>
        <w:spacing w:line="276" w:lineRule="auto"/>
        <w:rPr>
          <w:rFonts w:cstheme="minorHAnsi"/>
          <w:bCs/>
          <w:spacing w:val="-4"/>
          <w:szCs w:val="72"/>
          <w:lang w:val="sr-Cyrl-RS"/>
        </w:rPr>
      </w:pPr>
      <w:r w:rsidRPr="00EA3D8C">
        <w:rPr>
          <w:rFonts w:cstheme="minorHAnsi"/>
          <w:bCs/>
          <w:spacing w:val="-4"/>
          <w:szCs w:val="72"/>
          <w:lang w:val="sr-Cyrl-RS"/>
        </w:rPr>
        <w:t>Фискално правило, дефинисано Законом о буџетском систему, прописује обавезу да јавни дуг општег нивоа државе не може бити већи од 45% БДП. У случају да износ дуга пређе тај ниво, Влада је дужна да донесе програм за смањење јавног дуга у односу на БДП, тј. за враћање дуга у законски оквир.</w:t>
      </w:r>
    </w:p>
    <w:p w14:paraId="2D592633" w14:textId="445948E1" w:rsidR="004478A8" w:rsidRPr="00EA3D8C" w:rsidRDefault="004478A8" w:rsidP="00E4657F">
      <w:pPr>
        <w:spacing w:line="276" w:lineRule="auto"/>
        <w:rPr>
          <w:rFonts w:cstheme="minorHAnsi"/>
          <w:bCs/>
          <w:szCs w:val="72"/>
          <w:lang w:val="sr-Cyrl-RS"/>
        </w:rPr>
      </w:pPr>
      <w:r w:rsidRPr="00EA3D8C">
        <w:rPr>
          <w:rFonts w:cstheme="minorHAnsi"/>
          <w:bCs/>
          <w:szCs w:val="72"/>
          <w:lang w:val="sr-Cyrl-RS"/>
        </w:rPr>
        <w:t>На крају 2019. године стање дуга централног нивоа власти достигло је 52,0% БДП, а опште државе 52,9% БДП. Рацио јавни дуг/БДП централног нивоа власти на крају септембра 2020. године износио је 56,7% БДП, а опште државе 57,6% БДП. До краја 2020. године се очекује благи раст рација на ниво од око 57,9% БДП на централном нивоу, односно 59,0% БДП на нивоу опште државе, услед потребе да се даље финансирају мере за сузбијање</w:t>
      </w:r>
      <w:r w:rsidR="007301C2">
        <w:rPr>
          <w:rFonts w:cstheme="minorHAnsi"/>
          <w:bCs/>
          <w:szCs w:val="72"/>
          <w:lang w:val="sr-Cyrl-RS"/>
        </w:rPr>
        <w:t xml:space="preserve"> утицаја </w:t>
      </w:r>
      <w:r w:rsidR="007301C2">
        <w:rPr>
          <w:rFonts w:cstheme="minorHAnsi"/>
          <w:bCs/>
          <w:szCs w:val="72"/>
          <w:lang w:val="sr-Cyrl-RS"/>
        </w:rPr>
        <w:lastRenderedPageBreak/>
        <w:t>пандемије изазване кор</w:t>
      </w:r>
      <w:r w:rsidRPr="00EA3D8C">
        <w:rPr>
          <w:rFonts w:cstheme="minorHAnsi"/>
          <w:bCs/>
          <w:szCs w:val="72"/>
          <w:lang w:val="sr-Cyrl-RS"/>
        </w:rPr>
        <w:t>она вирусом COVID-19. Због високог учешћа дуга деноминованог у страној валути (70,6%),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w:t>
      </w:r>
    </w:p>
    <w:p w14:paraId="501B2ACC" w14:textId="77777777" w:rsidR="004478A8" w:rsidRPr="00EA3D8C" w:rsidRDefault="004478A8" w:rsidP="00E4657F">
      <w:pPr>
        <w:spacing w:line="276" w:lineRule="auto"/>
        <w:rPr>
          <w:rFonts w:cstheme="minorHAnsi"/>
          <w:bCs/>
          <w:szCs w:val="72"/>
          <w:lang w:val="sr-Cyrl-RS"/>
        </w:rPr>
      </w:pPr>
      <w:r w:rsidRPr="00EA3D8C">
        <w:rPr>
          <w:rFonts w:cstheme="minorHAnsi"/>
          <w:bCs/>
          <w:szCs w:val="72"/>
          <w:lang w:val="sr-Cyrl-RS"/>
        </w:rPr>
        <w:t>На основу планираног макроекономског оквира, а у случају изостанка утицаја могућих ризика, јавни дуг централног нивоа власти би на кају 2023. године требало да буде на нивоу од 55,0% БДП.</w:t>
      </w:r>
    </w:p>
    <w:p w14:paraId="7A25C15A" w14:textId="14A5CE8E" w:rsidR="004478A8" w:rsidRPr="00EA3D8C" w:rsidRDefault="004478A8" w:rsidP="00E4657F">
      <w:pPr>
        <w:spacing w:line="276" w:lineRule="auto"/>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r w:rsidRPr="00EA3D8C">
        <w:rPr>
          <w:rFonts w:cstheme="minorHAnsi"/>
          <w:bCs/>
          <w:szCs w:val="72"/>
          <w:lang w:val="sr-Cyrl-RS"/>
        </w:rPr>
        <w:t xml:space="preserve">Основни фактори који утичу на стабилизацију рација јавни дуг/БДП су раст БДП, примарни резултат, курс динара према ино-валутама и висина камата. </w:t>
      </w:r>
    </w:p>
    <w:p w14:paraId="378D99AA" w14:textId="1478D23A" w:rsidR="004478A8" w:rsidRPr="00EA3D8C" w:rsidRDefault="004478A8" w:rsidP="00E4657F">
      <w:pPr>
        <w:spacing w:line="276" w:lineRule="auto"/>
        <w:rPr>
          <w:rFonts w:cstheme="minorHAnsi"/>
          <w:bCs/>
          <w:szCs w:val="72"/>
          <w:lang w:val="sr-Cyrl-RS"/>
        </w:rPr>
        <w:sectPr w:rsidR="004478A8" w:rsidRPr="00EA3D8C" w:rsidSect="00AE40EB">
          <w:type w:val="continuous"/>
          <w:pgSz w:w="12240" w:h="15840" w:code="1"/>
          <w:pgMar w:top="1440" w:right="1440" w:bottom="1440" w:left="1440" w:header="720" w:footer="720" w:gutter="0"/>
          <w:cols w:num="2" w:space="720"/>
          <w:docGrid w:linePitch="360"/>
        </w:sectPr>
      </w:pPr>
    </w:p>
    <w:p w14:paraId="4E4CCE99" w14:textId="7E211554" w:rsidR="004478A8" w:rsidRPr="00EA3D8C" w:rsidRDefault="00972D75" w:rsidP="00E4657F">
      <w:pPr>
        <w:jc w:val="center"/>
        <w:rPr>
          <w:b/>
          <w:color w:val="002060"/>
          <w:lang w:val="sr-Cyrl-RS"/>
        </w:rPr>
      </w:pPr>
      <w:r w:rsidRPr="00EA3D8C">
        <w:rPr>
          <w:b/>
          <w:color w:val="002060"/>
          <w:lang w:val="sr-Cyrl-RS"/>
        </w:rPr>
        <w:lastRenderedPageBreak/>
        <w:t xml:space="preserve">Табела </w:t>
      </w:r>
      <w:r w:rsidR="00EC4017" w:rsidRPr="00EA3D8C">
        <w:rPr>
          <w:b/>
          <w:color w:val="002060"/>
          <w:lang w:val="sr-Cyrl-RS"/>
        </w:rPr>
        <w:t>30</w:t>
      </w:r>
      <w:r w:rsidR="004478A8" w:rsidRPr="00EA3D8C">
        <w:rPr>
          <w:b/>
          <w:color w:val="002060"/>
          <w:lang w:val="sr-Cyrl-RS"/>
        </w:rPr>
        <w:t xml:space="preserve">. Доприноси основних макроекономских варијабли на промену рација </w:t>
      </w:r>
      <w:r w:rsidR="004478A8" w:rsidRPr="00EA3D8C">
        <w:rPr>
          <w:b/>
          <w:color w:val="002060"/>
          <w:lang w:val="sr-Cyrl-RS"/>
        </w:rPr>
        <w:br w:type="textWrapping" w:clear="all"/>
        <w:t>јавни дуг (централног нивоа државе) – БДП, у %</w:t>
      </w:r>
    </w:p>
    <w:tbl>
      <w:tblPr>
        <w:tblStyle w:val="LightShading-Accent122"/>
        <w:tblW w:w="5000" w:type="pct"/>
        <w:tblLayout w:type="fixed"/>
        <w:tblLook w:val="0420" w:firstRow="1" w:lastRow="0" w:firstColumn="0" w:lastColumn="0" w:noHBand="0" w:noVBand="1"/>
      </w:tblPr>
      <w:tblGrid>
        <w:gridCol w:w="3843"/>
        <w:gridCol w:w="926"/>
        <w:gridCol w:w="927"/>
        <w:gridCol w:w="927"/>
        <w:gridCol w:w="927"/>
        <w:gridCol w:w="927"/>
        <w:gridCol w:w="927"/>
      </w:tblGrid>
      <w:tr w:rsidR="004478A8" w:rsidRPr="00EA3D8C" w14:paraId="7FBC3CFF" w14:textId="77777777" w:rsidTr="003E2EFC">
        <w:trPr>
          <w:cnfStyle w:val="100000000000" w:firstRow="1" w:lastRow="0" w:firstColumn="0" w:lastColumn="0" w:oddVBand="0" w:evenVBand="0" w:oddHBand="0" w:evenHBand="0" w:firstRowFirstColumn="0" w:firstRowLastColumn="0" w:lastRowFirstColumn="0" w:lastRowLastColumn="0"/>
          <w:trHeight w:val="196"/>
        </w:trPr>
        <w:tc>
          <w:tcPr>
            <w:tcW w:w="2043" w:type="pct"/>
            <w:tcBorders>
              <w:top w:val="single" w:sz="4" w:space="0" w:color="002060"/>
              <w:bottom w:val="single" w:sz="8" w:space="0" w:color="FFFFFF" w:themeColor="background1"/>
            </w:tcBorders>
            <w:shd w:val="clear" w:color="auto" w:fill="auto"/>
            <w:noWrap/>
            <w:hideMark/>
          </w:tcPr>
          <w:p w14:paraId="739E9421"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 </w:t>
            </w:r>
          </w:p>
        </w:tc>
        <w:tc>
          <w:tcPr>
            <w:tcW w:w="492" w:type="pct"/>
            <w:tcBorders>
              <w:top w:val="single" w:sz="4" w:space="0" w:color="002060"/>
              <w:bottom w:val="single" w:sz="4" w:space="0" w:color="002060"/>
            </w:tcBorders>
            <w:shd w:val="clear" w:color="auto" w:fill="auto"/>
          </w:tcPr>
          <w:p w14:paraId="25A599F2"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 xml:space="preserve">2018 </w:t>
            </w:r>
          </w:p>
        </w:tc>
        <w:tc>
          <w:tcPr>
            <w:tcW w:w="493" w:type="pct"/>
            <w:tcBorders>
              <w:top w:val="single" w:sz="4" w:space="0" w:color="002060"/>
              <w:bottom w:val="single" w:sz="4" w:space="0" w:color="002060"/>
            </w:tcBorders>
            <w:shd w:val="clear" w:color="auto" w:fill="auto"/>
          </w:tcPr>
          <w:p w14:paraId="5D0F9860"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 xml:space="preserve">2019 </w:t>
            </w:r>
          </w:p>
        </w:tc>
        <w:tc>
          <w:tcPr>
            <w:tcW w:w="493" w:type="pct"/>
            <w:tcBorders>
              <w:top w:val="single" w:sz="4" w:space="0" w:color="002060"/>
              <w:bottom w:val="single" w:sz="4" w:space="0" w:color="002060"/>
            </w:tcBorders>
            <w:shd w:val="clear" w:color="auto" w:fill="auto"/>
            <w:noWrap/>
          </w:tcPr>
          <w:p w14:paraId="3A55954F"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2020 п</w:t>
            </w:r>
          </w:p>
        </w:tc>
        <w:tc>
          <w:tcPr>
            <w:tcW w:w="493" w:type="pct"/>
            <w:tcBorders>
              <w:top w:val="single" w:sz="4" w:space="0" w:color="002060"/>
              <w:bottom w:val="single" w:sz="4" w:space="0" w:color="002060"/>
            </w:tcBorders>
            <w:shd w:val="clear" w:color="auto" w:fill="auto"/>
            <w:noWrap/>
          </w:tcPr>
          <w:p w14:paraId="004DC9E6"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2021 п</w:t>
            </w:r>
          </w:p>
        </w:tc>
        <w:tc>
          <w:tcPr>
            <w:tcW w:w="493" w:type="pct"/>
            <w:tcBorders>
              <w:top w:val="single" w:sz="4" w:space="0" w:color="002060"/>
              <w:bottom w:val="single" w:sz="4" w:space="0" w:color="002060"/>
            </w:tcBorders>
            <w:shd w:val="clear" w:color="auto" w:fill="auto"/>
            <w:noWrap/>
          </w:tcPr>
          <w:p w14:paraId="434739FF"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2022 п</w:t>
            </w:r>
          </w:p>
        </w:tc>
        <w:tc>
          <w:tcPr>
            <w:tcW w:w="493" w:type="pct"/>
            <w:tcBorders>
              <w:top w:val="single" w:sz="4" w:space="0" w:color="002060"/>
              <w:bottom w:val="single" w:sz="4" w:space="0" w:color="002060"/>
            </w:tcBorders>
            <w:shd w:val="clear" w:color="auto" w:fill="auto"/>
            <w:noWrap/>
          </w:tcPr>
          <w:p w14:paraId="1E88C362" w14:textId="77777777" w:rsidR="004478A8" w:rsidRPr="00EA3D8C" w:rsidRDefault="004478A8" w:rsidP="004478A8">
            <w:pPr>
              <w:jc w:val="center"/>
              <w:rPr>
                <w:rFonts w:asciiTheme="minorHAnsi" w:hAnsiTheme="minorHAnsi" w:cstheme="minorHAnsi"/>
                <w:b w:val="0"/>
                <w:color w:val="002060"/>
                <w:sz w:val="18"/>
                <w:szCs w:val="18"/>
                <w:lang w:val="sr-Cyrl-RS"/>
              </w:rPr>
            </w:pPr>
            <w:r w:rsidRPr="00EA3D8C">
              <w:rPr>
                <w:rFonts w:asciiTheme="minorHAnsi" w:hAnsiTheme="minorHAnsi" w:cstheme="minorHAnsi"/>
                <w:b w:val="0"/>
                <w:color w:val="002060"/>
                <w:sz w:val="18"/>
                <w:szCs w:val="18"/>
                <w:lang w:val="sr-Cyrl-RS"/>
              </w:rPr>
              <w:t>2023 п</w:t>
            </w:r>
          </w:p>
        </w:tc>
      </w:tr>
      <w:tr w:rsidR="004478A8" w:rsidRPr="00EA3D8C" w14:paraId="2B023041" w14:textId="77777777" w:rsidTr="003E2EFC">
        <w:trPr>
          <w:cnfStyle w:val="000000100000" w:firstRow="0" w:lastRow="0" w:firstColumn="0" w:lastColumn="0" w:oddVBand="0" w:evenVBand="0" w:oddHBand="1" w:evenHBand="0" w:firstRowFirstColumn="0" w:firstRowLastColumn="0" w:lastRowFirstColumn="0" w:lastRowLastColumn="0"/>
          <w:trHeight w:val="284"/>
        </w:trPr>
        <w:tc>
          <w:tcPr>
            <w:tcW w:w="2043" w:type="pct"/>
            <w:tcBorders>
              <w:top w:val="single" w:sz="8" w:space="0" w:color="FFFFFF" w:themeColor="background1"/>
            </w:tcBorders>
            <w:shd w:val="clear" w:color="auto" w:fill="auto"/>
            <w:noWrap/>
            <w:hideMark/>
          </w:tcPr>
          <w:p w14:paraId="737CFDE4"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Дуг централне државе/БДП</w:t>
            </w:r>
          </w:p>
        </w:tc>
        <w:tc>
          <w:tcPr>
            <w:tcW w:w="492" w:type="pct"/>
            <w:tcBorders>
              <w:top w:val="single" w:sz="4" w:space="0" w:color="002060"/>
            </w:tcBorders>
            <w:shd w:val="clear" w:color="auto" w:fill="auto"/>
          </w:tcPr>
          <w:p w14:paraId="1D250C64"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53,6</w:t>
            </w:r>
          </w:p>
        </w:tc>
        <w:tc>
          <w:tcPr>
            <w:tcW w:w="493" w:type="pct"/>
            <w:tcBorders>
              <w:top w:val="single" w:sz="4" w:space="0" w:color="002060"/>
            </w:tcBorders>
            <w:shd w:val="clear" w:color="auto" w:fill="auto"/>
          </w:tcPr>
          <w:p w14:paraId="315915D8"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52,0</w:t>
            </w:r>
          </w:p>
        </w:tc>
        <w:tc>
          <w:tcPr>
            <w:tcW w:w="493" w:type="pct"/>
            <w:tcBorders>
              <w:top w:val="single" w:sz="4" w:space="0" w:color="002060"/>
            </w:tcBorders>
            <w:shd w:val="clear" w:color="auto" w:fill="auto"/>
            <w:noWrap/>
          </w:tcPr>
          <w:p w14:paraId="41A7DE2E"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57,9</w:t>
            </w:r>
          </w:p>
        </w:tc>
        <w:tc>
          <w:tcPr>
            <w:tcW w:w="493" w:type="pct"/>
            <w:tcBorders>
              <w:top w:val="single" w:sz="4" w:space="0" w:color="002060"/>
            </w:tcBorders>
            <w:shd w:val="clear" w:color="auto" w:fill="auto"/>
            <w:noWrap/>
          </w:tcPr>
          <w:p w14:paraId="600354F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57,5</w:t>
            </w:r>
          </w:p>
        </w:tc>
        <w:tc>
          <w:tcPr>
            <w:tcW w:w="493" w:type="pct"/>
            <w:tcBorders>
              <w:top w:val="single" w:sz="4" w:space="0" w:color="002060"/>
            </w:tcBorders>
            <w:shd w:val="clear" w:color="auto" w:fill="auto"/>
            <w:noWrap/>
          </w:tcPr>
          <w:p w14:paraId="7ADF61CA"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56,8</w:t>
            </w:r>
          </w:p>
        </w:tc>
        <w:tc>
          <w:tcPr>
            <w:tcW w:w="493" w:type="pct"/>
            <w:tcBorders>
              <w:top w:val="single" w:sz="4" w:space="0" w:color="002060"/>
            </w:tcBorders>
            <w:shd w:val="clear" w:color="auto" w:fill="auto"/>
            <w:noWrap/>
          </w:tcPr>
          <w:p w14:paraId="66B78F52"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55,0</w:t>
            </w:r>
          </w:p>
        </w:tc>
      </w:tr>
      <w:tr w:rsidR="004478A8" w:rsidRPr="00EA3D8C" w14:paraId="33C88546" w14:textId="77777777" w:rsidTr="003E2EFC">
        <w:trPr>
          <w:trHeight w:val="284"/>
        </w:trPr>
        <w:tc>
          <w:tcPr>
            <w:tcW w:w="2043" w:type="pct"/>
            <w:shd w:val="clear" w:color="auto" w:fill="auto"/>
            <w:noWrap/>
            <w:hideMark/>
          </w:tcPr>
          <w:p w14:paraId="0E0203EF"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Промена у односу на претходну год. у % БДП</w:t>
            </w:r>
          </w:p>
        </w:tc>
        <w:tc>
          <w:tcPr>
            <w:tcW w:w="492" w:type="pct"/>
            <w:shd w:val="clear" w:color="auto" w:fill="auto"/>
          </w:tcPr>
          <w:p w14:paraId="7E5DA4E3"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-4,2</w:t>
            </w:r>
          </w:p>
        </w:tc>
        <w:tc>
          <w:tcPr>
            <w:tcW w:w="493" w:type="pct"/>
            <w:shd w:val="clear" w:color="auto" w:fill="auto"/>
          </w:tcPr>
          <w:p w14:paraId="698B9A1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-1,7</w:t>
            </w:r>
          </w:p>
        </w:tc>
        <w:tc>
          <w:tcPr>
            <w:tcW w:w="493" w:type="pct"/>
            <w:shd w:val="clear" w:color="auto" w:fill="auto"/>
            <w:noWrap/>
          </w:tcPr>
          <w:p w14:paraId="2BA3477D"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5,9</w:t>
            </w:r>
          </w:p>
        </w:tc>
        <w:tc>
          <w:tcPr>
            <w:tcW w:w="493" w:type="pct"/>
            <w:shd w:val="clear" w:color="auto" w:fill="auto"/>
            <w:noWrap/>
          </w:tcPr>
          <w:p w14:paraId="31FA45CD"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-0,4</w:t>
            </w:r>
          </w:p>
        </w:tc>
        <w:tc>
          <w:tcPr>
            <w:tcW w:w="493" w:type="pct"/>
            <w:shd w:val="clear" w:color="auto" w:fill="auto"/>
            <w:noWrap/>
          </w:tcPr>
          <w:p w14:paraId="69549692"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-0,7</w:t>
            </w:r>
          </w:p>
        </w:tc>
        <w:tc>
          <w:tcPr>
            <w:tcW w:w="493" w:type="pct"/>
            <w:shd w:val="clear" w:color="auto" w:fill="auto"/>
            <w:noWrap/>
          </w:tcPr>
          <w:p w14:paraId="6D215BB8"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-1,8</w:t>
            </w:r>
          </w:p>
        </w:tc>
      </w:tr>
      <w:tr w:rsidR="004478A8" w:rsidRPr="00EA3D8C" w14:paraId="51D5C887" w14:textId="77777777" w:rsidTr="003E2EFC">
        <w:trPr>
          <w:cnfStyle w:val="000000100000" w:firstRow="0" w:lastRow="0" w:firstColumn="0" w:lastColumn="0" w:oddVBand="0" w:evenVBand="0" w:oddHBand="1" w:evenHBand="0" w:firstRowFirstColumn="0" w:firstRowLastColumn="0" w:lastRowFirstColumn="0" w:lastRowLastColumn="0"/>
          <w:trHeight w:val="284"/>
        </w:trPr>
        <w:tc>
          <w:tcPr>
            <w:tcW w:w="2043" w:type="pct"/>
            <w:shd w:val="clear" w:color="auto" w:fill="auto"/>
            <w:noWrap/>
            <w:hideMark/>
          </w:tcPr>
          <w:p w14:paraId="2EADA9C5"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Допринос примарног фискалног резултата</w:t>
            </w:r>
          </w:p>
        </w:tc>
        <w:tc>
          <w:tcPr>
            <w:tcW w:w="492" w:type="pct"/>
            <w:shd w:val="clear" w:color="auto" w:fill="auto"/>
          </w:tcPr>
          <w:p w14:paraId="5756AE2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-2,7</w:t>
            </w:r>
          </w:p>
        </w:tc>
        <w:tc>
          <w:tcPr>
            <w:tcW w:w="493" w:type="pct"/>
            <w:shd w:val="clear" w:color="auto" w:fill="auto"/>
          </w:tcPr>
          <w:p w14:paraId="3363E1DD"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-2,2</w:t>
            </w:r>
          </w:p>
        </w:tc>
        <w:tc>
          <w:tcPr>
            <w:tcW w:w="493" w:type="pct"/>
            <w:shd w:val="clear" w:color="auto" w:fill="auto"/>
            <w:noWrap/>
          </w:tcPr>
          <w:p w14:paraId="19DCB101"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6,6</w:t>
            </w:r>
          </w:p>
        </w:tc>
        <w:tc>
          <w:tcPr>
            <w:tcW w:w="493" w:type="pct"/>
            <w:shd w:val="clear" w:color="auto" w:fill="auto"/>
            <w:noWrap/>
          </w:tcPr>
          <w:p w14:paraId="427F4569"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1,1</w:t>
            </w:r>
          </w:p>
        </w:tc>
        <w:tc>
          <w:tcPr>
            <w:tcW w:w="493" w:type="pct"/>
            <w:shd w:val="clear" w:color="auto" w:fill="auto"/>
            <w:noWrap/>
          </w:tcPr>
          <w:p w14:paraId="2796A304"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-0,2</w:t>
            </w:r>
          </w:p>
        </w:tc>
        <w:tc>
          <w:tcPr>
            <w:tcW w:w="493" w:type="pct"/>
            <w:shd w:val="clear" w:color="auto" w:fill="auto"/>
            <w:noWrap/>
          </w:tcPr>
          <w:p w14:paraId="58F88A12"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-0,5</w:t>
            </w:r>
          </w:p>
        </w:tc>
      </w:tr>
      <w:tr w:rsidR="004478A8" w:rsidRPr="00EA3D8C" w14:paraId="45ED8EF2" w14:textId="77777777" w:rsidTr="003E2EFC">
        <w:trPr>
          <w:trHeight w:val="284"/>
        </w:trPr>
        <w:tc>
          <w:tcPr>
            <w:tcW w:w="2043" w:type="pct"/>
            <w:shd w:val="clear" w:color="auto" w:fill="auto"/>
            <w:noWrap/>
            <w:hideMark/>
          </w:tcPr>
          <w:p w14:paraId="117AC3C7"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Допринос камата</w:t>
            </w:r>
          </w:p>
        </w:tc>
        <w:tc>
          <w:tcPr>
            <w:tcW w:w="492" w:type="pct"/>
            <w:shd w:val="clear" w:color="auto" w:fill="auto"/>
          </w:tcPr>
          <w:p w14:paraId="2DB56FE0"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2,1</w:t>
            </w:r>
          </w:p>
        </w:tc>
        <w:tc>
          <w:tcPr>
            <w:tcW w:w="493" w:type="pct"/>
            <w:shd w:val="clear" w:color="auto" w:fill="auto"/>
          </w:tcPr>
          <w:p w14:paraId="2491C243"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2,0</w:t>
            </w:r>
          </w:p>
        </w:tc>
        <w:tc>
          <w:tcPr>
            <w:tcW w:w="493" w:type="pct"/>
            <w:shd w:val="clear" w:color="auto" w:fill="auto"/>
            <w:noWrap/>
          </w:tcPr>
          <w:p w14:paraId="06D64EAC"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2,0</w:t>
            </w:r>
          </w:p>
        </w:tc>
        <w:tc>
          <w:tcPr>
            <w:tcW w:w="493" w:type="pct"/>
            <w:shd w:val="clear" w:color="auto" w:fill="auto"/>
            <w:noWrap/>
          </w:tcPr>
          <w:p w14:paraId="6694D72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1,9</w:t>
            </w:r>
          </w:p>
        </w:tc>
        <w:tc>
          <w:tcPr>
            <w:tcW w:w="493" w:type="pct"/>
            <w:shd w:val="clear" w:color="auto" w:fill="auto"/>
            <w:noWrap/>
          </w:tcPr>
          <w:p w14:paraId="770ED59F"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1,7</w:t>
            </w:r>
          </w:p>
        </w:tc>
        <w:tc>
          <w:tcPr>
            <w:tcW w:w="493" w:type="pct"/>
            <w:shd w:val="clear" w:color="auto" w:fill="auto"/>
            <w:noWrap/>
          </w:tcPr>
          <w:p w14:paraId="0F26288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1,6</w:t>
            </w:r>
          </w:p>
        </w:tc>
      </w:tr>
      <w:tr w:rsidR="004478A8" w:rsidRPr="00EA3D8C" w14:paraId="0E706D6B" w14:textId="77777777" w:rsidTr="003E2EFC">
        <w:trPr>
          <w:cnfStyle w:val="000000100000" w:firstRow="0" w:lastRow="0" w:firstColumn="0" w:lastColumn="0" w:oddVBand="0" w:evenVBand="0" w:oddHBand="1" w:evenHBand="0" w:firstRowFirstColumn="0" w:firstRowLastColumn="0" w:lastRowFirstColumn="0" w:lastRowLastColumn="0"/>
          <w:trHeight w:val="284"/>
        </w:trPr>
        <w:tc>
          <w:tcPr>
            <w:tcW w:w="2043" w:type="pct"/>
            <w:tcBorders>
              <w:bottom w:val="nil"/>
            </w:tcBorders>
            <w:shd w:val="clear" w:color="auto" w:fill="auto"/>
            <w:hideMark/>
          </w:tcPr>
          <w:p w14:paraId="4591B3D4"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Допринос раста номиналног БДП</w:t>
            </w:r>
          </w:p>
        </w:tc>
        <w:tc>
          <w:tcPr>
            <w:tcW w:w="492" w:type="pct"/>
            <w:tcBorders>
              <w:bottom w:val="nil"/>
            </w:tcBorders>
            <w:shd w:val="clear" w:color="auto" w:fill="auto"/>
          </w:tcPr>
          <w:p w14:paraId="01ACA4A9"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-3,6</w:t>
            </w:r>
          </w:p>
        </w:tc>
        <w:tc>
          <w:tcPr>
            <w:tcW w:w="493" w:type="pct"/>
            <w:tcBorders>
              <w:bottom w:val="nil"/>
            </w:tcBorders>
            <w:shd w:val="clear" w:color="auto" w:fill="auto"/>
          </w:tcPr>
          <w:p w14:paraId="5735964C"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-3,4</w:t>
            </w:r>
          </w:p>
        </w:tc>
        <w:tc>
          <w:tcPr>
            <w:tcW w:w="493" w:type="pct"/>
            <w:tcBorders>
              <w:bottom w:val="nil"/>
            </w:tcBorders>
            <w:shd w:val="clear" w:color="auto" w:fill="auto"/>
            <w:noWrap/>
          </w:tcPr>
          <w:p w14:paraId="3DD3D693"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-0,9</w:t>
            </w:r>
          </w:p>
        </w:tc>
        <w:tc>
          <w:tcPr>
            <w:tcW w:w="493" w:type="pct"/>
            <w:tcBorders>
              <w:bottom w:val="nil"/>
            </w:tcBorders>
            <w:shd w:val="clear" w:color="auto" w:fill="auto"/>
            <w:noWrap/>
          </w:tcPr>
          <w:p w14:paraId="02DBA4A4"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-4,6</w:t>
            </w:r>
          </w:p>
        </w:tc>
        <w:tc>
          <w:tcPr>
            <w:tcW w:w="493" w:type="pct"/>
            <w:tcBorders>
              <w:bottom w:val="nil"/>
            </w:tcBorders>
            <w:shd w:val="clear" w:color="auto" w:fill="auto"/>
            <w:noWrap/>
          </w:tcPr>
          <w:p w14:paraId="3F47D5E2"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-3,7</w:t>
            </w:r>
          </w:p>
        </w:tc>
        <w:tc>
          <w:tcPr>
            <w:tcW w:w="493" w:type="pct"/>
            <w:tcBorders>
              <w:bottom w:val="nil"/>
            </w:tcBorders>
            <w:shd w:val="clear" w:color="auto" w:fill="auto"/>
            <w:noWrap/>
          </w:tcPr>
          <w:p w14:paraId="41E522AF"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-3,8</w:t>
            </w:r>
          </w:p>
        </w:tc>
      </w:tr>
      <w:tr w:rsidR="004478A8" w:rsidRPr="00EA3D8C" w14:paraId="1B77D7DF" w14:textId="77777777" w:rsidTr="003E2EFC">
        <w:trPr>
          <w:trHeight w:val="80"/>
        </w:trPr>
        <w:tc>
          <w:tcPr>
            <w:tcW w:w="2043" w:type="pct"/>
            <w:tcBorders>
              <w:top w:val="nil"/>
              <w:bottom w:val="single" w:sz="4" w:space="0" w:color="002060"/>
            </w:tcBorders>
            <w:shd w:val="clear" w:color="auto" w:fill="auto"/>
          </w:tcPr>
          <w:p w14:paraId="0A224D2F" w14:textId="77777777" w:rsidR="004478A8" w:rsidRPr="00EA3D8C" w:rsidRDefault="004478A8" w:rsidP="004478A8">
            <w:pPr>
              <w:spacing w:line="240" w:lineRule="auto"/>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Допринос осталих фактора</w:t>
            </w:r>
          </w:p>
        </w:tc>
        <w:tc>
          <w:tcPr>
            <w:tcW w:w="492" w:type="pct"/>
            <w:tcBorders>
              <w:top w:val="nil"/>
              <w:bottom w:val="single" w:sz="4" w:space="0" w:color="002060"/>
            </w:tcBorders>
            <w:shd w:val="clear" w:color="auto" w:fill="auto"/>
          </w:tcPr>
          <w:p w14:paraId="60F7B719"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0,0</w:t>
            </w:r>
          </w:p>
        </w:tc>
        <w:tc>
          <w:tcPr>
            <w:tcW w:w="493" w:type="pct"/>
            <w:tcBorders>
              <w:top w:val="nil"/>
              <w:bottom w:val="single" w:sz="4" w:space="0" w:color="002060"/>
            </w:tcBorders>
            <w:shd w:val="clear" w:color="auto" w:fill="auto"/>
          </w:tcPr>
          <w:p w14:paraId="1A382EAC"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2,0</w:t>
            </w:r>
          </w:p>
        </w:tc>
        <w:tc>
          <w:tcPr>
            <w:tcW w:w="493" w:type="pct"/>
            <w:tcBorders>
              <w:top w:val="nil"/>
              <w:bottom w:val="single" w:sz="4" w:space="0" w:color="002060"/>
            </w:tcBorders>
            <w:shd w:val="clear" w:color="auto" w:fill="auto"/>
            <w:noWrap/>
          </w:tcPr>
          <w:p w14:paraId="7863483C"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-1,7</w:t>
            </w:r>
          </w:p>
        </w:tc>
        <w:tc>
          <w:tcPr>
            <w:tcW w:w="493" w:type="pct"/>
            <w:tcBorders>
              <w:top w:val="nil"/>
              <w:bottom w:val="single" w:sz="4" w:space="0" w:color="002060"/>
            </w:tcBorders>
            <w:shd w:val="clear" w:color="auto" w:fill="auto"/>
            <w:noWrap/>
          </w:tcPr>
          <w:p w14:paraId="13D71824"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1,3</w:t>
            </w:r>
          </w:p>
        </w:tc>
        <w:tc>
          <w:tcPr>
            <w:tcW w:w="493" w:type="pct"/>
            <w:tcBorders>
              <w:top w:val="nil"/>
              <w:bottom w:val="single" w:sz="4" w:space="0" w:color="002060"/>
            </w:tcBorders>
            <w:shd w:val="clear" w:color="auto" w:fill="auto"/>
            <w:noWrap/>
          </w:tcPr>
          <w:p w14:paraId="3DC5D7BF"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1,5</w:t>
            </w:r>
          </w:p>
        </w:tc>
        <w:tc>
          <w:tcPr>
            <w:tcW w:w="493" w:type="pct"/>
            <w:tcBorders>
              <w:top w:val="nil"/>
              <w:bottom w:val="single" w:sz="4" w:space="0" w:color="002060"/>
            </w:tcBorders>
            <w:shd w:val="clear" w:color="auto" w:fill="auto"/>
            <w:noWrap/>
          </w:tcPr>
          <w:p w14:paraId="69F29CD7" w14:textId="77777777" w:rsidR="004478A8" w:rsidRPr="00EA3D8C" w:rsidRDefault="004478A8" w:rsidP="004478A8">
            <w:pPr>
              <w:spacing w:line="240" w:lineRule="auto"/>
              <w:jc w:val="center"/>
              <w:rPr>
                <w:rFonts w:asciiTheme="minorHAnsi" w:hAnsiTheme="minorHAnsi" w:cstheme="minorHAnsi"/>
                <w:bCs/>
                <w:color w:val="002060"/>
                <w:sz w:val="18"/>
                <w:szCs w:val="18"/>
                <w:lang w:val="sr-Cyrl-RS"/>
              </w:rPr>
            </w:pPr>
            <w:r w:rsidRPr="00EA3D8C">
              <w:rPr>
                <w:rFonts w:asciiTheme="minorHAnsi" w:hAnsiTheme="minorHAnsi" w:cstheme="minorHAnsi"/>
                <w:bCs/>
                <w:color w:val="002060"/>
                <w:sz w:val="18"/>
                <w:szCs w:val="18"/>
                <w:lang w:val="sr-Cyrl-RS"/>
              </w:rPr>
              <w:t>1,0</w:t>
            </w:r>
          </w:p>
        </w:tc>
      </w:tr>
    </w:tbl>
    <w:p w14:paraId="5FA151D6" w14:textId="77777777" w:rsidR="004478A8" w:rsidRPr="00EA3D8C" w:rsidRDefault="004478A8" w:rsidP="00E4657F">
      <w:pPr>
        <w:jc w:val="center"/>
        <w:rPr>
          <w:b/>
          <w:lang w:val="sr-Cyrl-RS"/>
        </w:rPr>
        <w:sectPr w:rsidR="004478A8" w:rsidRPr="00EA3D8C" w:rsidSect="00AE40EB">
          <w:pgSz w:w="12240" w:h="15840" w:code="1"/>
          <w:pgMar w:top="1418" w:right="1418" w:bottom="1418" w:left="1418" w:header="720" w:footer="720" w:gutter="0"/>
          <w:cols w:space="720"/>
          <w:docGrid w:linePitch="272"/>
        </w:sectPr>
      </w:pPr>
    </w:p>
    <w:p w14:paraId="4ACD780D" w14:textId="77777777" w:rsidR="004478A8" w:rsidRPr="00EA3D8C" w:rsidRDefault="004478A8" w:rsidP="00E4657F">
      <w:pPr>
        <w:jc w:val="center"/>
        <w:rPr>
          <w:b/>
          <w:color w:val="002060"/>
          <w:lang w:val="sr-Cyrl-RS"/>
        </w:rPr>
      </w:pPr>
      <w:r w:rsidRPr="00EA3D8C">
        <w:rPr>
          <w:b/>
          <w:color w:val="002060"/>
          <w:lang w:val="sr-Cyrl-RS"/>
        </w:rPr>
        <w:lastRenderedPageBreak/>
        <w:t>Утицај промене курса динара према корпи валута из портфолија јавног дуга централног нивоа државе на промену рација јавни дуг – БДП</w:t>
      </w:r>
    </w:p>
    <w:p w14:paraId="4783677C" w14:textId="77777777" w:rsidR="004478A8" w:rsidRPr="00EA3D8C" w:rsidRDefault="004478A8" w:rsidP="00E4657F">
      <w:pPr>
        <w:rPr>
          <w:b/>
          <w:lang w:val="sr-Cyrl-RS"/>
        </w:rPr>
      </w:pPr>
      <w:r w:rsidRPr="00EA3D8C">
        <w:rPr>
          <w:noProof/>
        </w:rPr>
        <w:drawing>
          <wp:inline distT="0" distB="0" distL="0" distR="0" wp14:anchorId="484858F7" wp14:editId="7851F8D9">
            <wp:extent cx="2757805" cy="3106420"/>
            <wp:effectExtent l="0" t="0" r="4445"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p w14:paraId="1725D4F2" w14:textId="5629C60C" w:rsidR="004478A8" w:rsidRPr="00EA3D8C" w:rsidRDefault="004478A8" w:rsidP="00E4657F">
      <w:pPr>
        <w:rPr>
          <w:rFonts w:cstheme="minorHAnsi"/>
          <w:bCs/>
          <w:szCs w:val="72"/>
          <w:lang w:val="sr-Cyrl-RS"/>
        </w:rPr>
      </w:pPr>
      <w:r w:rsidRPr="00EA3D8C">
        <w:rPr>
          <w:rFonts w:cstheme="minorHAnsi"/>
          <w:bCs/>
          <w:szCs w:val="72"/>
          <w:lang w:val="sr-Cyrl-RS"/>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2023. годину кретао у распону од 51,3% до 58,8%, док би за основни сценарио био на нивоу од 55,0%.</w:t>
      </w:r>
    </w:p>
    <w:p w14:paraId="2166F3AD" w14:textId="77777777" w:rsidR="004478A8" w:rsidRPr="00EA3D8C" w:rsidRDefault="004478A8" w:rsidP="00E4657F">
      <w:pPr>
        <w:rPr>
          <w:rFonts w:cstheme="minorHAnsi"/>
          <w:bCs/>
          <w:spacing w:val="-2"/>
          <w:szCs w:val="72"/>
          <w:lang w:val="sr-Cyrl-RS"/>
        </w:rPr>
      </w:pPr>
      <w:r w:rsidRPr="00EA3D8C">
        <w:rPr>
          <w:rFonts w:cstheme="minorHAnsi"/>
          <w:bCs/>
          <w:spacing w:val="-2"/>
          <w:szCs w:val="72"/>
          <w:lang w:val="sr-Cyrl-RS"/>
        </w:rPr>
        <w:t xml:space="preserve">Главни ризици за остварење Стратегије, поред горе наведених фактора који су квантификовани, су и </w:t>
      </w:r>
      <w:r w:rsidRPr="00EA3D8C">
        <w:rPr>
          <w:rFonts w:cstheme="minorHAnsi"/>
          <w:bCs/>
          <w:spacing w:val="-2"/>
          <w:szCs w:val="72"/>
          <w:lang w:val="sr-Cyrl-RS"/>
        </w:rPr>
        <w:lastRenderedPageBreak/>
        <w:t>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059EEA53" w14:textId="77777777" w:rsidR="004478A8" w:rsidRPr="00EA3D8C" w:rsidRDefault="004478A8" w:rsidP="00E4657F">
      <w:pPr>
        <w:rPr>
          <w:rFonts w:cstheme="minorHAnsi"/>
          <w:bCs/>
          <w:szCs w:val="72"/>
          <w:lang w:val="sr-Cyrl-RS"/>
        </w:rPr>
      </w:pPr>
      <w:r w:rsidRPr="00EA3D8C">
        <w:rPr>
          <w:rFonts w:cstheme="minorHAnsi"/>
          <w:bCs/>
          <w:szCs w:val="72"/>
          <w:lang w:val="sr-Cyrl-RS"/>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 Почев од 2015. године, гаранције се издају само за пројектне (инвестиционе) зајмове, односно прекинуто је издавање гаранција за зајмове за текућу ликвидност јавним предузећима, што је значајно утицало на смањење стања гарантованог јавног дуга у претходних пет година.</w:t>
      </w:r>
    </w:p>
    <w:p w14:paraId="3C9027A7" w14:textId="77777777"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t>Дугорочни стратешки оквир за управљање јавним дугом</w:t>
      </w:r>
    </w:p>
    <w:p w14:paraId="014DFFAC" w14:textId="77777777" w:rsidR="004478A8" w:rsidRPr="00EA3D8C" w:rsidRDefault="004478A8" w:rsidP="00E4657F">
      <w:pPr>
        <w:rPr>
          <w:rFonts w:cstheme="minorHAnsi"/>
          <w:bCs/>
          <w:szCs w:val="72"/>
          <w:lang w:val="sr-Cyrl-RS"/>
        </w:rPr>
      </w:pPr>
      <w:r w:rsidRPr="00EA3D8C">
        <w:rPr>
          <w:rFonts w:cstheme="minorHAnsi"/>
          <w:bCs/>
          <w:szCs w:val="72"/>
          <w:lang w:val="sr-Cyrl-R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28562055"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учешће дуга деноминованог у динарима износи најмање 30% укупног јавног дуга на средњи рок;</w:t>
      </w:r>
    </w:p>
    <w:p w14:paraId="0B233539"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учешће дуга деноминованог у еврима у јавном дугу износи најмање 65% дуга у ино-валути, укључујући будућа задуживања и трансакције;</w:t>
      </w:r>
    </w:p>
    <w:p w14:paraId="60BD909A"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учешће дуга са варијабилном каматном стопом износи испод 15% у средњорочном интервалу;</w:t>
      </w:r>
    </w:p>
    <w:p w14:paraId="636151AD"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 xml:space="preserve">да просечно време до промене каматне стопе (АТR) буде одржавано на нивоу од минимум 5,0 </w:t>
      </w:r>
      <w:r w:rsidRPr="00EA3D8C">
        <w:rPr>
          <w:rFonts w:cstheme="minorHAnsi"/>
          <w:bCs/>
          <w:szCs w:val="72"/>
          <w:lang w:val="sr-Cyrl-RS"/>
        </w:rPr>
        <w:lastRenderedPageBreak/>
        <w:t>година, у складу са горе наведеном мером постепеног смањивања учешћа дуга са варијабилним каматним стопама;</w:t>
      </w:r>
    </w:p>
    <w:p w14:paraId="27874765"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просечна пондерисана каматна стопа (WAIR) на јавни дуг у домаћој валути не прелази 5,00%;</w:t>
      </w:r>
    </w:p>
    <w:p w14:paraId="0BCAB69A"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учешће краткорочног дуга (чије је доспеће до годину дана) износи до 15% укупног јавног дуга;</w:t>
      </w:r>
    </w:p>
    <w:p w14:paraId="7ACBDB4D"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просечно време до доспећа (АТМ) унутрашњег дуга буде на нивоу од најмање 5,0 година на средњи рок;</w:t>
      </w:r>
    </w:p>
    <w:p w14:paraId="79A9235D" w14:textId="77777777" w:rsidR="004478A8" w:rsidRPr="00EA3D8C" w:rsidRDefault="004478A8" w:rsidP="00E4657F">
      <w:pPr>
        <w:numPr>
          <w:ilvl w:val="0"/>
          <w:numId w:val="13"/>
        </w:numPr>
        <w:ind w:left="142" w:hanging="142"/>
        <w:contextualSpacing/>
        <w:rPr>
          <w:rFonts w:cstheme="minorHAnsi"/>
          <w:bCs/>
          <w:szCs w:val="72"/>
          <w:lang w:val="sr-Cyrl-RS"/>
        </w:rPr>
      </w:pPr>
      <w:r w:rsidRPr="00EA3D8C">
        <w:rPr>
          <w:rFonts w:cstheme="minorHAnsi"/>
          <w:bCs/>
          <w:szCs w:val="72"/>
          <w:lang w:val="sr-Cyrl-RS"/>
        </w:rPr>
        <w:t>да се просечно време до доспећа (АТМ) спољног дуга одржава на нивоу од 7,0 ± 0,5 година у истом временском хоризонту.</w:t>
      </w:r>
    </w:p>
    <w:p w14:paraId="68BE9381" w14:textId="77777777" w:rsidR="004478A8" w:rsidRPr="00EA3D8C" w:rsidRDefault="004478A8" w:rsidP="00E4657F">
      <w:pPr>
        <w:contextualSpacing/>
        <w:rPr>
          <w:rFonts w:cstheme="minorHAnsi"/>
          <w:bCs/>
          <w:szCs w:val="72"/>
          <w:lang w:val="sr-Cyrl-RS"/>
        </w:rPr>
      </w:pPr>
    </w:p>
    <w:p w14:paraId="722DAB47" w14:textId="77777777" w:rsidR="004478A8" w:rsidRPr="00EA3D8C" w:rsidRDefault="004478A8" w:rsidP="002E7E1E">
      <w:pPr>
        <w:spacing w:after="240"/>
        <w:jc w:val="center"/>
        <w:rPr>
          <w:b/>
          <w:color w:val="002060"/>
          <w:spacing w:val="-2"/>
          <w:lang w:val="sr-Cyrl-RS"/>
        </w:rPr>
      </w:pPr>
      <w:r w:rsidRPr="00EA3D8C">
        <w:rPr>
          <w:b/>
          <w:color w:val="002060"/>
          <w:spacing w:val="-2"/>
          <w:lang w:val="sr-Cyrl-RS"/>
        </w:rPr>
        <w:t xml:space="preserve">Кретање приноса до доспећа динарских </w:t>
      </w:r>
      <w:r w:rsidRPr="00EA3D8C">
        <w:rPr>
          <w:rFonts w:cstheme="minorHAnsi"/>
          <w:b/>
          <w:bCs/>
          <w:color w:val="002060"/>
          <w:spacing w:val="-2"/>
          <w:szCs w:val="72"/>
          <w:lang w:val="sr-Cyrl-RS"/>
        </w:rPr>
        <w:t>„</w:t>
      </w:r>
      <w:r w:rsidRPr="00EA3D8C">
        <w:rPr>
          <w:b/>
          <w:color w:val="002060"/>
          <w:spacing w:val="-2"/>
          <w:lang w:val="sr-Cyrl-RS"/>
        </w:rPr>
        <w:t>бенчмаркˮ емисија на секундарном трговању</w:t>
      </w:r>
    </w:p>
    <w:p w14:paraId="5D10C6D1" w14:textId="77777777" w:rsidR="004478A8" w:rsidRPr="00EA3D8C" w:rsidRDefault="004478A8" w:rsidP="002E7E1E">
      <w:pPr>
        <w:spacing w:after="240"/>
        <w:jc w:val="center"/>
        <w:rPr>
          <w:b/>
          <w:lang w:val="sr-Cyrl-RS"/>
        </w:rPr>
      </w:pPr>
      <w:r w:rsidRPr="00EA3D8C">
        <w:rPr>
          <w:noProof/>
        </w:rPr>
        <w:drawing>
          <wp:inline distT="0" distB="0" distL="0" distR="0" wp14:anchorId="334F052C" wp14:editId="79862F44">
            <wp:extent cx="2757805" cy="1924050"/>
            <wp:effectExtent l="0" t="0" r="4445" b="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67A81BDC" w14:textId="77777777" w:rsidR="004478A8" w:rsidRPr="00EA3D8C" w:rsidRDefault="004478A8" w:rsidP="004478A8">
      <w:pPr>
        <w:spacing w:after="40"/>
        <w:jc w:val="center"/>
        <w:rPr>
          <w:b/>
          <w:color w:val="002060"/>
          <w:spacing w:val="-2"/>
          <w:lang w:val="sr-Cyrl-RS"/>
        </w:rPr>
      </w:pPr>
      <w:r w:rsidRPr="00EA3D8C">
        <w:rPr>
          <w:b/>
          <w:bCs/>
          <w:color w:val="002060"/>
          <w:lang w:val="sr-Cyrl-RS"/>
        </w:rPr>
        <w:t xml:space="preserve">Просечно време до доспећа (АТМ) државних хартија од вредности емитованих на домаћем финансијском тржишту у периоду </w:t>
      </w:r>
      <w:r w:rsidRPr="00EA3D8C">
        <w:rPr>
          <w:b/>
          <w:bCs/>
          <w:color w:val="002060"/>
          <w:lang w:val="sr-Cyrl-RS"/>
        </w:rPr>
        <w:br w:type="textWrapping" w:clear="all"/>
        <w:t>01. јануар 2016–</w:t>
      </w:r>
      <w:r w:rsidRPr="00EA3D8C">
        <w:rPr>
          <w:b/>
          <w:color w:val="002060"/>
          <w:spacing w:val="-2"/>
          <w:lang w:val="sr-Cyrl-RS"/>
        </w:rPr>
        <w:t>30. септембар 2020. године</w:t>
      </w:r>
    </w:p>
    <w:p w14:paraId="3741C241" w14:textId="77777777" w:rsidR="004478A8" w:rsidRPr="00EA3D8C" w:rsidRDefault="004478A8" w:rsidP="004478A8">
      <w:pPr>
        <w:spacing w:after="40"/>
        <w:jc w:val="center"/>
        <w:rPr>
          <w:b/>
          <w:bCs/>
          <w:color w:val="002060"/>
          <w:lang w:val="sr-Cyrl-RS"/>
        </w:rPr>
      </w:pPr>
      <w:r w:rsidRPr="00EA3D8C">
        <w:rPr>
          <w:noProof/>
        </w:rPr>
        <w:drawing>
          <wp:inline distT="0" distB="0" distL="0" distR="0" wp14:anchorId="2BD02C14" wp14:editId="32046D2C">
            <wp:extent cx="2867025" cy="2571750"/>
            <wp:effectExtent l="0" t="0" r="0" b="0"/>
            <wp:docPr id="92" name="Chart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14:paraId="70C610B3" w14:textId="3B7E2E00" w:rsidR="004478A8" w:rsidRPr="00EA3D8C" w:rsidRDefault="004478A8" w:rsidP="00E4657F">
      <w:pPr>
        <w:rPr>
          <w:b/>
          <w:color w:val="2F5496" w:themeColor="accent1" w:themeShade="BF"/>
          <w:sz w:val="22"/>
          <w:lang w:val="sr-Cyrl-RS"/>
        </w:rPr>
      </w:pPr>
      <w:r w:rsidRPr="00EA3D8C">
        <w:rPr>
          <w:b/>
          <w:color w:val="2F5496" w:themeColor="accent1" w:themeShade="BF"/>
          <w:sz w:val="22"/>
          <w:lang w:val="sr-Cyrl-RS"/>
        </w:rPr>
        <w:lastRenderedPageBreak/>
        <w:t>Мере за унапређење тржишта динарских хартија од вредности у периоду 2021–2023. године</w:t>
      </w:r>
    </w:p>
    <w:p w14:paraId="797BA21A" w14:textId="77777777" w:rsidR="004478A8" w:rsidRPr="00EA3D8C" w:rsidRDefault="004478A8" w:rsidP="004478A8">
      <w:pPr>
        <w:rPr>
          <w:rFonts w:cstheme="minorHAnsi"/>
          <w:bCs/>
          <w:szCs w:val="72"/>
          <w:lang w:val="sr-Cyrl-RS"/>
        </w:rPr>
      </w:pPr>
      <w:r w:rsidRPr="00EA3D8C">
        <w:rPr>
          <w:rFonts w:cstheme="minorHAnsi"/>
          <w:bCs/>
          <w:szCs w:val="72"/>
          <w:lang w:val="sr-Cyrl-RS"/>
        </w:rPr>
        <w:t>Тржиште државних хартија од вредности, у периоду од 2012. године до септембра 2020.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септембра 2020. године износило 91,1%.</w:t>
      </w:r>
    </w:p>
    <w:p w14:paraId="1706C20C" w14:textId="72B79934" w:rsidR="004478A8" w:rsidRPr="004065FD" w:rsidRDefault="004478A8" w:rsidP="004478A8">
      <w:pPr>
        <w:rPr>
          <w:rFonts w:cstheme="minorHAnsi"/>
          <w:bCs/>
          <w:spacing w:val="-2"/>
          <w:szCs w:val="72"/>
          <w:lang w:val="sr-Cyrl-RS"/>
        </w:rPr>
      </w:pPr>
      <w:r w:rsidRPr="004065FD">
        <w:rPr>
          <w:rFonts w:cstheme="minorHAnsi"/>
          <w:bCs/>
          <w:spacing w:val="-2"/>
          <w:szCs w:val="72"/>
          <w:lang w:val="sr-Cyrl-RS"/>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„бенчмаркˮ емисија током 2014. и 2015. године, са истом праксом је настављено током 2016. године. У фебруару и јулу 2016. године емитоване су „бенчмаркˮ трогодишња и седмогодишња обвезница обима емисије по 110,0 млрд динара. У априлу 2017. године емитована је трогодишња „бенчмаркˮ обвезница обима емисије у износу од 110,0 млрд динара. У јануару и фебруару 2018. године емитоване су „бенчмаркˮ петогодишња и десетогодишња обвезница обима емисије по 110,0 млрд динара.</w:t>
      </w:r>
      <w:r w:rsidRPr="004065FD">
        <w:rPr>
          <w:spacing w:val="-2"/>
          <w:lang w:val="sr-Cyrl-RS"/>
        </w:rPr>
        <w:t xml:space="preserve"> </w:t>
      </w:r>
      <w:r w:rsidRPr="004065FD">
        <w:rPr>
          <w:rFonts w:cstheme="minorHAnsi"/>
          <w:bCs/>
          <w:spacing w:val="-2"/>
          <w:szCs w:val="72"/>
          <w:lang w:val="sr-Cyrl-RS"/>
        </w:rPr>
        <w:t>У јануару 2019. године емитоване су „бенчмаркˮ трогодишња и седмогодишња обвезница обима емисије 100,0 и 150,0 млрд динара. У јануару и фебруару 2020. године по први пут су емитоване и петоипогодишње односно дванаестоипогодишње обвезнице са полугодишњим купоном.</w:t>
      </w:r>
    </w:p>
    <w:p w14:paraId="794F10E9" w14:textId="19A93A61" w:rsidR="004478A8" w:rsidRPr="004065FD" w:rsidRDefault="004478A8" w:rsidP="00E54821">
      <w:pPr>
        <w:rPr>
          <w:rFonts w:cstheme="minorHAnsi"/>
          <w:bCs/>
          <w:spacing w:val="-2"/>
          <w:szCs w:val="72"/>
          <w:lang w:val="sr-Latn-RS"/>
        </w:rPr>
      </w:pPr>
      <w:r w:rsidRPr="004065FD">
        <w:rPr>
          <w:rFonts w:cstheme="minorHAnsi"/>
          <w:bCs/>
          <w:spacing w:val="-2"/>
          <w:szCs w:val="72"/>
          <w:lang w:val="sr-Cyrl-RS"/>
        </w:rPr>
        <w:t xml:space="preserve">Овим емисијама знатно је повећан обим секундарног трговања ових инструмената што је </w:t>
      </w:r>
      <w:r w:rsidRPr="004065FD">
        <w:rPr>
          <w:rFonts w:cstheme="minorHAnsi"/>
          <w:bCs/>
          <w:spacing w:val="-2"/>
          <w:szCs w:val="72"/>
          <w:lang w:val="sr-Cyrl-RS"/>
        </w:rPr>
        <w:lastRenderedPageBreak/>
        <w:t>допринело и паду извршних стопа приноса на реотварањима поменутих емисија. „Бенчмаркˮ емисијама повећано је и учешће страних инвеститора у динарским хартијама од вредности, које је на крају септембра 2020. године износило 24,9</w:t>
      </w:r>
      <w:r w:rsidRPr="000D1073">
        <w:rPr>
          <w:rFonts w:cstheme="minorHAnsi"/>
          <w:bCs/>
          <w:spacing w:val="-2"/>
          <w:szCs w:val="72"/>
          <w:lang w:val="sr-Cyrl-RS"/>
        </w:rPr>
        <w:t xml:space="preserve">%. </w:t>
      </w:r>
      <w:r w:rsidR="00E54821" w:rsidRPr="000D1073">
        <w:rPr>
          <w:rFonts w:cstheme="minorHAnsi"/>
          <w:bCs/>
          <w:spacing w:val="-2"/>
          <w:szCs w:val="72"/>
          <w:lang w:val="sr-Cyrl-RS"/>
        </w:rPr>
        <w:t xml:space="preserve">Седмогодишња обвезница чији </w:t>
      </w:r>
      <w:r w:rsidR="008139CB" w:rsidRPr="000D1073">
        <w:rPr>
          <w:rFonts w:cstheme="minorHAnsi"/>
          <w:bCs/>
          <w:spacing w:val="-2"/>
          <w:szCs w:val="72"/>
          <w:lang w:val="sr-Cyrl-RS"/>
        </w:rPr>
        <w:t xml:space="preserve">је </w:t>
      </w:r>
      <w:r w:rsidR="00E54821" w:rsidRPr="000D1073">
        <w:rPr>
          <w:rFonts w:cstheme="minorHAnsi"/>
          <w:bCs/>
          <w:spacing w:val="-2"/>
          <w:szCs w:val="72"/>
          <w:lang w:val="sr-Cyrl-RS"/>
        </w:rPr>
        <w:t>развој и реализацију прати</w:t>
      </w:r>
      <w:r w:rsidR="008139CB" w:rsidRPr="000D1073">
        <w:rPr>
          <w:rFonts w:cstheme="minorHAnsi"/>
          <w:bCs/>
          <w:spacing w:val="-2"/>
          <w:szCs w:val="72"/>
          <w:lang w:val="sr-Cyrl-RS"/>
        </w:rPr>
        <w:t>о</w:t>
      </w:r>
      <w:r w:rsidR="00E54821" w:rsidRPr="000D1073">
        <w:rPr>
          <w:rFonts w:cstheme="minorHAnsi"/>
          <w:bCs/>
          <w:spacing w:val="-2"/>
          <w:szCs w:val="72"/>
          <w:lang w:val="sr-Cyrl-RS"/>
        </w:rPr>
        <w:t xml:space="preserve"> </w:t>
      </w:r>
      <w:r w:rsidR="00E54821" w:rsidRPr="000D1073">
        <w:rPr>
          <w:rFonts w:cstheme="minorHAnsi"/>
          <w:bCs/>
          <w:i/>
          <w:spacing w:val="-2"/>
          <w:szCs w:val="72"/>
          <w:lang w:val="en-GB"/>
        </w:rPr>
        <w:t>J.P. Morgan</w:t>
      </w:r>
      <w:r w:rsidR="00E54821" w:rsidRPr="000D1073">
        <w:rPr>
          <w:rFonts w:cstheme="minorHAnsi"/>
          <w:bCs/>
          <w:spacing w:val="-2"/>
          <w:szCs w:val="72"/>
          <w:lang w:val="sr-Cyrl-RS"/>
        </w:rPr>
        <w:t xml:space="preserve"> 2019. године</w:t>
      </w:r>
      <w:r w:rsidR="008139CB" w:rsidRPr="000D1073">
        <w:rPr>
          <w:rFonts w:cstheme="minorHAnsi"/>
          <w:bCs/>
          <w:spacing w:val="-2"/>
          <w:szCs w:val="72"/>
          <w:lang w:val="sr-Cyrl-RS"/>
        </w:rPr>
        <w:t>, стављена је на листу разматрања (</w:t>
      </w:r>
      <w:r w:rsidR="008139CB" w:rsidRPr="000D1073">
        <w:rPr>
          <w:rFonts w:cstheme="minorHAnsi"/>
          <w:bCs/>
          <w:i/>
          <w:spacing w:val="-2"/>
          <w:szCs w:val="72"/>
          <w:lang w:val="en-GB"/>
        </w:rPr>
        <w:t>Index Watch Positive</w:t>
      </w:r>
      <w:r w:rsidR="008139CB" w:rsidRPr="000D1073">
        <w:rPr>
          <w:rFonts w:cstheme="minorHAnsi"/>
          <w:bCs/>
          <w:spacing w:val="-2"/>
          <w:szCs w:val="72"/>
          <w:lang w:val="sr-Cyrl-RS"/>
        </w:rPr>
        <w:t>)</w:t>
      </w:r>
      <w:r w:rsidR="00E54821" w:rsidRPr="000D1073">
        <w:rPr>
          <w:rFonts w:cstheme="minorHAnsi"/>
          <w:bCs/>
          <w:spacing w:val="-2"/>
          <w:szCs w:val="72"/>
          <w:lang w:val="sr-Cyrl-RS"/>
        </w:rPr>
        <w:t xml:space="preserve"> </w:t>
      </w:r>
      <w:r w:rsidR="008139CB" w:rsidRPr="000D1073">
        <w:rPr>
          <w:rFonts w:cstheme="minorHAnsi"/>
          <w:bCs/>
          <w:spacing w:val="-2"/>
          <w:szCs w:val="72"/>
          <w:lang w:val="sr-Cyrl-RS"/>
        </w:rPr>
        <w:t xml:space="preserve">с позитивним изгледима за </w:t>
      </w:r>
      <w:r w:rsidR="00E54821" w:rsidRPr="000D1073">
        <w:rPr>
          <w:rFonts w:cstheme="minorHAnsi"/>
          <w:bCs/>
          <w:spacing w:val="-2"/>
          <w:szCs w:val="72"/>
          <w:lang w:val="sr-Cyrl-RS"/>
        </w:rPr>
        <w:t>укључ</w:t>
      </w:r>
      <w:r w:rsidR="008139CB" w:rsidRPr="000D1073">
        <w:rPr>
          <w:rFonts w:cstheme="minorHAnsi"/>
          <w:bCs/>
          <w:spacing w:val="-2"/>
          <w:szCs w:val="72"/>
          <w:lang w:val="sr-Cyrl-RS"/>
        </w:rPr>
        <w:t>ивање у</w:t>
      </w:r>
      <w:r w:rsidR="00E54821" w:rsidRPr="000D1073">
        <w:rPr>
          <w:rFonts w:cstheme="minorHAnsi"/>
          <w:bCs/>
          <w:spacing w:val="-2"/>
          <w:szCs w:val="72"/>
          <w:lang w:val="sr-Cyrl-RS"/>
        </w:rPr>
        <w:t xml:space="preserve"> </w:t>
      </w:r>
      <w:r w:rsidR="008139CB" w:rsidRPr="000D1073">
        <w:rPr>
          <w:rFonts w:cstheme="minorHAnsi"/>
          <w:bCs/>
          <w:i/>
          <w:spacing w:val="-2"/>
          <w:szCs w:val="72"/>
          <w:lang w:val="en-GB"/>
        </w:rPr>
        <w:t>J.P. Morgan GBI-EM</w:t>
      </w:r>
      <w:r w:rsidR="008139CB" w:rsidRPr="000D1073">
        <w:rPr>
          <w:rFonts w:cstheme="minorHAnsi"/>
          <w:bCs/>
          <w:spacing w:val="-2"/>
          <w:szCs w:val="72"/>
          <w:lang w:val="sr-Cyrl-RS"/>
        </w:rPr>
        <w:t xml:space="preserve"> индекс</w:t>
      </w:r>
      <w:r w:rsidRPr="000D1073">
        <w:rPr>
          <w:rFonts w:cstheme="minorHAnsi"/>
          <w:bCs/>
          <w:spacing w:val="-2"/>
          <w:szCs w:val="72"/>
          <w:lang w:val="sr-Cyrl-RS"/>
        </w:rPr>
        <w:t>.</w:t>
      </w:r>
    </w:p>
    <w:p w14:paraId="6948B094" w14:textId="77777777" w:rsidR="004478A8" w:rsidRPr="00EA3D8C" w:rsidRDefault="004478A8" w:rsidP="004478A8">
      <w:pPr>
        <w:rPr>
          <w:rFonts w:cstheme="minorHAnsi"/>
          <w:bCs/>
          <w:szCs w:val="72"/>
          <w:lang w:val="sr-Cyrl-RS"/>
        </w:rPr>
      </w:pPr>
      <w:r w:rsidRPr="00EA3D8C">
        <w:rPr>
          <w:rFonts w:cstheme="minorHAnsi"/>
          <w:bCs/>
          <w:szCs w:val="72"/>
          <w:lang w:val="sr-Cyrl-RS"/>
        </w:rPr>
        <w:t>У циљу даљег развоја секундарног тржишта државних хартија од вредности од 12. новембра 2015. године омогућено је трговање дугорочним државним хартијама од вредности на Београдској берзи. У периоду за који се доноси ова Стратегија очекује се унапређење ефикасности примарног тржишта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пружа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„бенчмаркˮ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24AB1A60" w14:textId="77777777" w:rsidR="004478A8" w:rsidRPr="00EA3D8C" w:rsidRDefault="004478A8" w:rsidP="004478A8">
      <w:pPr>
        <w:rPr>
          <w:rFonts w:cstheme="minorHAnsi"/>
          <w:bCs/>
          <w:szCs w:val="72"/>
          <w:lang w:val="sr-Cyrl-RS"/>
        </w:rPr>
      </w:pPr>
      <w:r w:rsidRPr="00EA3D8C">
        <w:rPr>
          <w:rFonts w:cstheme="minorHAnsi"/>
          <w:bCs/>
          <w:szCs w:val="72"/>
          <w:lang w:val="sr-Cyrl-R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531F8AF9" w14:textId="37A6A652" w:rsidR="004478A8" w:rsidRPr="00EA3D8C" w:rsidRDefault="004478A8" w:rsidP="004478A8">
      <w:pPr>
        <w:spacing w:after="120"/>
        <w:rPr>
          <w:rFonts w:cstheme="minorHAnsi"/>
          <w:bCs/>
          <w:szCs w:val="72"/>
          <w:lang w:val="sr-Cyrl-RS"/>
        </w:rPr>
      </w:pPr>
      <w:r w:rsidRPr="00EA3D8C">
        <w:rPr>
          <w:rFonts w:cstheme="minorHAnsi"/>
          <w:bCs/>
          <w:szCs w:val="72"/>
          <w:lang w:val="sr-Cyrl-RS"/>
        </w:rPr>
        <w:t xml:space="preserve">На крају 2012. године просечна рочност динарских хартија од вредности износила je 394 дана (1,1 годину), на крају 2013. године 469 дана (1,3 године), на крају 2014. године 645 дана (1,8 годину), на крају 2015. године 749 дана (2,1 </w:t>
      </w:r>
      <w:r w:rsidRPr="00EA3D8C">
        <w:rPr>
          <w:rFonts w:cstheme="minorHAnsi"/>
          <w:bCs/>
          <w:szCs w:val="72"/>
          <w:lang w:val="sr-Cyrl-RS"/>
        </w:rPr>
        <w:lastRenderedPageBreak/>
        <w:t>годину), на крају 2016. године 789 дана (2,2 године), на крају 2017. године 864 дана (2,4 године), на крају 2018. године 1.188 дана (3,3 године), на крају 2019. године 1.403 дана (3,8 година), а на крају септембра 2020. године 1.365 дана (3,7 година). Развој домаћег тржишта државних хартија од вредности биће од стране Републике Србије потпомогнут следећим мерама:</w:t>
      </w:r>
    </w:p>
    <w:p w14:paraId="7C2351D6" w14:textId="5DF85E5E" w:rsidR="004478A8" w:rsidRPr="000D1073" w:rsidRDefault="002B161B" w:rsidP="004478A8">
      <w:pPr>
        <w:numPr>
          <w:ilvl w:val="0"/>
          <w:numId w:val="32"/>
        </w:numPr>
        <w:spacing w:after="60"/>
        <w:ind w:left="0" w:hanging="142"/>
        <w:rPr>
          <w:rFonts w:cstheme="minorHAnsi"/>
          <w:bCs/>
          <w:szCs w:val="72"/>
          <w:lang w:val="sr-Cyrl-RS"/>
        </w:rPr>
      </w:pPr>
      <w:r w:rsidRPr="000D1073">
        <w:rPr>
          <w:rFonts w:cstheme="minorHAnsi"/>
          <w:bCs/>
          <w:szCs w:val="72"/>
          <w:lang w:val="sr-Cyrl-RS"/>
        </w:rPr>
        <w:t xml:space="preserve">Стављање </w:t>
      </w:r>
      <w:r w:rsidR="004478A8" w:rsidRPr="000D1073">
        <w:rPr>
          <w:rFonts w:cstheme="minorHAnsi"/>
          <w:bCs/>
          <w:szCs w:val="72"/>
          <w:lang w:val="sr-Cyrl-RS"/>
        </w:rPr>
        <w:t xml:space="preserve">обвезница Републике Србије </w:t>
      </w:r>
      <w:r w:rsidRPr="000D1073">
        <w:rPr>
          <w:rFonts w:cstheme="minorHAnsi"/>
          <w:bCs/>
          <w:szCs w:val="72"/>
          <w:lang w:val="sr-Cyrl-RS"/>
        </w:rPr>
        <w:t xml:space="preserve">на листу разматрања с позитивним изгледима за укључивање </w:t>
      </w:r>
      <w:r w:rsidR="004478A8" w:rsidRPr="000D1073">
        <w:rPr>
          <w:rFonts w:cstheme="minorHAnsi"/>
          <w:bCs/>
          <w:szCs w:val="72"/>
          <w:lang w:val="sr-Cyrl-RS"/>
        </w:rPr>
        <w:t>у глобални индекс значајно је повећало базу инвеститора и поспешило секундарно трговање, што је допринело даљем смањењу трошкова задуживања путем емисија динарских државних хартија од вредности;</w:t>
      </w:r>
    </w:p>
    <w:p w14:paraId="720787B5" w14:textId="77777777" w:rsidR="004478A8" w:rsidRPr="00EA3D8C" w:rsidRDefault="004478A8" w:rsidP="004478A8">
      <w:pPr>
        <w:numPr>
          <w:ilvl w:val="0"/>
          <w:numId w:val="32"/>
        </w:numPr>
        <w:spacing w:after="60"/>
        <w:ind w:left="0" w:hanging="142"/>
        <w:rPr>
          <w:rFonts w:cstheme="minorHAnsi"/>
          <w:bCs/>
          <w:szCs w:val="72"/>
          <w:lang w:val="sr-Cyrl-RS"/>
        </w:rPr>
      </w:pPr>
      <w:r w:rsidRPr="00EA3D8C">
        <w:rPr>
          <w:rFonts w:cstheme="minorHAnsi"/>
          <w:bCs/>
          <w:szCs w:val="72"/>
          <w:lang w:val="sr-Cyrl-R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 У току су припреме правних и техничких оквира да се омогући клиринг и салдирање трансакција са домаћим хартијама од вредности преко међународног клиринг система;</w:t>
      </w:r>
    </w:p>
    <w:p w14:paraId="25EE2C75" w14:textId="77777777" w:rsidR="004478A8" w:rsidRPr="00EA3D8C" w:rsidRDefault="004478A8" w:rsidP="004478A8">
      <w:pPr>
        <w:numPr>
          <w:ilvl w:val="0"/>
          <w:numId w:val="32"/>
        </w:numPr>
        <w:spacing w:after="60"/>
        <w:ind w:left="0" w:hanging="142"/>
        <w:rPr>
          <w:rFonts w:cstheme="minorHAnsi"/>
          <w:bCs/>
          <w:spacing w:val="-2"/>
          <w:szCs w:val="72"/>
          <w:lang w:val="sr-Cyrl-RS"/>
        </w:rPr>
      </w:pPr>
      <w:r w:rsidRPr="00EA3D8C">
        <w:rPr>
          <w:rFonts w:cstheme="minorHAnsi"/>
          <w:bCs/>
          <w:spacing w:val="-2"/>
          <w:szCs w:val="72"/>
          <w:lang w:val="sr-Cyrl-RS"/>
        </w:rPr>
        <w:t>У наредном периоду радиће се активно на увођењу система примарних дилера. Наиме, Законом о изменама и допунама Закона о јавном дугу из децембра 2018. године, предвиђено је увођење примарних дилера на домаће тржиште капитала као подстицај ликвидности секундарног тржишта државних хартија од вредности и смањење ризика рефинансирања дуга. Наведеним изменама Закона предвиђа се и пословање финансијским дериватима којим би се обављале трансакције ради управљања ризиком, укључујући и смањивање или елиминисање ризика од промене курса, каматних стопа као и других ризика.</w:t>
      </w:r>
    </w:p>
    <w:p w14:paraId="3D2C482A" w14:textId="42F31E41" w:rsidR="004478A8" w:rsidRPr="00EA3D8C" w:rsidRDefault="004478A8" w:rsidP="004478A8">
      <w:pPr>
        <w:numPr>
          <w:ilvl w:val="0"/>
          <w:numId w:val="32"/>
        </w:numPr>
        <w:spacing w:after="60"/>
        <w:ind w:left="0" w:hanging="142"/>
        <w:rPr>
          <w:rFonts w:cstheme="minorHAnsi"/>
          <w:bCs/>
          <w:spacing w:val="-2"/>
          <w:szCs w:val="72"/>
          <w:lang w:val="sr-Cyrl-RS"/>
        </w:rPr>
      </w:pPr>
      <w:r w:rsidRPr="00EA3D8C">
        <w:rPr>
          <w:rFonts w:cstheme="minorHAnsi"/>
          <w:bCs/>
          <w:spacing w:val="-2"/>
          <w:szCs w:val="72"/>
          <w:lang w:val="sr-Cyrl-RS"/>
        </w:rPr>
        <w:t>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регистара врши и друго страно правно лице које обавља послове клиринга и салдирања.</w:t>
      </w:r>
    </w:p>
    <w:p w14:paraId="66D94DEB" w14:textId="77777777" w:rsidR="004478A8" w:rsidRPr="00EA3D8C" w:rsidRDefault="004478A8" w:rsidP="00E4657F">
      <w:pPr>
        <w:spacing w:after="60"/>
        <w:rPr>
          <w:rFonts w:cstheme="minorHAnsi"/>
          <w:bCs/>
          <w:spacing w:val="-2"/>
          <w:szCs w:val="72"/>
          <w:lang w:val="sr-Cyrl-RS"/>
        </w:rPr>
        <w:sectPr w:rsidR="004478A8" w:rsidRPr="00EA3D8C" w:rsidSect="00AE40EB">
          <w:type w:val="continuous"/>
          <w:pgSz w:w="12240" w:h="15840" w:code="1"/>
          <w:pgMar w:top="1418" w:right="1418" w:bottom="1418" w:left="1418" w:header="720" w:footer="720" w:gutter="0"/>
          <w:cols w:num="2" w:space="720"/>
          <w:docGrid w:linePitch="272"/>
        </w:sectPr>
      </w:pPr>
    </w:p>
    <w:p w14:paraId="398F2855" w14:textId="77777777" w:rsidR="004478A8" w:rsidRPr="00EA3D8C" w:rsidRDefault="004478A8" w:rsidP="004478A8">
      <w:pPr>
        <w:spacing w:after="60"/>
        <w:rPr>
          <w:sz w:val="14"/>
          <w:szCs w:val="26"/>
          <w:lang w:val="sr-Cyrl-RS"/>
        </w:rPr>
      </w:pPr>
    </w:p>
    <w:p w14:paraId="493388C5" w14:textId="77777777" w:rsidR="004044DC" w:rsidRPr="00EA3D8C" w:rsidRDefault="004044DC" w:rsidP="00E4657F">
      <w:pPr>
        <w:spacing w:after="60"/>
        <w:rPr>
          <w:rFonts w:cstheme="minorHAnsi"/>
          <w:bCs/>
          <w:spacing w:val="-2"/>
          <w:szCs w:val="72"/>
          <w:lang w:val="sr-Cyrl-RS"/>
        </w:rPr>
      </w:pPr>
    </w:p>
    <w:p w14:paraId="32925290" w14:textId="77777777" w:rsidR="00427829" w:rsidRPr="00EA3D8C" w:rsidRDefault="00427829" w:rsidP="00E4657F">
      <w:pPr>
        <w:spacing w:after="60"/>
        <w:rPr>
          <w:rFonts w:cstheme="minorHAnsi"/>
          <w:bCs/>
          <w:spacing w:val="-2"/>
          <w:szCs w:val="72"/>
          <w:lang w:val="sr-Cyrl-RS"/>
        </w:rPr>
      </w:pPr>
    </w:p>
    <w:p w14:paraId="7C7CD010" w14:textId="77777777" w:rsidR="00427829" w:rsidRPr="00EA3D8C" w:rsidRDefault="00427829" w:rsidP="00427829">
      <w:pPr>
        <w:keepNext/>
        <w:keepLines/>
        <w:spacing w:after="0" w:line="240" w:lineRule="auto"/>
        <w:jc w:val="center"/>
        <w:outlineLvl w:val="0"/>
        <w:rPr>
          <w:rFonts w:cstheme="minorHAnsi"/>
          <w:bCs/>
          <w:color w:val="2F5496" w:themeColor="accent1" w:themeShade="BF"/>
          <w:szCs w:val="72"/>
          <w:lang w:val="sr-Cyrl-RS"/>
        </w:rPr>
      </w:pPr>
      <w:bookmarkStart w:id="41" w:name="_Toc529801854"/>
      <w:bookmarkStart w:id="42" w:name="_Toc56667083"/>
      <w:r w:rsidRPr="00EA3D8C">
        <w:rPr>
          <w:rFonts w:eastAsiaTheme="majorEastAsia" w:cstheme="minorHAnsi"/>
          <w:b/>
          <w:color w:val="2F5496" w:themeColor="accent1" w:themeShade="BF"/>
          <w:sz w:val="26"/>
          <w:szCs w:val="26"/>
          <w:lang w:val="sr-Cyrl-RS"/>
        </w:rPr>
        <w:t>IV. ЗАВРШНЕ ОДРЕДБЕ</w:t>
      </w:r>
      <w:bookmarkEnd w:id="41"/>
      <w:bookmarkEnd w:id="42"/>
    </w:p>
    <w:p w14:paraId="5B46E109" w14:textId="7C0B721F" w:rsidR="00427829" w:rsidRPr="00EA3D8C" w:rsidRDefault="00427829" w:rsidP="00427829">
      <w:pPr>
        <w:rPr>
          <w:lang w:val="sr-Cyrl-RS"/>
        </w:rPr>
      </w:pPr>
    </w:p>
    <w:p w14:paraId="5E261BE7" w14:textId="77777777" w:rsidR="00427829" w:rsidRPr="00EA3D8C" w:rsidRDefault="00427829" w:rsidP="00427829">
      <w:pPr>
        <w:rPr>
          <w:lang w:val="sr-Cyrl-RS"/>
        </w:rPr>
      </w:pPr>
    </w:p>
    <w:p w14:paraId="4933ED69" w14:textId="757D4F2C" w:rsidR="00427829" w:rsidRPr="00EA3D8C" w:rsidRDefault="00427829" w:rsidP="00427829">
      <w:pPr>
        <w:spacing w:after="80"/>
        <w:ind w:firstLine="720"/>
        <w:rPr>
          <w:rFonts w:cstheme="minorHAnsi"/>
          <w:bCs/>
          <w:szCs w:val="72"/>
          <w:lang w:val="sr-Cyrl-RS"/>
        </w:rPr>
      </w:pPr>
      <w:r w:rsidRPr="00EA3D8C">
        <w:rPr>
          <w:rFonts w:cstheme="minorHAnsi"/>
          <w:bCs/>
          <w:szCs w:val="72"/>
          <w:lang w:val="sr-Cyrl-RS"/>
        </w:rPr>
        <w:t xml:space="preserve">Саставни део ове </w:t>
      </w:r>
      <w:r w:rsidR="0078423E">
        <w:rPr>
          <w:rFonts w:cstheme="minorHAnsi"/>
          <w:bCs/>
          <w:szCs w:val="72"/>
          <w:lang w:val="sr-Cyrl-RS"/>
        </w:rPr>
        <w:t>ф</w:t>
      </w:r>
      <w:r w:rsidRPr="00EA3D8C">
        <w:rPr>
          <w:rFonts w:cstheme="minorHAnsi"/>
          <w:bCs/>
          <w:szCs w:val="72"/>
          <w:lang w:val="sr-Cyrl-RS"/>
        </w:rPr>
        <w:t>искалне стратегије чине Прилог 1</w:t>
      </w:r>
      <w:r w:rsidR="00D505DF">
        <w:rPr>
          <w:rFonts w:cstheme="minorHAnsi"/>
          <w:bCs/>
          <w:szCs w:val="72"/>
          <w:lang w:val="sr-Cyrl-RS"/>
        </w:rPr>
        <w:t xml:space="preserve"> </w:t>
      </w:r>
      <w:r w:rsidRPr="00EA3D8C">
        <w:rPr>
          <w:rFonts w:cstheme="minorHAnsi"/>
          <w:bCs/>
          <w:szCs w:val="72"/>
          <w:lang w:val="sr-Cyrl-RS"/>
        </w:rPr>
        <w:t>– Пројекција основних макроекономских индикатора</w:t>
      </w:r>
      <w:r w:rsidR="00D01F64">
        <w:rPr>
          <w:rFonts w:cstheme="minorHAnsi"/>
          <w:bCs/>
          <w:szCs w:val="72"/>
          <w:lang w:val="en-GB"/>
        </w:rPr>
        <w:t>,</w:t>
      </w:r>
      <w:r w:rsidRPr="00EA3D8C">
        <w:rPr>
          <w:rFonts w:cstheme="minorHAnsi"/>
          <w:bCs/>
          <w:szCs w:val="72"/>
          <w:lang w:val="sr-Cyrl-RS"/>
        </w:rPr>
        <w:t xml:space="preserve"> Прилог 2 – Фискални оквир опште државе у 202</w:t>
      </w:r>
      <w:r w:rsidR="00921E8D" w:rsidRPr="00EA3D8C">
        <w:rPr>
          <w:rFonts w:cstheme="minorHAnsi"/>
          <w:bCs/>
          <w:szCs w:val="72"/>
          <w:lang w:val="sr-Cyrl-RS"/>
        </w:rPr>
        <w:t>1</w:t>
      </w:r>
      <w:r w:rsidRPr="00EA3D8C">
        <w:rPr>
          <w:rFonts w:cstheme="minorHAnsi"/>
          <w:bCs/>
          <w:szCs w:val="72"/>
          <w:lang w:val="sr-Cyrl-RS"/>
        </w:rPr>
        <w:t>. год</w:t>
      </w:r>
      <w:r w:rsidR="00776442" w:rsidRPr="00EA3D8C">
        <w:rPr>
          <w:rFonts w:cstheme="minorHAnsi"/>
          <w:bCs/>
          <w:szCs w:val="72"/>
          <w:lang w:val="sr-Cyrl-RS"/>
        </w:rPr>
        <w:t>ини</w:t>
      </w:r>
      <w:r w:rsidR="00D01F64">
        <w:rPr>
          <w:rFonts w:cstheme="minorHAnsi"/>
          <w:bCs/>
          <w:szCs w:val="72"/>
          <w:lang w:val="sr-Cyrl-RS"/>
        </w:rPr>
        <w:t xml:space="preserve"> и Прилог 3 – </w:t>
      </w:r>
      <w:r w:rsidR="00D01F64" w:rsidRPr="00D01F64">
        <w:rPr>
          <w:rFonts w:cstheme="minorHAnsi"/>
          <w:bCs/>
          <w:szCs w:val="72"/>
          <w:lang w:val="sr-Cyrl-RS"/>
        </w:rPr>
        <w:t>Изјашњење на оцену Фискалног савета</w:t>
      </w:r>
      <w:r w:rsidR="00776442" w:rsidRPr="00EA3D8C">
        <w:rPr>
          <w:rFonts w:cstheme="minorHAnsi"/>
          <w:bCs/>
          <w:szCs w:val="72"/>
          <w:lang w:val="sr-Cyrl-RS"/>
        </w:rPr>
        <w:t>, који</w:t>
      </w:r>
      <w:r w:rsidR="005A184B">
        <w:rPr>
          <w:rFonts w:cstheme="minorHAnsi"/>
          <w:bCs/>
          <w:szCs w:val="72"/>
        </w:rPr>
        <w:t xml:space="preserve"> </w:t>
      </w:r>
      <w:r w:rsidR="005A184B">
        <w:rPr>
          <w:rFonts w:cstheme="minorHAnsi"/>
          <w:bCs/>
          <w:szCs w:val="72"/>
          <w:lang w:val="sr-Cyrl-RS"/>
        </w:rPr>
        <w:t>су</w:t>
      </w:r>
      <w:r w:rsidR="00776442" w:rsidRPr="00EA3D8C">
        <w:rPr>
          <w:rFonts w:cstheme="minorHAnsi"/>
          <w:bCs/>
          <w:szCs w:val="72"/>
          <w:lang w:val="sr-Cyrl-RS"/>
        </w:rPr>
        <w:t xml:space="preserve"> одштампан</w:t>
      </w:r>
      <w:r w:rsidR="005A184B">
        <w:rPr>
          <w:rFonts w:cstheme="minorHAnsi"/>
          <w:bCs/>
          <w:szCs w:val="72"/>
          <w:lang w:val="sr-Cyrl-RS"/>
        </w:rPr>
        <w:t>и</w:t>
      </w:r>
      <w:r w:rsidR="0078423E">
        <w:rPr>
          <w:rFonts w:cstheme="minorHAnsi"/>
          <w:bCs/>
          <w:szCs w:val="72"/>
          <w:lang w:val="sr-Cyrl-RS"/>
        </w:rPr>
        <w:t xml:space="preserve"> уз ову ф</w:t>
      </w:r>
      <w:r w:rsidRPr="00EA3D8C">
        <w:rPr>
          <w:rFonts w:cstheme="minorHAnsi"/>
          <w:bCs/>
          <w:szCs w:val="72"/>
          <w:lang w:val="sr-Cyrl-RS"/>
        </w:rPr>
        <w:t>искалну стратегију.</w:t>
      </w:r>
    </w:p>
    <w:p w14:paraId="6827B87F" w14:textId="799DAB09" w:rsidR="00427829" w:rsidRPr="00EA3D8C" w:rsidRDefault="0078423E" w:rsidP="00427829">
      <w:pPr>
        <w:spacing w:after="80"/>
        <w:ind w:firstLine="720"/>
        <w:rPr>
          <w:rFonts w:cstheme="minorHAnsi"/>
          <w:bCs/>
          <w:szCs w:val="72"/>
          <w:lang w:val="sr-Cyrl-RS"/>
        </w:rPr>
      </w:pPr>
      <w:r>
        <w:rPr>
          <w:rFonts w:cstheme="minorHAnsi"/>
          <w:bCs/>
          <w:szCs w:val="72"/>
          <w:lang w:val="sr-Cyrl-RS"/>
        </w:rPr>
        <w:t>Ову ф</w:t>
      </w:r>
      <w:r w:rsidR="00427829" w:rsidRPr="00EA3D8C">
        <w:rPr>
          <w:rFonts w:cstheme="minorHAnsi"/>
          <w:bCs/>
          <w:szCs w:val="72"/>
          <w:lang w:val="sr-Cyrl-RS"/>
        </w:rPr>
        <w:t>искалну страт</w:t>
      </w:r>
      <w:r w:rsidR="00776442" w:rsidRPr="00EA3D8C">
        <w:rPr>
          <w:rFonts w:cstheme="minorHAnsi"/>
          <w:bCs/>
          <w:szCs w:val="72"/>
          <w:lang w:val="sr-Cyrl-RS"/>
        </w:rPr>
        <w:t xml:space="preserve">егију доставити </w:t>
      </w:r>
      <w:r w:rsidR="00A940CE" w:rsidRPr="00EA3D8C">
        <w:rPr>
          <w:lang w:val="sr-Cyrl-RS"/>
        </w:rPr>
        <w:t xml:space="preserve">одбору Народне скупштине надлежном за финансије, републички буџет и контролу трошења јавних средстава </w:t>
      </w:r>
      <w:r w:rsidR="00427829" w:rsidRPr="00EA3D8C">
        <w:rPr>
          <w:rFonts w:cstheme="minorHAnsi"/>
          <w:bCs/>
          <w:szCs w:val="72"/>
          <w:lang w:val="sr-Cyrl-RS"/>
        </w:rPr>
        <w:t>и Министарству финансија.</w:t>
      </w:r>
    </w:p>
    <w:p w14:paraId="56DDDACB" w14:textId="2E598247" w:rsidR="00427829" w:rsidRPr="00EA3D8C" w:rsidRDefault="0078423E" w:rsidP="00427829">
      <w:pPr>
        <w:spacing w:after="0"/>
        <w:ind w:firstLine="720"/>
        <w:rPr>
          <w:rFonts w:cstheme="minorHAnsi"/>
          <w:bCs/>
          <w:szCs w:val="72"/>
          <w:lang w:val="sr-Cyrl-RS"/>
        </w:rPr>
      </w:pPr>
      <w:r>
        <w:rPr>
          <w:rFonts w:cstheme="minorHAnsi"/>
          <w:bCs/>
          <w:szCs w:val="72"/>
          <w:lang w:val="sr-Cyrl-RS"/>
        </w:rPr>
        <w:t>Ову ф</w:t>
      </w:r>
      <w:r w:rsidR="00427829" w:rsidRPr="00EA3D8C">
        <w:rPr>
          <w:rFonts w:cstheme="minorHAnsi"/>
          <w:bCs/>
          <w:szCs w:val="72"/>
          <w:lang w:val="sr-Cyrl-RS"/>
        </w:rPr>
        <w:t>искалну стратегију објавити у „Службеном гласнику Републике Србије” и на интернет страници Министарства финансија.</w:t>
      </w:r>
    </w:p>
    <w:p w14:paraId="181F84DA" w14:textId="77777777" w:rsidR="00427829" w:rsidRPr="00EA3D8C" w:rsidRDefault="00427829" w:rsidP="00427829">
      <w:pPr>
        <w:spacing w:after="0"/>
        <w:jc w:val="right"/>
        <w:rPr>
          <w:rFonts w:cstheme="minorHAnsi"/>
          <w:bCs/>
          <w:szCs w:val="72"/>
          <w:lang w:val="sr-Cyrl-RS"/>
        </w:rPr>
      </w:pPr>
    </w:p>
    <w:p w14:paraId="0C385047" w14:textId="77777777" w:rsidR="00427829" w:rsidRPr="00EA3D8C" w:rsidRDefault="00427829" w:rsidP="00427829">
      <w:pPr>
        <w:spacing w:after="0"/>
        <w:jc w:val="right"/>
        <w:rPr>
          <w:rFonts w:cstheme="minorHAnsi"/>
          <w:bCs/>
          <w:szCs w:val="72"/>
          <w:lang w:val="sr-Cyrl-RS"/>
        </w:rPr>
      </w:pPr>
    </w:p>
    <w:p w14:paraId="676C664B" w14:textId="71A251BC" w:rsidR="00427829" w:rsidRPr="009A0267" w:rsidRDefault="00427829" w:rsidP="00776442">
      <w:pPr>
        <w:spacing w:after="0"/>
        <w:rPr>
          <w:rFonts w:cstheme="minorHAnsi"/>
          <w:bCs/>
          <w:szCs w:val="72"/>
        </w:rPr>
      </w:pPr>
      <w:r w:rsidRPr="00EA3D8C">
        <w:rPr>
          <w:rFonts w:cstheme="minorHAnsi"/>
          <w:bCs/>
          <w:szCs w:val="72"/>
          <w:lang w:val="sr-Cyrl-RS"/>
        </w:rPr>
        <w:t>05 Број:</w:t>
      </w:r>
      <w:r w:rsidR="009A0267">
        <w:rPr>
          <w:rFonts w:cstheme="minorHAnsi"/>
          <w:bCs/>
          <w:szCs w:val="72"/>
        </w:rPr>
        <w:t xml:space="preserve"> 400-9123/2020-1</w:t>
      </w:r>
    </w:p>
    <w:p w14:paraId="449D356B" w14:textId="0E8296DA" w:rsidR="00427829" w:rsidRPr="00EA3D8C" w:rsidRDefault="00776442" w:rsidP="00776442">
      <w:pPr>
        <w:spacing w:after="0"/>
        <w:rPr>
          <w:rFonts w:cstheme="minorHAnsi"/>
          <w:bCs/>
          <w:szCs w:val="72"/>
          <w:lang w:val="sr-Cyrl-RS"/>
        </w:rPr>
      </w:pPr>
      <w:r w:rsidRPr="00EA3D8C">
        <w:rPr>
          <w:rFonts w:cstheme="minorHAnsi"/>
          <w:bCs/>
          <w:szCs w:val="72"/>
          <w:lang w:val="sr-Cyrl-RS"/>
        </w:rPr>
        <w:t xml:space="preserve">У Београду, </w:t>
      </w:r>
      <w:r w:rsidR="0078423E">
        <w:rPr>
          <w:rFonts w:cstheme="minorHAnsi"/>
          <w:bCs/>
          <w:szCs w:val="72"/>
          <w:lang w:val="sr-Cyrl-RS"/>
        </w:rPr>
        <w:t xml:space="preserve">20. новембра </w:t>
      </w:r>
      <w:r w:rsidR="00427829" w:rsidRPr="00EA3D8C">
        <w:rPr>
          <w:rFonts w:cstheme="minorHAnsi"/>
          <w:bCs/>
          <w:szCs w:val="72"/>
          <w:lang w:val="sr-Cyrl-RS"/>
        </w:rPr>
        <w:t>20</w:t>
      </w:r>
      <w:r w:rsidR="00921E8D" w:rsidRPr="00EA3D8C">
        <w:rPr>
          <w:rFonts w:cstheme="minorHAnsi"/>
          <w:bCs/>
          <w:szCs w:val="72"/>
          <w:lang w:val="sr-Cyrl-RS"/>
        </w:rPr>
        <w:t>20</w:t>
      </w:r>
      <w:r w:rsidR="00427829" w:rsidRPr="00EA3D8C">
        <w:rPr>
          <w:rFonts w:cstheme="minorHAnsi"/>
          <w:bCs/>
          <w:szCs w:val="72"/>
          <w:lang w:val="sr-Cyrl-RS"/>
        </w:rPr>
        <w:t>. године</w:t>
      </w:r>
    </w:p>
    <w:p w14:paraId="5E173278" w14:textId="77777777" w:rsidR="00427829" w:rsidRPr="00EA3D8C" w:rsidRDefault="00427829" w:rsidP="00427829">
      <w:pPr>
        <w:spacing w:after="0"/>
        <w:jc w:val="right"/>
        <w:rPr>
          <w:rFonts w:cstheme="minorHAnsi"/>
          <w:bCs/>
          <w:szCs w:val="72"/>
          <w:lang w:val="sr-Cyrl-RS"/>
        </w:rPr>
      </w:pPr>
    </w:p>
    <w:p w14:paraId="3AF81550" w14:textId="77777777" w:rsidR="00427829" w:rsidRPr="00EA3D8C" w:rsidRDefault="00427829" w:rsidP="0001068B">
      <w:pPr>
        <w:spacing w:after="0"/>
        <w:jc w:val="center"/>
        <w:rPr>
          <w:rFonts w:cstheme="minorHAnsi"/>
          <w:bCs/>
          <w:szCs w:val="72"/>
          <w:lang w:val="sr-Cyrl-RS"/>
        </w:rPr>
      </w:pPr>
      <w:r w:rsidRPr="00EA3D8C">
        <w:rPr>
          <w:rFonts w:cstheme="minorHAnsi"/>
          <w:bCs/>
          <w:szCs w:val="72"/>
          <w:lang w:val="sr-Cyrl-RS"/>
        </w:rPr>
        <w:t>В Л А Д А</w:t>
      </w:r>
    </w:p>
    <w:p w14:paraId="5A56713B" w14:textId="77777777" w:rsidR="00427829" w:rsidRPr="00EA3D8C" w:rsidRDefault="00427829" w:rsidP="00427829">
      <w:pPr>
        <w:spacing w:after="0"/>
        <w:jc w:val="right"/>
        <w:rPr>
          <w:rFonts w:cstheme="minorHAnsi"/>
          <w:bCs/>
          <w:szCs w:val="72"/>
          <w:lang w:val="sr-Cyrl-RS"/>
        </w:rPr>
      </w:pPr>
    </w:p>
    <w:p w14:paraId="4142D61A" w14:textId="78A8A2C1" w:rsidR="00427829" w:rsidRPr="00EA3D8C" w:rsidRDefault="00427829" w:rsidP="00427829">
      <w:pPr>
        <w:spacing w:after="0"/>
        <w:jc w:val="right"/>
        <w:rPr>
          <w:rFonts w:cstheme="minorHAnsi"/>
          <w:bCs/>
          <w:szCs w:val="72"/>
          <w:lang w:val="sr-Cyrl-RS"/>
        </w:rPr>
      </w:pPr>
      <w:r w:rsidRPr="00EA3D8C">
        <w:rPr>
          <w:rFonts w:cstheme="minorHAnsi"/>
          <w:bCs/>
          <w:szCs w:val="72"/>
          <w:lang w:val="sr-Cyrl-RS"/>
        </w:rPr>
        <w:t xml:space="preserve">                                                                        </w:t>
      </w:r>
      <w:r w:rsidR="00831927">
        <w:rPr>
          <w:rFonts w:cstheme="minorHAnsi"/>
          <w:bCs/>
          <w:szCs w:val="72"/>
          <w:lang w:val="sr-Cyrl-RS"/>
        </w:rPr>
        <w:t xml:space="preserve">                            </w:t>
      </w:r>
      <w:bookmarkStart w:id="43" w:name="_GoBack"/>
      <w:bookmarkEnd w:id="43"/>
      <w:r w:rsidRPr="00EA3D8C">
        <w:rPr>
          <w:rFonts w:cstheme="minorHAnsi"/>
          <w:bCs/>
          <w:szCs w:val="72"/>
          <w:lang w:val="sr-Cyrl-RS"/>
        </w:rPr>
        <w:t xml:space="preserve">  ПРЕДСЕДНИК</w:t>
      </w:r>
    </w:p>
    <w:p w14:paraId="3C1C6BFA" w14:textId="77777777" w:rsidR="00427829" w:rsidRPr="00EA3D8C" w:rsidRDefault="00427829" w:rsidP="00427829">
      <w:pPr>
        <w:spacing w:after="0"/>
        <w:jc w:val="right"/>
        <w:rPr>
          <w:rFonts w:cstheme="minorHAnsi"/>
          <w:bCs/>
          <w:szCs w:val="72"/>
          <w:lang w:val="sr-Cyrl-RS"/>
        </w:rPr>
      </w:pPr>
    </w:p>
    <w:p w14:paraId="29672911" w14:textId="056441D5" w:rsidR="00427829" w:rsidRPr="009A0267" w:rsidRDefault="00427829" w:rsidP="00427829">
      <w:pPr>
        <w:spacing w:after="0"/>
        <w:jc w:val="right"/>
        <w:rPr>
          <w:rFonts w:cstheme="minorHAnsi"/>
          <w:bCs/>
          <w:szCs w:val="72"/>
          <w:lang w:val="sr-Cyrl-RS"/>
        </w:rPr>
      </w:pPr>
      <w:r w:rsidRPr="00EA3D8C">
        <w:rPr>
          <w:rFonts w:cstheme="minorHAnsi"/>
          <w:bCs/>
          <w:szCs w:val="72"/>
          <w:lang w:val="sr-Cyrl-RS"/>
        </w:rPr>
        <w:t xml:space="preserve">                                                                                                           Ана Брнабић</w:t>
      </w:r>
      <w:r w:rsidR="009A0267">
        <w:rPr>
          <w:rFonts w:cstheme="minorHAnsi"/>
          <w:bCs/>
          <w:szCs w:val="72"/>
        </w:rPr>
        <w:t xml:space="preserve">, </w:t>
      </w:r>
      <w:r w:rsidR="009A0267">
        <w:rPr>
          <w:rFonts w:cstheme="minorHAnsi"/>
          <w:bCs/>
          <w:szCs w:val="72"/>
          <w:lang w:val="sr-Cyrl-RS"/>
        </w:rPr>
        <w:t>с.р.</w:t>
      </w:r>
    </w:p>
    <w:p w14:paraId="759F4372" w14:textId="77777777" w:rsidR="00427829" w:rsidRPr="00EA3D8C" w:rsidRDefault="00427829" w:rsidP="00427829">
      <w:pPr>
        <w:spacing w:after="0"/>
        <w:jc w:val="right"/>
        <w:rPr>
          <w:rFonts w:cstheme="minorHAnsi"/>
          <w:bCs/>
          <w:szCs w:val="72"/>
          <w:lang w:val="sr-Cyrl-RS"/>
        </w:rPr>
      </w:pPr>
    </w:p>
    <w:p w14:paraId="79EB572F" w14:textId="77777777" w:rsidR="00427829" w:rsidRPr="00EA3D8C" w:rsidRDefault="00427829" w:rsidP="00427829">
      <w:pPr>
        <w:rPr>
          <w:rFonts w:cstheme="minorHAnsi"/>
          <w:bCs/>
          <w:szCs w:val="72"/>
          <w:lang w:val="sr-Cyrl-RS"/>
        </w:rPr>
      </w:pPr>
    </w:p>
    <w:p w14:paraId="1B36A909" w14:textId="558B8CF0" w:rsidR="00AB0E2B" w:rsidRPr="00EA3D8C" w:rsidRDefault="00AB0E2B" w:rsidP="00E4657F">
      <w:pPr>
        <w:spacing w:after="60"/>
        <w:rPr>
          <w:rFonts w:cstheme="minorHAnsi"/>
          <w:bCs/>
          <w:spacing w:val="-2"/>
          <w:szCs w:val="72"/>
          <w:lang w:val="sr-Cyrl-RS"/>
        </w:rPr>
      </w:pPr>
    </w:p>
    <w:p w14:paraId="65AAC620" w14:textId="0734A2DF" w:rsidR="00AB0E2B" w:rsidRPr="00EA3D8C" w:rsidRDefault="00AB0E2B" w:rsidP="00E4657F">
      <w:pPr>
        <w:spacing w:after="60"/>
        <w:rPr>
          <w:rFonts w:cstheme="minorHAnsi"/>
          <w:bCs/>
          <w:spacing w:val="-2"/>
          <w:szCs w:val="72"/>
          <w:lang w:val="sr-Cyrl-RS"/>
        </w:rPr>
      </w:pPr>
    </w:p>
    <w:p w14:paraId="0958F858" w14:textId="77777777" w:rsidR="00AB0E2B" w:rsidRPr="00EA3D8C" w:rsidRDefault="00AB0E2B" w:rsidP="00E4657F">
      <w:pPr>
        <w:spacing w:after="60"/>
        <w:rPr>
          <w:rFonts w:cstheme="minorHAnsi"/>
          <w:bCs/>
          <w:spacing w:val="-2"/>
          <w:szCs w:val="72"/>
          <w:lang w:val="sr-Cyrl-RS"/>
        </w:rPr>
      </w:pPr>
    </w:p>
    <w:p w14:paraId="0D0657C2" w14:textId="77777777" w:rsidR="004044DC" w:rsidRPr="00EA3D8C" w:rsidRDefault="004044DC" w:rsidP="00E4657F">
      <w:pPr>
        <w:spacing w:after="60"/>
        <w:rPr>
          <w:rFonts w:cstheme="minorHAnsi"/>
          <w:bCs/>
          <w:spacing w:val="-2"/>
          <w:szCs w:val="72"/>
          <w:lang w:val="sr-Cyrl-RS"/>
        </w:rPr>
        <w:sectPr w:rsidR="004044DC" w:rsidRPr="00EA3D8C" w:rsidSect="00AE40EB">
          <w:type w:val="continuous"/>
          <w:pgSz w:w="12240" w:h="15840" w:code="1"/>
          <w:pgMar w:top="1418" w:right="1418" w:bottom="1418" w:left="1418" w:header="720" w:footer="720" w:gutter="0"/>
          <w:cols w:space="720"/>
          <w:docGrid w:linePitch="272"/>
        </w:sectPr>
      </w:pPr>
    </w:p>
    <w:p w14:paraId="3D5A908D" w14:textId="77777777" w:rsidR="00260796" w:rsidRPr="00EA3D8C" w:rsidRDefault="00260796" w:rsidP="00CC11FD">
      <w:pPr>
        <w:pStyle w:val="Heading1"/>
        <w:spacing w:after="160"/>
        <w:ind w:left="170"/>
        <w:rPr>
          <w:rFonts w:asciiTheme="minorHAnsi" w:hAnsiTheme="minorHAnsi" w:cstheme="minorHAnsi"/>
          <w:color w:val="002060"/>
          <w:sz w:val="24"/>
          <w:szCs w:val="26"/>
          <w:lang w:val="sr-Cyrl-RS"/>
        </w:rPr>
      </w:pPr>
      <w:bookmarkStart w:id="44" w:name="_Toc56667084"/>
      <w:bookmarkStart w:id="45" w:name="_Toc23342474"/>
      <w:bookmarkStart w:id="46" w:name="_Toc530635112"/>
      <w:r w:rsidRPr="00EA3D8C">
        <w:rPr>
          <w:rFonts w:asciiTheme="minorHAnsi" w:hAnsiTheme="minorHAnsi" w:cstheme="minorHAnsi"/>
          <w:color w:val="002060"/>
          <w:sz w:val="24"/>
          <w:szCs w:val="26"/>
          <w:lang w:val="sr-Cyrl-RS"/>
        </w:rPr>
        <w:lastRenderedPageBreak/>
        <w:t>Прилог 1 – Пројекција основних макроекономских индикатора</w:t>
      </w:r>
      <w:bookmarkEnd w:id="44"/>
    </w:p>
    <w:tbl>
      <w:tblPr>
        <w:tblStyle w:val="TableGrid1"/>
        <w:tblW w:w="488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1"/>
        <w:gridCol w:w="1438"/>
        <w:gridCol w:w="1440"/>
        <w:gridCol w:w="1438"/>
        <w:gridCol w:w="1434"/>
      </w:tblGrid>
      <w:tr w:rsidR="00260796" w:rsidRPr="00EA3D8C" w14:paraId="2105CC92" w14:textId="77777777" w:rsidTr="00D751D5">
        <w:trPr>
          <w:trHeight w:val="554"/>
          <w:jc w:val="center"/>
        </w:trPr>
        <w:tc>
          <w:tcPr>
            <w:tcW w:w="2293" w:type="pct"/>
            <w:tcBorders>
              <w:top w:val="single" w:sz="4" w:space="0" w:color="002060"/>
              <w:bottom w:val="single" w:sz="4" w:space="0" w:color="002060"/>
            </w:tcBorders>
            <w:vAlign w:val="center"/>
            <w:hideMark/>
          </w:tcPr>
          <w:p w14:paraId="56685746" w14:textId="77777777" w:rsidR="00260796" w:rsidRPr="00EA3D8C" w:rsidRDefault="00260796" w:rsidP="00161001">
            <w:pPr>
              <w:rPr>
                <w:rFonts w:eastAsia="Calibri" w:cstheme="minorHAnsi"/>
                <w:iCs/>
                <w:color w:val="002060"/>
                <w:sz w:val="18"/>
                <w:szCs w:val="18"/>
                <w:lang w:val="sr-Cyrl-RS"/>
              </w:rPr>
            </w:pPr>
          </w:p>
        </w:tc>
        <w:tc>
          <w:tcPr>
            <w:tcW w:w="677" w:type="pct"/>
            <w:tcBorders>
              <w:top w:val="single" w:sz="4" w:space="0" w:color="002060"/>
              <w:bottom w:val="single" w:sz="4" w:space="0" w:color="002060"/>
            </w:tcBorders>
            <w:noWrap/>
            <w:vAlign w:val="center"/>
          </w:tcPr>
          <w:p w14:paraId="7BE90167" w14:textId="77777777" w:rsidR="00260796" w:rsidRPr="00EA3D8C" w:rsidRDefault="00260796" w:rsidP="00161001">
            <w:pPr>
              <w:jc w:val="center"/>
              <w:rPr>
                <w:rFonts w:eastAsia="Calibri" w:cstheme="minorHAnsi"/>
                <w:iCs/>
                <w:color w:val="002060"/>
                <w:szCs w:val="18"/>
                <w:lang w:val="sr-Cyrl-RS"/>
              </w:rPr>
            </w:pPr>
            <w:r w:rsidRPr="00EA3D8C">
              <w:rPr>
                <w:rFonts w:eastAsia="Calibri" w:cstheme="minorHAnsi"/>
                <w:iCs/>
                <w:color w:val="002060"/>
                <w:szCs w:val="18"/>
                <w:lang w:val="sr-Cyrl-RS"/>
              </w:rPr>
              <w:t>2020</w:t>
            </w:r>
          </w:p>
        </w:tc>
        <w:tc>
          <w:tcPr>
            <w:tcW w:w="678" w:type="pct"/>
            <w:tcBorders>
              <w:top w:val="single" w:sz="4" w:space="0" w:color="002060"/>
              <w:bottom w:val="single" w:sz="4" w:space="0" w:color="002060"/>
            </w:tcBorders>
            <w:noWrap/>
            <w:vAlign w:val="center"/>
            <w:hideMark/>
          </w:tcPr>
          <w:p w14:paraId="34E7B89E" w14:textId="77777777" w:rsidR="00260796" w:rsidRPr="00EA3D8C" w:rsidRDefault="00260796" w:rsidP="00161001">
            <w:pPr>
              <w:jc w:val="center"/>
              <w:rPr>
                <w:rFonts w:eastAsia="Calibri" w:cstheme="minorHAnsi"/>
                <w:iCs/>
                <w:color w:val="002060"/>
                <w:sz w:val="18"/>
                <w:szCs w:val="18"/>
                <w:lang w:val="sr-Cyrl-RS"/>
              </w:rPr>
            </w:pPr>
            <w:r w:rsidRPr="00EA3D8C">
              <w:rPr>
                <w:color w:val="002060"/>
                <w:lang w:val="sr-Cyrl-RS"/>
              </w:rPr>
              <w:t>2021</w:t>
            </w:r>
          </w:p>
        </w:tc>
        <w:tc>
          <w:tcPr>
            <w:tcW w:w="677" w:type="pct"/>
            <w:tcBorders>
              <w:top w:val="single" w:sz="4" w:space="0" w:color="002060"/>
              <w:bottom w:val="single" w:sz="4" w:space="0" w:color="002060"/>
            </w:tcBorders>
            <w:noWrap/>
            <w:vAlign w:val="center"/>
            <w:hideMark/>
          </w:tcPr>
          <w:p w14:paraId="38A243F7" w14:textId="77777777" w:rsidR="00260796" w:rsidRPr="00EA3D8C" w:rsidRDefault="00260796" w:rsidP="00161001">
            <w:pPr>
              <w:jc w:val="center"/>
              <w:rPr>
                <w:rFonts w:eastAsia="Calibri" w:cstheme="minorHAnsi"/>
                <w:iCs/>
                <w:color w:val="002060"/>
                <w:sz w:val="18"/>
                <w:szCs w:val="18"/>
                <w:lang w:val="sr-Cyrl-RS"/>
              </w:rPr>
            </w:pPr>
            <w:r w:rsidRPr="00EA3D8C">
              <w:rPr>
                <w:color w:val="002060"/>
                <w:lang w:val="sr-Cyrl-RS"/>
              </w:rPr>
              <w:t>2022</w:t>
            </w:r>
          </w:p>
        </w:tc>
        <w:tc>
          <w:tcPr>
            <w:tcW w:w="675" w:type="pct"/>
            <w:tcBorders>
              <w:top w:val="single" w:sz="4" w:space="0" w:color="002060"/>
              <w:bottom w:val="single" w:sz="4" w:space="0" w:color="002060"/>
            </w:tcBorders>
            <w:noWrap/>
            <w:vAlign w:val="center"/>
            <w:hideMark/>
          </w:tcPr>
          <w:p w14:paraId="441627E8" w14:textId="77777777" w:rsidR="00260796" w:rsidRPr="00EA3D8C" w:rsidRDefault="00260796" w:rsidP="00161001">
            <w:pPr>
              <w:jc w:val="center"/>
              <w:rPr>
                <w:rFonts w:eastAsia="Calibri" w:cstheme="minorHAnsi"/>
                <w:iCs/>
                <w:color w:val="002060"/>
                <w:sz w:val="18"/>
                <w:szCs w:val="18"/>
                <w:lang w:val="sr-Cyrl-RS"/>
              </w:rPr>
            </w:pPr>
            <w:r w:rsidRPr="00EA3D8C">
              <w:rPr>
                <w:color w:val="002060"/>
                <w:lang w:val="sr-Cyrl-RS"/>
              </w:rPr>
              <w:t>2023</w:t>
            </w:r>
          </w:p>
        </w:tc>
      </w:tr>
      <w:tr w:rsidR="00260796" w:rsidRPr="00EA3D8C" w14:paraId="6E612BE0" w14:textId="77777777" w:rsidTr="00D751D5">
        <w:trPr>
          <w:trHeight w:val="282"/>
          <w:jc w:val="center"/>
        </w:trPr>
        <w:tc>
          <w:tcPr>
            <w:tcW w:w="2293" w:type="pct"/>
            <w:tcBorders>
              <w:top w:val="single" w:sz="4" w:space="0" w:color="002060"/>
            </w:tcBorders>
            <w:noWrap/>
            <w:vAlign w:val="center"/>
            <w:hideMark/>
          </w:tcPr>
          <w:p w14:paraId="7685B5FB" w14:textId="77777777" w:rsidR="00260796" w:rsidRPr="00EA3D8C" w:rsidRDefault="00260796" w:rsidP="00161001">
            <w:pPr>
              <w:jc w:val="left"/>
              <w:rPr>
                <w:rFonts w:eastAsia="Calibri" w:cstheme="minorHAnsi"/>
                <w:color w:val="002060"/>
                <w:sz w:val="18"/>
                <w:szCs w:val="18"/>
                <w:lang w:val="sr-Cyrl-RS"/>
              </w:rPr>
            </w:pPr>
            <w:r w:rsidRPr="00EA3D8C">
              <w:rPr>
                <w:rFonts w:eastAsia="Calibri" w:cstheme="minorHAnsi"/>
                <w:color w:val="002060"/>
                <w:sz w:val="18"/>
                <w:szCs w:val="18"/>
                <w:lang w:val="sr-Cyrl-RS"/>
              </w:rPr>
              <w:t>Стопа реалног раста БДП, %</w:t>
            </w:r>
          </w:p>
        </w:tc>
        <w:tc>
          <w:tcPr>
            <w:tcW w:w="677" w:type="pct"/>
            <w:noWrap/>
            <w:vAlign w:val="center"/>
          </w:tcPr>
          <w:p w14:paraId="02A36030"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-1,0</w:t>
            </w:r>
          </w:p>
        </w:tc>
        <w:tc>
          <w:tcPr>
            <w:tcW w:w="678" w:type="pct"/>
            <w:noWrap/>
            <w:vAlign w:val="center"/>
          </w:tcPr>
          <w:p w14:paraId="50ADCA9B"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6,0</w:t>
            </w:r>
          </w:p>
        </w:tc>
        <w:tc>
          <w:tcPr>
            <w:tcW w:w="677" w:type="pct"/>
            <w:noWrap/>
            <w:vAlign w:val="center"/>
          </w:tcPr>
          <w:p w14:paraId="36428CDB"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4,0</w:t>
            </w:r>
          </w:p>
        </w:tc>
        <w:tc>
          <w:tcPr>
            <w:tcW w:w="675" w:type="pct"/>
            <w:noWrap/>
            <w:vAlign w:val="center"/>
          </w:tcPr>
          <w:p w14:paraId="3222714C"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4,0</w:t>
            </w:r>
          </w:p>
        </w:tc>
      </w:tr>
      <w:tr w:rsidR="00260796" w:rsidRPr="00EA3D8C" w14:paraId="707EFCDC" w14:textId="77777777" w:rsidTr="00D751D5">
        <w:trPr>
          <w:trHeight w:val="282"/>
          <w:jc w:val="center"/>
        </w:trPr>
        <w:tc>
          <w:tcPr>
            <w:tcW w:w="2293" w:type="pct"/>
            <w:noWrap/>
            <w:vAlign w:val="center"/>
            <w:hideMark/>
          </w:tcPr>
          <w:p w14:paraId="20DD2437" w14:textId="77777777" w:rsidR="00260796" w:rsidRPr="00EA3D8C" w:rsidRDefault="00260796" w:rsidP="00161001">
            <w:pPr>
              <w:jc w:val="left"/>
              <w:rPr>
                <w:rFonts w:eastAsia="Calibri" w:cstheme="minorHAnsi"/>
                <w:color w:val="002060"/>
                <w:sz w:val="18"/>
                <w:szCs w:val="18"/>
                <w:lang w:val="sr-Cyrl-RS"/>
              </w:rPr>
            </w:pPr>
            <w:r w:rsidRPr="00EA3D8C">
              <w:rPr>
                <w:rFonts w:eastAsia="Calibri" w:cstheme="minorHAnsi"/>
                <w:color w:val="002060"/>
                <w:sz w:val="18"/>
                <w:szCs w:val="18"/>
                <w:lang w:val="sr-Cyrl-RS"/>
              </w:rPr>
              <w:t>БДП у текућим тржишним ценама</w:t>
            </w:r>
          </w:p>
          <w:p w14:paraId="5EC324ED" w14:textId="77777777" w:rsidR="00260796" w:rsidRPr="00EA3D8C" w:rsidRDefault="00260796" w:rsidP="00161001">
            <w:pPr>
              <w:jc w:val="left"/>
              <w:rPr>
                <w:rFonts w:eastAsia="Calibri" w:cstheme="minorHAnsi"/>
                <w:bCs/>
                <w:color w:val="002060"/>
                <w:sz w:val="18"/>
                <w:szCs w:val="18"/>
                <w:lang w:val="sr-Cyrl-RS"/>
              </w:rPr>
            </w:pPr>
            <w:r w:rsidRPr="00EA3D8C">
              <w:rPr>
                <w:rFonts w:eastAsia="Calibri" w:cstheme="minorHAnsi"/>
                <w:color w:val="002060"/>
                <w:sz w:val="18"/>
                <w:szCs w:val="18"/>
                <w:lang w:val="sr-Cyrl-RS"/>
              </w:rPr>
              <w:t>(у млрд динара)</w:t>
            </w:r>
          </w:p>
        </w:tc>
        <w:tc>
          <w:tcPr>
            <w:tcW w:w="677" w:type="pct"/>
            <w:noWrap/>
            <w:vAlign w:val="center"/>
          </w:tcPr>
          <w:p w14:paraId="7F6C74DB"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5.517,3</w:t>
            </w:r>
          </w:p>
        </w:tc>
        <w:tc>
          <w:tcPr>
            <w:tcW w:w="678" w:type="pct"/>
            <w:noWrap/>
            <w:vAlign w:val="center"/>
          </w:tcPr>
          <w:p w14:paraId="7ECBF0D0"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5.997,7</w:t>
            </w:r>
          </w:p>
        </w:tc>
        <w:tc>
          <w:tcPr>
            <w:tcW w:w="677" w:type="pct"/>
            <w:noWrap/>
            <w:vAlign w:val="center"/>
          </w:tcPr>
          <w:p w14:paraId="70E2541F"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6.408,1</w:t>
            </w:r>
          </w:p>
        </w:tc>
        <w:tc>
          <w:tcPr>
            <w:tcW w:w="675" w:type="pct"/>
            <w:noWrap/>
            <w:vAlign w:val="center"/>
          </w:tcPr>
          <w:p w14:paraId="35C20D24" w14:textId="77777777" w:rsidR="00260796" w:rsidRPr="00EA3D8C" w:rsidRDefault="00260796" w:rsidP="00161001">
            <w:pPr>
              <w:jc w:val="center"/>
              <w:rPr>
                <w:rFonts w:cstheme="minorHAnsi"/>
                <w:color w:val="002060"/>
                <w:sz w:val="18"/>
                <w:szCs w:val="18"/>
                <w:lang w:val="sr-Cyrl-RS"/>
              </w:rPr>
            </w:pPr>
            <w:r w:rsidRPr="00EA3D8C">
              <w:rPr>
                <w:rFonts w:cstheme="minorHAnsi"/>
                <w:color w:val="002060"/>
                <w:sz w:val="18"/>
                <w:szCs w:val="18"/>
                <w:lang w:val="sr-Cyrl-RS"/>
              </w:rPr>
              <w:t>6.871,3</w:t>
            </w:r>
          </w:p>
        </w:tc>
      </w:tr>
      <w:tr w:rsidR="00260796" w:rsidRPr="00EA3D8C" w14:paraId="1E1B9843" w14:textId="77777777" w:rsidTr="00D751D5">
        <w:trPr>
          <w:trHeight w:val="282"/>
          <w:jc w:val="center"/>
        </w:trPr>
        <w:tc>
          <w:tcPr>
            <w:tcW w:w="2293" w:type="pct"/>
            <w:shd w:val="clear" w:color="auto" w:fill="E7E6E6" w:themeFill="background2"/>
            <w:noWrap/>
            <w:vAlign w:val="center"/>
            <w:hideMark/>
          </w:tcPr>
          <w:p w14:paraId="52B77B82" w14:textId="77777777" w:rsidR="00260796" w:rsidRPr="00EA3D8C" w:rsidRDefault="00260796" w:rsidP="00161001">
            <w:pPr>
              <w:jc w:val="left"/>
              <w:rPr>
                <w:rFonts w:eastAsia="Calibri" w:cstheme="minorHAnsi"/>
                <w:bCs/>
                <w:color w:val="002060"/>
                <w:sz w:val="18"/>
                <w:szCs w:val="18"/>
                <w:lang w:val="sr-Cyrl-RS"/>
              </w:rPr>
            </w:pPr>
            <w:r w:rsidRPr="00EA3D8C">
              <w:rPr>
                <w:rFonts w:eastAsia="Calibri" w:cstheme="minorHAnsi"/>
                <w:iCs/>
                <w:color w:val="002060"/>
                <w:sz w:val="18"/>
                <w:szCs w:val="18"/>
                <w:lang w:val="sr-Cyrl-RS"/>
              </w:rPr>
              <w:t xml:space="preserve">Извори раста: процентне промене у </w:t>
            </w:r>
            <w:r w:rsidRPr="00EA3D8C">
              <w:rPr>
                <w:rFonts w:eastAsia="Calibri" w:cstheme="minorHAnsi"/>
                <w:bCs/>
                <w:iCs/>
                <w:color w:val="002060"/>
                <w:sz w:val="18"/>
                <w:szCs w:val="18"/>
                <w:lang w:val="sr-Cyrl-RS"/>
              </w:rPr>
              <w:t>сталним</w:t>
            </w:r>
            <w:r w:rsidRPr="00EA3D8C">
              <w:rPr>
                <w:rFonts w:eastAsia="Calibri" w:cstheme="minorHAnsi"/>
                <w:iCs/>
                <w:color w:val="002060"/>
                <w:sz w:val="18"/>
                <w:szCs w:val="18"/>
                <w:lang w:val="sr-Cyrl-RS"/>
              </w:rPr>
              <w:t xml:space="preserve"> ценама</w:t>
            </w:r>
          </w:p>
        </w:tc>
        <w:tc>
          <w:tcPr>
            <w:tcW w:w="677" w:type="pct"/>
            <w:shd w:val="clear" w:color="auto" w:fill="E7E6E6" w:themeFill="background2"/>
            <w:vAlign w:val="center"/>
          </w:tcPr>
          <w:p w14:paraId="640A002B" w14:textId="77777777" w:rsidR="00260796" w:rsidRPr="00EA3D8C" w:rsidRDefault="00260796" w:rsidP="00161001">
            <w:pPr>
              <w:jc w:val="center"/>
              <w:rPr>
                <w:rFonts w:eastAsia="Calibri" w:cstheme="minorHAnsi"/>
                <w:bCs/>
                <w:color w:val="002060"/>
                <w:sz w:val="18"/>
                <w:szCs w:val="18"/>
                <w:lang w:val="sr-Cyrl-RS"/>
              </w:rPr>
            </w:pPr>
          </w:p>
        </w:tc>
        <w:tc>
          <w:tcPr>
            <w:tcW w:w="678" w:type="pct"/>
            <w:shd w:val="clear" w:color="auto" w:fill="E7E6E6" w:themeFill="background2"/>
            <w:vAlign w:val="center"/>
          </w:tcPr>
          <w:p w14:paraId="6EB55892" w14:textId="77777777" w:rsidR="00260796" w:rsidRPr="00EA3D8C" w:rsidRDefault="00260796" w:rsidP="00161001">
            <w:pPr>
              <w:jc w:val="center"/>
              <w:rPr>
                <w:rFonts w:eastAsia="Calibri" w:cstheme="minorHAnsi"/>
                <w:bCs/>
                <w:color w:val="002060"/>
                <w:sz w:val="18"/>
                <w:szCs w:val="18"/>
                <w:lang w:val="sr-Cyrl-RS"/>
              </w:rPr>
            </w:pPr>
          </w:p>
        </w:tc>
        <w:tc>
          <w:tcPr>
            <w:tcW w:w="677" w:type="pct"/>
            <w:shd w:val="clear" w:color="auto" w:fill="E7E6E6" w:themeFill="background2"/>
            <w:vAlign w:val="center"/>
          </w:tcPr>
          <w:p w14:paraId="3E13C8E8" w14:textId="77777777" w:rsidR="00260796" w:rsidRPr="00EA3D8C" w:rsidRDefault="00260796" w:rsidP="00161001">
            <w:pPr>
              <w:jc w:val="center"/>
              <w:rPr>
                <w:rFonts w:eastAsia="Calibri" w:cstheme="minorHAnsi"/>
                <w:bCs/>
                <w:color w:val="002060"/>
                <w:sz w:val="18"/>
                <w:szCs w:val="18"/>
                <w:lang w:val="sr-Cyrl-RS"/>
              </w:rPr>
            </w:pPr>
          </w:p>
        </w:tc>
        <w:tc>
          <w:tcPr>
            <w:tcW w:w="675" w:type="pct"/>
            <w:shd w:val="clear" w:color="auto" w:fill="E7E6E6" w:themeFill="background2"/>
            <w:vAlign w:val="center"/>
          </w:tcPr>
          <w:p w14:paraId="180F4D77" w14:textId="77777777" w:rsidR="00260796" w:rsidRPr="00EA3D8C" w:rsidRDefault="00260796" w:rsidP="00161001">
            <w:pPr>
              <w:jc w:val="center"/>
              <w:rPr>
                <w:rFonts w:eastAsia="Calibri" w:cstheme="minorHAnsi"/>
                <w:bCs/>
                <w:color w:val="002060"/>
                <w:sz w:val="18"/>
                <w:szCs w:val="18"/>
                <w:lang w:val="sr-Cyrl-RS"/>
              </w:rPr>
            </w:pPr>
          </w:p>
        </w:tc>
      </w:tr>
      <w:tr w:rsidR="00260796" w:rsidRPr="00EA3D8C" w14:paraId="4C54B16A" w14:textId="77777777" w:rsidTr="00D751D5">
        <w:trPr>
          <w:trHeight w:val="282"/>
          <w:jc w:val="center"/>
        </w:trPr>
        <w:tc>
          <w:tcPr>
            <w:tcW w:w="2293" w:type="pct"/>
            <w:noWrap/>
            <w:vAlign w:val="center"/>
            <w:hideMark/>
          </w:tcPr>
          <w:p w14:paraId="23AD0780"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Лична потрошња</w:t>
            </w:r>
          </w:p>
        </w:tc>
        <w:tc>
          <w:tcPr>
            <w:tcW w:w="677" w:type="pct"/>
            <w:tcBorders>
              <w:top w:val="nil"/>
              <w:left w:val="nil"/>
              <w:bottom w:val="nil"/>
              <w:right w:val="nil"/>
            </w:tcBorders>
            <w:shd w:val="clear" w:color="auto" w:fill="auto"/>
            <w:noWrap/>
            <w:vAlign w:val="bottom"/>
          </w:tcPr>
          <w:p w14:paraId="40058614" w14:textId="77777777" w:rsidR="00260796" w:rsidRPr="00EA3D8C" w:rsidRDefault="00260796" w:rsidP="00161001">
            <w:pPr>
              <w:jc w:val="center"/>
              <w:rPr>
                <w:color w:val="002060"/>
                <w:sz w:val="18"/>
                <w:lang w:val="sr-Cyrl-RS"/>
              </w:rPr>
            </w:pPr>
            <w:r w:rsidRPr="00EA3D8C">
              <w:rPr>
                <w:color w:val="002060"/>
                <w:sz w:val="18"/>
                <w:lang w:val="sr-Cyrl-RS"/>
              </w:rPr>
              <w:t>-1,9</w:t>
            </w:r>
          </w:p>
        </w:tc>
        <w:tc>
          <w:tcPr>
            <w:tcW w:w="678" w:type="pct"/>
            <w:tcBorders>
              <w:top w:val="nil"/>
              <w:left w:val="nil"/>
              <w:bottom w:val="nil"/>
              <w:right w:val="nil"/>
            </w:tcBorders>
            <w:shd w:val="clear" w:color="auto" w:fill="auto"/>
            <w:noWrap/>
            <w:vAlign w:val="bottom"/>
          </w:tcPr>
          <w:p w14:paraId="2EF5792B" w14:textId="77777777" w:rsidR="00260796" w:rsidRPr="00EA3D8C" w:rsidRDefault="00260796" w:rsidP="00161001">
            <w:pPr>
              <w:jc w:val="center"/>
              <w:rPr>
                <w:color w:val="002060"/>
                <w:sz w:val="18"/>
                <w:lang w:val="sr-Cyrl-RS"/>
              </w:rPr>
            </w:pPr>
            <w:r w:rsidRPr="00EA3D8C">
              <w:rPr>
                <w:color w:val="002060"/>
                <w:sz w:val="18"/>
                <w:lang w:val="sr-Cyrl-RS"/>
              </w:rPr>
              <w:t>5,4</w:t>
            </w:r>
          </w:p>
        </w:tc>
        <w:tc>
          <w:tcPr>
            <w:tcW w:w="677" w:type="pct"/>
            <w:tcBorders>
              <w:top w:val="nil"/>
              <w:left w:val="nil"/>
              <w:bottom w:val="nil"/>
              <w:right w:val="nil"/>
            </w:tcBorders>
            <w:shd w:val="clear" w:color="auto" w:fill="auto"/>
            <w:noWrap/>
            <w:vAlign w:val="bottom"/>
          </w:tcPr>
          <w:p w14:paraId="1A36408A" w14:textId="77777777" w:rsidR="00260796" w:rsidRPr="00EA3D8C" w:rsidRDefault="00260796" w:rsidP="00161001">
            <w:pPr>
              <w:jc w:val="center"/>
              <w:rPr>
                <w:color w:val="002060"/>
                <w:sz w:val="18"/>
                <w:lang w:val="sr-Cyrl-RS"/>
              </w:rPr>
            </w:pPr>
            <w:r w:rsidRPr="00EA3D8C">
              <w:rPr>
                <w:color w:val="002060"/>
                <w:sz w:val="18"/>
                <w:lang w:val="sr-Cyrl-RS"/>
              </w:rPr>
              <w:t>2,8</w:t>
            </w:r>
          </w:p>
        </w:tc>
        <w:tc>
          <w:tcPr>
            <w:tcW w:w="675" w:type="pct"/>
            <w:tcBorders>
              <w:top w:val="nil"/>
              <w:left w:val="nil"/>
              <w:bottom w:val="nil"/>
              <w:right w:val="nil"/>
            </w:tcBorders>
            <w:shd w:val="clear" w:color="auto" w:fill="auto"/>
            <w:noWrap/>
            <w:vAlign w:val="bottom"/>
          </w:tcPr>
          <w:p w14:paraId="2E56A069" w14:textId="77777777" w:rsidR="00260796" w:rsidRPr="00EA3D8C" w:rsidRDefault="00260796" w:rsidP="00161001">
            <w:pPr>
              <w:jc w:val="center"/>
              <w:rPr>
                <w:color w:val="002060"/>
                <w:sz w:val="18"/>
                <w:lang w:val="sr-Cyrl-RS"/>
              </w:rPr>
            </w:pPr>
            <w:r w:rsidRPr="00EA3D8C">
              <w:rPr>
                <w:color w:val="002060"/>
                <w:sz w:val="18"/>
                <w:lang w:val="sr-Cyrl-RS"/>
              </w:rPr>
              <w:t>2,9</w:t>
            </w:r>
          </w:p>
        </w:tc>
      </w:tr>
      <w:tr w:rsidR="00260796" w:rsidRPr="00EA3D8C" w14:paraId="7BEFC46E" w14:textId="77777777" w:rsidTr="00D751D5">
        <w:trPr>
          <w:trHeight w:val="282"/>
          <w:jc w:val="center"/>
        </w:trPr>
        <w:tc>
          <w:tcPr>
            <w:tcW w:w="2293" w:type="pct"/>
            <w:noWrap/>
            <w:vAlign w:val="center"/>
            <w:hideMark/>
          </w:tcPr>
          <w:p w14:paraId="6826FE1B"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Државна потрошња</w:t>
            </w:r>
          </w:p>
        </w:tc>
        <w:tc>
          <w:tcPr>
            <w:tcW w:w="677" w:type="pct"/>
            <w:tcBorders>
              <w:top w:val="nil"/>
              <w:left w:val="nil"/>
              <w:bottom w:val="nil"/>
              <w:right w:val="nil"/>
            </w:tcBorders>
            <w:shd w:val="clear" w:color="auto" w:fill="auto"/>
            <w:noWrap/>
            <w:vAlign w:val="bottom"/>
          </w:tcPr>
          <w:p w14:paraId="3AEF4067" w14:textId="02A57BEC" w:rsidR="00260796" w:rsidRPr="00EA3D8C" w:rsidRDefault="00260796" w:rsidP="00161001">
            <w:pPr>
              <w:jc w:val="center"/>
              <w:rPr>
                <w:color w:val="002060"/>
                <w:sz w:val="18"/>
                <w:lang w:val="sr-Cyrl-RS"/>
              </w:rPr>
            </w:pPr>
            <w:r w:rsidRPr="00EA3D8C">
              <w:rPr>
                <w:color w:val="002060"/>
                <w:sz w:val="18"/>
                <w:lang w:val="sr-Cyrl-RS"/>
              </w:rPr>
              <w:t>5,8</w:t>
            </w:r>
          </w:p>
        </w:tc>
        <w:tc>
          <w:tcPr>
            <w:tcW w:w="678" w:type="pct"/>
            <w:tcBorders>
              <w:top w:val="nil"/>
              <w:left w:val="nil"/>
              <w:bottom w:val="nil"/>
              <w:right w:val="nil"/>
            </w:tcBorders>
            <w:shd w:val="clear" w:color="auto" w:fill="auto"/>
            <w:noWrap/>
            <w:vAlign w:val="bottom"/>
          </w:tcPr>
          <w:p w14:paraId="07868D28" w14:textId="77777777" w:rsidR="00260796" w:rsidRPr="00EA3D8C" w:rsidRDefault="00260796" w:rsidP="00161001">
            <w:pPr>
              <w:jc w:val="center"/>
              <w:rPr>
                <w:color w:val="002060"/>
                <w:sz w:val="18"/>
                <w:lang w:val="sr-Cyrl-RS"/>
              </w:rPr>
            </w:pPr>
            <w:r w:rsidRPr="00EA3D8C">
              <w:rPr>
                <w:color w:val="002060"/>
                <w:sz w:val="18"/>
                <w:lang w:val="sr-Cyrl-RS"/>
              </w:rPr>
              <w:t>0,4</w:t>
            </w:r>
          </w:p>
        </w:tc>
        <w:tc>
          <w:tcPr>
            <w:tcW w:w="677" w:type="pct"/>
            <w:tcBorders>
              <w:top w:val="nil"/>
              <w:left w:val="nil"/>
              <w:bottom w:val="nil"/>
              <w:right w:val="nil"/>
            </w:tcBorders>
            <w:shd w:val="clear" w:color="auto" w:fill="auto"/>
            <w:noWrap/>
            <w:vAlign w:val="bottom"/>
          </w:tcPr>
          <w:p w14:paraId="4FE1F3EC" w14:textId="77777777" w:rsidR="00260796" w:rsidRPr="00EA3D8C" w:rsidRDefault="00260796" w:rsidP="00161001">
            <w:pPr>
              <w:jc w:val="center"/>
              <w:rPr>
                <w:color w:val="002060"/>
                <w:sz w:val="18"/>
                <w:lang w:val="sr-Cyrl-RS"/>
              </w:rPr>
            </w:pPr>
            <w:r w:rsidRPr="00EA3D8C">
              <w:rPr>
                <w:color w:val="002060"/>
                <w:sz w:val="18"/>
                <w:lang w:val="sr-Cyrl-RS"/>
              </w:rPr>
              <w:t>2,5</w:t>
            </w:r>
          </w:p>
        </w:tc>
        <w:tc>
          <w:tcPr>
            <w:tcW w:w="675" w:type="pct"/>
            <w:tcBorders>
              <w:top w:val="nil"/>
              <w:left w:val="nil"/>
              <w:bottom w:val="nil"/>
              <w:right w:val="nil"/>
            </w:tcBorders>
            <w:shd w:val="clear" w:color="auto" w:fill="auto"/>
            <w:noWrap/>
            <w:vAlign w:val="bottom"/>
          </w:tcPr>
          <w:p w14:paraId="2A578E03" w14:textId="77777777" w:rsidR="00260796" w:rsidRPr="00EA3D8C" w:rsidRDefault="00260796" w:rsidP="00161001">
            <w:pPr>
              <w:jc w:val="center"/>
              <w:rPr>
                <w:color w:val="002060"/>
                <w:sz w:val="18"/>
                <w:lang w:val="sr-Cyrl-RS"/>
              </w:rPr>
            </w:pPr>
            <w:r w:rsidRPr="00EA3D8C">
              <w:rPr>
                <w:color w:val="002060"/>
                <w:sz w:val="18"/>
                <w:lang w:val="sr-Cyrl-RS"/>
              </w:rPr>
              <w:t>1,8</w:t>
            </w:r>
          </w:p>
        </w:tc>
      </w:tr>
      <w:tr w:rsidR="00260796" w:rsidRPr="00EA3D8C" w14:paraId="14EAE9FF" w14:textId="77777777" w:rsidTr="00D751D5">
        <w:trPr>
          <w:trHeight w:val="282"/>
          <w:jc w:val="center"/>
        </w:trPr>
        <w:tc>
          <w:tcPr>
            <w:tcW w:w="2293" w:type="pct"/>
            <w:noWrap/>
            <w:vAlign w:val="center"/>
            <w:hideMark/>
          </w:tcPr>
          <w:p w14:paraId="384FAAC5"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Инвестиције у фиксни капитал</w:t>
            </w:r>
          </w:p>
        </w:tc>
        <w:tc>
          <w:tcPr>
            <w:tcW w:w="677" w:type="pct"/>
            <w:tcBorders>
              <w:top w:val="nil"/>
              <w:left w:val="nil"/>
              <w:bottom w:val="nil"/>
              <w:right w:val="nil"/>
            </w:tcBorders>
            <w:shd w:val="clear" w:color="auto" w:fill="auto"/>
            <w:noWrap/>
            <w:vAlign w:val="bottom"/>
          </w:tcPr>
          <w:p w14:paraId="63571650" w14:textId="77777777" w:rsidR="00260796" w:rsidRPr="00EA3D8C" w:rsidRDefault="00260796" w:rsidP="00161001">
            <w:pPr>
              <w:jc w:val="center"/>
              <w:rPr>
                <w:color w:val="002060"/>
                <w:sz w:val="18"/>
                <w:lang w:val="sr-Cyrl-RS"/>
              </w:rPr>
            </w:pPr>
            <w:r w:rsidRPr="00EA3D8C">
              <w:rPr>
                <w:color w:val="002060"/>
                <w:sz w:val="18"/>
                <w:lang w:val="sr-Cyrl-RS"/>
              </w:rPr>
              <w:t>-4,8</w:t>
            </w:r>
          </w:p>
        </w:tc>
        <w:tc>
          <w:tcPr>
            <w:tcW w:w="678" w:type="pct"/>
            <w:tcBorders>
              <w:top w:val="nil"/>
              <w:left w:val="nil"/>
              <w:bottom w:val="nil"/>
              <w:right w:val="nil"/>
            </w:tcBorders>
            <w:shd w:val="clear" w:color="auto" w:fill="auto"/>
            <w:noWrap/>
            <w:vAlign w:val="bottom"/>
          </w:tcPr>
          <w:p w14:paraId="1EFFF798" w14:textId="77777777" w:rsidR="00260796" w:rsidRPr="00EA3D8C" w:rsidRDefault="00260796" w:rsidP="00161001">
            <w:pPr>
              <w:jc w:val="center"/>
              <w:rPr>
                <w:color w:val="002060"/>
                <w:sz w:val="18"/>
                <w:lang w:val="sr-Cyrl-RS"/>
              </w:rPr>
            </w:pPr>
            <w:r w:rsidRPr="00EA3D8C">
              <w:rPr>
                <w:color w:val="002060"/>
                <w:sz w:val="18"/>
                <w:lang w:val="sr-Cyrl-RS"/>
              </w:rPr>
              <w:t>13,3</w:t>
            </w:r>
          </w:p>
        </w:tc>
        <w:tc>
          <w:tcPr>
            <w:tcW w:w="677" w:type="pct"/>
            <w:tcBorders>
              <w:top w:val="nil"/>
              <w:left w:val="nil"/>
              <w:bottom w:val="nil"/>
              <w:right w:val="nil"/>
            </w:tcBorders>
            <w:shd w:val="clear" w:color="auto" w:fill="auto"/>
            <w:noWrap/>
            <w:vAlign w:val="bottom"/>
          </w:tcPr>
          <w:p w14:paraId="5CCA57B6" w14:textId="77777777" w:rsidR="00260796" w:rsidRPr="00EA3D8C" w:rsidRDefault="00260796" w:rsidP="00161001">
            <w:pPr>
              <w:jc w:val="center"/>
              <w:rPr>
                <w:color w:val="002060"/>
                <w:sz w:val="18"/>
                <w:lang w:val="sr-Cyrl-RS"/>
              </w:rPr>
            </w:pPr>
            <w:r w:rsidRPr="00EA3D8C">
              <w:rPr>
                <w:color w:val="002060"/>
                <w:sz w:val="18"/>
                <w:lang w:val="sr-Cyrl-RS"/>
              </w:rPr>
              <w:t>7,1</w:t>
            </w:r>
          </w:p>
        </w:tc>
        <w:tc>
          <w:tcPr>
            <w:tcW w:w="675" w:type="pct"/>
            <w:tcBorders>
              <w:top w:val="nil"/>
              <w:left w:val="nil"/>
              <w:bottom w:val="nil"/>
              <w:right w:val="nil"/>
            </w:tcBorders>
            <w:shd w:val="clear" w:color="auto" w:fill="auto"/>
            <w:noWrap/>
            <w:vAlign w:val="bottom"/>
          </w:tcPr>
          <w:p w14:paraId="5993C49F" w14:textId="77777777" w:rsidR="00260796" w:rsidRPr="00EA3D8C" w:rsidRDefault="00260796" w:rsidP="00161001">
            <w:pPr>
              <w:jc w:val="center"/>
              <w:rPr>
                <w:color w:val="002060"/>
                <w:sz w:val="18"/>
                <w:lang w:val="sr-Cyrl-RS"/>
              </w:rPr>
            </w:pPr>
            <w:r w:rsidRPr="00EA3D8C">
              <w:rPr>
                <w:color w:val="002060"/>
                <w:sz w:val="18"/>
                <w:lang w:val="sr-Cyrl-RS"/>
              </w:rPr>
              <w:t>7,8</w:t>
            </w:r>
          </w:p>
        </w:tc>
      </w:tr>
      <w:tr w:rsidR="00260796" w:rsidRPr="00EA3D8C" w14:paraId="54264195" w14:textId="77777777" w:rsidTr="00D751D5">
        <w:trPr>
          <w:trHeight w:val="282"/>
          <w:jc w:val="center"/>
        </w:trPr>
        <w:tc>
          <w:tcPr>
            <w:tcW w:w="2293" w:type="pct"/>
            <w:noWrap/>
            <w:vAlign w:val="center"/>
            <w:hideMark/>
          </w:tcPr>
          <w:p w14:paraId="131F9423"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Промена залиха као % БДП</w:t>
            </w:r>
          </w:p>
        </w:tc>
        <w:tc>
          <w:tcPr>
            <w:tcW w:w="677" w:type="pct"/>
            <w:tcBorders>
              <w:top w:val="nil"/>
              <w:left w:val="nil"/>
              <w:bottom w:val="nil"/>
              <w:right w:val="nil"/>
            </w:tcBorders>
            <w:shd w:val="clear" w:color="auto" w:fill="auto"/>
            <w:noWrap/>
            <w:vAlign w:val="bottom"/>
          </w:tcPr>
          <w:p w14:paraId="3D82B48B" w14:textId="28D80787" w:rsidR="00260796" w:rsidRPr="00EA3D8C" w:rsidRDefault="00260796" w:rsidP="00161001">
            <w:pPr>
              <w:jc w:val="center"/>
              <w:rPr>
                <w:color w:val="002060"/>
                <w:sz w:val="18"/>
                <w:lang w:val="sr-Cyrl-RS"/>
              </w:rPr>
            </w:pPr>
            <w:r w:rsidRPr="00EA3D8C">
              <w:rPr>
                <w:color w:val="002060"/>
                <w:sz w:val="18"/>
                <w:lang w:val="sr-Cyrl-RS"/>
              </w:rPr>
              <w:t>0,0</w:t>
            </w:r>
          </w:p>
        </w:tc>
        <w:tc>
          <w:tcPr>
            <w:tcW w:w="678" w:type="pct"/>
            <w:tcBorders>
              <w:top w:val="nil"/>
              <w:left w:val="nil"/>
              <w:bottom w:val="nil"/>
              <w:right w:val="nil"/>
            </w:tcBorders>
            <w:shd w:val="clear" w:color="auto" w:fill="auto"/>
            <w:noWrap/>
            <w:vAlign w:val="bottom"/>
          </w:tcPr>
          <w:p w14:paraId="5A550A51"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7" w:type="pct"/>
            <w:tcBorders>
              <w:top w:val="nil"/>
              <w:left w:val="nil"/>
              <w:bottom w:val="nil"/>
              <w:right w:val="nil"/>
            </w:tcBorders>
            <w:shd w:val="clear" w:color="auto" w:fill="auto"/>
            <w:noWrap/>
            <w:vAlign w:val="bottom"/>
          </w:tcPr>
          <w:p w14:paraId="0B79ACC1"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5" w:type="pct"/>
            <w:tcBorders>
              <w:top w:val="nil"/>
              <w:left w:val="nil"/>
              <w:bottom w:val="nil"/>
              <w:right w:val="nil"/>
            </w:tcBorders>
            <w:shd w:val="clear" w:color="auto" w:fill="auto"/>
            <w:noWrap/>
            <w:vAlign w:val="bottom"/>
          </w:tcPr>
          <w:p w14:paraId="55E52E18" w14:textId="77777777" w:rsidR="00260796" w:rsidRPr="00EA3D8C" w:rsidRDefault="00260796" w:rsidP="00161001">
            <w:pPr>
              <w:jc w:val="center"/>
              <w:rPr>
                <w:color w:val="002060"/>
                <w:sz w:val="18"/>
                <w:lang w:val="sr-Cyrl-RS"/>
              </w:rPr>
            </w:pPr>
            <w:r w:rsidRPr="00EA3D8C">
              <w:rPr>
                <w:color w:val="002060"/>
                <w:sz w:val="18"/>
                <w:lang w:val="sr-Cyrl-RS"/>
              </w:rPr>
              <w:t>0,0</w:t>
            </w:r>
          </w:p>
        </w:tc>
      </w:tr>
      <w:tr w:rsidR="00260796" w:rsidRPr="00EA3D8C" w14:paraId="0196AE04" w14:textId="77777777" w:rsidTr="00D751D5">
        <w:trPr>
          <w:trHeight w:val="282"/>
          <w:jc w:val="center"/>
        </w:trPr>
        <w:tc>
          <w:tcPr>
            <w:tcW w:w="2293" w:type="pct"/>
            <w:noWrap/>
            <w:vAlign w:val="center"/>
            <w:hideMark/>
          </w:tcPr>
          <w:p w14:paraId="5AAEDC6D"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Извоз робе и услуга</w:t>
            </w:r>
          </w:p>
        </w:tc>
        <w:tc>
          <w:tcPr>
            <w:tcW w:w="677" w:type="pct"/>
            <w:tcBorders>
              <w:top w:val="nil"/>
              <w:left w:val="nil"/>
              <w:bottom w:val="nil"/>
              <w:right w:val="nil"/>
            </w:tcBorders>
            <w:shd w:val="clear" w:color="auto" w:fill="auto"/>
            <w:noWrap/>
            <w:vAlign w:val="bottom"/>
          </w:tcPr>
          <w:p w14:paraId="014B1FA3" w14:textId="77777777" w:rsidR="00260796" w:rsidRPr="00EA3D8C" w:rsidRDefault="00260796" w:rsidP="00161001">
            <w:pPr>
              <w:jc w:val="center"/>
              <w:rPr>
                <w:color w:val="002060"/>
                <w:sz w:val="18"/>
                <w:lang w:val="sr-Cyrl-RS"/>
              </w:rPr>
            </w:pPr>
            <w:r w:rsidRPr="00EA3D8C">
              <w:rPr>
                <w:color w:val="002060"/>
                <w:sz w:val="18"/>
                <w:lang w:val="sr-Cyrl-RS"/>
              </w:rPr>
              <w:t>-6,9</w:t>
            </w:r>
          </w:p>
        </w:tc>
        <w:tc>
          <w:tcPr>
            <w:tcW w:w="678" w:type="pct"/>
            <w:tcBorders>
              <w:top w:val="nil"/>
              <w:left w:val="nil"/>
              <w:bottom w:val="nil"/>
              <w:right w:val="nil"/>
            </w:tcBorders>
            <w:shd w:val="clear" w:color="auto" w:fill="auto"/>
            <w:noWrap/>
            <w:vAlign w:val="bottom"/>
          </w:tcPr>
          <w:p w14:paraId="3A09621E" w14:textId="77777777" w:rsidR="00260796" w:rsidRPr="00EA3D8C" w:rsidRDefault="00260796" w:rsidP="00161001">
            <w:pPr>
              <w:jc w:val="center"/>
              <w:rPr>
                <w:color w:val="002060"/>
                <w:sz w:val="18"/>
                <w:lang w:val="sr-Cyrl-RS"/>
              </w:rPr>
            </w:pPr>
            <w:r w:rsidRPr="00EA3D8C">
              <w:rPr>
                <w:color w:val="002060"/>
                <w:sz w:val="18"/>
                <w:lang w:val="sr-Cyrl-RS"/>
              </w:rPr>
              <w:t>9,6</w:t>
            </w:r>
          </w:p>
        </w:tc>
        <w:tc>
          <w:tcPr>
            <w:tcW w:w="677" w:type="pct"/>
            <w:tcBorders>
              <w:top w:val="nil"/>
              <w:left w:val="nil"/>
              <w:bottom w:val="nil"/>
              <w:right w:val="nil"/>
            </w:tcBorders>
            <w:shd w:val="clear" w:color="auto" w:fill="auto"/>
            <w:noWrap/>
            <w:vAlign w:val="bottom"/>
          </w:tcPr>
          <w:p w14:paraId="1505F1B1" w14:textId="77777777" w:rsidR="00260796" w:rsidRPr="00EA3D8C" w:rsidRDefault="00260796" w:rsidP="00161001">
            <w:pPr>
              <w:jc w:val="center"/>
              <w:rPr>
                <w:color w:val="002060"/>
                <w:sz w:val="18"/>
                <w:lang w:val="sr-Cyrl-RS"/>
              </w:rPr>
            </w:pPr>
            <w:r w:rsidRPr="00EA3D8C">
              <w:rPr>
                <w:color w:val="002060"/>
                <w:sz w:val="18"/>
                <w:lang w:val="sr-Cyrl-RS"/>
              </w:rPr>
              <w:t>9,1</w:t>
            </w:r>
          </w:p>
        </w:tc>
        <w:tc>
          <w:tcPr>
            <w:tcW w:w="675" w:type="pct"/>
            <w:tcBorders>
              <w:top w:val="nil"/>
              <w:left w:val="nil"/>
              <w:bottom w:val="nil"/>
              <w:right w:val="nil"/>
            </w:tcBorders>
            <w:shd w:val="clear" w:color="auto" w:fill="auto"/>
            <w:noWrap/>
            <w:vAlign w:val="bottom"/>
          </w:tcPr>
          <w:p w14:paraId="2015DB9C" w14:textId="77777777" w:rsidR="00260796" w:rsidRPr="00EA3D8C" w:rsidRDefault="00260796" w:rsidP="00161001">
            <w:pPr>
              <w:jc w:val="center"/>
              <w:rPr>
                <w:color w:val="002060"/>
                <w:sz w:val="18"/>
                <w:lang w:val="sr-Cyrl-RS"/>
              </w:rPr>
            </w:pPr>
            <w:r w:rsidRPr="00EA3D8C">
              <w:rPr>
                <w:color w:val="002060"/>
                <w:sz w:val="18"/>
                <w:lang w:val="sr-Cyrl-RS"/>
              </w:rPr>
              <w:t>9,3</w:t>
            </w:r>
          </w:p>
        </w:tc>
      </w:tr>
      <w:tr w:rsidR="00260796" w:rsidRPr="00EA3D8C" w14:paraId="6AFBF96C" w14:textId="77777777" w:rsidTr="00D751D5">
        <w:trPr>
          <w:trHeight w:val="282"/>
          <w:jc w:val="center"/>
        </w:trPr>
        <w:tc>
          <w:tcPr>
            <w:tcW w:w="2293" w:type="pct"/>
            <w:noWrap/>
            <w:vAlign w:val="center"/>
          </w:tcPr>
          <w:p w14:paraId="0C9E87BA"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bCs/>
                <w:color w:val="002060"/>
                <w:sz w:val="18"/>
                <w:szCs w:val="18"/>
                <w:lang w:val="sr-Cyrl-RS"/>
              </w:rPr>
              <w:t>Увоз робе и услуга</w:t>
            </w:r>
          </w:p>
        </w:tc>
        <w:tc>
          <w:tcPr>
            <w:tcW w:w="677" w:type="pct"/>
            <w:tcBorders>
              <w:top w:val="nil"/>
              <w:left w:val="nil"/>
              <w:bottom w:val="nil"/>
              <w:right w:val="nil"/>
            </w:tcBorders>
            <w:shd w:val="clear" w:color="auto" w:fill="auto"/>
            <w:noWrap/>
            <w:vAlign w:val="bottom"/>
          </w:tcPr>
          <w:p w14:paraId="38C9ADDC" w14:textId="77777777" w:rsidR="00260796" w:rsidRPr="00EA3D8C" w:rsidRDefault="00260796" w:rsidP="00161001">
            <w:pPr>
              <w:jc w:val="center"/>
              <w:rPr>
                <w:color w:val="002060"/>
                <w:sz w:val="18"/>
                <w:lang w:val="sr-Cyrl-RS"/>
              </w:rPr>
            </w:pPr>
            <w:r w:rsidRPr="00EA3D8C">
              <w:rPr>
                <w:color w:val="002060"/>
                <w:sz w:val="18"/>
                <w:lang w:val="sr-Cyrl-RS"/>
              </w:rPr>
              <w:t>-6,5</w:t>
            </w:r>
          </w:p>
        </w:tc>
        <w:tc>
          <w:tcPr>
            <w:tcW w:w="678" w:type="pct"/>
            <w:tcBorders>
              <w:top w:val="nil"/>
              <w:left w:val="nil"/>
              <w:bottom w:val="nil"/>
              <w:right w:val="nil"/>
            </w:tcBorders>
            <w:shd w:val="clear" w:color="auto" w:fill="auto"/>
            <w:noWrap/>
            <w:vAlign w:val="bottom"/>
          </w:tcPr>
          <w:p w14:paraId="2C1F943F" w14:textId="77777777" w:rsidR="00260796" w:rsidRPr="00EA3D8C" w:rsidRDefault="00260796" w:rsidP="00161001">
            <w:pPr>
              <w:jc w:val="center"/>
              <w:rPr>
                <w:color w:val="002060"/>
                <w:sz w:val="18"/>
                <w:lang w:val="sr-Cyrl-RS"/>
              </w:rPr>
            </w:pPr>
            <w:r w:rsidRPr="00EA3D8C">
              <w:rPr>
                <w:color w:val="002060"/>
                <w:sz w:val="18"/>
                <w:lang w:val="sr-Cyrl-RS"/>
              </w:rPr>
              <w:t>9,3</w:t>
            </w:r>
          </w:p>
        </w:tc>
        <w:tc>
          <w:tcPr>
            <w:tcW w:w="677" w:type="pct"/>
            <w:tcBorders>
              <w:top w:val="nil"/>
              <w:left w:val="nil"/>
              <w:bottom w:val="nil"/>
              <w:right w:val="nil"/>
            </w:tcBorders>
            <w:shd w:val="clear" w:color="auto" w:fill="auto"/>
            <w:noWrap/>
            <w:vAlign w:val="bottom"/>
          </w:tcPr>
          <w:p w14:paraId="52870369" w14:textId="77777777" w:rsidR="00260796" w:rsidRPr="00EA3D8C" w:rsidRDefault="00260796" w:rsidP="00161001">
            <w:pPr>
              <w:jc w:val="center"/>
              <w:rPr>
                <w:color w:val="002060"/>
                <w:sz w:val="18"/>
                <w:lang w:val="sr-Cyrl-RS"/>
              </w:rPr>
            </w:pPr>
            <w:r w:rsidRPr="00EA3D8C">
              <w:rPr>
                <w:color w:val="002060"/>
                <w:sz w:val="18"/>
                <w:lang w:val="sr-Cyrl-RS"/>
              </w:rPr>
              <w:t>7,7</w:t>
            </w:r>
          </w:p>
        </w:tc>
        <w:tc>
          <w:tcPr>
            <w:tcW w:w="675" w:type="pct"/>
            <w:tcBorders>
              <w:top w:val="nil"/>
              <w:left w:val="nil"/>
              <w:bottom w:val="nil"/>
              <w:right w:val="nil"/>
            </w:tcBorders>
            <w:shd w:val="clear" w:color="auto" w:fill="auto"/>
            <w:noWrap/>
            <w:vAlign w:val="bottom"/>
          </w:tcPr>
          <w:p w14:paraId="209ABAC6" w14:textId="77777777" w:rsidR="00260796" w:rsidRPr="00EA3D8C" w:rsidRDefault="00260796" w:rsidP="00161001">
            <w:pPr>
              <w:jc w:val="center"/>
              <w:rPr>
                <w:color w:val="002060"/>
                <w:sz w:val="18"/>
                <w:lang w:val="sr-Cyrl-RS"/>
              </w:rPr>
            </w:pPr>
            <w:r w:rsidRPr="00EA3D8C">
              <w:rPr>
                <w:color w:val="002060"/>
                <w:sz w:val="18"/>
                <w:lang w:val="sr-Cyrl-RS"/>
              </w:rPr>
              <w:t>7,8</w:t>
            </w:r>
          </w:p>
        </w:tc>
      </w:tr>
      <w:tr w:rsidR="00260796" w:rsidRPr="00EA3D8C" w14:paraId="15EA232C" w14:textId="77777777" w:rsidTr="00D751D5">
        <w:trPr>
          <w:trHeight w:val="282"/>
          <w:jc w:val="center"/>
        </w:trPr>
        <w:tc>
          <w:tcPr>
            <w:tcW w:w="2293" w:type="pct"/>
            <w:shd w:val="clear" w:color="auto" w:fill="E7E6E6" w:themeFill="background2"/>
            <w:noWrap/>
            <w:vAlign w:val="center"/>
            <w:hideMark/>
          </w:tcPr>
          <w:p w14:paraId="5F9C869D" w14:textId="77777777" w:rsidR="00260796" w:rsidRPr="00EA3D8C" w:rsidRDefault="00260796" w:rsidP="00161001">
            <w:pPr>
              <w:jc w:val="left"/>
              <w:rPr>
                <w:rFonts w:eastAsia="Calibri" w:cstheme="minorHAnsi"/>
                <w:bCs/>
                <w:iCs/>
                <w:color w:val="002060"/>
                <w:sz w:val="18"/>
                <w:szCs w:val="18"/>
                <w:lang w:val="sr-Cyrl-RS"/>
              </w:rPr>
            </w:pPr>
            <w:r w:rsidRPr="00EA3D8C">
              <w:rPr>
                <w:rFonts w:eastAsia="Calibri" w:cstheme="minorHAnsi"/>
                <w:iCs/>
                <w:color w:val="002060"/>
                <w:sz w:val="18"/>
                <w:szCs w:val="18"/>
                <w:lang w:val="sr-Cyrl-RS"/>
              </w:rPr>
              <w:t>Допринос расту БДП</w:t>
            </w:r>
            <w:r w:rsidRPr="00EA3D8C">
              <w:rPr>
                <w:rFonts w:eastAsia="Calibri" w:cstheme="minorHAnsi"/>
                <w:bCs/>
                <w:iCs/>
                <w:color w:val="002060"/>
                <w:sz w:val="18"/>
                <w:szCs w:val="18"/>
                <w:lang w:val="sr-Cyrl-RS"/>
              </w:rPr>
              <w:t>, процентни поени</w:t>
            </w:r>
          </w:p>
        </w:tc>
        <w:tc>
          <w:tcPr>
            <w:tcW w:w="677" w:type="pct"/>
            <w:shd w:val="clear" w:color="auto" w:fill="E7E6E6" w:themeFill="background2"/>
            <w:noWrap/>
            <w:vAlign w:val="center"/>
          </w:tcPr>
          <w:p w14:paraId="12E521E9" w14:textId="77777777" w:rsidR="00260796" w:rsidRPr="00EA3D8C" w:rsidRDefault="00260796" w:rsidP="00161001">
            <w:pPr>
              <w:jc w:val="center"/>
              <w:rPr>
                <w:rFonts w:eastAsia="Calibri" w:cstheme="minorHAnsi"/>
                <w:iCs/>
                <w:color w:val="002060"/>
                <w:sz w:val="18"/>
                <w:szCs w:val="18"/>
                <w:lang w:val="sr-Cyrl-RS"/>
              </w:rPr>
            </w:pPr>
          </w:p>
        </w:tc>
        <w:tc>
          <w:tcPr>
            <w:tcW w:w="678" w:type="pct"/>
            <w:shd w:val="clear" w:color="auto" w:fill="E7E6E6" w:themeFill="background2"/>
            <w:noWrap/>
            <w:vAlign w:val="center"/>
          </w:tcPr>
          <w:p w14:paraId="7B529832" w14:textId="77777777" w:rsidR="00260796" w:rsidRPr="00EA3D8C" w:rsidRDefault="00260796" w:rsidP="00161001">
            <w:pPr>
              <w:jc w:val="center"/>
              <w:rPr>
                <w:rFonts w:eastAsia="Calibri" w:cstheme="minorHAnsi"/>
                <w:color w:val="002060"/>
                <w:sz w:val="18"/>
                <w:szCs w:val="18"/>
                <w:lang w:val="sr-Cyrl-RS"/>
              </w:rPr>
            </w:pPr>
          </w:p>
        </w:tc>
        <w:tc>
          <w:tcPr>
            <w:tcW w:w="677" w:type="pct"/>
            <w:shd w:val="clear" w:color="auto" w:fill="E7E6E6" w:themeFill="background2"/>
            <w:noWrap/>
            <w:vAlign w:val="center"/>
          </w:tcPr>
          <w:p w14:paraId="2AA5AAFB" w14:textId="77777777" w:rsidR="00260796" w:rsidRPr="00EA3D8C" w:rsidRDefault="00260796" w:rsidP="00161001">
            <w:pPr>
              <w:jc w:val="center"/>
              <w:rPr>
                <w:rFonts w:eastAsia="Calibri" w:cstheme="minorHAnsi"/>
                <w:color w:val="002060"/>
                <w:sz w:val="18"/>
                <w:szCs w:val="18"/>
                <w:lang w:val="sr-Cyrl-RS"/>
              </w:rPr>
            </w:pPr>
          </w:p>
        </w:tc>
        <w:tc>
          <w:tcPr>
            <w:tcW w:w="675" w:type="pct"/>
            <w:shd w:val="clear" w:color="auto" w:fill="E7E6E6" w:themeFill="background2"/>
            <w:noWrap/>
            <w:vAlign w:val="center"/>
          </w:tcPr>
          <w:p w14:paraId="309D198E" w14:textId="77777777" w:rsidR="00260796" w:rsidRPr="00EA3D8C" w:rsidRDefault="00260796" w:rsidP="00161001">
            <w:pPr>
              <w:jc w:val="center"/>
              <w:rPr>
                <w:rFonts w:eastAsia="Calibri" w:cstheme="minorHAnsi"/>
                <w:color w:val="002060"/>
                <w:sz w:val="18"/>
                <w:szCs w:val="18"/>
                <w:lang w:val="sr-Cyrl-RS"/>
              </w:rPr>
            </w:pPr>
          </w:p>
        </w:tc>
      </w:tr>
      <w:tr w:rsidR="00260796" w:rsidRPr="00EA3D8C" w14:paraId="1CFD6B16" w14:textId="77777777" w:rsidTr="00D751D5">
        <w:trPr>
          <w:trHeight w:val="282"/>
          <w:jc w:val="center"/>
        </w:trPr>
        <w:tc>
          <w:tcPr>
            <w:tcW w:w="2293" w:type="pct"/>
            <w:noWrap/>
            <w:vAlign w:val="center"/>
            <w:hideMark/>
          </w:tcPr>
          <w:p w14:paraId="52540681"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Домаћа тражња</w:t>
            </w:r>
          </w:p>
        </w:tc>
        <w:tc>
          <w:tcPr>
            <w:tcW w:w="677" w:type="pct"/>
            <w:tcBorders>
              <w:top w:val="nil"/>
              <w:left w:val="nil"/>
              <w:bottom w:val="nil"/>
              <w:right w:val="nil"/>
            </w:tcBorders>
            <w:shd w:val="clear" w:color="auto" w:fill="auto"/>
            <w:noWrap/>
            <w:vAlign w:val="bottom"/>
          </w:tcPr>
          <w:p w14:paraId="7C8A738D" w14:textId="77777777" w:rsidR="00260796" w:rsidRPr="00EA3D8C" w:rsidRDefault="00260796" w:rsidP="00161001">
            <w:pPr>
              <w:jc w:val="center"/>
              <w:rPr>
                <w:color w:val="002060"/>
                <w:sz w:val="18"/>
                <w:lang w:val="sr-Cyrl-RS"/>
              </w:rPr>
            </w:pPr>
            <w:r w:rsidRPr="00EA3D8C">
              <w:rPr>
                <w:color w:val="002060"/>
                <w:sz w:val="18"/>
                <w:lang w:val="sr-Cyrl-RS"/>
              </w:rPr>
              <w:t>-1,5</w:t>
            </w:r>
          </w:p>
        </w:tc>
        <w:tc>
          <w:tcPr>
            <w:tcW w:w="678" w:type="pct"/>
            <w:tcBorders>
              <w:top w:val="nil"/>
              <w:left w:val="nil"/>
              <w:bottom w:val="nil"/>
              <w:right w:val="nil"/>
            </w:tcBorders>
            <w:shd w:val="clear" w:color="auto" w:fill="auto"/>
            <w:noWrap/>
            <w:vAlign w:val="bottom"/>
          </w:tcPr>
          <w:p w14:paraId="667FEF9E" w14:textId="77777777" w:rsidR="00260796" w:rsidRPr="00EA3D8C" w:rsidRDefault="00260796" w:rsidP="00161001">
            <w:pPr>
              <w:jc w:val="center"/>
              <w:rPr>
                <w:color w:val="002060"/>
                <w:sz w:val="18"/>
                <w:lang w:val="sr-Cyrl-RS"/>
              </w:rPr>
            </w:pPr>
            <w:r w:rsidRPr="00EA3D8C">
              <w:rPr>
                <w:color w:val="002060"/>
                <w:sz w:val="18"/>
                <w:lang w:val="sr-Cyrl-RS"/>
              </w:rPr>
              <w:t>6,8</w:t>
            </w:r>
          </w:p>
        </w:tc>
        <w:tc>
          <w:tcPr>
            <w:tcW w:w="677" w:type="pct"/>
            <w:tcBorders>
              <w:top w:val="nil"/>
              <w:left w:val="nil"/>
              <w:bottom w:val="nil"/>
              <w:right w:val="nil"/>
            </w:tcBorders>
            <w:shd w:val="clear" w:color="auto" w:fill="auto"/>
            <w:noWrap/>
            <w:vAlign w:val="bottom"/>
          </w:tcPr>
          <w:p w14:paraId="551862EE" w14:textId="77777777" w:rsidR="00260796" w:rsidRPr="00EA3D8C" w:rsidRDefault="00260796" w:rsidP="00161001">
            <w:pPr>
              <w:jc w:val="center"/>
              <w:rPr>
                <w:color w:val="002060"/>
                <w:sz w:val="18"/>
                <w:lang w:val="sr-Cyrl-RS"/>
              </w:rPr>
            </w:pPr>
            <w:r w:rsidRPr="00EA3D8C">
              <w:rPr>
                <w:color w:val="002060"/>
                <w:sz w:val="18"/>
                <w:lang w:val="sr-Cyrl-RS"/>
              </w:rPr>
              <w:t>4,1</w:t>
            </w:r>
          </w:p>
        </w:tc>
        <w:tc>
          <w:tcPr>
            <w:tcW w:w="675" w:type="pct"/>
            <w:tcBorders>
              <w:top w:val="nil"/>
              <w:left w:val="nil"/>
              <w:bottom w:val="nil"/>
              <w:right w:val="nil"/>
            </w:tcBorders>
            <w:shd w:val="clear" w:color="auto" w:fill="auto"/>
            <w:noWrap/>
            <w:vAlign w:val="bottom"/>
          </w:tcPr>
          <w:p w14:paraId="239818D5" w14:textId="77777777" w:rsidR="00260796" w:rsidRPr="00EA3D8C" w:rsidRDefault="00260796" w:rsidP="00161001">
            <w:pPr>
              <w:jc w:val="center"/>
              <w:rPr>
                <w:color w:val="002060"/>
                <w:sz w:val="18"/>
                <w:lang w:val="sr-Cyrl-RS"/>
              </w:rPr>
            </w:pPr>
            <w:r w:rsidRPr="00EA3D8C">
              <w:rPr>
                <w:color w:val="002060"/>
                <w:sz w:val="18"/>
                <w:lang w:val="sr-Cyrl-RS"/>
              </w:rPr>
              <w:t>4,0</w:t>
            </w:r>
          </w:p>
        </w:tc>
      </w:tr>
      <w:tr w:rsidR="00260796" w:rsidRPr="00EA3D8C" w14:paraId="4ACC1D56" w14:textId="77777777" w:rsidTr="00D751D5">
        <w:trPr>
          <w:trHeight w:val="282"/>
          <w:jc w:val="center"/>
        </w:trPr>
        <w:tc>
          <w:tcPr>
            <w:tcW w:w="2293" w:type="pct"/>
            <w:noWrap/>
            <w:vAlign w:val="center"/>
            <w:hideMark/>
          </w:tcPr>
          <w:p w14:paraId="4101FE50"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Инвестициона потрошња</w:t>
            </w:r>
          </w:p>
        </w:tc>
        <w:tc>
          <w:tcPr>
            <w:tcW w:w="677" w:type="pct"/>
            <w:tcBorders>
              <w:top w:val="nil"/>
              <w:left w:val="nil"/>
              <w:bottom w:val="nil"/>
              <w:right w:val="nil"/>
            </w:tcBorders>
            <w:shd w:val="clear" w:color="auto" w:fill="auto"/>
            <w:noWrap/>
            <w:vAlign w:val="bottom"/>
          </w:tcPr>
          <w:p w14:paraId="04861C4E" w14:textId="77777777" w:rsidR="00260796" w:rsidRPr="00EA3D8C" w:rsidRDefault="00260796" w:rsidP="00161001">
            <w:pPr>
              <w:jc w:val="center"/>
              <w:rPr>
                <w:color w:val="002060"/>
                <w:sz w:val="18"/>
                <w:lang w:val="sr-Cyrl-RS"/>
              </w:rPr>
            </w:pPr>
            <w:r w:rsidRPr="00EA3D8C">
              <w:rPr>
                <w:color w:val="002060"/>
                <w:sz w:val="18"/>
                <w:lang w:val="sr-Cyrl-RS"/>
              </w:rPr>
              <w:t>-1,1</w:t>
            </w:r>
          </w:p>
        </w:tc>
        <w:tc>
          <w:tcPr>
            <w:tcW w:w="678" w:type="pct"/>
            <w:tcBorders>
              <w:top w:val="nil"/>
              <w:left w:val="nil"/>
              <w:bottom w:val="nil"/>
              <w:right w:val="nil"/>
            </w:tcBorders>
            <w:shd w:val="clear" w:color="auto" w:fill="auto"/>
            <w:noWrap/>
            <w:vAlign w:val="bottom"/>
          </w:tcPr>
          <w:p w14:paraId="27F89CA0" w14:textId="77777777" w:rsidR="00260796" w:rsidRPr="00EA3D8C" w:rsidRDefault="00260796" w:rsidP="00161001">
            <w:pPr>
              <w:jc w:val="center"/>
              <w:rPr>
                <w:color w:val="002060"/>
                <w:sz w:val="18"/>
                <w:lang w:val="sr-Cyrl-RS"/>
              </w:rPr>
            </w:pPr>
            <w:r w:rsidRPr="00EA3D8C">
              <w:rPr>
                <w:color w:val="002060"/>
                <w:sz w:val="18"/>
                <w:lang w:val="sr-Cyrl-RS"/>
              </w:rPr>
              <w:t>3,0</w:t>
            </w:r>
          </w:p>
        </w:tc>
        <w:tc>
          <w:tcPr>
            <w:tcW w:w="677" w:type="pct"/>
            <w:tcBorders>
              <w:top w:val="nil"/>
              <w:left w:val="nil"/>
              <w:bottom w:val="nil"/>
              <w:right w:val="nil"/>
            </w:tcBorders>
            <w:shd w:val="clear" w:color="auto" w:fill="auto"/>
            <w:noWrap/>
            <w:vAlign w:val="bottom"/>
          </w:tcPr>
          <w:p w14:paraId="079D7A20" w14:textId="77777777" w:rsidR="00260796" w:rsidRPr="00EA3D8C" w:rsidRDefault="00260796" w:rsidP="00161001">
            <w:pPr>
              <w:jc w:val="center"/>
              <w:rPr>
                <w:color w:val="002060"/>
                <w:sz w:val="18"/>
                <w:lang w:val="sr-Cyrl-RS"/>
              </w:rPr>
            </w:pPr>
            <w:r w:rsidRPr="00EA3D8C">
              <w:rPr>
                <w:color w:val="002060"/>
                <w:sz w:val="18"/>
                <w:lang w:val="sr-Cyrl-RS"/>
              </w:rPr>
              <w:t>1,7</w:t>
            </w:r>
          </w:p>
        </w:tc>
        <w:tc>
          <w:tcPr>
            <w:tcW w:w="675" w:type="pct"/>
            <w:tcBorders>
              <w:top w:val="nil"/>
              <w:left w:val="nil"/>
              <w:bottom w:val="nil"/>
              <w:right w:val="nil"/>
            </w:tcBorders>
            <w:shd w:val="clear" w:color="auto" w:fill="auto"/>
            <w:noWrap/>
            <w:vAlign w:val="bottom"/>
          </w:tcPr>
          <w:p w14:paraId="3F62C27D" w14:textId="77777777" w:rsidR="00260796" w:rsidRPr="00EA3D8C" w:rsidRDefault="00260796" w:rsidP="00161001">
            <w:pPr>
              <w:jc w:val="center"/>
              <w:rPr>
                <w:color w:val="002060"/>
                <w:sz w:val="18"/>
                <w:lang w:val="sr-Cyrl-RS"/>
              </w:rPr>
            </w:pPr>
            <w:r w:rsidRPr="00EA3D8C">
              <w:rPr>
                <w:color w:val="002060"/>
                <w:sz w:val="18"/>
                <w:lang w:val="sr-Cyrl-RS"/>
              </w:rPr>
              <w:t>1,8</w:t>
            </w:r>
          </w:p>
        </w:tc>
      </w:tr>
      <w:tr w:rsidR="00260796" w:rsidRPr="00EA3D8C" w14:paraId="15A1A289" w14:textId="77777777" w:rsidTr="00D751D5">
        <w:trPr>
          <w:trHeight w:val="282"/>
          <w:jc w:val="center"/>
        </w:trPr>
        <w:tc>
          <w:tcPr>
            <w:tcW w:w="2293" w:type="pct"/>
            <w:noWrap/>
            <w:vAlign w:val="center"/>
            <w:hideMark/>
          </w:tcPr>
          <w:p w14:paraId="138E439D"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Лична потрошња</w:t>
            </w:r>
          </w:p>
        </w:tc>
        <w:tc>
          <w:tcPr>
            <w:tcW w:w="677" w:type="pct"/>
            <w:tcBorders>
              <w:top w:val="nil"/>
              <w:left w:val="nil"/>
              <w:bottom w:val="nil"/>
              <w:right w:val="nil"/>
            </w:tcBorders>
            <w:shd w:val="clear" w:color="auto" w:fill="auto"/>
            <w:noWrap/>
            <w:vAlign w:val="bottom"/>
          </w:tcPr>
          <w:p w14:paraId="53C48991" w14:textId="77777777" w:rsidR="00260796" w:rsidRPr="00EA3D8C" w:rsidRDefault="00260796" w:rsidP="00161001">
            <w:pPr>
              <w:jc w:val="center"/>
              <w:rPr>
                <w:color w:val="002060"/>
                <w:sz w:val="18"/>
                <w:lang w:val="sr-Cyrl-RS"/>
              </w:rPr>
            </w:pPr>
            <w:r w:rsidRPr="00EA3D8C">
              <w:rPr>
                <w:color w:val="002060"/>
                <w:sz w:val="18"/>
                <w:lang w:val="sr-Cyrl-RS"/>
              </w:rPr>
              <w:t>-1,3</w:t>
            </w:r>
          </w:p>
        </w:tc>
        <w:tc>
          <w:tcPr>
            <w:tcW w:w="678" w:type="pct"/>
            <w:tcBorders>
              <w:top w:val="nil"/>
              <w:left w:val="nil"/>
              <w:bottom w:val="nil"/>
              <w:right w:val="nil"/>
            </w:tcBorders>
            <w:shd w:val="clear" w:color="auto" w:fill="auto"/>
            <w:noWrap/>
            <w:vAlign w:val="bottom"/>
          </w:tcPr>
          <w:p w14:paraId="35DE6DF9" w14:textId="77777777" w:rsidR="00260796" w:rsidRPr="00EA3D8C" w:rsidRDefault="00260796" w:rsidP="00161001">
            <w:pPr>
              <w:jc w:val="center"/>
              <w:rPr>
                <w:color w:val="002060"/>
                <w:sz w:val="18"/>
                <w:lang w:val="sr-Cyrl-RS"/>
              </w:rPr>
            </w:pPr>
            <w:r w:rsidRPr="00EA3D8C">
              <w:rPr>
                <w:color w:val="002060"/>
                <w:sz w:val="18"/>
                <w:lang w:val="sr-Cyrl-RS"/>
              </w:rPr>
              <w:t>3,8</w:t>
            </w:r>
          </w:p>
        </w:tc>
        <w:tc>
          <w:tcPr>
            <w:tcW w:w="677" w:type="pct"/>
            <w:tcBorders>
              <w:top w:val="nil"/>
              <w:left w:val="nil"/>
              <w:bottom w:val="nil"/>
              <w:right w:val="nil"/>
            </w:tcBorders>
            <w:shd w:val="clear" w:color="auto" w:fill="auto"/>
            <w:noWrap/>
            <w:vAlign w:val="bottom"/>
          </w:tcPr>
          <w:p w14:paraId="312DAB52" w14:textId="77777777" w:rsidR="00260796" w:rsidRPr="00EA3D8C" w:rsidRDefault="00260796" w:rsidP="00161001">
            <w:pPr>
              <w:jc w:val="center"/>
              <w:rPr>
                <w:color w:val="002060"/>
                <w:sz w:val="18"/>
                <w:lang w:val="sr-Cyrl-RS"/>
              </w:rPr>
            </w:pPr>
            <w:r w:rsidRPr="00EA3D8C">
              <w:rPr>
                <w:color w:val="002060"/>
                <w:sz w:val="18"/>
                <w:lang w:val="sr-Cyrl-RS"/>
              </w:rPr>
              <w:t>1,9</w:t>
            </w:r>
          </w:p>
        </w:tc>
        <w:tc>
          <w:tcPr>
            <w:tcW w:w="675" w:type="pct"/>
            <w:tcBorders>
              <w:top w:val="nil"/>
              <w:left w:val="nil"/>
              <w:bottom w:val="nil"/>
              <w:right w:val="nil"/>
            </w:tcBorders>
            <w:shd w:val="clear" w:color="auto" w:fill="auto"/>
            <w:noWrap/>
            <w:vAlign w:val="bottom"/>
          </w:tcPr>
          <w:p w14:paraId="401235AA" w14:textId="77777777" w:rsidR="00260796" w:rsidRPr="00EA3D8C" w:rsidRDefault="00260796" w:rsidP="00161001">
            <w:pPr>
              <w:jc w:val="center"/>
              <w:rPr>
                <w:color w:val="002060"/>
                <w:sz w:val="18"/>
                <w:lang w:val="sr-Cyrl-RS"/>
              </w:rPr>
            </w:pPr>
            <w:r w:rsidRPr="00EA3D8C">
              <w:rPr>
                <w:color w:val="002060"/>
                <w:sz w:val="18"/>
                <w:lang w:val="sr-Cyrl-RS"/>
              </w:rPr>
              <w:t>1,9</w:t>
            </w:r>
          </w:p>
        </w:tc>
      </w:tr>
      <w:tr w:rsidR="00260796" w:rsidRPr="00EA3D8C" w14:paraId="2133C81F" w14:textId="77777777" w:rsidTr="00D751D5">
        <w:trPr>
          <w:trHeight w:val="282"/>
          <w:jc w:val="center"/>
        </w:trPr>
        <w:tc>
          <w:tcPr>
            <w:tcW w:w="2293" w:type="pct"/>
            <w:noWrap/>
            <w:vAlign w:val="center"/>
            <w:hideMark/>
          </w:tcPr>
          <w:p w14:paraId="74E52B32"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Државна потрошња</w:t>
            </w:r>
          </w:p>
        </w:tc>
        <w:tc>
          <w:tcPr>
            <w:tcW w:w="677" w:type="pct"/>
            <w:tcBorders>
              <w:top w:val="nil"/>
              <w:left w:val="nil"/>
              <w:bottom w:val="nil"/>
              <w:right w:val="nil"/>
            </w:tcBorders>
            <w:shd w:val="clear" w:color="auto" w:fill="auto"/>
            <w:noWrap/>
            <w:vAlign w:val="bottom"/>
          </w:tcPr>
          <w:p w14:paraId="16B71DAB" w14:textId="1EAF45DE" w:rsidR="00260796" w:rsidRPr="00EA3D8C" w:rsidRDefault="00260796" w:rsidP="00161001">
            <w:pPr>
              <w:jc w:val="center"/>
              <w:rPr>
                <w:color w:val="002060"/>
                <w:sz w:val="18"/>
                <w:lang w:val="sr-Cyrl-RS"/>
              </w:rPr>
            </w:pPr>
            <w:r w:rsidRPr="00EA3D8C">
              <w:rPr>
                <w:color w:val="002060"/>
                <w:sz w:val="18"/>
                <w:lang w:val="sr-Cyrl-RS"/>
              </w:rPr>
              <w:t>0,9</w:t>
            </w:r>
          </w:p>
        </w:tc>
        <w:tc>
          <w:tcPr>
            <w:tcW w:w="678" w:type="pct"/>
            <w:tcBorders>
              <w:top w:val="nil"/>
              <w:left w:val="nil"/>
              <w:bottom w:val="nil"/>
              <w:right w:val="nil"/>
            </w:tcBorders>
            <w:shd w:val="clear" w:color="auto" w:fill="auto"/>
            <w:noWrap/>
            <w:vAlign w:val="bottom"/>
          </w:tcPr>
          <w:p w14:paraId="09F9F062" w14:textId="77777777" w:rsidR="00260796" w:rsidRPr="00EA3D8C" w:rsidRDefault="00260796" w:rsidP="00161001">
            <w:pPr>
              <w:jc w:val="center"/>
              <w:rPr>
                <w:color w:val="002060"/>
                <w:sz w:val="18"/>
                <w:lang w:val="sr-Cyrl-RS"/>
              </w:rPr>
            </w:pPr>
            <w:r w:rsidRPr="00EA3D8C">
              <w:rPr>
                <w:color w:val="002060"/>
                <w:sz w:val="18"/>
                <w:lang w:val="sr-Cyrl-RS"/>
              </w:rPr>
              <w:t>0,1</w:t>
            </w:r>
          </w:p>
        </w:tc>
        <w:tc>
          <w:tcPr>
            <w:tcW w:w="677" w:type="pct"/>
            <w:tcBorders>
              <w:top w:val="nil"/>
              <w:left w:val="nil"/>
              <w:bottom w:val="nil"/>
              <w:right w:val="nil"/>
            </w:tcBorders>
            <w:shd w:val="clear" w:color="auto" w:fill="auto"/>
            <w:noWrap/>
            <w:vAlign w:val="bottom"/>
          </w:tcPr>
          <w:p w14:paraId="5487891C" w14:textId="77777777" w:rsidR="00260796" w:rsidRPr="00EA3D8C" w:rsidRDefault="00260796" w:rsidP="00161001">
            <w:pPr>
              <w:jc w:val="center"/>
              <w:rPr>
                <w:color w:val="002060"/>
                <w:sz w:val="18"/>
                <w:lang w:val="sr-Cyrl-RS"/>
              </w:rPr>
            </w:pPr>
            <w:r w:rsidRPr="00EA3D8C">
              <w:rPr>
                <w:color w:val="002060"/>
                <w:sz w:val="18"/>
                <w:lang w:val="sr-Cyrl-RS"/>
              </w:rPr>
              <w:t>0,4</w:t>
            </w:r>
          </w:p>
        </w:tc>
        <w:tc>
          <w:tcPr>
            <w:tcW w:w="675" w:type="pct"/>
            <w:tcBorders>
              <w:top w:val="nil"/>
              <w:left w:val="nil"/>
              <w:bottom w:val="nil"/>
              <w:right w:val="nil"/>
            </w:tcBorders>
            <w:shd w:val="clear" w:color="auto" w:fill="auto"/>
            <w:noWrap/>
            <w:vAlign w:val="bottom"/>
          </w:tcPr>
          <w:p w14:paraId="6EA3E923" w14:textId="77777777" w:rsidR="00260796" w:rsidRPr="00EA3D8C" w:rsidRDefault="00260796" w:rsidP="00161001">
            <w:pPr>
              <w:jc w:val="center"/>
              <w:rPr>
                <w:color w:val="002060"/>
                <w:sz w:val="18"/>
                <w:lang w:val="sr-Cyrl-RS"/>
              </w:rPr>
            </w:pPr>
            <w:r w:rsidRPr="00EA3D8C">
              <w:rPr>
                <w:color w:val="002060"/>
                <w:sz w:val="18"/>
                <w:lang w:val="sr-Cyrl-RS"/>
              </w:rPr>
              <w:t>0,3</w:t>
            </w:r>
          </w:p>
        </w:tc>
      </w:tr>
      <w:tr w:rsidR="00260796" w:rsidRPr="00EA3D8C" w14:paraId="6117C0F7" w14:textId="77777777" w:rsidTr="00D751D5">
        <w:trPr>
          <w:trHeight w:val="282"/>
          <w:jc w:val="center"/>
        </w:trPr>
        <w:tc>
          <w:tcPr>
            <w:tcW w:w="2293" w:type="pct"/>
            <w:vAlign w:val="center"/>
            <w:hideMark/>
          </w:tcPr>
          <w:p w14:paraId="5A911006"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Промена у залихама</w:t>
            </w:r>
          </w:p>
        </w:tc>
        <w:tc>
          <w:tcPr>
            <w:tcW w:w="677" w:type="pct"/>
            <w:tcBorders>
              <w:top w:val="nil"/>
              <w:left w:val="nil"/>
              <w:bottom w:val="nil"/>
              <w:right w:val="nil"/>
            </w:tcBorders>
            <w:shd w:val="clear" w:color="auto" w:fill="auto"/>
            <w:noWrap/>
            <w:vAlign w:val="bottom"/>
          </w:tcPr>
          <w:p w14:paraId="0A2089F4" w14:textId="45180B4C" w:rsidR="00260796" w:rsidRPr="00EA3D8C" w:rsidRDefault="00260796" w:rsidP="00161001">
            <w:pPr>
              <w:jc w:val="center"/>
              <w:rPr>
                <w:color w:val="002060"/>
                <w:sz w:val="18"/>
                <w:lang w:val="sr-Cyrl-RS"/>
              </w:rPr>
            </w:pPr>
            <w:r w:rsidRPr="00EA3D8C">
              <w:rPr>
                <w:color w:val="002060"/>
                <w:sz w:val="18"/>
                <w:lang w:val="sr-Cyrl-RS"/>
              </w:rPr>
              <w:t>0,0</w:t>
            </w:r>
          </w:p>
        </w:tc>
        <w:tc>
          <w:tcPr>
            <w:tcW w:w="678" w:type="pct"/>
            <w:tcBorders>
              <w:top w:val="nil"/>
              <w:left w:val="nil"/>
              <w:bottom w:val="nil"/>
              <w:right w:val="nil"/>
            </w:tcBorders>
            <w:shd w:val="clear" w:color="auto" w:fill="auto"/>
            <w:noWrap/>
            <w:vAlign w:val="bottom"/>
          </w:tcPr>
          <w:p w14:paraId="1D590BF7"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7" w:type="pct"/>
            <w:tcBorders>
              <w:top w:val="nil"/>
              <w:left w:val="nil"/>
              <w:bottom w:val="nil"/>
              <w:right w:val="nil"/>
            </w:tcBorders>
            <w:shd w:val="clear" w:color="auto" w:fill="auto"/>
            <w:noWrap/>
            <w:vAlign w:val="bottom"/>
          </w:tcPr>
          <w:p w14:paraId="7C2CD0A7"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5" w:type="pct"/>
            <w:tcBorders>
              <w:top w:val="nil"/>
              <w:left w:val="nil"/>
              <w:bottom w:val="nil"/>
              <w:right w:val="nil"/>
            </w:tcBorders>
            <w:shd w:val="clear" w:color="auto" w:fill="auto"/>
            <w:noWrap/>
            <w:vAlign w:val="bottom"/>
          </w:tcPr>
          <w:p w14:paraId="5E4D9346" w14:textId="77777777" w:rsidR="00260796" w:rsidRPr="00EA3D8C" w:rsidRDefault="00260796" w:rsidP="00161001">
            <w:pPr>
              <w:jc w:val="center"/>
              <w:rPr>
                <w:color w:val="002060"/>
                <w:sz w:val="18"/>
                <w:lang w:val="sr-Cyrl-RS"/>
              </w:rPr>
            </w:pPr>
            <w:r w:rsidRPr="00EA3D8C">
              <w:rPr>
                <w:color w:val="002060"/>
                <w:sz w:val="18"/>
                <w:lang w:val="sr-Cyrl-RS"/>
              </w:rPr>
              <w:t>0,0</w:t>
            </w:r>
          </w:p>
        </w:tc>
      </w:tr>
      <w:tr w:rsidR="00260796" w:rsidRPr="00EA3D8C" w14:paraId="1680B28C" w14:textId="77777777" w:rsidTr="00D751D5">
        <w:trPr>
          <w:trHeight w:val="282"/>
          <w:jc w:val="center"/>
        </w:trPr>
        <w:tc>
          <w:tcPr>
            <w:tcW w:w="2293" w:type="pct"/>
            <w:noWrap/>
            <w:vAlign w:val="center"/>
            <w:hideMark/>
          </w:tcPr>
          <w:p w14:paraId="6752AA15"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Нето извоз робе и услуга</w:t>
            </w:r>
          </w:p>
        </w:tc>
        <w:tc>
          <w:tcPr>
            <w:tcW w:w="677" w:type="pct"/>
            <w:tcBorders>
              <w:top w:val="nil"/>
              <w:left w:val="nil"/>
              <w:bottom w:val="nil"/>
              <w:right w:val="nil"/>
            </w:tcBorders>
            <w:shd w:val="clear" w:color="auto" w:fill="auto"/>
            <w:noWrap/>
            <w:vAlign w:val="bottom"/>
          </w:tcPr>
          <w:p w14:paraId="6953C61C" w14:textId="46763E8C" w:rsidR="00260796" w:rsidRPr="00EA3D8C" w:rsidRDefault="00260796" w:rsidP="00161001">
            <w:pPr>
              <w:jc w:val="center"/>
              <w:rPr>
                <w:color w:val="002060"/>
                <w:sz w:val="18"/>
                <w:lang w:val="sr-Cyrl-RS"/>
              </w:rPr>
            </w:pPr>
            <w:r w:rsidRPr="00EA3D8C">
              <w:rPr>
                <w:color w:val="002060"/>
                <w:sz w:val="18"/>
                <w:lang w:val="sr-Cyrl-RS"/>
              </w:rPr>
              <w:t>0,5</w:t>
            </w:r>
          </w:p>
        </w:tc>
        <w:tc>
          <w:tcPr>
            <w:tcW w:w="678" w:type="pct"/>
            <w:tcBorders>
              <w:top w:val="nil"/>
              <w:left w:val="nil"/>
              <w:bottom w:val="nil"/>
              <w:right w:val="nil"/>
            </w:tcBorders>
            <w:shd w:val="clear" w:color="auto" w:fill="auto"/>
            <w:noWrap/>
            <w:vAlign w:val="bottom"/>
          </w:tcPr>
          <w:p w14:paraId="4DE4223F" w14:textId="77777777" w:rsidR="00260796" w:rsidRPr="00EA3D8C" w:rsidRDefault="00260796" w:rsidP="00161001">
            <w:pPr>
              <w:jc w:val="center"/>
              <w:rPr>
                <w:color w:val="002060"/>
                <w:sz w:val="18"/>
                <w:lang w:val="sr-Cyrl-RS"/>
              </w:rPr>
            </w:pPr>
            <w:r w:rsidRPr="00EA3D8C">
              <w:rPr>
                <w:color w:val="002060"/>
                <w:sz w:val="18"/>
                <w:lang w:val="sr-Cyrl-RS"/>
              </w:rPr>
              <w:t>-0,8</w:t>
            </w:r>
          </w:p>
        </w:tc>
        <w:tc>
          <w:tcPr>
            <w:tcW w:w="677" w:type="pct"/>
            <w:tcBorders>
              <w:top w:val="nil"/>
              <w:left w:val="nil"/>
              <w:bottom w:val="nil"/>
              <w:right w:val="nil"/>
            </w:tcBorders>
            <w:shd w:val="clear" w:color="auto" w:fill="auto"/>
            <w:noWrap/>
            <w:vAlign w:val="bottom"/>
          </w:tcPr>
          <w:p w14:paraId="4402B150" w14:textId="77777777" w:rsidR="00260796" w:rsidRPr="00EA3D8C" w:rsidRDefault="00260796" w:rsidP="00161001">
            <w:pPr>
              <w:jc w:val="center"/>
              <w:rPr>
                <w:color w:val="002060"/>
                <w:sz w:val="18"/>
                <w:lang w:val="sr-Cyrl-RS"/>
              </w:rPr>
            </w:pPr>
            <w:r w:rsidRPr="00EA3D8C">
              <w:rPr>
                <w:color w:val="002060"/>
                <w:sz w:val="18"/>
                <w:lang w:val="sr-Cyrl-RS"/>
              </w:rPr>
              <w:t>-0,1</w:t>
            </w:r>
          </w:p>
        </w:tc>
        <w:tc>
          <w:tcPr>
            <w:tcW w:w="675" w:type="pct"/>
            <w:tcBorders>
              <w:top w:val="nil"/>
              <w:left w:val="nil"/>
              <w:bottom w:val="nil"/>
              <w:right w:val="nil"/>
            </w:tcBorders>
            <w:shd w:val="clear" w:color="auto" w:fill="auto"/>
            <w:noWrap/>
            <w:vAlign w:val="bottom"/>
          </w:tcPr>
          <w:p w14:paraId="36592F84" w14:textId="77777777" w:rsidR="00260796" w:rsidRPr="00EA3D8C" w:rsidRDefault="00260796" w:rsidP="00161001">
            <w:pPr>
              <w:jc w:val="center"/>
              <w:rPr>
                <w:color w:val="002060"/>
                <w:sz w:val="18"/>
                <w:lang w:val="sr-Cyrl-RS"/>
              </w:rPr>
            </w:pPr>
            <w:r w:rsidRPr="00EA3D8C">
              <w:rPr>
                <w:color w:val="002060"/>
                <w:sz w:val="18"/>
                <w:lang w:val="sr-Cyrl-RS"/>
              </w:rPr>
              <w:t>0,0</w:t>
            </w:r>
          </w:p>
        </w:tc>
      </w:tr>
      <w:tr w:rsidR="00260796" w:rsidRPr="00EA3D8C" w14:paraId="12E1CF17" w14:textId="77777777" w:rsidTr="00D751D5">
        <w:trPr>
          <w:trHeight w:val="282"/>
          <w:jc w:val="center"/>
        </w:trPr>
        <w:tc>
          <w:tcPr>
            <w:tcW w:w="2293" w:type="pct"/>
            <w:shd w:val="clear" w:color="auto" w:fill="E7E6E6" w:themeFill="background2"/>
            <w:noWrap/>
            <w:vAlign w:val="center"/>
            <w:hideMark/>
          </w:tcPr>
          <w:p w14:paraId="624E654C" w14:textId="6B1B8BB3" w:rsidR="00260796" w:rsidRPr="00EA3D8C" w:rsidRDefault="00260796" w:rsidP="00FF6648">
            <w:pPr>
              <w:jc w:val="left"/>
              <w:rPr>
                <w:rFonts w:eastAsia="Calibri" w:cstheme="minorHAnsi"/>
                <w:bCs/>
                <w:color w:val="002060"/>
                <w:sz w:val="18"/>
                <w:szCs w:val="18"/>
                <w:lang w:val="sr-Cyrl-RS"/>
              </w:rPr>
            </w:pPr>
            <w:r w:rsidRPr="00EA3D8C">
              <w:rPr>
                <w:rFonts w:eastAsia="Calibri" w:cstheme="minorHAnsi"/>
                <w:iCs/>
                <w:color w:val="002060"/>
                <w:sz w:val="18"/>
                <w:szCs w:val="18"/>
                <w:lang w:val="sr-Cyrl-RS"/>
              </w:rPr>
              <w:t xml:space="preserve">Раст </w:t>
            </w:r>
            <w:r w:rsidR="00FF6648">
              <w:rPr>
                <w:rFonts w:eastAsia="Calibri" w:cstheme="minorHAnsi"/>
                <w:iCs/>
                <w:color w:val="002060"/>
                <w:sz w:val="18"/>
                <w:szCs w:val="18"/>
                <w:lang w:val="sr-Cyrl-RS"/>
              </w:rPr>
              <w:t>БДВ</w:t>
            </w:r>
            <w:r w:rsidRPr="00EA3D8C">
              <w:rPr>
                <w:rFonts w:eastAsia="Calibri" w:cstheme="minorHAnsi"/>
                <w:iCs/>
                <w:color w:val="002060"/>
                <w:sz w:val="18"/>
                <w:szCs w:val="18"/>
                <w:lang w:val="sr-Cyrl-RS"/>
              </w:rPr>
              <w:t xml:space="preserve"> делатности, %</w:t>
            </w:r>
          </w:p>
        </w:tc>
        <w:tc>
          <w:tcPr>
            <w:tcW w:w="677" w:type="pct"/>
            <w:shd w:val="clear" w:color="auto" w:fill="E7E6E6" w:themeFill="background2"/>
            <w:vAlign w:val="center"/>
          </w:tcPr>
          <w:p w14:paraId="7490F68A" w14:textId="77777777" w:rsidR="00260796" w:rsidRPr="00EA3D8C" w:rsidRDefault="00260796" w:rsidP="00161001">
            <w:pPr>
              <w:jc w:val="center"/>
              <w:rPr>
                <w:rFonts w:eastAsia="Calibri" w:cstheme="minorHAnsi"/>
                <w:bCs/>
                <w:color w:val="002060"/>
                <w:sz w:val="18"/>
                <w:szCs w:val="18"/>
                <w:lang w:val="sr-Cyrl-RS"/>
              </w:rPr>
            </w:pPr>
          </w:p>
        </w:tc>
        <w:tc>
          <w:tcPr>
            <w:tcW w:w="678" w:type="pct"/>
            <w:shd w:val="clear" w:color="auto" w:fill="E7E6E6" w:themeFill="background2"/>
            <w:vAlign w:val="center"/>
          </w:tcPr>
          <w:p w14:paraId="784EF57B" w14:textId="77777777" w:rsidR="00260796" w:rsidRPr="00EA3D8C" w:rsidRDefault="00260796" w:rsidP="00161001">
            <w:pPr>
              <w:jc w:val="center"/>
              <w:rPr>
                <w:rFonts w:eastAsia="Calibri" w:cstheme="minorHAnsi"/>
                <w:bCs/>
                <w:color w:val="002060"/>
                <w:sz w:val="18"/>
                <w:szCs w:val="18"/>
                <w:lang w:val="sr-Cyrl-RS"/>
              </w:rPr>
            </w:pPr>
          </w:p>
        </w:tc>
        <w:tc>
          <w:tcPr>
            <w:tcW w:w="677" w:type="pct"/>
            <w:shd w:val="clear" w:color="auto" w:fill="E7E6E6" w:themeFill="background2"/>
            <w:vAlign w:val="center"/>
          </w:tcPr>
          <w:p w14:paraId="082C5883" w14:textId="77777777" w:rsidR="00260796" w:rsidRPr="00EA3D8C" w:rsidRDefault="00260796" w:rsidP="00161001">
            <w:pPr>
              <w:jc w:val="center"/>
              <w:rPr>
                <w:rFonts w:eastAsia="Calibri" w:cstheme="minorHAnsi"/>
                <w:bCs/>
                <w:color w:val="002060"/>
                <w:sz w:val="18"/>
                <w:szCs w:val="18"/>
                <w:lang w:val="sr-Cyrl-RS"/>
              </w:rPr>
            </w:pPr>
          </w:p>
        </w:tc>
        <w:tc>
          <w:tcPr>
            <w:tcW w:w="675" w:type="pct"/>
            <w:shd w:val="clear" w:color="auto" w:fill="E7E6E6" w:themeFill="background2"/>
            <w:vAlign w:val="center"/>
          </w:tcPr>
          <w:p w14:paraId="284C5190" w14:textId="77777777" w:rsidR="00260796" w:rsidRPr="00EA3D8C" w:rsidRDefault="00260796" w:rsidP="00161001">
            <w:pPr>
              <w:jc w:val="center"/>
              <w:rPr>
                <w:rFonts w:eastAsia="Calibri" w:cstheme="minorHAnsi"/>
                <w:bCs/>
                <w:color w:val="002060"/>
                <w:sz w:val="18"/>
                <w:szCs w:val="18"/>
                <w:lang w:val="sr-Cyrl-RS"/>
              </w:rPr>
            </w:pPr>
          </w:p>
        </w:tc>
      </w:tr>
      <w:tr w:rsidR="00260796" w:rsidRPr="00EA3D8C" w14:paraId="0D274631" w14:textId="77777777" w:rsidTr="00D751D5">
        <w:trPr>
          <w:trHeight w:val="282"/>
          <w:jc w:val="center"/>
        </w:trPr>
        <w:tc>
          <w:tcPr>
            <w:tcW w:w="2293" w:type="pct"/>
            <w:noWrap/>
            <w:vAlign w:val="center"/>
            <w:hideMark/>
          </w:tcPr>
          <w:p w14:paraId="7BD26DA8"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Пољопривреда</w:t>
            </w:r>
          </w:p>
        </w:tc>
        <w:tc>
          <w:tcPr>
            <w:tcW w:w="677" w:type="pct"/>
            <w:tcBorders>
              <w:top w:val="nil"/>
              <w:left w:val="nil"/>
              <w:bottom w:val="nil"/>
              <w:right w:val="nil"/>
            </w:tcBorders>
            <w:shd w:val="clear" w:color="auto" w:fill="auto"/>
            <w:noWrap/>
            <w:vAlign w:val="bottom"/>
          </w:tcPr>
          <w:p w14:paraId="52C5D119" w14:textId="77777777" w:rsidR="00260796" w:rsidRPr="00EA3D8C" w:rsidRDefault="00260796" w:rsidP="00161001">
            <w:pPr>
              <w:jc w:val="center"/>
              <w:rPr>
                <w:color w:val="002060"/>
                <w:sz w:val="18"/>
                <w:lang w:val="sr-Cyrl-RS"/>
              </w:rPr>
            </w:pPr>
            <w:r w:rsidRPr="00EA3D8C">
              <w:rPr>
                <w:color w:val="002060"/>
                <w:sz w:val="18"/>
                <w:lang w:val="sr-Cyrl-RS"/>
              </w:rPr>
              <w:t>4,9</w:t>
            </w:r>
          </w:p>
        </w:tc>
        <w:tc>
          <w:tcPr>
            <w:tcW w:w="678" w:type="pct"/>
            <w:tcBorders>
              <w:top w:val="nil"/>
              <w:left w:val="nil"/>
              <w:bottom w:val="nil"/>
              <w:right w:val="nil"/>
            </w:tcBorders>
            <w:shd w:val="clear" w:color="auto" w:fill="auto"/>
            <w:noWrap/>
            <w:vAlign w:val="bottom"/>
          </w:tcPr>
          <w:p w14:paraId="09F38AB8" w14:textId="77777777" w:rsidR="00260796" w:rsidRPr="00EA3D8C" w:rsidRDefault="00260796" w:rsidP="00161001">
            <w:pPr>
              <w:jc w:val="center"/>
              <w:rPr>
                <w:color w:val="002060"/>
                <w:sz w:val="18"/>
                <w:lang w:val="sr-Cyrl-RS"/>
              </w:rPr>
            </w:pPr>
            <w:r w:rsidRPr="00EA3D8C">
              <w:rPr>
                <w:color w:val="002060"/>
                <w:sz w:val="18"/>
                <w:lang w:val="sr-Cyrl-RS"/>
              </w:rPr>
              <w:t>-4,0</w:t>
            </w:r>
          </w:p>
        </w:tc>
        <w:tc>
          <w:tcPr>
            <w:tcW w:w="677" w:type="pct"/>
            <w:tcBorders>
              <w:top w:val="nil"/>
              <w:left w:val="nil"/>
              <w:bottom w:val="nil"/>
            </w:tcBorders>
            <w:shd w:val="clear" w:color="auto" w:fill="auto"/>
            <w:noWrap/>
            <w:vAlign w:val="bottom"/>
          </w:tcPr>
          <w:p w14:paraId="5F1D7821" w14:textId="77777777" w:rsidR="00260796" w:rsidRPr="00EA3D8C" w:rsidRDefault="00260796" w:rsidP="00161001">
            <w:pPr>
              <w:jc w:val="center"/>
              <w:rPr>
                <w:color w:val="002060"/>
                <w:sz w:val="18"/>
                <w:lang w:val="sr-Cyrl-RS"/>
              </w:rPr>
            </w:pPr>
            <w:r w:rsidRPr="00EA3D8C">
              <w:rPr>
                <w:color w:val="002060"/>
                <w:sz w:val="18"/>
                <w:lang w:val="sr-Cyrl-RS"/>
              </w:rPr>
              <w:t>0,6</w:t>
            </w:r>
          </w:p>
        </w:tc>
        <w:tc>
          <w:tcPr>
            <w:tcW w:w="675" w:type="pct"/>
            <w:tcBorders>
              <w:top w:val="nil"/>
              <w:bottom w:val="nil"/>
            </w:tcBorders>
            <w:shd w:val="clear" w:color="auto" w:fill="auto"/>
            <w:noWrap/>
            <w:vAlign w:val="bottom"/>
          </w:tcPr>
          <w:p w14:paraId="0896682D" w14:textId="77777777" w:rsidR="00260796" w:rsidRPr="00EA3D8C" w:rsidRDefault="00260796" w:rsidP="00161001">
            <w:pPr>
              <w:jc w:val="center"/>
              <w:rPr>
                <w:color w:val="002060"/>
                <w:sz w:val="18"/>
                <w:lang w:val="sr-Cyrl-RS"/>
              </w:rPr>
            </w:pPr>
            <w:r w:rsidRPr="00EA3D8C">
              <w:rPr>
                <w:color w:val="002060"/>
                <w:sz w:val="18"/>
                <w:lang w:val="sr-Cyrl-RS"/>
              </w:rPr>
              <w:t>0,0</w:t>
            </w:r>
          </w:p>
        </w:tc>
      </w:tr>
      <w:tr w:rsidR="00260796" w:rsidRPr="00EA3D8C" w14:paraId="44E8613A" w14:textId="77777777" w:rsidTr="00D751D5">
        <w:trPr>
          <w:trHeight w:val="282"/>
          <w:jc w:val="center"/>
        </w:trPr>
        <w:tc>
          <w:tcPr>
            <w:tcW w:w="2293" w:type="pct"/>
            <w:noWrap/>
            <w:vAlign w:val="center"/>
            <w:hideMark/>
          </w:tcPr>
          <w:p w14:paraId="36BC6FFC"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Индустрија</w:t>
            </w:r>
          </w:p>
        </w:tc>
        <w:tc>
          <w:tcPr>
            <w:tcW w:w="677" w:type="pct"/>
            <w:tcBorders>
              <w:top w:val="nil"/>
              <w:left w:val="nil"/>
              <w:bottom w:val="nil"/>
              <w:right w:val="nil"/>
            </w:tcBorders>
            <w:shd w:val="clear" w:color="auto" w:fill="auto"/>
            <w:noWrap/>
            <w:vAlign w:val="bottom"/>
          </w:tcPr>
          <w:p w14:paraId="7620FA80"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8" w:type="pct"/>
            <w:tcBorders>
              <w:top w:val="nil"/>
              <w:left w:val="nil"/>
              <w:bottom w:val="nil"/>
              <w:right w:val="nil"/>
            </w:tcBorders>
            <w:shd w:val="clear" w:color="auto" w:fill="auto"/>
            <w:noWrap/>
            <w:vAlign w:val="bottom"/>
          </w:tcPr>
          <w:p w14:paraId="6A36E62D" w14:textId="77777777" w:rsidR="00260796" w:rsidRPr="00EA3D8C" w:rsidRDefault="00260796" w:rsidP="00161001">
            <w:pPr>
              <w:jc w:val="center"/>
              <w:rPr>
                <w:color w:val="002060"/>
                <w:sz w:val="18"/>
                <w:lang w:val="sr-Cyrl-RS"/>
              </w:rPr>
            </w:pPr>
            <w:r w:rsidRPr="00EA3D8C">
              <w:rPr>
                <w:color w:val="002060"/>
                <w:sz w:val="18"/>
                <w:lang w:val="sr-Cyrl-RS"/>
              </w:rPr>
              <w:t>5,7</w:t>
            </w:r>
          </w:p>
        </w:tc>
        <w:tc>
          <w:tcPr>
            <w:tcW w:w="677" w:type="pct"/>
            <w:tcBorders>
              <w:top w:val="nil"/>
              <w:left w:val="nil"/>
              <w:bottom w:val="nil"/>
            </w:tcBorders>
            <w:shd w:val="clear" w:color="auto" w:fill="auto"/>
            <w:noWrap/>
            <w:vAlign w:val="bottom"/>
          </w:tcPr>
          <w:p w14:paraId="572938EB" w14:textId="77777777" w:rsidR="00260796" w:rsidRPr="00EA3D8C" w:rsidRDefault="00260796" w:rsidP="00161001">
            <w:pPr>
              <w:jc w:val="center"/>
              <w:rPr>
                <w:color w:val="002060"/>
                <w:sz w:val="18"/>
                <w:lang w:val="sr-Cyrl-RS"/>
              </w:rPr>
            </w:pPr>
            <w:r w:rsidRPr="00EA3D8C">
              <w:rPr>
                <w:color w:val="002060"/>
                <w:sz w:val="18"/>
                <w:lang w:val="sr-Cyrl-RS"/>
              </w:rPr>
              <w:t>4,9</w:t>
            </w:r>
          </w:p>
        </w:tc>
        <w:tc>
          <w:tcPr>
            <w:tcW w:w="675" w:type="pct"/>
            <w:tcBorders>
              <w:top w:val="nil"/>
              <w:bottom w:val="nil"/>
            </w:tcBorders>
            <w:shd w:val="clear" w:color="auto" w:fill="auto"/>
            <w:noWrap/>
            <w:vAlign w:val="bottom"/>
          </w:tcPr>
          <w:p w14:paraId="637970C7" w14:textId="77777777" w:rsidR="00260796" w:rsidRPr="00EA3D8C" w:rsidRDefault="00260796" w:rsidP="00161001">
            <w:pPr>
              <w:jc w:val="center"/>
              <w:rPr>
                <w:color w:val="002060"/>
                <w:sz w:val="18"/>
                <w:lang w:val="sr-Cyrl-RS"/>
              </w:rPr>
            </w:pPr>
            <w:r w:rsidRPr="00EA3D8C">
              <w:rPr>
                <w:color w:val="002060"/>
                <w:sz w:val="18"/>
                <w:lang w:val="sr-Cyrl-RS"/>
              </w:rPr>
              <w:t>5,0</w:t>
            </w:r>
          </w:p>
        </w:tc>
      </w:tr>
      <w:tr w:rsidR="00260796" w:rsidRPr="00EA3D8C" w14:paraId="588CB211" w14:textId="77777777" w:rsidTr="00D751D5">
        <w:trPr>
          <w:trHeight w:val="282"/>
          <w:jc w:val="center"/>
        </w:trPr>
        <w:tc>
          <w:tcPr>
            <w:tcW w:w="2293" w:type="pct"/>
            <w:noWrap/>
            <w:vAlign w:val="center"/>
            <w:hideMark/>
          </w:tcPr>
          <w:p w14:paraId="21E6CD3B"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Грађевинарство</w:t>
            </w:r>
          </w:p>
        </w:tc>
        <w:tc>
          <w:tcPr>
            <w:tcW w:w="677" w:type="pct"/>
            <w:tcBorders>
              <w:top w:val="nil"/>
              <w:left w:val="nil"/>
              <w:bottom w:val="nil"/>
              <w:right w:val="nil"/>
            </w:tcBorders>
            <w:shd w:val="clear" w:color="auto" w:fill="auto"/>
            <w:noWrap/>
            <w:vAlign w:val="bottom"/>
          </w:tcPr>
          <w:p w14:paraId="2E5C1E23" w14:textId="77777777" w:rsidR="00260796" w:rsidRPr="00EA3D8C" w:rsidRDefault="00260796" w:rsidP="00161001">
            <w:pPr>
              <w:jc w:val="center"/>
              <w:rPr>
                <w:color w:val="002060"/>
                <w:sz w:val="18"/>
                <w:lang w:val="sr-Cyrl-RS"/>
              </w:rPr>
            </w:pPr>
            <w:r w:rsidRPr="00EA3D8C">
              <w:rPr>
                <w:color w:val="002060"/>
                <w:sz w:val="18"/>
                <w:lang w:val="sr-Cyrl-RS"/>
              </w:rPr>
              <w:t>-6,0</w:t>
            </w:r>
          </w:p>
        </w:tc>
        <w:tc>
          <w:tcPr>
            <w:tcW w:w="678" w:type="pct"/>
            <w:tcBorders>
              <w:top w:val="nil"/>
              <w:left w:val="nil"/>
              <w:bottom w:val="nil"/>
              <w:right w:val="nil"/>
            </w:tcBorders>
            <w:shd w:val="clear" w:color="auto" w:fill="auto"/>
            <w:noWrap/>
            <w:vAlign w:val="bottom"/>
          </w:tcPr>
          <w:p w14:paraId="1EFCE60E" w14:textId="77777777" w:rsidR="00260796" w:rsidRPr="00EA3D8C" w:rsidRDefault="00260796" w:rsidP="00161001">
            <w:pPr>
              <w:jc w:val="center"/>
              <w:rPr>
                <w:color w:val="002060"/>
                <w:sz w:val="18"/>
                <w:lang w:val="sr-Cyrl-RS"/>
              </w:rPr>
            </w:pPr>
            <w:r w:rsidRPr="00EA3D8C">
              <w:rPr>
                <w:color w:val="002060"/>
                <w:sz w:val="18"/>
                <w:lang w:val="sr-Cyrl-RS"/>
              </w:rPr>
              <w:t>14,6</w:t>
            </w:r>
          </w:p>
        </w:tc>
        <w:tc>
          <w:tcPr>
            <w:tcW w:w="677" w:type="pct"/>
            <w:tcBorders>
              <w:top w:val="nil"/>
              <w:left w:val="nil"/>
              <w:bottom w:val="nil"/>
            </w:tcBorders>
            <w:shd w:val="clear" w:color="auto" w:fill="auto"/>
            <w:noWrap/>
            <w:vAlign w:val="bottom"/>
          </w:tcPr>
          <w:p w14:paraId="6712698C" w14:textId="77777777" w:rsidR="00260796" w:rsidRPr="00EA3D8C" w:rsidRDefault="00260796" w:rsidP="00161001">
            <w:pPr>
              <w:jc w:val="center"/>
              <w:rPr>
                <w:color w:val="002060"/>
                <w:sz w:val="18"/>
                <w:lang w:val="sr-Cyrl-RS"/>
              </w:rPr>
            </w:pPr>
            <w:r w:rsidRPr="00EA3D8C">
              <w:rPr>
                <w:color w:val="002060"/>
                <w:sz w:val="18"/>
                <w:lang w:val="sr-Cyrl-RS"/>
              </w:rPr>
              <w:t>6,2</w:t>
            </w:r>
          </w:p>
        </w:tc>
        <w:tc>
          <w:tcPr>
            <w:tcW w:w="675" w:type="pct"/>
            <w:tcBorders>
              <w:top w:val="nil"/>
              <w:bottom w:val="nil"/>
            </w:tcBorders>
            <w:shd w:val="clear" w:color="auto" w:fill="auto"/>
            <w:noWrap/>
            <w:vAlign w:val="bottom"/>
          </w:tcPr>
          <w:p w14:paraId="4867FE1E" w14:textId="77777777" w:rsidR="00260796" w:rsidRPr="00EA3D8C" w:rsidRDefault="00260796" w:rsidP="00161001">
            <w:pPr>
              <w:jc w:val="center"/>
              <w:rPr>
                <w:color w:val="002060"/>
                <w:sz w:val="18"/>
                <w:lang w:val="sr-Cyrl-RS"/>
              </w:rPr>
            </w:pPr>
            <w:r w:rsidRPr="00EA3D8C">
              <w:rPr>
                <w:color w:val="002060"/>
                <w:sz w:val="18"/>
                <w:lang w:val="sr-Cyrl-RS"/>
              </w:rPr>
              <w:t>7,9</w:t>
            </w:r>
          </w:p>
        </w:tc>
      </w:tr>
      <w:tr w:rsidR="00260796" w:rsidRPr="00EA3D8C" w14:paraId="0E327435" w14:textId="77777777" w:rsidTr="00D751D5">
        <w:trPr>
          <w:trHeight w:val="282"/>
          <w:jc w:val="center"/>
        </w:trPr>
        <w:tc>
          <w:tcPr>
            <w:tcW w:w="2293" w:type="pct"/>
            <w:noWrap/>
            <w:vAlign w:val="center"/>
            <w:hideMark/>
          </w:tcPr>
          <w:p w14:paraId="289828F8"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Услуге</w:t>
            </w:r>
          </w:p>
        </w:tc>
        <w:tc>
          <w:tcPr>
            <w:tcW w:w="677" w:type="pct"/>
            <w:tcBorders>
              <w:top w:val="nil"/>
              <w:left w:val="nil"/>
              <w:bottom w:val="nil"/>
              <w:right w:val="nil"/>
            </w:tcBorders>
            <w:shd w:val="clear" w:color="auto" w:fill="auto"/>
            <w:noWrap/>
            <w:vAlign w:val="bottom"/>
          </w:tcPr>
          <w:p w14:paraId="7068700F" w14:textId="77777777" w:rsidR="00260796" w:rsidRPr="00EA3D8C" w:rsidRDefault="00260796" w:rsidP="00161001">
            <w:pPr>
              <w:jc w:val="center"/>
              <w:rPr>
                <w:color w:val="002060"/>
                <w:sz w:val="18"/>
                <w:lang w:val="sr-Cyrl-RS"/>
              </w:rPr>
            </w:pPr>
            <w:r w:rsidRPr="00EA3D8C">
              <w:rPr>
                <w:color w:val="002060"/>
                <w:sz w:val="18"/>
                <w:lang w:val="sr-Cyrl-RS"/>
              </w:rPr>
              <w:t>-1,5</w:t>
            </w:r>
          </w:p>
        </w:tc>
        <w:tc>
          <w:tcPr>
            <w:tcW w:w="678" w:type="pct"/>
            <w:tcBorders>
              <w:top w:val="nil"/>
              <w:left w:val="nil"/>
              <w:bottom w:val="nil"/>
              <w:right w:val="nil"/>
            </w:tcBorders>
            <w:shd w:val="clear" w:color="auto" w:fill="auto"/>
            <w:noWrap/>
            <w:vAlign w:val="bottom"/>
          </w:tcPr>
          <w:p w14:paraId="719FD19A" w14:textId="77777777" w:rsidR="00260796" w:rsidRPr="00EA3D8C" w:rsidRDefault="00260796" w:rsidP="00161001">
            <w:pPr>
              <w:jc w:val="center"/>
              <w:rPr>
                <w:color w:val="002060"/>
                <w:sz w:val="18"/>
                <w:lang w:val="sr-Cyrl-RS"/>
              </w:rPr>
            </w:pPr>
            <w:r w:rsidRPr="00EA3D8C">
              <w:rPr>
                <w:color w:val="002060"/>
                <w:sz w:val="18"/>
                <w:lang w:val="sr-Cyrl-RS"/>
              </w:rPr>
              <w:t>6,9</w:t>
            </w:r>
          </w:p>
        </w:tc>
        <w:tc>
          <w:tcPr>
            <w:tcW w:w="677" w:type="pct"/>
            <w:tcBorders>
              <w:top w:val="nil"/>
              <w:left w:val="nil"/>
              <w:bottom w:val="nil"/>
            </w:tcBorders>
            <w:shd w:val="clear" w:color="auto" w:fill="auto"/>
            <w:noWrap/>
            <w:vAlign w:val="bottom"/>
          </w:tcPr>
          <w:p w14:paraId="1B38FF5A" w14:textId="77777777" w:rsidR="00260796" w:rsidRPr="00EA3D8C" w:rsidRDefault="00260796" w:rsidP="00161001">
            <w:pPr>
              <w:jc w:val="center"/>
              <w:rPr>
                <w:color w:val="002060"/>
                <w:sz w:val="18"/>
                <w:lang w:val="sr-Cyrl-RS"/>
              </w:rPr>
            </w:pPr>
            <w:r w:rsidRPr="00EA3D8C">
              <w:rPr>
                <w:color w:val="002060"/>
                <w:sz w:val="18"/>
                <w:lang w:val="sr-Cyrl-RS"/>
              </w:rPr>
              <w:t>4,0</w:t>
            </w:r>
          </w:p>
        </w:tc>
        <w:tc>
          <w:tcPr>
            <w:tcW w:w="675" w:type="pct"/>
            <w:tcBorders>
              <w:top w:val="nil"/>
              <w:bottom w:val="nil"/>
            </w:tcBorders>
            <w:shd w:val="clear" w:color="auto" w:fill="auto"/>
            <w:noWrap/>
            <w:vAlign w:val="bottom"/>
          </w:tcPr>
          <w:p w14:paraId="74A8E3A7" w14:textId="77777777" w:rsidR="00260796" w:rsidRPr="00EA3D8C" w:rsidRDefault="00260796" w:rsidP="00161001">
            <w:pPr>
              <w:jc w:val="center"/>
              <w:rPr>
                <w:color w:val="002060"/>
                <w:sz w:val="18"/>
                <w:lang w:val="sr-Cyrl-RS"/>
              </w:rPr>
            </w:pPr>
            <w:r w:rsidRPr="00EA3D8C">
              <w:rPr>
                <w:color w:val="002060"/>
                <w:sz w:val="18"/>
                <w:lang w:val="sr-Cyrl-RS"/>
              </w:rPr>
              <w:t>4,1</w:t>
            </w:r>
          </w:p>
        </w:tc>
      </w:tr>
      <w:tr w:rsidR="00260796" w:rsidRPr="00EA3D8C" w14:paraId="27827EAD" w14:textId="77777777" w:rsidTr="00D751D5">
        <w:trPr>
          <w:trHeight w:val="282"/>
          <w:jc w:val="center"/>
        </w:trPr>
        <w:tc>
          <w:tcPr>
            <w:tcW w:w="2293" w:type="pct"/>
            <w:shd w:val="clear" w:color="auto" w:fill="E7E6E6" w:themeFill="background2"/>
            <w:noWrap/>
            <w:vAlign w:val="center"/>
            <w:hideMark/>
          </w:tcPr>
          <w:p w14:paraId="40A0D684" w14:textId="77777777" w:rsidR="00260796" w:rsidRPr="00EA3D8C" w:rsidRDefault="00260796" w:rsidP="00161001">
            <w:pPr>
              <w:jc w:val="left"/>
              <w:rPr>
                <w:rFonts w:eastAsia="Calibri" w:cstheme="minorHAnsi"/>
                <w:bCs/>
                <w:color w:val="002060"/>
                <w:sz w:val="18"/>
                <w:szCs w:val="18"/>
                <w:lang w:val="sr-Cyrl-RS"/>
              </w:rPr>
            </w:pPr>
            <w:r w:rsidRPr="00EA3D8C">
              <w:rPr>
                <w:rFonts w:eastAsia="Calibri" w:cstheme="minorHAnsi"/>
                <w:iCs/>
                <w:color w:val="002060"/>
                <w:sz w:val="18"/>
                <w:szCs w:val="18"/>
                <w:lang w:val="sr-Cyrl-RS"/>
              </w:rPr>
              <w:t>Допринос расту БДП, процентни поени</w:t>
            </w:r>
          </w:p>
        </w:tc>
        <w:tc>
          <w:tcPr>
            <w:tcW w:w="677" w:type="pct"/>
            <w:shd w:val="clear" w:color="auto" w:fill="E7E6E6" w:themeFill="background2"/>
            <w:vAlign w:val="center"/>
          </w:tcPr>
          <w:p w14:paraId="755267CE" w14:textId="77777777" w:rsidR="00260796" w:rsidRPr="00EA3D8C" w:rsidRDefault="00260796" w:rsidP="00161001">
            <w:pPr>
              <w:jc w:val="center"/>
              <w:rPr>
                <w:rFonts w:eastAsia="Calibri" w:cstheme="minorHAnsi"/>
                <w:bCs/>
                <w:color w:val="002060"/>
                <w:sz w:val="18"/>
                <w:szCs w:val="18"/>
                <w:lang w:val="sr-Cyrl-RS"/>
              </w:rPr>
            </w:pPr>
          </w:p>
        </w:tc>
        <w:tc>
          <w:tcPr>
            <w:tcW w:w="678" w:type="pct"/>
            <w:shd w:val="clear" w:color="auto" w:fill="E7E6E6" w:themeFill="background2"/>
            <w:vAlign w:val="center"/>
          </w:tcPr>
          <w:p w14:paraId="75655294" w14:textId="77777777" w:rsidR="00260796" w:rsidRPr="00EA3D8C" w:rsidRDefault="00260796" w:rsidP="00161001">
            <w:pPr>
              <w:jc w:val="center"/>
              <w:rPr>
                <w:rFonts w:eastAsia="Calibri" w:cstheme="minorHAnsi"/>
                <w:bCs/>
                <w:color w:val="002060"/>
                <w:sz w:val="18"/>
                <w:szCs w:val="18"/>
                <w:lang w:val="sr-Cyrl-RS"/>
              </w:rPr>
            </w:pPr>
          </w:p>
        </w:tc>
        <w:tc>
          <w:tcPr>
            <w:tcW w:w="677" w:type="pct"/>
            <w:shd w:val="clear" w:color="auto" w:fill="E7E6E6" w:themeFill="background2"/>
            <w:vAlign w:val="center"/>
          </w:tcPr>
          <w:p w14:paraId="4B1DE4A3" w14:textId="77777777" w:rsidR="00260796" w:rsidRPr="00EA3D8C" w:rsidRDefault="00260796" w:rsidP="00161001">
            <w:pPr>
              <w:jc w:val="center"/>
              <w:rPr>
                <w:rFonts w:eastAsia="Calibri" w:cstheme="minorHAnsi"/>
                <w:bCs/>
                <w:color w:val="002060"/>
                <w:sz w:val="18"/>
                <w:szCs w:val="18"/>
                <w:lang w:val="sr-Cyrl-RS"/>
              </w:rPr>
            </w:pPr>
          </w:p>
        </w:tc>
        <w:tc>
          <w:tcPr>
            <w:tcW w:w="675" w:type="pct"/>
            <w:shd w:val="clear" w:color="auto" w:fill="E7E6E6" w:themeFill="background2"/>
            <w:vAlign w:val="center"/>
          </w:tcPr>
          <w:p w14:paraId="54D91835" w14:textId="77777777" w:rsidR="00260796" w:rsidRPr="00EA3D8C" w:rsidRDefault="00260796" w:rsidP="00161001">
            <w:pPr>
              <w:jc w:val="center"/>
              <w:rPr>
                <w:rFonts w:eastAsia="Calibri" w:cstheme="minorHAnsi"/>
                <w:bCs/>
                <w:color w:val="002060"/>
                <w:sz w:val="18"/>
                <w:szCs w:val="18"/>
                <w:lang w:val="sr-Cyrl-RS"/>
              </w:rPr>
            </w:pPr>
          </w:p>
        </w:tc>
      </w:tr>
      <w:tr w:rsidR="00260796" w:rsidRPr="00EA3D8C" w14:paraId="6FC50C79" w14:textId="77777777" w:rsidTr="00D751D5">
        <w:trPr>
          <w:trHeight w:val="282"/>
          <w:jc w:val="center"/>
        </w:trPr>
        <w:tc>
          <w:tcPr>
            <w:tcW w:w="2293" w:type="pct"/>
            <w:noWrap/>
            <w:vAlign w:val="center"/>
            <w:hideMark/>
          </w:tcPr>
          <w:p w14:paraId="54426905"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Пољопривреда</w:t>
            </w:r>
          </w:p>
        </w:tc>
        <w:tc>
          <w:tcPr>
            <w:tcW w:w="677" w:type="pct"/>
            <w:tcBorders>
              <w:top w:val="nil"/>
              <w:left w:val="nil"/>
              <w:bottom w:val="nil"/>
              <w:right w:val="nil"/>
            </w:tcBorders>
            <w:shd w:val="clear" w:color="auto" w:fill="auto"/>
            <w:noWrap/>
            <w:vAlign w:val="bottom"/>
          </w:tcPr>
          <w:p w14:paraId="12C3CB2C" w14:textId="77777777" w:rsidR="00260796" w:rsidRPr="00EA3D8C" w:rsidRDefault="00260796" w:rsidP="00161001">
            <w:pPr>
              <w:jc w:val="center"/>
              <w:rPr>
                <w:color w:val="002060"/>
                <w:sz w:val="18"/>
                <w:lang w:val="sr-Cyrl-RS"/>
              </w:rPr>
            </w:pPr>
            <w:r w:rsidRPr="00EA3D8C">
              <w:rPr>
                <w:color w:val="002060"/>
                <w:sz w:val="18"/>
                <w:lang w:val="sr-Cyrl-RS"/>
              </w:rPr>
              <w:t>0,3</w:t>
            </w:r>
          </w:p>
        </w:tc>
        <w:tc>
          <w:tcPr>
            <w:tcW w:w="678" w:type="pct"/>
            <w:tcBorders>
              <w:top w:val="nil"/>
              <w:left w:val="nil"/>
              <w:bottom w:val="nil"/>
              <w:right w:val="nil"/>
            </w:tcBorders>
            <w:shd w:val="clear" w:color="auto" w:fill="auto"/>
            <w:noWrap/>
            <w:vAlign w:val="bottom"/>
          </w:tcPr>
          <w:p w14:paraId="7C560F1A" w14:textId="77777777" w:rsidR="00260796" w:rsidRPr="00EA3D8C" w:rsidRDefault="00260796" w:rsidP="00161001">
            <w:pPr>
              <w:jc w:val="center"/>
              <w:rPr>
                <w:color w:val="002060"/>
                <w:sz w:val="18"/>
                <w:lang w:val="sr-Cyrl-RS"/>
              </w:rPr>
            </w:pPr>
            <w:r w:rsidRPr="00EA3D8C">
              <w:rPr>
                <w:color w:val="002060"/>
                <w:sz w:val="18"/>
                <w:lang w:val="sr-Cyrl-RS"/>
              </w:rPr>
              <w:t>-0,2</w:t>
            </w:r>
          </w:p>
        </w:tc>
        <w:tc>
          <w:tcPr>
            <w:tcW w:w="677" w:type="pct"/>
            <w:tcBorders>
              <w:top w:val="nil"/>
              <w:left w:val="nil"/>
              <w:bottom w:val="nil"/>
              <w:right w:val="nil"/>
            </w:tcBorders>
            <w:shd w:val="clear" w:color="auto" w:fill="auto"/>
            <w:noWrap/>
            <w:vAlign w:val="bottom"/>
          </w:tcPr>
          <w:p w14:paraId="0C8E5A86"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5" w:type="pct"/>
            <w:tcBorders>
              <w:top w:val="nil"/>
              <w:left w:val="nil"/>
              <w:bottom w:val="nil"/>
              <w:right w:val="nil"/>
            </w:tcBorders>
            <w:shd w:val="clear" w:color="auto" w:fill="auto"/>
            <w:noWrap/>
            <w:vAlign w:val="bottom"/>
          </w:tcPr>
          <w:p w14:paraId="4C3386BE" w14:textId="77777777" w:rsidR="00260796" w:rsidRPr="00EA3D8C" w:rsidRDefault="00260796" w:rsidP="00161001">
            <w:pPr>
              <w:jc w:val="center"/>
              <w:rPr>
                <w:color w:val="002060"/>
                <w:sz w:val="18"/>
                <w:lang w:val="sr-Cyrl-RS"/>
              </w:rPr>
            </w:pPr>
            <w:r w:rsidRPr="00EA3D8C">
              <w:rPr>
                <w:color w:val="002060"/>
                <w:sz w:val="18"/>
                <w:lang w:val="sr-Cyrl-RS"/>
              </w:rPr>
              <w:t>0,0</w:t>
            </w:r>
          </w:p>
        </w:tc>
      </w:tr>
      <w:tr w:rsidR="00260796" w:rsidRPr="00EA3D8C" w14:paraId="45122D57" w14:textId="77777777" w:rsidTr="00D751D5">
        <w:trPr>
          <w:trHeight w:val="282"/>
          <w:jc w:val="center"/>
        </w:trPr>
        <w:tc>
          <w:tcPr>
            <w:tcW w:w="2293" w:type="pct"/>
            <w:noWrap/>
            <w:vAlign w:val="center"/>
            <w:hideMark/>
          </w:tcPr>
          <w:p w14:paraId="757C7BE9"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Индустрија</w:t>
            </w:r>
          </w:p>
        </w:tc>
        <w:tc>
          <w:tcPr>
            <w:tcW w:w="677" w:type="pct"/>
            <w:tcBorders>
              <w:top w:val="nil"/>
              <w:left w:val="nil"/>
              <w:bottom w:val="nil"/>
              <w:right w:val="nil"/>
            </w:tcBorders>
            <w:shd w:val="clear" w:color="auto" w:fill="auto"/>
            <w:noWrap/>
            <w:vAlign w:val="bottom"/>
          </w:tcPr>
          <w:p w14:paraId="43AA8085" w14:textId="77777777" w:rsidR="00260796" w:rsidRPr="00EA3D8C" w:rsidRDefault="00260796" w:rsidP="00161001">
            <w:pPr>
              <w:jc w:val="center"/>
              <w:rPr>
                <w:color w:val="002060"/>
                <w:sz w:val="18"/>
                <w:lang w:val="sr-Cyrl-RS"/>
              </w:rPr>
            </w:pPr>
            <w:r w:rsidRPr="00EA3D8C">
              <w:rPr>
                <w:color w:val="002060"/>
                <w:sz w:val="18"/>
                <w:lang w:val="sr-Cyrl-RS"/>
              </w:rPr>
              <w:t>0,0</w:t>
            </w:r>
          </w:p>
        </w:tc>
        <w:tc>
          <w:tcPr>
            <w:tcW w:w="678" w:type="pct"/>
            <w:tcBorders>
              <w:top w:val="nil"/>
              <w:left w:val="nil"/>
              <w:bottom w:val="nil"/>
              <w:right w:val="nil"/>
            </w:tcBorders>
            <w:shd w:val="clear" w:color="auto" w:fill="auto"/>
            <w:noWrap/>
            <w:vAlign w:val="bottom"/>
          </w:tcPr>
          <w:p w14:paraId="7F11574A" w14:textId="77777777" w:rsidR="00260796" w:rsidRPr="00EA3D8C" w:rsidRDefault="00260796" w:rsidP="00161001">
            <w:pPr>
              <w:jc w:val="center"/>
              <w:rPr>
                <w:color w:val="002060"/>
                <w:sz w:val="18"/>
                <w:lang w:val="sr-Cyrl-RS"/>
              </w:rPr>
            </w:pPr>
            <w:r w:rsidRPr="00EA3D8C">
              <w:rPr>
                <w:color w:val="002060"/>
                <w:sz w:val="18"/>
                <w:lang w:val="sr-Cyrl-RS"/>
              </w:rPr>
              <w:t>1,2</w:t>
            </w:r>
          </w:p>
        </w:tc>
        <w:tc>
          <w:tcPr>
            <w:tcW w:w="677" w:type="pct"/>
            <w:tcBorders>
              <w:top w:val="nil"/>
              <w:left w:val="nil"/>
              <w:bottom w:val="nil"/>
              <w:right w:val="nil"/>
            </w:tcBorders>
            <w:shd w:val="clear" w:color="auto" w:fill="auto"/>
            <w:noWrap/>
            <w:vAlign w:val="bottom"/>
          </w:tcPr>
          <w:p w14:paraId="574E9E14" w14:textId="77777777" w:rsidR="00260796" w:rsidRPr="00EA3D8C" w:rsidRDefault="00260796" w:rsidP="00161001">
            <w:pPr>
              <w:jc w:val="center"/>
              <w:rPr>
                <w:color w:val="002060"/>
                <w:sz w:val="18"/>
                <w:lang w:val="sr-Cyrl-RS"/>
              </w:rPr>
            </w:pPr>
            <w:r w:rsidRPr="00EA3D8C">
              <w:rPr>
                <w:color w:val="002060"/>
                <w:sz w:val="18"/>
                <w:lang w:val="sr-Cyrl-RS"/>
              </w:rPr>
              <w:t>1,1</w:t>
            </w:r>
          </w:p>
        </w:tc>
        <w:tc>
          <w:tcPr>
            <w:tcW w:w="675" w:type="pct"/>
            <w:tcBorders>
              <w:top w:val="nil"/>
              <w:left w:val="nil"/>
              <w:bottom w:val="nil"/>
              <w:right w:val="nil"/>
            </w:tcBorders>
            <w:shd w:val="clear" w:color="auto" w:fill="auto"/>
            <w:noWrap/>
            <w:vAlign w:val="bottom"/>
          </w:tcPr>
          <w:p w14:paraId="7E134A31" w14:textId="77777777" w:rsidR="00260796" w:rsidRPr="00EA3D8C" w:rsidRDefault="00260796" w:rsidP="00161001">
            <w:pPr>
              <w:jc w:val="center"/>
              <w:rPr>
                <w:color w:val="002060"/>
                <w:sz w:val="18"/>
                <w:lang w:val="sr-Cyrl-RS"/>
              </w:rPr>
            </w:pPr>
            <w:r w:rsidRPr="00EA3D8C">
              <w:rPr>
                <w:color w:val="002060"/>
                <w:sz w:val="18"/>
                <w:lang w:val="sr-Cyrl-RS"/>
              </w:rPr>
              <w:t>1,1</w:t>
            </w:r>
          </w:p>
        </w:tc>
      </w:tr>
      <w:tr w:rsidR="00260796" w:rsidRPr="00EA3D8C" w14:paraId="785A2E0D" w14:textId="77777777" w:rsidTr="00D751D5">
        <w:trPr>
          <w:trHeight w:val="282"/>
          <w:jc w:val="center"/>
        </w:trPr>
        <w:tc>
          <w:tcPr>
            <w:tcW w:w="2293" w:type="pct"/>
            <w:noWrap/>
            <w:vAlign w:val="center"/>
            <w:hideMark/>
          </w:tcPr>
          <w:p w14:paraId="6562400A"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Грађевинарство</w:t>
            </w:r>
          </w:p>
        </w:tc>
        <w:tc>
          <w:tcPr>
            <w:tcW w:w="677" w:type="pct"/>
            <w:tcBorders>
              <w:top w:val="nil"/>
              <w:left w:val="nil"/>
              <w:bottom w:val="nil"/>
              <w:right w:val="nil"/>
            </w:tcBorders>
            <w:shd w:val="clear" w:color="auto" w:fill="auto"/>
            <w:noWrap/>
            <w:vAlign w:val="bottom"/>
          </w:tcPr>
          <w:p w14:paraId="053FACE2" w14:textId="77777777" w:rsidR="00260796" w:rsidRPr="00EA3D8C" w:rsidRDefault="00260796" w:rsidP="00161001">
            <w:pPr>
              <w:jc w:val="center"/>
              <w:rPr>
                <w:color w:val="002060"/>
                <w:sz w:val="18"/>
                <w:lang w:val="sr-Cyrl-RS"/>
              </w:rPr>
            </w:pPr>
            <w:r w:rsidRPr="00EA3D8C">
              <w:rPr>
                <w:color w:val="002060"/>
                <w:sz w:val="18"/>
                <w:lang w:val="sr-Cyrl-RS"/>
              </w:rPr>
              <w:t>-0,3</w:t>
            </w:r>
          </w:p>
        </w:tc>
        <w:tc>
          <w:tcPr>
            <w:tcW w:w="678" w:type="pct"/>
            <w:tcBorders>
              <w:top w:val="nil"/>
              <w:left w:val="nil"/>
              <w:bottom w:val="nil"/>
              <w:right w:val="nil"/>
            </w:tcBorders>
            <w:shd w:val="clear" w:color="auto" w:fill="auto"/>
            <w:noWrap/>
            <w:vAlign w:val="bottom"/>
          </w:tcPr>
          <w:p w14:paraId="76D80721" w14:textId="77777777" w:rsidR="00260796" w:rsidRPr="00EA3D8C" w:rsidRDefault="00260796" w:rsidP="00161001">
            <w:pPr>
              <w:jc w:val="center"/>
              <w:rPr>
                <w:color w:val="002060"/>
                <w:sz w:val="18"/>
                <w:lang w:val="sr-Cyrl-RS"/>
              </w:rPr>
            </w:pPr>
            <w:r w:rsidRPr="00EA3D8C">
              <w:rPr>
                <w:color w:val="002060"/>
                <w:sz w:val="18"/>
                <w:lang w:val="sr-Cyrl-RS"/>
              </w:rPr>
              <w:t>0,7</w:t>
            </w:r>
          </w:p>
        </w:tc>
        <w:tc>
          <w:tcPr>
            <w:tcW w:w="677" w:type="pct"/>
            <w:tcBorders>
              <w:top w:val="nil"/>
              <w:left w:val="nil"/>
              <w:bottom w:val="nil"/>
              <w:right w:val="nil"/>
            </w:tcBorders>
            <w:shd w:val="clear" w:color="auto" w:fill="auto"/>
            <w:noWrap/>
            <w:vAlign w:val="bottom"/>
          </w:tcPr>
          <w:p w14:paraId="5896838F" w14:textId="77777777" w:rsidR="00260796" w:rsidRPr="00EA3D8C" w:rsidRDefault="00260796" w:rsidP="00161001">
            <w:pPr>
              <w:jc w:val="center"/>
              <w:rPr>
                <w:color w:val="002060"/>
                <w:sz w:val="18"/>
                <w:lang w:val="sr-Cyrl-RS"/>
              </w:rPr>
            </w:pPr>
            <w:r w:rsidRPr="00EA3D8C">
              <w:rPr>
                <w:color w:val="002060"/>
                <w:sz w:val="18"/>
                <w:lang w:val="sr-Cyrl-RS"/>
              </w:rPr>
              <w:t>0,3</w:t>
            </w:r>
          </w:p>
        </w:tc>
        <w:tc>
          <w:tcPr>
            <w:tcW w:w="675" w:type="pct"/>
            <w:tcBorders>
              <w:top w:val="nil"/>
              <w:left w:val="nil"/>
              <w:bottom w:val="nil"/>
              <w:right w:val="nil"/>
            </w:tcBorders>
            <w:shd w:val="clear" w:color="auto" w:fill="auto"/>
            <w:noWrap/>
            <w:vAlign w:val="bottom"/>
          </w:tcPr>
          <w:p w14:paraId="2141E77B" w14:textId="77777777" w:rsidR="00260796" w:rsidRPr="00EA3D8C" w:rsidRDefault="00260796" w:rsidP="00161001">
            <w:pPr>
              <w:jc w:val="center"/>
              <w:rPr>
                <w:color w:val="002060"/>
                <w:sz w:val="18"/>
                <w:lang w:val="sr-Cyrl-RS"/>
              </w:rPr>
            </w:pPr>
            <w:r w:rsidRPr="00EA3D8C">
              <w:rPr>
                <w:color w:val="002060"/>
                <w:sz w:val="18"/>
                <w:lang w:val="sr-Cyrl-RS"/>
              </w:rPr>
              <w:t>0,4</w:t>
            </w:r>
          </w:p>
        </w:tc>
      </w:tr>
      <w:tr w:rsidR="00260796" w:rsidRPr="00EA3D8C" w14:paraId="30D5DC5F" w14:textId="77777777" w:rsidTr="00D751D5">
        <w:trPr>
          <w:trHeight w:val="282"/>
          <w:jc w:val="center"/>
        </w:trPr>
        <w:tc>
          <w:tcPr>
            <w:tcW w:w="2293" w:type="pct"/>
            <w:noWrap/>
            <w:vAlign w:val="center"/>
            <w:hideMark/>
          </w:tcPr>
          <w:p w14:paraId="36A596CB"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Услуге</w:t>
            </w:r>
          </w:p>
        </w:tc>
        <w:tc>
          <w:tcPr>
            <w:tcW w:w="677" w:type="pct"/>
            <w:tcBorders>
              <w:top w:val="nil"/>
              <w:left w:val="nil"/>
              <w:bottom w:val="nil"/>
              <w:right w:val="nil"/>
            </w:tcBorders>
            <w:shd w:val="clear" w:color="auto" w:fill="auto"/>
            <w:noWrap/>
            <w:vAlign w:val="bottom"/>
          </w:tcPr>
          <w:p w14:paraId="0996BD25" w14:textId="77777777" w:rsidR="00260796" w:rsidRPr="00EA3D8C" w:rsidRDefault="00260796" w:rsidP="00161001">
            <w:pPr>
              <w:jc w:val="center"/>
              <w:rPr>
                <w:color w:val="002060"/>
                <w:sz w:val="18"/>
                <w:lang w:val="sr-Cyrl-RS"/>
              </w:rPr>
            </w:pPr>
            <w:r w:rsidRPr="00EA3D8C">
              <w:rPr>
                <w:color w:val="002060"/>
                <w:sz w:val="18"/>
                <w:lang w:val="sr-Cyrl-RS"/>
              </w:rPr>
              <w:t>-0,8</w:t>
            </w:r>
          </w:p>
        </w:tc>
        <w:tc>
          <w:tcPr>
            <w:tcW w:w="678" w:type="pct"/>
            <w:tcBorders>
              <w:top w:val="nil"/>
              <w:left w:val="nil"/>
              <w:bottom w:val="nil"/>
              <w:right w:val="nil"/>
            </w:tcBorders>
            <w:shd w:val="clear" w:color="auto" w:fill="auto"/>
            <w:noWrap/>
            <w:vAlign w:val="bottom"/>
          </w:tcPr>
          <w:p w14:paraId="76E2EE48" w14:textId="77777777" w:rsidR="00260796" w:rsidRPr="00EA3D8C" w:rsidRDefault="00260796" w:rsidP="00161001">
            <w:pPr>
              <w:jc w:val="center"/>
              <w:rPr>
                <w:color w:val="002060"/>
                <w:sz w:val="18"/>
                <w:lang w:val="sr-Cyrl-RS"/>
              </w:rPr>
            </w:pPr>
            <w:r w:rsidRPr="00EA3D8C">
              <w:rPr>
                <w:color w:val="002060"/>
                <w:sz w:val="18"/>
                <w:lang w:val="sr-Cyrl-RS"/>
              </w:rPr>
              <w:t>3,5</w:t>
            </w:r>
          </w:p>
        </w:tc>
        <w:tc>
          <w:tcPr>
            <w:tcW w:w="677" w:type="pct"/>
            <w:tcBorders>
              <w:top w:val="nil"/>
              <w:left w:val="nil"/>
              <w:bottom w:val="nil"/>
              <w:right w:val="nil"/>
            </w:tcBorders>
            <w:shd w:val="clear" w:color="auto" w:fill="auto"/>
            <w:noWrap/>
            <w:vAlign w:val="bottom"/>
          </w:tcPr>
          <w:p w14:paraId="7ADC490C" w14:textId="77777777" w:rsidR="00260796" w:rsidRPr="00EA3D8C" w:rsidRDefault="00260796" w:rsidP="00161001">
            <w:pPr>
              <w:jc w:val="center"/>
              <w:rPr>
                <w:color w:val="002060"/>
                <w:sz w:val="18"/>
                <w:lang w:val="sr-Cyrl-RS"/>
              </w:rPr>
            </w:pPr>
            <w:r w:rsidRPr="00EA3D8C">
              <w:rPr>
                <w:color w:val="002060"/>
                <w:sz w:val="18"/>
                <w:lang w:val="sr-Cyrl-RS"/>
              </w:rPr>
              <w:t>2,1</w:t>
            </w:r>
          </w:p>
        </w:tc>
        <w:tc>
          <w:tcPr>
            <w:tcW w:w="675" w:type="pct"/>
            <w:tcBorders>
              <w:top w:val="nil"/>
              <w:left w:val="nil"/>
              <w:bottom w:val="nil"/>
              <w:right w:val="nil"/>
            </w:tcBorders>
            <w:shd w:val="clear" w:color="auto" w:fill="auto"/>
            <w:noWrap/>
            <w:vAlign w:val="bottom"/>
          </w:tcPr>
          <w:p w14:paraId="6FEB4C2A" w14:textId="77777777" w:rsidR="00260796" w:rsidRPr="00EA3D8C" w:rsidRDefault="00260796" w:rsidP="00161001">
            <w:pPr>
              <w:jc w:val="center"/>
              <w:rPr>
                <w:color w:val="002060"/>
                <w:sz w:val="18"/>
                <w:lang w:val="sr-Cyrl-RS"/>
              </w:rPr>
            </w:pPr>
            <w:r w:rsidRPr="00EA3D8C">
              <w:rPr>
                <w:color w:val="002060"/>
                <w:sz w:val="18"/>
                <w:lang w:val="sr-Cyrl-RS"/>
              </w:rPr>
              <w:t>2,1</w:t>
            </w:r>
          </w:p>
        </w:tc>
      </w:tr>
      <w:tr w:rsidR="00260796" w:rsidRPr="00EA3D8C" w14:paraId="257BAEE5" w14:textId="77777777" w:rsidTr="00D751D5">
        <w:trPr>
          <w:trHeight w:val="282"/>
          <w:jc w:val="center"/>
        </w:trPr>
        <w:tc>
          <w:tcPr>
            <w:tcW w:w="2293" w:type="pct"/>
            <w:noWrap/>
            <w:vAlign w:val="center"/>
          </w:tcPr>
          <w:p w14:paraId="1773FEC2"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Нето порези</w:t>
            </w:r>
          </w:p>
        </w:tc>
        <w:tc>
          <w:tcPr>
            <w:tcW w:w="677" w:type="pct"/>
            <w:tcBorders>
              <w:top w:val="nil"/>
              <w:left w:val="nil"/>
              <w:bottom w:val="nil"/>
              <w:right w:val="nil"/>
            </w:tcBorders>
            <w:shd w:val="clear" w:color="auto" w:fill="auto"/>
            <w:noWrap/>
            <w:vAlign w:val="bottom"/>
          </w:tcPr>
          <w:p w14:paraId="58010E93" w14:textId="77777777" w:rsidR="00260796" w:rsidRPr="00EA3D8C" w:rsidRDefault="00260796" w:rsidP="00161001">
            <w:pPr>
              <w:jc w:val="center"/>
              <w:rPr>
                <w:color w:val="002060"/>
                <w:sz w:val="18"/>
                <w:lang w:val="sr-Cyrl-RS"/>
              </w:rPr>
            </w:pPr>
            <w:r w:rsidRPr="00EA3D8C">
              <w:rPr>
                <w:color w:val="002060"/>
                <w:sz w:val="18"/>
                <w:lang w:val="sr-Cyrl-RS"/>
              </w:rPr>
              <w:t>-0,2</w:t>
            </w:r>
          </w:p>
        </w:tc>
        <w:tc>
          <w:tcPr>
            <w:tcW w:w="678" w:type="pct"/>
            <w:tcBorders>
              <w:top w:val="nil"/>
              <w:left w:val="nil"/>
              <w:bottom w:val="nil"/>
              <w:right w:val="nil"/>
            </w:tcBorders>
            <w:shd w:val="clear" w:color="auto" w:fill="auto"/>
            <w:noWrap/>
            <w:vAlign w:val="bottom"/>
          </w:tcPr>
          <w:p w14:paraId="3B98FCC9" w14:textId="77777777" w:rsidR="00260796" w:rsidRPr="00EA3D8C" w:rsidRDefault="00260796" w:rsidP="00161001">
            <w:pPr>
              <w:jc w:val="center"/>
              <w:rPr>
                <w:color w:val="002060"/>
                <w:sz w:val="18"/>
                <w:lang w:val="sr-Cyrl-RS"/>
              </w:rPr>
            </w:pPr>
            <w:r w:rsidRPr="00EA3D8C">
              <w:rPr>
                <w:color w:val="002060"/>
                <w:sz w:val="18"/>
                <w:lang w:val="sr-Cyrl-RS"/>
              </w:rPr>
              <w:t>0,8</w:t>
            </w:r>
          </w:p>
        </w:tc>
        <w:tc>
          <w:tcPr>
            <w:tcW w:w="677" w:type="pct"/>
            <w:tcBorders>
              <w:top w:val="nil"/>
              <w:left w:val="nil"/>
              <w:bottom w:val="nil"/>
              <w:right w:val="nil"/>
            </w:tcBorders>
            <w:shd w:val="clear" w:color="auto" w:fill="auto"/>
            <w:noWrap/>
            <w:vAlign w:val="bottom"/>
          </w:tcPr>
          <w:p w14:paraId="77268D9F" w14:textId="77777777" w:rsidR="00260796" w:rsidRPr="00EA3D8C" w:rsidRDefault="00260796" w:rsidP="00161001">
            <w:pPr>
              <w:jc w:val="center"/>
              <w:rPr>
                <w:color w:val="002060"/>
                <w:sz w:val="18"/>
                <w:lang w:val="sr-Cyrl-RS"/>
              </w:rPr>
            </w:pPr>
            <w:r w:rsidRPr="00EA3D8C">
              <w:rPr>
                <w:color w:val="002060"/>
                <w:sz w:val="18"/>
                <w:lang w:val="sr-Cyrl-RS"/>
              </w:rPr>
              <w:t>0,5</w:t>
            </w:r>
          </w:p>
        </w:tc>
        <w:tc>
          <w:tcPr>
            <w:tcW w:w="675" w:type="pct"/>
            <w:tcBorders>
              <w:top w:val="nil"/>
              <w:left w:val="nil"/>
              <w:bottom w:val="nil"/>
              <w:right w:val="nil"/>
            </w:tcBorders>
            <w:shd w:val="clear" w:color="auto" w:fill="auto"/>
            <w:noWrap/>
            <w:vAlign w:val="bottom"/>
          </w:tcPr>
          <w:p w14:paraId="1D140E77" w14:textId="77777777" w:rsidR="00260796" w:rsidRPr="00EA3D8C" w:rsidRDefault="00260796" w:rsidP="00161001">
            <w:pPr>
              <w:jc w:val="center"/>
              <w:rPr>
                <w:color w:val="002060"/>
                <w:sz w:val="18"/>
                <w:lang w:val="sr-Cyrl-RS"/>
              </w:rPr>
            </w:pPr>
            <w:r w:rsidRPr="00EA3D8C">
              <w:rPr>
                <w:color w:val="002060"/>
                <w:sz w:val="18"/>
                <w:lang w:val="sr-Cyrl-RS"/>
              </w:rPr>
              <w:t>0,5</w:t>
            </w:r>
          </w:p>
        </w:tc>
      </w:tr>
      <w:tr w:rsidR="00260796" w:rsidRPr="00EA3D8C" w14:paraId="4F63B949" w14:textId="77777777" w:rsidTr="00D751D5">
        <w:trPr>
          <w:trHeight w:val="282"/>
          <w:jc w:val="center"/>
        </w:trPr>
        <w:tc>
          <w:tcPr>
            <w:tcW w:w="2293" w:type="pct"/>
            <w:shd w:val="clear" w:color="auto" w:fill="E7E6E6" w:themeFill="background2"/>
            <w:noWrap/>
            <w:vAlign w:val="center"/>
            <w:hideMark/>
          </w:tcPr>
          <w:p w14:paraId="14F13B7F" w14:textId="77777777" w:rsidR="00260796" w:rsidRPr="00EA3D8C" w:rsidRDefault="00260796" w:rsidP="00161001">
            <w:pPr>
              <w:jc w:val="left"/>
              <w:rPr>
                <w:rFonts w:eastAsia="Calibri" w:cstheme="minorHAnsi"/>
                <w:bCs/>
                <w:iCs/>
                <w:color w:val="002060"/>
                <w:sz w:val="18"/>
                <w:szCs w:val="18"/>
                <w:lang w:val="sr-Cyrl-RS"/>
              </w:rPr>
            </w:pPr>
            <w:r w:rsidRPr="00EA3D8C">
              <w:rPr>
                <w:rFonts w:eastAsia="Calibri" w:cstheme="minorHAnsi"/>
                <w:iCs/>
                <w:color w:val="002060"/>
                <w:sz w:val="18"/>
                <w:szCs w:val="18"/>
                <w:lang w:val="sr-Cyrl-RS"/>
              </w:rPr>
              <w:t>Кретање цена, %</w:t>
            </w:r>
          </w:p>
        </w:tc>
        <w:tc>
          <w:tcPr>
            <w:tcW w:w="677" w:type="pct"/>
            <w:shd w:val="clear" w:color="auto" w:fill="E7E6E6" w:themeFill="background2"/>
            <w:noWrap/>
            <w:vAlign w:val="center"/>
          </w:tcPr>
          <w:p w14:paraId="05842260" w14:textId="77777777" w:rsidR="00260796" w:rsidRPr="00EA3D8C" w:rsidRDefault="00260796" w:rsidP="00161001">
            <w:pPr>
              <w:jc w:val="center"/>
              <w:rPr>
                <w:rFonts w:eastAsia="Calibri" w:cstheme="minorHAnsi"/>
                <w:iCs/>
                <w:color w:val="002060"/>
                <w:sz w:val="18"/>
                <w:szCs w:val="18"/>
                <w:lang w:val="sr-Cyrl-RS"/>
              </w:rPr>
            </w:pPr>
          </w:p>
        </w:tc>
        <w:tc>
          <w:tcPr>
            <w:tcW w:w="678" w:type="pct"/>
            <w:shd w:val="clear" w:color="auto" w:fill="E7E6E6" w:themeFill="background2"/>
            <w:noWrap/>
            <w:vAlign w:val="center"/>
          </w:tcPr>
          <w:p w14:paraId="392768EF" w14:textId="77777777" w:rsidR="00260796" w:rsidRPr="00EA3D8C" w:rsidRDefault="00260796" w:rsidP="00161001">
            <w:pPr>
              <w:jc w:val="center"/>
              <w:rPr>
                <w:rFonts w:eastAsia="Calibri" w:cstheme="minorHAnsi"/>
                <w:color w:val="002060"/>
                <w:sz w:val="18"/>
                <w:szCs w:val="18"/>
                <w:lang w:val="sr-Cyrl-RS"/>
              </w:rPr>
            </w:pPr>
          </w:p>
        </w:tc>
        <w:tc>
          <w:tcPr>
            <w:tcW w:w="677" w:type="pct"/>
            <w:shd w:val="clear" w:color="auto" w:fill="E7E6E6" w:themeFill="background2"/>
            <w:noWrap/>
            <w:vAlign w:val="center"/>
          </w:tcPr>
          <w:p w14:paraId="37F16B2C" w14:textId="77777777" w:rsidR="00260796" w:rsidRPr="00EA3D8C" w:rsidRDefault="00260796" w:rsidP="00161001">
            <w:pPr>
              <w:jc w:val="center"/>
              <w:rPr>
                <w:rFonts w:eastAsia="Calibri" w:cstheme="minorHAnsi"/>
                <w:color w:val="002060"/>
                <w:sz w:val="18"/>
                <w:szCs w:val="18"/>
                <w:lang w:val="sr-Cyrl-RS"/>
              </w:rPr>
            </w:pPr>
          </w:p>
        </w:tc>
        <w:tc>
          <w:tcPr>
            <w:tcW w:w="675" w:type="pct"/>
            <w:shd w:val="clear" w:color="auto" w:fill="E7E6E6" w:themeFill="background2"/>
            <w:noWrap/>
            <w:vAlign w:val="center"/>
          </w:tcPr>
          <w:p w14:paraId="43A9425D" w14:textId="77777777" w:rsidR="00260796" w:rsidRPr="00EA3D8C" w:rsidRDefault="00260796" w:rsidP="00161001">
            <w:pPr>
              <w:jc w:val="center"/>
              <w:rPr>
                <w:rFonts w:eastAsia="Calibri" w:cstheme="minorHAnsi"/>
                <w:color w:val="002060"/>
                <w:sz w:val="18"/>
                <w:szCs w:val="18"/>
                <w:lang w:val="sr-Cyrl-RS"/>
              </w:rPr>
            </w:pPr>
          </w:p>
        </w:tc>
      </w:tr>
      <w:tr w:rsidR="00260796" w:rsidRPr="00EA3D8C" w14:paraId="21006157" w14:textId="77777777" w:rsidTr="00D751D5">
        <w:trPr>
          <w:trHeight w:val="282"/>
          <w:jc w:val="center"/>
        </w:trPr>
        <w:tc>
          <w:tcPr>
            <w:tcW w:w="2293" w:type="pct"/>
            <w:noWrap/>
            <w:vAlign w:val="center"/>
            <w:hideMark/>
          </w:tcPr>
          <w:p w14:paraId="3FC7F4A5"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БДП дефлатор</w:t>
            </w:r>
          </w:p>
        </w:tc>
        <w:tc>
          <w:tcPr>
            <w:tcW w:w="677" w:type="pct"/>
            <w:tcBorders>
              <w:top w:val="nil"/>
              <w:left w:val="nil"/>
              <w:bottom w:val="nil"/>
              <w:right w:val="nil"/>
            </w:tcBorders>
            <w:shd w:val="clear" w:color="auto" w:fill="auto"/>
            <w:noWrap/>
            <w:vAlign w:val="bottom"/>
          </w:tcPr>
          <w:p w14:paraId="75013096" w14:textId="77777777" w:rsidR="00260796" w:rsidRPr="00EA3D8C" w:rsidRDefault="00260796" w:rsidP="00161001">
            <w:pPr>
              <w:jc w:val="center"/>
              <w:rPr>
                <w:color w:val="002060"/>
                <w:sz w:val="18"/>
                <w:lang w:val="sr-Cyrl-RS"/>
              </w:rPr>
            </w:pPr>
            <w:r w:rsidRPr="00EA3D8C">
              <w:rPr>
                <w:color w:val="002060"/>
                <w:sz w:val="18"/>
                <w:lang w:val="sr-Cyrl-RS"/>
              </w:rPr>
              <w:t>2,9</w:t>
            </w:r>
          </w:p>
        </w:tc>
        <w:tc>
          <w:tcPr>
            <w:tcW w:w="678" w:type="pct"/>
            <w:tcBorders>
              <w:top w:val="nil"/>
              <w:left w:val="nil"/>
              <w:bottom w:val="nil"/>
              <w:right w:val="nil"/>
            </w:tcBorders>
            <w:shd w:val="clear" w:color="auto" w:fill="auto"/>
            <w:noWrap/>
            <w:vAlign w:val="bottom"/>
          </w:tcPr>
          <w:p w14:paraId="49B1D1BE" w14:textId="77777777" w:rsidR="00260796" w:rsidRPr="00EA3D8C" w:rsidRDefault="00260796" w:rsidP="00161001">
            <w:pPr>
              <w:jc w:val="center"/>
              <w:rPr>
                <w:color w:val="002060"/>
                <w:sz w:val="18"/>
                <w:lang w:val="sr-Cyrl-RS"/>
              </w:rPr>
            </w:pPr>
            <w:r w:rsidRPr="00EA3D8C">
              <w:rPr>
                <w:color w:val="002060"/>
                <w:sz w:val="18"/>
                <w:lang w:val="sr-Cyrl-RS"/>
              </w:rPr>
              <w:t>2,6</w:t>
            </w:r>
          </w:p>
        </w:tc>
        <w:tc>
          <w:tcPr>
            <w:tcW w:w="677" w:type="pct"/>
            <w:tcBorders>
              <w:top w:val="nil"/>
              <w:left w:val="nil"/>
              <w:bottom w:val="nil"/>
              <w:right w:val="nil"/>
            </w:tcBorders>
            <w:shd w:val="clear" w:color="auto" w:fill="auto"/>
            <w:noWrap/>
            <w:vAlign w:val="bottom"/>
          </w:tcPr>
          <w:p w14:paraId="45C84B8D" w14:textId="77777777" w:rsidR="00260796" w:rsidRPr="00EA3D8C" w:rsidRDefault="00260796" w:rsidP="00161001">
            <w:pPr>
              <w:jc w:val="center"/>
              <w:rPr>
                <w:color w:val="002060"/>
                <w:sz w:val="18"/>
                <w:lang w:val="sr-Cyrl-RS"/>
              </w:rPr>
            </w:pPr>
            <w:r w:rsidRPr="00EA3D8C">
              <w:rPr>
                <w:color w:val="002060"/>
                <w:sz w:val="18"/>
                <w:lang w:val="sr-Cyrl-RS"/>
              </w:rPr>
              <w:t>2,7</w:t>
            </w:r>
          </w:p>
        </w:tc>
        <w:tc>
          <w:tcPr>
            <w:tcW w:w="675" w:type="pct"/>
            <w:tcBorders>
              <w:top w:val="nil"/>
              <w:left w:val="nil"/>
              <w:bottom w:val="nil"/>
              <w:right w:val="nil"/>
            </w:tcBorders>
            <w:shd w:val="clear" w:color="auto" w:fill="auto"/>
            <w:noWrap/>
            <w:vAlign w:val="bottom"/>
          </w:tcPr>
          <w:p w14:paraId="30073EC9" w14:textId="77777777" w:rsidR="00260796" w:rsidRPr="00EA3D8C" w:rsidRDefault="00260796" w:rsidP="00161001">
            <w:pPr>
              <w:jc w:val="center"/>
              <w:rPr>
                <w:color w:val="002060"/>
                <w:sz w:val="18"/>
                <w:lang w:val="sr-Cyrl-RS"/>
              </w:rPr>
            </w:pPr>
            <w:r w:rsidRPr="00EA3D8C">
              <w:rPr>
                <w:color w:val="002060"/>
                <w:sz w:val="18"/>
                <w:lang w:val="sr-Cyrl-RS"/>
              </w:rPr>
              <w:t>3,1</w:t>
            </w:r>
          </w:p>
        </w:tc>
      </w:tr>
      <w:tr w:rsidR="00260796" w:rsidRPr="00EA3D8C" w14:paraId="164E6EE0" w14:textId="77777777" w:rsidTr="00D751D5">
        <w:trPr>
          <w:trHeight w:val="282"/>
          <w:jc w:val="center"/>
        </w:trPr>
        <w:tc>
          <w:tcPr>
            <w:tcW w:w="2293" w:type="pct"/>
            <w:noWrap/>
            <w:vAlign w:val="center"/>
            <w:hideMark/>
          </w:tcPr>
          <w:p w14:paraId="26A3028D"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Потрошачке цене (годишњи просек)</w:t>
            </w:r>
          </w:p>
        </w:tc>
        <w:tc>
          <w:tcPr>
            <w:tcW w:w="677" w:type="pct"/>
            <w:tcBorders>
              <w:top w:val="nil"/>
              <w:left w:val="nil"/>
              <w:bottom w:val="nil"/>
              <w:right w:val="nil"/>
            </w:tcBorders>
            <w:shd w:val="clear" w:color="auto" w:fill="auto"/>
            <w:noWrap/>
            <w:vAlign w:val="bottom"/>
          </w:tcPr>
          <w:p w14:paraId="56A59AB0" w14:textId="77777777" w:rsidR="00260796" w:rsidRPr="00EA3D8C" w:rsidRDefault="00260796" w:rsidP="00161001">
            <w:pPr>
              <w:jc w:val="center"/>
              <w:rPr>
                <w:color w:val="002060"/>
                <w:sz w:val="18"/>
                <w:lang w:val="sr-Cyrl-RS"/>
              </w:rPr>
            </w:pPr>
            <w:r w:rsidRPr="00EA3D8C">
              <w:rPr>
                <w:color w:val="002060"/>
                <w:sz w:val="18"/>
                <w:lang w:val="sr-Cyrl-RS"/>
              </w:rPr>
              <w:t>1,5</w:t>
            </w:r>
          </w:p>
        </w:tc>
        <w:tc>
          <w:tcPr>
            <w:tcW w:w="678" w:type="pct"/>
            <w:tcBorders>
              <w:top w:val="nil"/>
              <w:left w:val="nil"/>
              <w:bottom w:val="nil"/>
              <w:right w:val="nil"/>
            </w:tcBorders>
            <w:shd w:val="clear" w:color="auto" w:fill="auto"/>
            <w:noWrap/>
            <w:vAlign w:val="bottom"/>
          </w:tcPr>
          <w:p w14:paraId="2A2C2602" w14:textId="77777777" w:rsidR="00260796" w:rsidRPr="00EA3D8C" w:rsidRDefault="00260796" w:rsidP="00161001">
            <w:pPr>
              <w:jc w:val="center"/>
              <w:rPr>
                <w:color w:val="002060"/>
                <w:sz w:val="18"/>
                <w:lang w:val="sr-Cyrl-RS"/>
              </w:rPr>
            </w:pPr>
            <w:r w:rsidRPr="00EA3D8C">
              <w:rPr>
                <w:color w:val="002060"/>
                <w:sz w:val="18"/>
                <w:lang w:val="sr-Cyrl-RS"/>
              </w:rPr>
              <w:t>2,0</w:t>
            </w:r>
          </w:p>
        </w:tc>
        <w:tc>
          <w:tcPr>
            <w:tcW w:w="677" w:type="pct"/>
            <w:tcBorders>
              <w:top w:val="nil"/>
              <w:left w:val="nil"/>
              <w:bottom w:val="nil"/>
              <w:right w:val="nil"/>
            </w:tcBorders>
            <w:shd w:val="clear" w:color="auto" w:fill="auto"/>
            <w:noWrap/>
            <w:vAlign w:val="bottom"/>
          </w:tcPr>
          <w:p w14:paraId="7ABAECEB" w14:textId="77777777" w:rsidR="00260796" w:rsidRPr="00EA3D8C" w:rsidRDefault="00260796" w:rsidP="00161001">
            <w:pPr>
              <w:jc w:val="center"/>
              <w:rPr>
                <w:color w:val="002060"/>
                <w:sz w:val="18"/>
                <w:lang w:val="sr-Cyrl-RS"/>
              </w:rPr>
            </w:pPr>
            <w:r w:rsidRPr="00EA3D8C">
              <w:rPr>
                <w:color w:val="002060"/>
                <w:sz w:val="18"/>
                <w:lang w:val="sr-Cyrl-RS"/>
              </w:rPr>
              <w:t>2,2</w:t>
            </w:r>
          </w:p>
        </w:tc>
        <w:tc>
          <w:tcPr>
            <w:tcW w:w="675" w:type="pct"/>
            <w:tcBorders>
              <w:top w:val="nil"/>
              <w:left w:val="nil"/>
              <w:bottom w:val="nil"/>
              <w:right w:val="nil"/>
            </w:tcBorders>
            <w:shd w:val="clear" w:color="auto" w:fill="auto"/>
            <w:noWrap/>
            <w:vAlign w:val="bottom"/>
          </w:tcPr>
          <w:p w14:paraId="701FFD89" w14:textId="77777777" w:rsidR="00260796" w:rsidRPr="00EA3D8C" w:rsidRDefault="00260796" w:rsidP="00161001">
            <w:pPr>
              <w:jc w:val="center"/>
              <w:rPr>
                <w:color w:val="002060"/>
                <w:sz w:val="18"/>
                <w:lang w:val="sr-Cyrl-RS"/>
              </w:rPr>
            </w:pPr>
            <w:r w:rsidRPr="00EA3D8C">
              <w:rPr>
                <w:color w:val="002060"/>
                <w:sz w:val="18"/>
                <w:lang w:val="sr-Cyrl-RS"/>
              </w:rPr>
              <w:t>3,0</w:t>
            </w:r>
          </w:p>
        </w:tc>
      </w:tr>
      <w:tr w:rsidR="00260796" w:rsidRPr="00EA3D8C" w14:paraId="04C49F26" w14:textId="77777777" w:rsidTr="00D751D5">
        <w:trPr>
          <w:trHeight w:val="282"/>
          <w:jc w:val="center"/>
        </w:trPr>
        <w:tc>
          <w:tcPr>
            <w:tcW w:w="2293" w:type="pct"/>
            <w:shd w:val="clear" w:color="auto" w:fill="E7E6E6" w:themeFill="background2"/>
            <w:noWrap/>
            <w:vAlign w:val="center"/>
            <w:hideMark/>
          </w:tcPr>
          <w:p w14:paraId="5A0055D3" w14:textId="77777777" w:rsidR="00260796" w:rsidRPr="00EA3D8C" w:rsidRDefault="00260796" w:rsidP="00161001">
            <w:pPr>
              <w:jc w:val="left"/>
              <w:rPr>
                <w:rFonts w:eastAsia="Calibri" w:cstheme="minorHAnsi"/>
                <w:bCs/>
                <w:iCs/>
                <w:color w:val="002060"/>
                <w:sz w:val="18"/>
                <w:szCs w:val="18"/>
                <w:lang w:val="sr-Cyrl-RS"/>
              </w:rPr>
            </w:pPr>
            <w:r w:rsidRPr="00EA3D8C">
              <w:rPr>
                <w:rFonts w:eastAsia="Calibri" w:cstheme="minorHAnsi"/>
                <w:iCs/>
                <w:color w:val="002060"/>
                <w:sz w:val="18"/>
                <w:szCs w:val="18"/>
                <w:lang w:val="sr-Cyrl-RS"/>
              </w:rPr>
              <w:t>Кретања у спољном сектору, % БДП</w:t>
            </w:r>
          </w:p>
        </w:tc>
        <w:tc>
          <w:tcPr>
            <w:tcW w:w="677" w:type="pct"/>
            <w:shd w:val="clear" w:color="auto" w:fill="E7E6E6" w:themeFill="background2"/>
            <w:noWrap/>
            <w:vAlign w:val="center"/>
          </w:tcPr>
          <w:p w14:paraId="59E9604F" w14:textId="77777777" w:rsidR="00260796" w:rsidRPr="00EA3D8C" w:rsidRDefault="00260796" w:rsidP="00161001">
            <w:pPr>
              <w:jc w:val="center"/>
              <w:rPr>
                <w:rFonts w:eastAsia="Calibri" w:cstheme="minorHAnsi"/>
                <w:color w:val="002060"/>
                <w:sz w:val="18"/>
                <w:szCs w:val="18"/>
                <w:lang w:val="sr-Cyrl-RS"/>
              </w:rPr>
            </w:pPr>
          </w:p>
        </w:tc>
        <w:tc>
          <w:tcPr>
            <w:tcW w:w="678" w:type="pct"/>
            <w:shd w:val="clear" w:color="auto" w:fill="E7E6E6" w:themeFill="background2"/>
            <w:noWrap/>
            <w:vAlign w:val="center"/>
          </w:tcPr>
          <w:p w14:paraId="69209CAD" w14:textId="77777777" w:rsidR="00260796" w:rsidRPr="00EA3D8C" w:rsidRDefault="00260796" w:rsidP="00161001">
            <w:pPr>
              <w:jc w:val="center"/>
              <w:rPr>
                <w:rFonts w:eastAsia="Calibri" w:cstheme="minorHAnsi"/>
                <w:color w:val="002060"/>
                <w:sz w:val="18"/>
                <w:szCs w:val="18"/>
                <w:lang w:val="sr-Cyrl-RS"/>
              </w:rPr>
            </w:pPr>
          </w:p>
        </w:tc>
        <w:tc>
          <w:tcPr>
            <w:tcW w:w="677" w:type="pct"/>
            <w:shd w:val="clear" w:color="auto" w:fill="E7E6E6" w:themeFill="background2"/>
            <w:noWrap/>
            <w:vAlign w:val="center"/>
          </w:tcPr>
          <w:p w14:paraId="23277ADB" w14:textId="77777777" w:rsidR="00260796" w:rsidRPr="00EA3D8C" w:rsidRDefault="00260796" w:rsidP="00161001">
            <w:pPr>
              <w:jc w:val="center"/>
              <w:rPr>
                <w:rFonts w:eastAsia="Calibri" w:cstheme="minorHAnsi"/>
                <w:color w:val="002060"/>
                <w:sz w:val="18"/>
                <w:szCs w:val="18"/>
                <w:lang w:val="sr-Cyrl-RS"/>
              </w:rPr>
            </w:pPr>
          </w:p>
        </w:tc>
        <w:tc>
          <w:tcPr>
            <w:tcW w:w="675" w:type="pct"/>
            <w:shd w:val="clear" w:color="auto" w:fill="E7E6E6" w:themeFill="background2"/>
            <w:noWrap/>
            <w:vAlign w:val="center"/>
          </w:tcPr>
          <w:p w14:paraId="3CA0ED83" w14:textId="77777777" w:rsidR="00260796" w:rsidRPr="00EA3D8C" w:rsidRDefault="00260796" w:rsidP="00161001">
            <w:pPr>
              <w:jc w:val="center"/>
              <w:rPr>
                <w:rFonts w:eastAsia="Calibri" w:cstheme="minorHAnsi"/>
                <w:color w:val="002060"/>
                <w:sz w:val="18"/>
                <w:szCs w:val="18"/>
                <w:lang w:val="sr-Cyrl-RS"/>
              </w:rPr>
            </w:pPr>
          </w:p>
        </w:tc>
      </w:tr>
      <w:tr w:rsidR="00260796" w:rsidRPr="00EA3D8C" w14:paraId="615C3D13" w14:textId="77777777" w:rsidTr="00D751D5">
        <w:trPr>
          <w:trHeight w:val="282"/>
          <w:jc w:val="center"/>
        </w:trPr>
        <w:tc>
          <w:tcPr>
            <w:tcW w:w="2293" w:type="pct"/>
            <w:noWrap/>
            <w:vAlign w:val="center"/>
            <w:hideMark/>
          </w:tcPr>
          <w:p w14:paraId="061A1F25" w14:textId="73E34D57" w:rsidR="00260796" w:rsidRPr="00EA3D8C" w:rsidRDefault="00260796" w:rsidP="00161001">
            <w:pPr>
              <w:ind w:left="113"/>
              <w:jc w:val="left"/>
              <w:rPr>
                <w:rFonts w:eastAsia="Calibri" w:cstheme="minorHAnsi"/>
                <w:color w:val="002060"/>
                <w:sz w:val="18"/>
                <w:szCs w:val="18"/>
                <w:lang w:val="sr-Cyrl-RS"/>
              </w:rPr>
            </w:pPr>
            <w:bookmarkStart w:id="47" w:name="RANGE!A41"/>
            <w:r w:rsidRPr="00EA3D8C">
              <w:rPr>
                <w:rFonts w:eastAsia="Calibri" w:cstheme="minorHAnsi"/>
                <w:color w:val="002060"/>
                <w:sz w:val="18"/>
                <w:szCs w:val="18"/>
                <w:lang w:val="sr-Cyrl-RS"/>
              </w:rPr>
              <w:t xml:space="preserve">Салдо </w:t>
            </w:r>
            <w:bookmarkEnd w:id="47"/>
            <w:r w:rsidRPr="00EA3D8C">
              <w:rPr>
                <w:rFonts w:eastAsia="Calibri" w:cstheme="minorHAnsi"/>
                <w:color w:val="002060"/>
                <w:sz w:val="18"/>
                <w:szCs w:val="18"/>
                <w:lang w:val="sr-Cyrl-RS"/>
              </w:rPr>
              <w:t>роба</w:t>
            </w:r>
          </w:p>
        </w:tc>
        <w:tc>
          <w:tcPr>
            <w:tcW w:w="677" w:type="pct"/>
            <w:tcBorders>
              <w:top w:val="nil"/>
              <w:left w:val="nil"/>
              <w:bottom w:val="nil"/>
              <w:right w:val="nil"/>
            </w:tcBorders>
            <w:shd w:val="clear" w:color="000000" w:fill="FFFFFF"/>
            <w:noWrap/>
            <w:vAlign w:val="bottom"/>
          </w:tcPr>
          <w:p w14:paraId="3329739B" w14:textId="77777777" w:rsidR="00260796" w:rsidRPr="00EA3D8C" w:rsidRDefault="00260796" w:rsidP="00161001">
            <w:pPr>
              <w:jc w:val="center"/>
              <w:rPr>
                <w:color w:val="002060"/>
                <w:sz w:val="18"/>
                <w:lang w:val="sr-Cyrl-RS"/>
              </w:rPr>
            </w:pPr>
            <w:r w:rsidRPr="00EA3D8C">
              <w:rPr>
                <w:color w:val="002060"/>
                <w:sz w:val="18"/>
                <w:lang w:val="sr-Cyrl-RS"/>
              </w:rPr>
              <w:t>-11,1</w:t>
            </w:r>
          </w:p>
        </w:tc>
        <w:tc>
          <w:tcPr>
            <w:tcW w:w="678" w:type="pct"/>
            <w:tcBorders>
              <w:top w:val="nil"/>
              <w:left w:val="nil"/>
              <w:bottom w:val="nil"/>
              <w:right w:val="nil"/>
            </w:tcBorders>
            <w:shd w:val="clear" w:color="000000" w:fill="FFFFFF"/>
            <w:noWrap/>
            <w:vAlign w:val="bottom"/>
          </w:tcPr>
          <w:p w14:paraId="5844DEBE" w14:textId="77777777" w:rsidR="00260796" w:rsidRPr="00EA3D8C" w:rsidRDefault="00260796" w:rsidP="00161001">
            <w:pPr>
              <w:jc w:val="center"/>
              <w:rPr>
                <w:color w:val="002060"/>
                <w:sz w:val="18"/>
                <w:lang w:val="sr-Cyrl-RS"/>
              </w:rPr>
            </w:pPr>
            <w:r w:rsidRPr="00EA3D8C">
              <w:rPr>
                <w:color w:val="002060"/>
                <w:sz w:val="18"/>
                <w:lang w:val="sr-Cyrl-RS"/>
              </w:rPr>
              <w:t>-11,4</w:t>
            </w:r>
          </w:p>
        </w:tc>
        <w:tc>
          <w:tcPr>
            <w:tcW w:w="677" w:type="pct"/>
            <w:tcBorders>
              <w:top w:val="nil"/>
              <w:left w:val="nil"/>
              <w:bottom w:val="nil"/>
              <w:right w:val="nil"/>
            </w:tcBorders>
            <w:shd w:val="clear" w:color="000000" w:fill="FFFFFF"/>
            <w:noWrap/>
            <w:vAlign w:val="bottom"/>
          </w:tcPr>
          <w:p w14:paraId="65220C44" w14:textId="77777777" w:rsidR="00260796" w:rsidRPr="00EA3D8C" w:rsidRDefault="00260796" w:rsidP="00161001">
            <w:pPr>
              <w:jc w:val="center"/>
              <w:rPr>
                <w:color w:val="002060"/>
                <w:sz w:val="18"/>
                <w:lang w:val="sr-Cyrl-RS"/>
              </w:rPr>
            </w:pPr>
            <w:r w:rsidRPr="00EA3D8C">
              <w:rPr>
                <w:color w:val="002060"/>
                <w:sz w:val="18"/>
                <w:lang w:val="sr-Cyrl-RS"/>
              </w:rPr>
              <w:t>-11,0</w:t>
            </w:r>
          </w:p>
        </w:tc>
        <w:tc>
          <w:tcPr>
            <w:tcW w:w="675" w:type="pct"/>
            <w:tcBorders>
              <w:top w:val="nil"/>
              <w:left w:val="nil"/>
              <w:bottom w:val="nil"/>
              <w:right w:val="nil"/>
            </w:tcBorders>
            <w:shd w:val="clear" w:color="000000" w:fill="FFFFFF"/>
            <w:noWrap/>
            <w:vAlign w:val="bottom"/>
          </w:tcPr>
          <w:p w14:paraId="663D8676" w14:textId="77777777" w:rsidR="00260796" w:rsidRPr="00EA3D8C" w:rsidRDefault="00260796" w:rsidP="00161001">
            <w:pPr>
              <w:jc w:val="center"/>
              <w:rPr>
                <w:color w:val="002060"/>
                <w:sz w:val="18"/>
                <w:lang w:val="sr-Cyrl-RS"/>
              </w:rPr>
            </w:pPr>
            <w:r w:rsidRPr="00EA3D8C">
              <w:rPr>
                <w:color w:val="002060"/>
                <w:sz w:val="18"/>
                <w:lang w:val="sr-Cyrl-RS"/>
              </w:rPr>
              <w:t>-10,2</w:t>
            </w:r>
          </w:p>
        </w:tc>
      </w:tr>
      <w:tr w:rsidR="00260796" w:rsidRPr="00EA3D8C" w14:paraId="20343D0D" w14:textId="77777777" w:rsidTr="00D751D5">
        <w:trPr>
          <w:trHeight w:val="282"/>
          <w:jc w:val="center"/>
        </w:trPr>
        <w:tc>
          <w:tcPr>
            <w:tcW w:w="2293" w:type="pct"/>
            <w:noWrap/>
            <w:vAlign w:val="center"/>
          </w:tcPr>
          <w:p w14:paraId="2A9FE46F"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Салдо услуга</w:t>
            </w:r>
          </w:p>
        </w:tc>
        <w:tc>
          <w:tcPr>
            <w:tcW w:w="677" w:type="pct"/>
            <w:tcBorders>
              <w:top w:val="nil"/>
              <w:left w:val="nil"/>
              <w:bottom w:val="nil"/>
              <w:right w:val="nil"/>
            </w:tcBorders>
            <w:shd w:val="clear" w:color="000000" w:fill="FFFFFF"/>
            <w:noWrap/>
            <w:vAlign w:val="bottom"/>
          </w:tcPr>
          <w:p w14:paraId="530B4AB1" w14:textId="77777777" w:rsidR="00260796" w:rsidRPr="00EA3D8C" w:rsidRDefault="00260796" w:rsidP="00161001">
            <w:pPr>
              <w:jc w:val="center"/>
              <w:rPr>
                <w:color w:val="002060"/>
                <w:sz w:val="18"/>
                <w:lang w:val="sr-Cyrl-RS"/>
              </w:rPr>
            </w:pPr>
            <w:r w:rsidRPr="00EA3D8C">
              <w:rPr>
                <w:color w:val="002060"/>
                <w:sz w:val="18"/>
                <w:lang w:val="sr-Cyrl-RS"/>
              </w:rPr>
              <w:t>2,6</w:t>
            </w:r>
          </w:p>
        </w:tc>
        <w:tc>
          <w:tcPr>
            <w:tcW w:w="678" w:type="pct"/>
            <w:tcBorders>
              <w:top w:val="nil"/>
              <w:left w:val="nil"/>
              <w:bottom w:val="nil"/>
              <w:right w:val="nil"/>
            </w:tcBorders>
            <w:shd w:val="clear" w:color="000000" w:fill="FFFFFF"/>
            <w:noWrap/>
            <w:vAlign w:val="bottom"/>
          </w:tcPr>
          <w:p w14:paraId="733D565E" w14:textId="77777777" w:rsidR="00260796" w:rsidRPr="00EA3D8C" w:rsidRDefault="00260796" w:rsidP="00161001">
            <w:pPr>
              <w:jc w:val="center"/>
              <w:rPr>
                <w:color w:val="002060"/>
                <w:sz w:val="18"/>
                <w:lang w:val="sr-Cyrl-RS"/>
              </w:rPr>
            </w:pPr>
            <w:r w:rsidRPr="00EA3D8C">
              <w:rPr>
                <w:color w:val="002060"/>
                <w:sz w:val="18"/>
                <w:lang w:val="sr-Cyrl-RS"/>
              </w:rPr>
              <w:t>2,5</w:t>
            </w:r>
          </w:p>
        </w:tc>
        <w:tc>
          <w:tcPr>
            <w:tcW w:w="677" w:type="pct"/>
            <w:tcBorders>
              <w:top w:val="nil"/>
              <w:left w:val="nil"/>
              <w:bottom w:val="nil"/>
              <w:right w:val="nil"/>
            </w:tcBorders>
            <w:shd w:val="clear" w:color="000000" w:fill="FFFFFF"/>
            <w:noWrap/>
            <w:vAlign w:val="bottom"/>
          </w:tcPr>
          <w:p w14:paraId="13274DD6" w14:textId="77777777" w:rsidR="00260796" w:rsidRPr="00EA3D8C" w:rsidRDefault="00260796" w:rsidP="00161001">
            <w:pPr>
              <w:jc w:val="center"/>
              <w:rPr>
                <w:color w:val="002060"/>
                <w:sz w:val="18"/>
                <w:lang w:val="sr-Cyrl-RS"/>
              </w:rPr>
            </w:pPr>
            <w:r w:rsidRPr="00EA3D8C">
              <w:rPr>
                <w:color w:val="002060"/>
                <w:sz w:val="18"/>
                <w:lang w:val="sr-Cyrl-RS"/>
              </w:rPr>
              <w:t>2,4</w:t>
            </w:r>
          </w:p>
        </w:tc>
        <w:tc>
          <w:tcPr>
            <w:tcW w:w="675" w:type="pct"/>
            <w:tcBorders>
              <w:top w:val="nil"/>
              <w:left w:val="nil"/>
              <w:bottom w:val="nil"/>
              <w:right w:val="nil"/>
            </w:tcBorders>
            <w:shd w:val="clear" w:color="000000" w:fill="FFFFFF"/>
            <w:noWrap/>
            <w:vAlign w:val="bottom"/>
          </w:tcPr>
          <w:p w14:paraId="65E1BD9E" w14:textId="77777777" w:rsidR="00260796" w:rsidRPr="00EA3D8C" w:rsidRDefault="00260796" w:rsidP="00161001">
            <w:pPr>
              <w:jc w:val="center"/>
              <w:rPr>
                <w:color w:val="002060"/>
                <w:sz w:val="18"/>
                <w:lang w:val="sr-Cyrl-RS"/>
              </w:rPr>
            </w:pPr>
            <w:r w:rsidRPr="00EA3D8C">
              <w:rPr>
                <w:color w:val="002060"/>
                <w:sz w:val="18"/>
                <w:lang w:val="sr-Cyrl-RS"/>
              </w:rPr>
              <w:t>2,2</w:t>
            </w:r>
          </w:p>
        </w:tc>
      </w:tr>
      <w:tr w:rsidR="00260796" w:rsidRPr="00EA3D8C" w14:paraId="08F11282" w14:textId="77777777" w:rsidTr="00D751D5">
        <w:trPr>
          <w:trHeight w:val="282"/>
          <w:jc w:val="center"/>
        </w:trPr>
        <w:tc>
          <w:tcPr>
            <w:tcW w:w="2293" w:type="pct"/>
            <w:noWrap/>
            <w:vAlign w:val="center"/>
            <w:hideMark/>
          </w:tcPr>
          <w:p w14:paraId="0F16EFB8" w14:textId="77777777" w:rsidR="00260796" w:rsidRPr="00EA3D8C" w:rsidRDefault="00260796" w:rsidP="00161001">
            <w:pPr>
              <w:ind w:left="113"/>
              <w:jc w:val="left"/>
              <w:rPr>
                <w:rFonts w:eastAsia="Calibri" w:cstheme="minorHAnsi"/>
                <w:color w:val="002060"/>
                <w:sz w:val="18"/>
                <w:szCs w:val="18"/>
                <w:lang w:val="sr-Cyrl-RS"/>
              </w:rPr>
            </w:pPr>
            <w:r w:rsidRPr="00EA3D8C">
              <w:rPr>
                <w:rFonts w:eastAsia="Calibri" w:cstheme="minorHAnsi"/>
                <w:color w:val="002060"/>
                <w:sz w:val="18"/>
                <w:szCs w:val="18"/>
                <w:lang w:val="sr-Cyrl-RS"/>
              </w:rPr>
              <w:t>Салдо текућег рачуна</w:t>
            </w:r>
          </w:p>
        </w:tc>
        <w:tc>
          <w:tcPr>
            <w:tcW w:w="677" w:type="pct"/>
            <w:tcBorders>
              <w:top w:val="nil"/>
              <w:left w:val="nil"/>
              <w:bottom w:val="nil"/>
              <w:right w:val="nil"/>
            </w:tcBorders>
            <w:shd w:val="clear" w:color="000000" w:fill="FFFFFF"/>
            <w:noWrap/>
            <w:vAlign w:val="bottom"/>
          </w:tcPr>
          <w:p w14:paraId="7DF73111" w14:textId="77777777" w:rsidR="00260796" w:rsidRPr="00EA3D8C" w:rsidRDefault="00260796" w:rsidP="00161001">
            <w:pPr>
              <w:jc w:val="center"/>
              <w:rPr>
                <w:color w:val="002060"/>
                <w:sz w:val="18"/>
                <w:lang w:val="sr-Cyrl-RS"/>
              </w:rPr>
            </w:pPr>
            <w:r w:rsidRPr="00EA3D8C">
              <w:rPr>
                <w:color w:val="002060"/>
                <w:sz w:val="18"/>
                <w:lang w:val="sr-Cyrl-RS"/>
              </w:rPr>
              <w:t>-5,6</w:t>
            </w:r>
          </w:p>
        </w:tc>
        <w:tc>
          <w:tcPr>
            <w:tcW w:w="678" w:type="pct"/>
            <w:tcBorders>
              <w:top w:val="nil"/>
              <w:left w:val="nil"/>
              <w:bottom w:val="nil"/>
              <w:right w:val="nil"/>
            </w:tcBorders>
            <w:shd w:val="clear" w:color="000000" w:fill="FFFFFF"/>
            <w:noWrap/>
            <w:vAlign w:val="bottom"/>
          </w:tcPr>
          <w:p w14:paraId="0F226778" w14:textId="77777777" w:rsidR="00260796" w:rsidRPr="00EA3D8C" w:rsidRDefault="00260796" w:rsidP="00161001">
            <w:pPr>
              <w:jc w:val="center"/>
              <w:rPr>
                <w:color w:val="002060"/>
                <w:sz w:val="18"/>
                <w:lang w:val="sr-Cyrl-RS"/>
              </w:rPr>
            </w:pPr>
            <w:r w:rsidRPr="00EA3D8C">
              <w:rPr>
                <w:color w:val="002060"/>
                <w:sz w:val="18"/>
                <w:lang w:val="sr-Cyrl-RS"/>
              </w:rPr>
              <w:t>-5,9</w:t>
            </w:r>
          </w:p>
        </w:tc>
        <w:tc>
          <w:tcPr>
            <w:tcW w:w="677" w:type="pct"/>
            <w:tcBorders>
              <w:top w:val="nil"/>
              <w:left w:val="nil"/>
              <w:bottom w:val="nil"/>
              <w:right w:val="nil"/>
            </w:tcBorders>
            <w:shd w:val="clear" w:color="000000" w:fill="FFFFFF"/>
            <w:noWrap/>
            <w:vAlign w:val="bottom"/>
          </w:tcPr>
          <w:p w14:paraId="35E817AC" w14:textId="77777777" w:rsidR="00260796" w:rsidRPr="00EA3D8C" w:rsidRDefault="00260796" w:rsidP="00161001">
            <w:pPr>
              <w:jc w:val="center"/>
              <w:rPr>
                <w:color w:val="002060"/>
                <w:sz w:val="18"/>
                <w:lang w:val="sr-Cyrl-RS"/>
              </w:rPr>
            </w:pPr>
            <w:r w:rsidRPr="00EA3D8C">
              <w:rPr>
                <w:color w:val="002060"/>
                <w:sz w:val="18"/>
                <w:lang w:val="sr-Cyrl-RS"/>
              </w:rPr>
              <w:t>-5,5</w:t>
            </w:r>
          </w:p>
        </w:tc>
        <w:tc>
          <w:tcPr>
            <w:tcW w:w="675" w:type="pct"/>
            <w:tcBorders>
              <w:top w:val="nil"/>
              <w:left w:val="nil"/>
              <w:bottom w:val="nil"/>
              <w:right w:val="nil"/>
            </w:tcBorders>
            <w:shd w:val="clear" w:color="000000" w:fill="FFFFFF"/>
            <w:noWrap/>
            <w:vAlign w:val="bottom"/>
          </w:tcPr>
          <w:p w14:paraId="23E0FA5A" w14:textId="77777777" w:rsidR="00260796" w:rsidRPr="00EA3D8C" w:rsidRDefault="00260796" w:rsidP="00161001">
            <w:pPr>
              <w:jc w:val="center"/>
              <w:rPr>
                <w:color w:val="002060"/>
                <w:sz w:val="18"/>
                <w:lang w:val="sr-Cyrl-RS"/>
              </w:rPr>
            </w:pPr>
            <w:r w:rsidRPr="00EA3D8C">
              <w:rPr>
                <w:color w:val="002060"/>
                <w:sz w:val="18"/>
                <w:lang w:val="sr-Cyrl-RS"/>
              </w:rPr>
              <w:t>-5,2</w:t>
            </w:r>
          </w:p>
        </w:tc>
      </w:tr>
      <w:tr w:rsidR="00260796" w:rsidRPr="00EA3D8C" w14:paraId="5DAA8015" w14:textId="77777777" w:rsidTr="00D751D5">
        <w:trPr>
          <w:trHeight w:val="283"/>
          <w:jc w:val="center"/>
        </w:trPr>
        <w:tc>
          <w:tcPr>
            <w:tcW w:w="2293" w:type="pct"/>
            <w:shd w:val="clear" w:color="auto" w:fill="E7E6E6" w:themeFill="background2"/>
            <w:noWrap/>
            <w:vAlign w:val="center"/>
            <w:hideMark/>
          </w:tcPr>
          <w:p w14:paraId="235FC777" w14:textId="77777777" w:rsidR="00260796" w:rsidRPr="00EA3D8C" w:rsidRDefault="00260796" w:rsidP="00161001">
            <w:pPr>
              <w:jc w:val="left"/>
              <w:rPr>
                <w:rFonts w:eastAsia="Calibri" w:cstheme="minorHAnsi"/>
                <w:bCs/>
                <w:iCs/>
                <w:color w:val="002060"/>
                <w:sz w:val="18"/>
                <w:szCs w:val="18"/>
                <w:lang w:val="sr-Cyrl-RS"/>
              </w:rPr>
            </w:pPr>
            <w:r w:rsidRPr="00EA3D8C">
              <w:rPr>
                <w:rFonts w:eastAsia="Calibri" w:cstheme="minorHAnsi"/>
                <w:iCs/>
                <w:color w:val="002060"/>
                <w:sz w:val="18"/>
                <w:szCs w:val="18"/>
                <w:lang w:val="sr-Cyrl-RS"/>
              </w:rPr>
              <w:t>Фискални индикатори, % БДП</w:t>
            </w:r>
          </w:p>
        </w:tc>
        <w:tc>
          <w:tcPr>
            <w:tcW w:w="677" w:type="pct"/>
            <w:shd w:val="clear" w:color="auto" w:fill="E7E6E6" w:themeFill="background2"/>
            <w:noWrap/>
            <w:vAlign w:val="center"/>
          </w:tcPr>
          <w:p w14:paraId="2C73E996" w14:textId="77777777" w:rsidR="00260796" w:rsidRPr="00EA3D8C" w:rsidRDefault="00260796" w:rsidP="00161001">
            <w:pPr>
              <w:jc w:val="center"/>
              <w:rPr>
                <w:rFonts w:eastAsia="Calibri" w:cstheme="minorHAnsi"/>
                <w:iCs/>
                <w:color w:val="002060"/>
                <w:sz w:val="18"/>
                <w:szCs w:val="18"/>
                <w:lang w:val="sr-Cyrl-RS"/>
              </w:rPr>
            </w:pPr>
          </w:p>
        </w:tc>
        <w:tc>
          <w:tcPr>
            <w:tcW w:w="678" w:type="pct"/>
            <w:shd w:val="clear" w:color="auto" w:fill="E7E6E6" w:themeFill="background2"/>
            <w:noWrap/>
            <w:vAlign w:val="center"/>
          </w:tcPr>
          <w:p w14:paraId="75D4F2A9" w14:textId="77777777" w:rsidR="00260796" w:rsidRPr="00EA3D8C" w:rsidRDefault="00260796" w:rsidP="00161001">
            <w:pPr>
              <w:jc w:val="center"/>
              <w:rPr>
                <w:rFonts w:eastAsia="Calibri" w:cstheme="minorHAnsi"/>
                <w:color w:val="002060"/>
                <w:sz w:val="18"/>
                <w:szCs w:val="18"/>
                <w:lang w:val="sr-Cyrl-RS"/>
              </w:rPr>
            </w:pPr>
          </w:p>
        </w:tc>
        <w:tc>
          <w:tcPr>
            <w:tcW w:w="677" w:type="pct"/>
            <w:shd w:val="clear" w:color="auto" w:fill="E7E6E6" w:themeFill="background2"/>
            <w:noWrap/>
            <w:vAlign w:val="center"/>
          </w:tcPr>
          <w:p w14:paraId="056E2F11" w14:textId="77777777" w:rsidR="00260796" w:rsidRPr="00EA3D8C" w:rsidRDefault="00260796" w:rsidP="00161001">
            <w:pPr>
              <w:jc w:val="center"/>
              <w:rPr>
                <w:rFonts w:eastAsia="Calibri" w:cstheme="minorHAnsi"/>
                <w:color w:val="002060"/>
                <w:sz w:val="18"/>
                <w:szCs w:val="18"/>
                <w:lang w:val="sr-Cyrl-RS"/>
              </w:rPr>
            </w:pPr>
          </w:p>
        </w:tc>
        <w:tc>
          <w:tcPr>
            <w:tcW w:w="675" w:type="pct"/>
            <w:shd w:val="clear" w:color="auto" w:fill="E7E6E6" w:themeFill="background2"/>
            <w:noWrap/>
            <w:vAlign w:val="center"/>
          </w:tcPr>
          <w:p w14:paraId="6F10416A" w14:textId="77777777" w:rsidR="00260796" w:rsidRPr="00EA3D8C" w:rsidRDefault="00260796" w:rsidP="00161001">
            <w:pPr>
              <w:jc w:val="center"/>
              <w:rPr>
                <w:rFonts w:eastAsia="Calibri" w:cstheme="minorHAnsi"/>
                <w:color w:val="002060"/>
                <w:sz w:val="18"/>
                <w:szCs w:val="18"/>
                <w:lang w:val="sr-Cyrl-RS"/>
              </w:rPr>
            </w:pPr>
          </w:p>
        </w:tc>
      </w:tr>
      <w:tr w:rsidR="007327FF" w:rsidRPr="00EA3D8C" w14:paraId="28CBC233" w14:textId="77777777" w:rsidTr="00D751D5">
        <w:trPr>
          <w:trHeight w:val="282"/>
          <w:jc w:val="center"/>
        </w:trPr>
        <w:tc>
          <w:tcPr>
            <w:tcW w:w="2293" w:type="pct"/>
            <w:noWrap/>
            <w:vAlign w:val="center"/>
            <w:hideMark/>
          </w:tcPr>
          <w:p w14:paraId="71009A24" w14:textId="77777777" w:rsidR="007327FF" w:rsidRPr="00D505DF" w:rsidRDefault="007327FF" w:rsidP="00D505DF">
            <w:pPr>
              <w:jc w:val="left"/>
              <w:rPr>
                <w:rFonts w:eastAsia="Calibri" w:cstheme="minorHAnsi"/>
                <w:iCs/>
                <w:color w:val="002060"/>
                <w:sz w:val="18"/>
                <w:szCs w:val="18"/>
                <w:lang w:val="sr-Cyrl-RS"/>
              </w:rPr>
            </w:pPr>
            <w:r w:rsidRPr="00D505DF">
              <w:rPr>
                <w:rFonts w:eastAsia="Calibri" w:cstheme="minorHAnsi"/>
                <w:iCs/>
                <w:color w:val="002060"/>
                <w:sz w:val="18"/>
                <w:szCs w:val="18"/>
                <w:lang w:val="sr-Cyrl-RS"/>
              </w:rPr>
              <w:t>Фискални резултат опште државе</w:t>
            </w:r>
          </w:p>
        </w:tc>
        <w:tc>
          <w:tcPr>
            <w:tcW w:w="677" w:type="pct"/>
            <w:shd w:val="clear" w:color="auto" w:fill="auto"/>
            <w:noWrap/>
            <w:vAlign w:val="center"/>
          </w:tcPr>
          <w:p w14:paraId="3F26423A" w14:textId="0294155D"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-8,9</w:t>
            </w:r>
          </w:p>
        </w:tc>
        <w:tc>
          <w:tcPr>
            <w:tcW w:w="678" w:type="pct"/>
            <w:shd w:val="clear" w:color="auto" w:fill="auto"/>
            <w:noWrap/>
            <w:vAlign w:val="center"/>
          </w:tcPr>
          <w:p w14:paraId="39C77B52" w14:textId="060430DC"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-3,0</w:t>
            </w:r>
          </w:p>
        </w:tc>
        <w:tc>
          <w:tcPr>
            <w:tcW w:w="677" w:type="pct"/>
            <w:shd w:val="clear" w:color="auto" w:fill="auto"/>
            <w:noWrap/>
            <w:vAlign w:val="center"/>
          </w:tcPr>
          <w:p w14:paraId="34D2C0DF" w14:textId="69D31182"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-1,6</w:t>
            </w:r>
          </w:p>
        </w:tc>
        <w:tc>
          <w:tcPr>
            <w:tcW w:w="675" w:type="pct"/>
            <w:shd w:val="clear" w:color="auto" w:fill="auto"/>
            <w:noWrap/>
            <w:vAlign w:val="center"/>
          </w:tcPr>
          <w:p w14:paraId="143DFAD0" w14:textId="615391CA"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-1,0</w:t>
            </w:r>
          </w:p>
        </w:tc>
      </w:tr>
      <w:tr w:rsidR="007327FF" w:rsidRPr="00EA3D8C" w14:paraId="33515598" w14:textId="77777777" w:rsidTr="00D751D5">
        <w:trPr>
          <w:trHeight w:val="282"/>
          <w:jc w:val="center"/>
        </w:trPr>
        <w:tc>
          <w:tcPr>
            <w:tcW w:w="2293" w:type="pct"/>
            <w:noWrap/>
            <w:vAlign w:val="center"/>
            <w:hideMark/>
          </w:tcPr>
          <w:p w14:paraId="2BE5E0B1" w14:textId="77777777" w:rsidR="007327FF" w:rsidRPr="00D505DF" w:rsidRDefault="007327FF" w:rsidP="00D505DF">
            <w:pPr>
              <w:jc w:val="left"/>
              <w:rPr>
                <w:rFonts w:eastAsia="Calibri" w:cstheme="minorHAnsi"/>
                <w:iCs/>
                <w:color w:val="002060"/>
                <w:sz w:val="18"/>
                <w:szCs w:val="18"/>
                <w:lang w:val="sr-Cyrl-RS"/>
              </w:rPr>
            </w:pPr>
            <w:r w:rsidRPr="00D505DF">
              <w:rPr>
                <w:rFonts w:eastAsia="Calibri" w:cstheme="minorHAnsi"/>
                <w:iCs/>
                <w:color w:val="002060"/>
                <w:sz w:val="18"/>
                <w:szCs w:val="18"/>
                <w:lang w:val="sr-Cyrl-RS"/>
              </w:rPr>
              <w:t>Консолидовани приходи</w:t>
            </w:r>
          </w:p>
        </w:tc>
        <w:tc>
          <w:tcPr>
            <w:tcW w:w="677" w:type="pct"/>
            <w:shd w:val="clear" w:color="auto" w:fill="auto"/>
            <w:noWrap/>
            <w:vAlign w:val="center"/>
          </w:tcPr>
          <w:p w14:paraId="2CE9A8B0" w14:textId="4C70D000"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40,3</w:t>
            </w:r>
          </w:p>
        </w:tc>
        <w:tc>
          <w:tcPr>
            <w:tcW w:w="678" w:type="pct"/>
            <w:shd w:val="clear" w:color="auto" w:fill="auto"/>
            <w:noWrap/>
            <w:vAlign w:val="center"/>
          </w:tcPr>
          <w:p w14:paraId="1AF93F3B" w14:textId="1EE87C80"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40,4</w:t>
            </w:r>
          </w:p>
        </w:tc>
        <w:tc>
          <w:tcPr>
            <w:tcW w:w="677" w:type="pct"/>
            <w:shd w:val="clear" w:color="auto" w:fill="auto"/>
            <w:noWrap/>
            <w:vAlign w:val="center"/>
          </w:tcPr>
          <w:p w14:paraId="66FB855C" w14:textId="57FCEE93"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40,5</w:t>
            </w:r>
          </w:p>
        </w:tc>
        <w:tc>
          <w:tcPr>
            <w:tcW w:w="675" w:type="pct"/>
            <w:shd w:val="clear" w:color="auto" w:fill="auto"/>
            <w:noWrap/>
            <w:vAlign w:val="center"/>
          </w:tcPr>
          <w:p w14:paraId="5A380CD6" w14:textId="1D596076"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39,7</w:t>
            </w:r>
          </w:p>
        </w:tc>
      </w:tr>
      <w:tr w:rsidR="007327FF" w:rsidRPr="00EA3D8C" w14:paraId="0F353EE5" w14:textId="77777777" w:rsidTr="00D751D5">
        <w:trPr>
          <w:trHeight w:val="282"/>
          <w:jc w:val="center"/>
        </w:trPr>
        <w:tc>
          <w:tcPr>
            <w:tcW w:w="2293" w:type="pct"/>
            <w:noWrap/>
            <w:vAlign w:val="center"/>
            <w:hideMark/>
          </w:tcPr>
          <w:p w14:paraId="524D789E" w14:textId="77777777" w:rsidR="007327FF" w:rsidRPr="00D505DF" w:rsidRDefault="007327FF" w:rsidP="00D505DF">
            <w:pPr>
              <w:jc w:val="left"/>
              <w:rPr>
                <w:rFonts w:eastAsia="Calibri" w:cstheme="minorHAnsi"/>
                <w:iCs/>
                <w:color w:val="002060"/>
                <w:sz w:val="18"/>
                <w:szCs w:val="18"/>
                <w:lang w:val="sr-Cyrl-RS"/>
              </w:rPr>
            </w:pPr>
            <w:r w:rsidRPr="00D505DF">
              <w:rPr>
                <w:rFonts w:eastAsia="Calibri" w:cstheme="minorHAnsi"/>
                <w:iCs/>
                <w:color w:val="002060"/>
                <w:sz w:val="18"/>
                <w:szCs w:val="18"/>
                <w:lang w:val="sr-Cyrl-RS"/>
              </w:rPr>
              <w:t>Консолидовани расходи</w:t>
            </w:r>
          </w:p>
        </w:tc>
        <w:tc>
          <w:tcPr>
            <w:tcW w:w="677" w:type="pct"/>
            <w:shd w:val="clear" w:color="auto" w:fill="auto"/>
            <w:noWrap/>
            <w:vAlign w:val="center"/>
          </w:tcPr>
          <w:p w14:paraId="01191B6C" w14:textId="08D6474B"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49,2</w:t>
            </w:r>
          </w:p>
        </w:tc>
        <w:tc>
          <w:tcPr>
            <w:tcW w:w="678" w:type="pct"/>
            <w:shd w:val="clear" w:color="auto" w:fill="auto"/>
            <w:noWrap/>
            <w:vAlign w:val="center"/>
          </w:tcPr>
          <w:p w14:paraId="3B3D9F6E" w14:textId="1F79B31B"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43,4</w:t>
            </w:r>
          </w:p>
        </w:tc>
        <w:tc>
          <w:tcPr>
            <w:tcW w:w="677" w:type="pct"/>
            <w:shd w:val="clear" w:color="auto" w:fill="auto"/>
            <w:noWrap/>
            <w:vAlign w:val="center"/>
          </w:tcPr>
          <w:p w14:paraId="461A0458" w14:textId="1AD8E8C1"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42,1</w:t>
            </w:r>
          </w:p>
        </w:tc>
        <w:tc>
          <w:tcPr>
            <w:tcW w:w="675" w:type="pct"/>
            <w:shd w:val="clear" w:color="auto" w:fill="auto"/>
            <w:noWrap/>
            <w:vAlign w:val="center"/>
          </w:tcPr>
          <w:p w14:paraId="6F2590E9" w14:textId="0E65F4B4"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40,7</w:t>
            </w:r>
          </w:p>
        </w:tc>
      </w:tr>
      <w:tr w:rsidR="007327FF" w:rsidRPr="00EA3D8C" w14:paraId="13A04CBA" w14:textId="77777777" w:rsidTr="00D751D5">
        <w:trPr>
          <w:trHeight w:val="282"/>
          <w:jc w:val="center"/>
        </w:trPr>
        <w:tc>
          <w:tcPr>
            <w:tcW w:w="2293" w:type="pct"/>
            <w:tcBorders>
              <w:bottom w:val="single" w:sz="4" w:space="0" w:color="002060"/>
            </w:tcBorders>
            <w:noWrap/>
            <w:vAlign w:val="center"/>
            <w:hideMark/>
          </w:tcPr>
          <w:p w14:paraId="08BAA199" w14:textId="77777777" w:rsidR="007327FF" w:rsidRPr="00D505DF" w:rsidRDefault="007327FF" w:rsidP="00D505DF">
            <w:pPr>
              <w:jc w:val="left"/>
              <w:rPr>
                <w:rFonts w:eastAsia="Calibri" w:cstheme="minorHAnsi"/>
                <w:iCs/>
                <w:color w:val="002060"/>
                <w:sz w:val="18"/>
                <w:szCs w:val="18"/>
                <w:lang w:val="sr-Cyrl-RS"/>
              </w:rPr>
            </w:pPr>
            <w:r w:rsidRPr="00D505DF">
              <w:rPr>
                <w:rFonts w:eastAsia="Calibri" w:cstheme="minorHAnsi"/>
                <w:iCs/>
                <w:color w:val="002060"/>
                <w:sz w:val="18"/>
                <w:szCs w:val="18"/>
                <w:lang w:val="sr-Cyrl-RS"/>
              </w:rPr>
              <w:t>Бруто дуг сектора опште државе</w:t>
            </w:r>
          </w:p>
        </w:tc>
        <w:tc>
          <w:tcPr>
            <w:tcW w:w="677" w:type="pct"/>
            <w:tcBorders>
              <w:bottom w:val="single" w:sz="4" w:space="0" w:color="auto"/>
            </w:tcBorders>
            <w:shd w:val="clear" w:color="auto" w:fill="auto"/>
            <w:noWrap/>
            <w:vAlign w:val="center"/>
          </w:tcPr>
          <w:p w14:paraId="7AD62C37" w14:textId="7A915248"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59,0</w:t>
            </w:r>
          </w:p>
        </w:tc>
        <w:tc>
          <w:tcPr>
            <w:tcW w:w="678" w:type="pct"/>
            <w:tcBorders>
              <w:bottom w:val="single" w:sz="4" w:space="0" w:color="auto"/>
            </w:tcBorders>
            <w:shd w:val="clear" w:color="auto" w:fill="auto"/>
            <w:noWrap/>
            <w:vAlign w:val="center"/>
          </w:tcPr>
          <w:p w14:paraId="056B3EAF" w14:textId="340E9EC6"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58,7</w:t>
            </w:r>
          </w:p>
        </w:tc>
        <w:tc>
          <w:tcPr>
            <w:tcW w:w="677" w:type="pct"/>
            <w:tcBorders>
              <w:bottom w:val="single" w:sz="4" w:space="0" w:color="auto"/>
            </w:tcBorders>
            <w:shd w:val="clear" w:color="auto" w:fill="auto"/>
            <w:noWrap/>
            <w:vAlign w:val="center"/>
          </w:tcPr>
          <w:p w14:paraId="7E50670F" w14:textId="2FEDED45"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57,9</w:t>
            </w:r>
          </w:p>
        </w:tc>
        <w:tc>
          <w:tcPr>
            <w:tcW w:w="675" w:type="pct"/>
            <w:tcBorders>
              <w:bottom w:val="single" w:sz="4" w:space="0" w:color="auto"/>
            </w:tcBorders>
            <w:shd w:val="clear" w:color="auto" w:fill="auto"/>
            <w:noWrap/>
            <w:vAlign w:val="center"/>
          </w:tcPr>
          <w:p w14:paraId="6D8EA016" w14:textId="55B433A7" w:rsidR="007327FF" w:rsidRPr="00EA3D8C" w:rsidRDefault="007327FF" w:rsidP="007327FF">
            <w:pPr>
              <w:jc w:val="center"/>
              <w:rPr>
                <w:rFonts w:eastAsia="Calibri" w:cstheme="minorHAnsi"/>
                <w:color w:val="002060"/>
                <w:sz w:val="18"/>
                <w:szCs w:val="18"/>
                <w:lang w:val="sr-Cyrl-RS"/>
              </w:rPr>
            </w:pPr>
            <w:r w:rsidRPr="00EA3D8C">
              <w:rPr>
                <w:rFonts w:cstheme="minorHAnsi"/>
                <w:color w:val="002060"/>
                <w:sz w:val="18"/>
                <w:szCs w:val="18"/>
                <w:lang w:val="sr-Cyrl-RS"/>
              </w:rPr>
              <w:t>56,0</w:t>
            </w:r>
          </w:p>
        </w:tc>
      </w:tr>
      <w:bookmarkEnd w:id="45"/>
      <w:bookmarkEnd w:id="46"/>
    </w:tbl>
    <w:p w14:paraId="7BD311C9" w14:textId="390FFD38" w:rsidR="008066BE" w:rsidRDefault="008066BE" w:rsidP="00D751D5">
      <w:pPr>
        <w:rPr>
          <w:rFonts w:cstheme="minorHAnsi"/>
          <w:sz w:val="16"/>
          <w:szCs w:val="16"/>
          <w:lang w:val="sr-Cyrl-RS"/>
        </w:rPr>
      </w:pPr>
    </w:p>
    <w:p w14:paraId="30DB22F9" w14:textId="77777777" w:rsidR="00D505DF" w:rsidRDefault="00D505DF" w:rsidP="00D751D5">
      <w:pPr>
        <w:jc w:val="left"/>
        <w:rPr>
          <w:rFonts w:cstheme="minorHAnsi"/>
          <w:sz w:val="16"/>
          <w:szCs w:val="16"/>
          <w:lang w:val="sr-Cyrl-RS"/>
        </w:rPr>
      </w:pPr>
    </w:p>
    <w:p w14:paraId="5FBF24EF" w14:textId="77777777" w:rsidR="00D505DF" w:rsidRDefault="00D505DF" w:rsidP="00D751D5">
      <w:pPr>
        <w:jc w:val="left"/>
        <w:rPr>
          <w:rFonts w:cstheme="minorHAnsi"/>
          <w:sz w:val="16"/>
          <w:szCs w:val="16"/>
          <w:lang w:val="sr-Cyrl-RS"/>
        </w:rPr>
      </w:pPr>
    </w:p>
    <w:p w14:paraId="57EC7180" w14:textId="0DA28504" w:rsidR="00D505DF" w:rsidRDefault="00D505DF" w:rsidP="00D751D5">
      <w:pPr>
        <w:jc w:val="left"/>
        <w:rPr>
          <w:rFonts w:cstheme="minorHAnsi"/>
          <w:sz w:val="16"/>
          <w:szCs w:val="16"/>
          <w:lang w:val="sr-Cyrl-RS"/>
        </w:rPr>
      </w:pPr>
    </w:p>
    <w:p w14:paraId="4354D145" w14:textId="3226E57F" w:rsidR="00D505DF" w:rsidRDefault="00D505DF" w:rsidP="00D751D5">
      <w:pPr>
        <w:jc w:val="left"/>
        <w:rPr>
          <w:rFonts w:cstheme="minorHAnsi"/>
          <w:sz w:val="16"/>
          <w:szCs w:val="16"/>
          <w:lang w:val="sr-Cyrl-RS"/>
        </w:rPr>
        <w:sectPr w:rsidR="00D505DF" w:rsidSect="00D751D5">
          <w:footerReference w:type="default" r:id="rId183"/>
          <w:pgSz w:w="12240" w:h="15840" w:code="1"/>
          <w:pgMar w:top="567" w:right="680" w:bottom="567" w:left="680" w:header="510" w:footer="397" w:gutter="0"/>
          <w:cols w:space="720"/>
          <w:docGrid w:linePitch="360"/>
        </w:sectPr>
      </w:pPr>
    </w:p>
    <w:p w14:paraId="18B918A4" w14:textId="77777777" w:rsidR="00C26107" w:rsidRPr="00C26107" w:rsidRDefault="00C26107" w:rsidP="00C26107">
      <w:pPr>
        <w:spacing w:after="0"/>
        <w:ind w:left="567"/>
        <w:rPr>
          <w:color w:val="2F5496" w:themeColor="accent1" w:themeShade="BF"/>
          <w:sz w:val="14"/>
          <w:szCs w:val="26"/>
          <w:lang w:val="sr-Cyrl-RS"/>
        </w:rPr>
      </w:pPr>
    </w:p>
    <w:p w14:paraId="0FF30068" w14:textId="77777777" w:rsidR="00C26107" w:rsidRPr="00C26107" w:rsidRDefault="00C26107" w:rsidP="00CC11FD">
      <w:pPr>
        <w:ind w:left="57"/>
        <w:jc w:val="left"/>
        <w:rPr>
          <w:color w:val="002060"/>
          <w:lang w:val="sr-Cyrl-RS"/>
        </w:rPr>
      </w:pPr>
      <w:bookmarkStart w:id="48" w:name="_Toc530635113"/>
      <w:bookmarkStart w:id="49" w:name="_Toc56667085"/>
      <w:r w:rsidRPr="00C26107">
        <w:rPr>
          <w:rStyle w:val="Heading1Char"/>
          <w:rFonts w:asciiTheme="minorHAnsi" w:hAnsiTheme="minorHAnsi" w:cstheme="minorHAnsi"/>
          <w:color w:val="002060"/>
          <w:sz w:val="24"/>
          <w:szCs w:val="26"/>
          <w:lang w:val="sr-Cyrl-RS"/>
        </w:rPr>
        <w:t>Прилог 2 – Фискални оквир опште државе у 2021. години</w:t>
      </w:r>
      <w:bookmarkEnd w:id="48"/>
      <w:bookmarkEnd w:id="49"/>
      <w:r w:rsidRPr="00C26107">
        <w:rPr>
          <w:color w:val="002060"/>
          <w:lang w:val="sr-Cyrl-RS"/>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598"/>
        <w:gridCol w:w="1208"/>
        <w:gridCol w:w="1759"/>
        <w:gridCol w:w="1025"/>
        <w:gridCol w:w="1025"/>
        <w:gridCol w:w="1026"/>
        <w:gridCol w:w="1000"/>
        <w:gridCol w:w="1001"/>
        <w:gridCol w:w="1000"/>
        <w:gridCol w:w="1001"/>
        <w:gridCol w:w="1000"/>
        <w:gridCol w:w="1001"/>
      </w:tblGrid>
      <w:tr w:rsidR="00C26107" w:rsidRPr="00C26107" w14:paraId="20633CC7" w14:textId="77777777" w:rsidTr="00EE71E1">
        <w:trPr>
          <w:trHeight w:val="547"/>
          <w:jc w:val="center"/>
        </w:trPr>
        <w:tc>
          <w:tcPr>
            <w:tcW w:w="2598" w:type="dxa"/>
            <w:tcBorders>
              <w:top w:val="single" w:sz="4" w:space="0" w:color="002060"/>
              <w:bottom w:val="single" w:sz="4" w:space="0" w:color="002060"/>
            </w:tcBorders>
            <w:vAlign w:val="bottom"/>
          </w:tcPr>
          <w:p w14:paraId="78634B6D" w14:textId="77777777" w:rsidR="00C26107" w:rsidRPr="00C26107" w:rsidRDefault="00C26107" w:rsidP="00C26107">
            <w:pPr>
              <w:pStyle w:val="Footer"/>
              <w:rPr>
                <w:rFonts w:cstheme="minorHAnsi"/>
                <w:color w:val="002060"/>
                <w:sz w:val="14"/>
                <w:szCs w:val="16"/>
                <w:lang w:val="sr-Cyrl-RS"/>
              </w:rPr>
            </w:pPr>
            <w:r w:rsidRPr="00C26107">
              <w:rPr>
                <w:rFonts w:ascii="Calibri" w:hAnsi="Calibri" w:cs="Calibri"/>
                <w:color w:val="002060"/>
                <w:sz w:val="14"/>
                <w:szCs w:val="16"/>
                <w:lang w:val="sr-Cyrl-RS"/>
              </w:rPr>
              <w:t> </w:t>
            </w:r>
          </w:p>
        </w:tc>
        <w:tc>
          <w:tcPr>
            <w:tcW w:w="1208" w:type="dxa"/>
            <w:tcBorders>
              <w:top w:val="single" w:sz="4" w:space="0" w:color="002060"/>
              <w:bottom w:val="single" w:sz="4" w:space="0" w:color="002060"/>
            </w:tcBorders>
            <w:vAlign w:val="center"/>
          </w:tcPr>
          <w:p w14:paraId="145196E7"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Општа држава</w:t>
            </w:r>
          </w:p>
        </w:tc>
        <w:tc>
          <w:tcPr>
            <w:tcW w:w="1759" w:type="dxa"/>
            <w:tcBorders>
              <w:top w:val="single" w:sz="4" w:space="0" w:color="002060"/>
              <w:bottom w:val="single" w:sz="4" w:space="0" w:color="002060"/>
            </w:tcBorders>
            <w:vAlign w:val="center"/>
          </w:tcPr>
          <w:p w14:paraId="1916CA9A"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 xml:space="preserve">Буџет Републике </w:t>
            </w:r>
          </w:p>
        </w:tc>
        <w:tc>
          <w:tcPr>
            <w:tcW w:w="1025" w:type="dxa"/>
            <w:tcBorders>
              <w:top w:val="single" w:sz="4" w:space="0" w:color="002060"/>
              <w:bottom w:val="single" w:sz="4" w:space="0" w:color="002060"/>
            </w:tcBorders>
            <w:vAlign w:val="center"/>
          </w:tcPr>
          <w:p w14:paraId="1A672FA5" w14:textId="77777777" w:rsidR="00C26107" w:rsidRPr="00C26107" w:rsidRDefault="00C26107" w:rsidP="00C26107">
            <w:pPr>
              <w:pStyle w:val="Footer"/>
              <w:jc w:val="center"/>
              <w:rPr>
                <w:rFonts w:ascii="Calibri" w:hAnsi="Calibri" w:cs="Calibri"/>
                <w:color w:val="002060"/>
                <w:sz w:val="14"/>
                <w:szCs w:val="16"/>
                <w:lang w:val="sr-Cyrl-RS"/>
              </w:rPr>
            </w:pPr>
            <w:r w:rsidRPr="00C26107">
              <w:rPr>
                <w:rFonts w:ascii="Calibri" w:hAnsi="Calibri" w:cs="Calibri"/>
                <w:color w:val="002060"/>
                <w:sz w:val="14"/>
                <w:szCs w:val="16"/>
                <w:lang w:val="sr-Cyrl-RS"/>
              </w:rPr>
              <w:t>Јединице локалне самоуправе</w:t>
            </w:r>
          </w:p>
        </w:tc>
        <w:tc>
          <w:tcPr>
            <w:tcW w:w="1025" w:type="dxa"/>
            <w:tcBorders>
              <w:top w:val="single" w:sz="4" w:space="0" w:color="002060"/>
              <w:bottom w:val="single" w:sz="4" w:space="0" w:color="002060"/>
            </w:tcBorders>
            <w:vAlign w:val="center"/>
          </w:tcPr>
          <w:p w14:paraId="039B7B2D"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Градови и општине</w:t>
            </w:r>
          </w:p>
        </w:tc>
        <w:tc>
          <w:tcPr>
            <w:tcW w:w="1026" w:type="dxa"/>
            <w:tcBorders>
              <w:top w:val="single" w:sz="4" w:space="0" w:color="002060"/>
              <w:bottom w:val="single" w:sz="4" w:space="0" w:color="002060"/>
            </w:tcBorders>
            <w:vAlign w:val="center"/>
          </w:tcPr>
          <w:p w14:paraId="7ED12398"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AП Војводина</w:t>
            </w:r>
          </w:p>
        </w:tc>
        <w:tc>
          <w:tcPr>
            <w:tcW w:w="1000" w:type="dxa"/>
            <w:tcBorders>
              <w:top w:val="single" w:sz="4" w:space="0" w:color="002060"/>
              <w:bottom w:val="single" w:sz="4" w:space="0" w:color="002060"/>
            </w:tcBorders>
            <w:vAlign w:val="center"/>
          </w:tcPr>
          <w:p w14:paraId="384F6B8A"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ЈП „Путеви Србијеˮ и „Коридори Србијеˮ д.о.о.</w:t>
            </w:r>
          </w:p>
        </w:tc>
        <w:tc>
          <w:tcPr>
            <w:tcW w:w="1001" w:type="dxa"/>
            <w:tcBorders>
              <w:top w:val="single" w:sz="4" w:space="0" w:color="002060"/>
              <w:bottom w:val="single" w:sz="4" w:space="0" w:color="002060"/>
            </w:tcBorders>
            <w:vAlign w:val="center"/>
          </w:tcPr>
          <w:p w14:paraId="59DD6792"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ООСО</w:t>
            </w:r>
          </w:p>
        </w:tc>
        <w:tc>
          <w:tcPr>
            <w:tcW w:w="1000" w:type="dxa"/>
            <w:tcBorders>
              <w:top w:val="single" w:sz="4" w:space="0" w:color="002060"/>
              <w:bottom w:val="single" w:sz="4" w:space="0" w:color="002060"/>
            </w:tcBorders>
            <w:vAlign w:val="center"/>
          </w:tcPr>
          <w:p w14:paraId="1DDB2F19"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Фонд ПИО</w:t>
            </w:r>
          </w:p>
        </w:tc>
        <w:tc>
          <w:tcPr>
            <w:tcW w:w="1001" w:type="dxa"/>
            <w:tcBorders>
              <w:top w:val="single" w:sz="4" w:space="0" w:color="002060"/>
              <w:bottom w:val="single" w:sz="4" w:space="0" w:color="002060"/>
            </w:tcBorders>
            <w:vAlign w:val="center"/>
          </w:tcPr>
          <w:p w14:paraId="7CAA8A80"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РФЗО</w:t>
            </w:r>
          </w:p>
        </w:tc>
        <w:tc>
          <w:tcPr>
            <w:tcW w:w="1000" w:type="dxa"/>
            <w:tcBorders>
              <w:top w:val="single" w:sz="4" w:space="0" w:color="002060"/>
              <w:bottom w:val="single" w:sz="4" w:space="0" w:color="002060"/>
            </w:tcBorders>
            <w:vAlign w:val="center"/>
          </w:tcPr>
          <w:p w14:paraId="35904816"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НСЗ</w:t>
            </w:r>
          </w:p>
        </w:tc>
        <w:tc>
          <w:tcPr>
            <w:tcW w:w="1001" w:type="dxa"/>
            <w:tcBorders>
              <w:top w:val="single" w:sz="4" w:space="0" w:color="002060"/>
              <w:bottom w:val="single" w:sz="4" w:space="0" w:color="002060"/>
            </w:tcBorders>
            <w:vAlign w:val="center"/>
          </w:tcPr>
          <w:p w14:paraId="7B2A49EF"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Фонд СОВО</w:t>
            </w:r>
          </w:p>
        </w:tc>
      </w:tr>
      <w:tr w:rsidR="00C26107" w:rsidRPr="00C26107" w14:paraId="55197F08" w14:textId="77777777" w:rsidTr="00EE71E1">
        <w:trPr>
          <w:trHeight w:val="130"/>
          <w:jc w:val="center"/>
        </w:trPr>
        <w:tc>
          <w:tcPr>
            <w:tcW w:w="2598" w:type="dxa"/>
            <w:tcBorders>
              <w:top w:val="single" w:sz="4" w:space="0" w:color="002060"/>
              <w:bottom w:val="single" w:sz="4" w:space="0" w:color="auto"/>
            </w:tcBorders>
            <w:vAlign w:val="bottom"/>
          </w:tcPr>
          <w:p w14:paraId="1A1F67F3" w14:textId="77777777" w:rsidR="00C26107" w:rsidRPr="00C26107" w:rsidRDefault="00C26107" w:rsidP="00C26107">
            <w:pPr>
              <w:pStyle w:val="Footer"/>
              <w:rPr>
                <w:rFonts w:cstheme="minorHAnsi"/>
                <w:color w:val="002060"/>
                <w:sz w:val="14"/>
                <w:szCs w:val="16"/>
                <w:lang w:val="sr-Cyrl-RS"/>
              </w:rPr>
            </w:pPr>
            <w:r w:rsidRPr="00C26107">
              <w:rPr>
                <w:rFonts w:ascii="Calibri" w:hAnsi="Calibri" w:cs="Calibri"/>
                <w:color w:val="002060"/>
                <w:sz w:val="14"/>
                <w:szCs w:val="16"/>
                <w:lang w:val="sr-Cyrl-RS"/>
              </w:rPr>
              <w:t> </w:t>
            </w:r>
          </w:p>
        </w:tc>
        <w:tc>
          <w:tcPr>
            <w:tcW w:w="1208" w:type="dxa"/>
            <w:tcBorders>
              <w:top w:val="single" w:sz="4" w:space="0" w:color="002060"/>
              <w:bottom w:val="single" w:sz="4" w:space="0" w:color="auto"/>
            </w:tcBorders>
            <w:vAlign w:val="bottom"/>
          </w:tcPr>
          <w:p w14:paraId="41E39DF5"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1=2+3+6+7</w:t>
            </w:r>
          </w:p>
        </w:tc>
        <w:tc>
          <w:tcPr>
            <w:tcW w:w="1759" w:type="dxa"/>
            <w:tcBorders>
              <w:top w:val="single" w:sz="4" w:space="0" w:color="002060"/>
              <w:bottom w:val="single" w:sz="4" w:space="0" w:color="auto"/>
            </w:tcBorders>
            <w:vAlign w:val="bottom"/>
          </w:tcPr>
          <w:p w14:paraId="542FA12F"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2</w:t>
            </w:r>
          </w:p>
        </w:tc>
        <w:tc>
          <w:tcPr>
            <w:tcW w:w="1025" w:type="dxa"/>
            <w:tcBorders>
              <w:top w:val="single" w:sz="4" w:space="0" w:color="002060"/>
              <w:bottom w:val="single" w:sz="4" w:space="0" w:color="auto"/>
            </w:tcBorders>
            <w:vAlign w:val="bottom"/>
          </w:tcPr>
          <w:p w14:paraId="42477878"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3=4+5</w:t>
            </w:r>
          </w:p>
        </w:tc>
        <w:tc>
          <w:tcPr>
            <w:tcW w:w="1025" w:type="dxa"/>
            <w:tcBorders>
              <w:top w:val="single" w:sz="4" w:space="0" w:color="002060"/>
              <w:bottom w:val="single" w:sz="4" w:space="0" w:color="auto"/>
            </w:tcBorders>
            <w:vAlign w:val="bottom"/>
          </w:tcPr>
          <w:p w14:paraId="4AE558C1"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4</w:t>
            </w:r>
          </w:p>
        </w:tc>
        <w:tc>
          <w:tcPr>
            <w:tcW w:w="1026" w:type="dxa"/>
            <w:tcBorders>
              <w:top w:val="single" w:sz="4" w:space="0" w:color="002060"/>
              <w:bottom w:val="single" w:sz="4" w:space="0" w:color="auto"/>
            </w:tcBorders>
            <w:vAlign w:val="bottom"/>
          </w:tcPr>
          <w:p w14:paraId="5B8AB0B0"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5</w:t>
            </w:r>
          </w:p>
        </w:tc>
        <w:tc>
          <w:tcPr>
            <w:tcW w:w="1000" w:type="dxa"/>
            <w:tcBorders>
              <w:top w:val="single" w:sz="4" w:space="0" w:color="002060"/>
              <w:bottom w:val="single" w:sz="4" w:space="0" w:color="auto"/>
            </w:tcBorders>
            <w:vAlign w:val="bottom"/>
          </w:tcPr>
          <w:p w14:paraId="72A94233"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6</w:t>
            </w:r>
          </w:p>
        </w:tc>
        <w:tc>
          <w:tcPr>
            <w:tcW w:w="1001" w:type="dxa"/>
            <w:tcBorders>
              <w:top w:val="single" w:sz="4" w:space="0" w:color="002060"/>
              <w:bottom w:val="single" w:sz="4" w:space="0" w:color="auto"/>
            </w:tcBorders>
            <w:vAlign w:val="bottom"/>
          </w:tcPr>
          <w:p w14:paraId="625D9ECE"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7=8+9+10+11</w:t>
            </w:r>
          </w:p>
        </w:tc>
        <w:tc>
          <w:tcPr>
            <w:tcW w:w="1000" w:type="dxa"/>
            <w:tcBorders>
              <w:top w:val="single" w:sz="4" w:space="0" w:color="002060"/>
              <w:bottom w:val="single" w:sz="4" w:space="0" w:color="auto"/>
            </w:tcBorders>
            <w:vAlign w:val="bottom"/>
          </w:tcPr>
          <w:p w14:paraId="3CA21D7A"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8</w:t>
            </w:r>
          </w:p>
        </w:tc>
        <w:tc>
          <w:tcPr>
            <w:tcW w:w="1001" w:type="dxa"/>
            <w:tcBorders>
              <w:top w:val="single" w:sz="4" w:space="0" w:color="002060"/>
              <w:bottom w:val="single" w:sz="4" w:space="0" w:color="auto"/>
            </w:tcBorders>
            <w:vAlign w:val="bottom"/>
          </w:tcPr>
          <w:p w14:paraId="3251A697"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9</w:t>
            </w:r>
          </w:p>
        </w:tc>
        <w:tc>
          <w:tcPr>
            <w:tcW w:w="1000" w:type="dxa"/>
            <w:tcBorders>
              <w:top w:val="single" w:sz="4" w:space="0" w:color="002060"/>
              <w:bottom w:val="single" w:sz="4" w:space="0" w:color="auto"/>
            </w:tcBorders>
            <w:vAlign w:val="bottom"/>
          </w:tcPr>
          <w:p w14:paraId="0170BD76"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10</w:t>
            </w:r>
          </w:p>
        </w:tc>
        <w:tc>
          <w:tcPr>
            <w:tcW w:w="1001" w:type="dxa"/>
            <w:tcBorders>
              <w:top w:val="single" w:sz="4" w:space="0" w:color="002060"/>
              <w:bottom w:val="single" w:sz="4" w:space="0" w:color="auto"/>
            </w:tcBorders>
            <w:vAlign w:val="bottom"/>
          </w:tcPr>
          <w:p w14:paraId="5D20F9BC" w14:textId="77777777" w:rsidR="00C26107" w:rsidRPr="00C26107" w:rsidRDefault="00C26107" w:rsidP="00C26107">
            <w:pPr>
              <w:pStyle w:val="Footer"/>
              <w:jc w:val="center"/>
              <w:rPr>
                <w:rFonts w:cstheme="minorHAnsi"/>
                <w:color w:val="002060"/>
                <w:sz w:val="14"/>
                <w:szCs w:val="16"/>
                <w:lang w:val="sr-Cyrl-RS"/>
              </w:rPr>
            </w:pPr>
            <w:r w:rsidRPr="00C26107">
              <w:rPr>
                <w:rFonts w:ascii="Calibri" w:hAnsi="Calibri" w:cs="Calibri"/>
                <w:color w:val="002060"/>
                <w:sz w:val="14"/>
                <w:szCs w:val="16"/>
                <w:lang w:val="sr-Cyrl-RS"/>
              </w:rPr>
              <w:t>11</w:t>
            </w:r>
          </w:p>
        </w:tc>
      </w:tr>
      <w:tr w:rsidR="00C26107" w:rsidRPr="00C26107" w14:paraId="7AAB6F31" w14:textId="77777777" w:rsidTr="00EE71E1">
        <w:trPr>
          <w:trHeight w:val="130"/>
          <w:jc w:val="center"/>
        </w:trPr>
        <w:tc>
          <w:tcPr>
            <w:tcW w:w="2598" w:type="dxa"/>
            <w:tcBorders>
              <w:top w:val="single" w:sz="4" w:space="0" w:color="auto"/>
            </w:tcBorders>
            <w:shd w:val="clear" w:color="auto" w:fill="D9D9D9" w:themeFill="background1" w:themeFillShade="D9"/>
            <w:vAlign w:val="bottom"/>
          </w:tcPr>
          <w:p w14:paraId="4E2B4420"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bCs/>
                <w:color w:val="002060"/>
                <w:sz w:val="14"/>
                <w:szCs w:val="14"/>
                <w:lang w:val="sr-Cyrl-RS"/>
              </w:rPr>
              <w:t xml:space="preserve"> Јавни приходи</w:t>
            </w:r>
          </w:p>
        </w:tc>
        <w:tc>
          <w:tcPr>
            <w:tcW w:w="1208" w:type="dxa"/>
            <w:tcBorders>
              <w:top w:val="single" w:sz="4" w:space="0" w:color="auto"/>
            </w:tcBorders>
            <w:shd w:val="clear" w:color="auto" w:fill="D9D9D9" w:themeFill="background1" w:themeFillShade="D9"/>
            <w:vAlign w:val="bottom"/>
          </w:tcPr>
          <w:p w14:paraId="6CE160E1"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2.424,0</w:t>
            </w:r>
          </w:p>
        </w:tc>
        <w:tc>
          <w:tcPr>
            <w:tcW w:w="1759" w:type="dxa"/>
            <w:tcBorders>
              <w:top w:val="single" w:sz="4" w:space="0" w:color="auto"/>
            </w:tcBorders>
            <w:shd w:val="clear" w:color="auto" w:fill="D9D9D9" w:themeFill="background1" w:themeFillShade="D9"/>
            <w:vAlign w:val="bottom"/>
          </w:tcPr>
          <w:p w14:paraId="1D4E8F1A"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1.285,9</w:t>
            </w:r>
          </w:p>
        </w:tc>
        <w:tc>
          <w:tcPr>
            <w:tcW w:w="1025" w:type="dxa"/>
            <w:tcBorders>
              <w:top w:val="single" w:sz="4" w:space="0" w:color="auto"/>
            </w:tcBorders>
            <w:shd w:val="clear" w:color="auto" w:fill="D9D9D9" w:themeFill="background1" w:themeFillShade="D9"/>
            <w:vAlign w:val="bottom"/>
          </w:tcPr>
          <w:p w14:paraId="69D4998E"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311,4</w:t>
            </w:r>
          </w:p>
        </w:tc>
        <w:tc>
          <w:tcPr>
            <w:tcW w:w="1025" w:type="dxa"/>
            <w:tcBorders>
              <w:top w:val="single" w:sz="4" w:space="0" w:color="auto"/>
            </w:tcBorders>
            <w:shd w:val="clear" w:color="auto" w:fill="D9D9D9" w:themeFill="background1" w:themeFillShade="D9"/>
            <w:vAlign w:val="bottom"/>
          </w:tcPr>
          <w:p w14:paraId="1C13D6DF"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288,7</w:t>
            </w:r>
          </w:p>
        </w:tc>
        <w:tc>
          <w:tcPr>
            <w:tcW w:w="1026" w:type="dxa"/>
            <w:tcBorders>
              <w:top w:val="single" w:sz="4" w:space="0" w:color="auto"/>
            </w:tcBorders>
            <w:shd w:val="clear" w:color="auto" w:fill="D9D9D9" w:themeFill="background1" w:themeFillShade="D9"/>
            <w:vAlign w:val="bottom"/>
          </w:tcPr>
          <w:p w14:paraId="4026ED46"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22,8</w:t>
            </w:r>
          </w:p>
        </w:tc>
        <w:tc>
          <w:tcPr>
            <w:tcW w:w="1000" w:type="dxa"/>
            <w:tcBorders>
              <w:top w:val="single" w:sz="4" w:space="0" w:color="auto"/>
            </w:tcBorders>
            <w:shd w:val="clear" w:color="auto" w:fill="D9D9D9" w:themeFill="background1" w:themeFillShade="D9"/>
            <w:vAlign w:val="bottom"/>
          </w:tcPr>
          <w:p w14:paraId="30695C1D"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29,9</w:t>
            </w:r>
          </w:p>
        </w:tc>
        <w:tc>
          <w:tcPr>
            <w:tcW w:w="1001" w:type="dxa"/>
            <w:tcBorders>
              <w:top w:val="single" w:sz="4" w:space="0" w:color="auto"/>
            </w:tcBorders>
            <w:shd w:val="clear" w:color="auto" w:fill="D9D9D9" w:themeFill="background1" w:themeFillShade="D9"/>
            <w:vAlign w:val="bottom"/>
          </w:tcPr>
          <w:p w14:paraId="54FF9B8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796,7</w:t>
            </w:r>
          </w:p>
        </w:tc>
        <w:tc>
          <w:tcPr>
            <w:tcW w:w="1000" w:type="dxa"/>
            <w:tcBorders>
              <w:top w:val="single" w:sz="4" w:space="0" w:color="auto"/>
            </w:tcBorders>
            <w:shd w:val="clear" w:color="auto" w:fill="D9D9D9" w:themeFill="background1" w:themeFillShade="D9"/>
            <w:vAlign w:val="bottom"/>
          </w:tcPr>
          <w:p w14:paraId="6CFE5F7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557,9</w:t>
            </w:r>
          </w:p>
        </w:tc>
        <w:tc>
          <w:tcPr>
            <w:tcW w:w="1001" w:type="dxa"/>
            <w:tcBorders>
              <w:top w:val="single" w:sz="4" w:space="0" w:color="auto"/>
            </w:tcBorders>
            <w:shd w:val="clear" w:color="auto" w:fill="D9D9D9" w:themeFill="background1" w:themeFillShade="D9"/>
            <w:vAlign w:val="bottom"/>
          </w:tcPr>
          <w:p w14:paraId="75A10E6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218,4</w:t>
            </w:r>
          </w:p>
        </w:tc>
        <w:tc>
          <w:tcPr>
            <w:tcW w:w="1000" w:type="dxa"/>
            <w:tcBorders>
              <w:top w:val="single" w:sz="4" w:space="0" w:color="auto"/>
            </w:tcBorders>
            <w:shd w:val="clear" w:color="auto" w:fill="D9D9D9" w:themeFill="background1" w:themeFillShade="D9"/>
            <w:vAlign w:val="bottom"/>
          </w:tcPr>
          <w:p w14:paraId="3EB26BD8"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17,3</w:t>
            </w:r>
          </w:p>
        </w:tc>
        <w:tc>
          <w:tcPr>
            <w:tcW w:w="1001" w:type="dxa"/>
            <w:tcBorders>
              <w:top w:val="single" w:sz="4" w:space="0" w:color="auto"/>
            </w:tcBorders>
            <w:shd w:val="clear" w:color="auto" w:fill="D9D9D9" w:themeFill="background1" w:themeFillShade="D9"/>
            <w:vAlign w:val="bottom"/>
          </w:tcPr>
          <w:p w14:paraId="5DE022FF"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3,1</w:t>
            </w:r>
          </w:p>
        </w:tc>
      </w:tr>
      <w:tr w:rsidR="00C26107" w:rsidRPr="00C26107" w14:paraId="1CF8BD24" w14:textId="77777777" w:rsidTr="00EE71E1">
        <w:trPr>
          <w:trHeight w:val="142"/>
          <w:jc w:val="center"/>
        </w:trPr>
        <w:tc>
          <w:tcPr>
            <w:tcW w:w="2598" w:type="dxa"/>
            <w:vAlign w:val="bottom"/>
          </w:tcPr>
          <w:p w14:paraId="1DD5B3D9"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Текући приходи</w:t>
            </w:r>
          </w:p>
        </w:tc>
        <w:tc>
          <w:tcPr>
            <w:tcW w:w="1208" w:type="dxa"/>
            <w:tcBorders>
              <w:top w:val="nil"/>
            </w:tcBorders>
            <w:shd w:val="clear" w:color="000000" w:fill="FFFFFF"/>
            <w:vAlign w:val="bottom"/>
          </w:tcPr>
          <w:p w14:paraId="2A6147DA"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2.404,5</w:t>
            </w:r>
          </w:p>
        </w:tc>
        <w:tc>
          <w:tcPr>
            <w:tcW w:w="1759" w:type="dxa"/>
            <w:tcBorders>
              <w:top w:val="nil"/>
            </w:tcBorders>
            <w:shd w:val="clear" w:color="000000" w:fill="FFFFFF"/>
            <w:vAlign w:val="bottom"/>
          </w:tcPr>
          <w:p w14:paraId="710E3CA0"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1.268,4</w:t>
            </w:r>
          </w:p>
        </w:tc>
        <w:tc>
          <w:tcPr>
            <w:tcW w:w="1025" w:type="dxa"/>
            <w:tcBorders>
              <w:top w:val="nil"/>
            </w:tcBorders>
            <w:shd w:val="clear" w:color="000000" w:fill="FFFFFF"/>
            <w:vAlign w:val="bottom"/>
          </w:tcPr>
          <w:p w14:paraId="4A38BC70"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309,9</w:t>
            </w:r>
          </w:p>
        </w:tc>
        <w:tc>
          <w:tcPr>
            <w:tcW w:w="1025" w:type="dxa"/>
            <w:tcBorders>
              <w:top w:val="nil"/>
            </w:tcBorders>
            <w:shd w:val="clear" w:color="000000" w:fill="FFFFFF"/>
            <w:vAlign w:val="bottom"/>
          </w:tcPr>
          <w:p w14:paraId="7DA1E75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287,2</w:t>
            </w:r>
          </w:p>
        </w:tc>
        <w:tc>
          <w:tcPr>
            <w:tcW w:w="1026" w:type="dxa"/>
            <w:tcBorders>
              <w:top w:val="nil"/>
            </w:tcBorders>
            <w:shd w:val="clear" w:color="000000" w:fill="FFFFFF"/>
            <w:vAlign w:val="bottom"/>
          </w:tcPr>
          <w:p w14:paraId="47348F21"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22,8</w:t>
            </w:r>
          </w:p>
        </w:tc>
        <w:tc>
          <w:tcPr>
            <w:tcW w:w="1000" w:type="dxa"/>
            <w:tcBorders>
              <w:top w:val="nil"/>
            </w:tcBorders>
            <w:shd w:val="clear" w:color="000000" w:fill="FFFFFF"/>
            <w:vAlign w:val="bottom"/>
          </w:tcPr>
          <w:p w14:paraId="4663CA84"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29,9</w:t>
            </w:r>
          </w:p>
        </w:tc>
        <w:tc>
          <w:tcPr>
            <w:tcW w:w="1001" w:type="dxa"/>
            <w:tcBorders>
              <w:top w:val="nil"/>
            </w:tcBorders>
            <w:shd w:val="clear" w:color="000000" w:fill="FFFFFF"/>
            <w:vAlign w:val="bottom"/>
          </w:tcPr>
          <w:p w14:paraId="7D5D0882"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796,2</w:t>
            </w:r>
          </w:p>
        </w:tc>
        <w:tc>
          <w:tcPr>
            <w:tcW w:w="1000" w:type="dxa"/>
            <w:tcBorders>
              <w:top w:val="nil"/>
            </w:tcBorders>
            <w:shd w:val="clear" w:color="000000" w:fill="FFFFFF"/>
            <w:vAlign w:val="bottom"/>
          </w:tcPr>
          <w:p w14:paraId="751C6C44"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557,9</w:t>
            </w:r>
          </w:p>
        </w:tc>
        <w:tc>
          <w:tcPr>
            <w:tcW w:w="1001" w:type="dxa"/>
            <w:tcBorders>
              <w:top w:val="nil"/>
            </w:tcBorders>
            <w:shd w:val="clear" w:color="000000" w:fill="FFFFFF"/>
            <w:vAlign w:val="bottom"/>
          </w:tcPr>
          <w:p w14:paraId="5E727572"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218,4</w:t>
            </w:r>
          </w:p>
        </w:tc>
        <w:tc>
          <w:tcPr>
            <w:tcW w:w="1000" w:type="dxa"/>
            <w:tcBorders>
              <w:top w:val="nil"/>
            </w:tcBorders>
            <w:shd w:val="clear" w:color="000000" w:fill="FFFFFF"/>
            <w:vAlign w:val="bottom"/>
          </w:tcPr>
          <w:p w14:paraId="68108348"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16,8</w:t>
            </w:r>
          </w:p>
        </w:tc>
        <w:tc>
          <w:tcPr>
            <w:tcW w:w="1001" w:type="dxa"/>
            <w:tcBorders>
              <w:top w:val="nil"/>
            </w:tcBorders>
            <w:shd w:val="clear" w:color="000000" w:fill="FFFFFF"/>
            <w:vAlign w:val="bottom"/>
          </w:tcPr>
          <w:p w14:paraId="5C895E6F"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3,1</w:t>
            </w:r>
          </w:p>
        </w:tc>
      </w:tr>
      <w:tr w:rsidR="00C26107" w:rsidRPr="00C26107" w14:paraId="724A73C1" w14:textId="77777777" w:rsidTr="00EE71E1">
        <w:trPr>
          <w:trHeight w:val="130"/>
          <w:jc w:val="center"/>
        </w:trPr>
        <w:tc>
          <w:tcPr>
            <w:tcW w:w="2598" w:type="dxa"/>
            <w:vAlign w:val="bottom"/>
          </w:tcPr>
          <w:p w14:paraId="0D7CC860"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Порески приходи</w:t>
            </w:r>
          </w:p>
        </w:tc>
        <w:tc>
          <w:tcPr>
            <w:tcW w:w="1208" w:type="dxa"/>
            <w:tcBorders>
              <w:top w:val="nil"/>
            </w:tcBorders>
            <w:shd w:val="clear" w:color="000000" w:fill="FFFFFF"/>
            <w:vAlign w:val="bottom"/>
          </w:tcPr>
          <w:p w14:paraId="071FCA7E"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2.171,2</w:t>
            </w:r>
          </w:p>
        </w:tc>
        <w:tc>
          <w:tcPr>
            <w:tcW w:w="1759" w:type="dxa"/>
            <w:tcBorders>
              <w:top w:val="nil"/>
            </w:tcBorders>
            <w:shd w:val="clear" w:color="000000" w:fill="FFFFFF"/>
            <w:vAlign w:val="bottom"/>
          </w:tcPr>
          <w:p w14:paraId="69A7FF6A"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1.154,6</w:t>
            </w:r>
          </w:p>
        </w:tc>
        <w:tc>
          <w:tcPr>
            <w:tcW w:w="1025" w:type="dxa"/>
            <w:tcBorders>
              <w:top w:val="nil"/>
            </w:tcBorders>
            <w:shd w:val="clear" w:color="000000" w:fill="FFFFFF"/>
            <w:vAlign w:val="bottom"/>
          </w:tcPr>
          <w:p w14:paraId="6CFE75D3"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232,0</w:t>
            </w:r>
          </w:p>
        </w:tc>
        <w:tc>
          <w:tcPr>
            <w:tcW w:w="1025" w:type="dxa"/>
            <w:tcBorders>
              <w:top w:val="nil"/>
            </w:tcBorders>
            <w:shd w:val="clear" w:color="000000" w:fill="FFFFFF"/>
            <w:vAlign w:val="bottom"/>
          </w:tcPr>
          <w:p w14:paraId="78FB043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215,6</w:t>
            </w:r>
          </w:p>
        </w:tc>
        <w:tc>
          <w:tcPr>
            <w:tcW w:w="1026" w:type="dxa"/>
            <w:tcBorders>
              <w:top w:val="nil"/>
            </w:tcBorders>
            <w:shd w:val="clear" w:color="000000" w:fill="FFFFFF"/>
            <w:vAlign w:val="bottom"/>
          </w:tcPr>
          <w:p w14:paraId="50DD361A"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16,4</w:t>
            </w:r>
          </w:p>
        </w:tc>
        <w:tc>
          <w:tcPr>
            <w:tcW w:w="1000" w:type="dxa"/>
            <w:tcBorders>
              <w:top w:val="nil"/>
            </w:tcBorders>
            <w:shd w:val="clear" w:color="000000" w:fill="FFFFFF"/>
            <w:vAlign w:val="bottom"/>
          </w:tcPr>
          <w:p w14:paraId="51715CF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5090BB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784,5</w:t>
            </w:r>
          </w:p>
        </w:tc>
        <w:tc>
          <w:tcPr>
            <w:tcW w:w="1000" w:type="dxa"/>
            <w:tcBorders>
              <w:top w:val="nil"/>
            </w:tcBorders>
            <w:shd w:val="clear" w:color="000000" w:fill="FFFFFF"/>
            <w:vAlign w:val="bottom"/>
          </w:tcPr>
          <w:p w14:paraId="471308A1"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556,9</w:t>
            </w:r>
          </w:p>
        </w:tc>
        <w:tc>
          <w:tcPr>
            <w:tcW w:w="1001" w:type="dxa"/>
            <w:tcBorders>
              <w:top w:val="nil"/>
            </w:tcBorders>
            <w:shd w:val="clear" w:color="000000" w:fill="FFFFFF"/>
            <w:vAlign w:val="bottom"/>
          </w:tcPr>
          <w:p w14:paraId="403ED53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209,4</w:t>
            </w:r>
          </w:p>
        </w:tc>
        <w:tc>
          <w:tcPr>
            <w:tcW w:w="1000" w:type="dxa"/>
            <w:tcBorders>
              <w:top w:val="nil"/>
            </w:tcBorders>
            <w:shd w:val="clear" w:color="000000" w:fill="FFFFFF"/>
            <w:vAlign w:val="bottom"/>
          </w:tcPr>
          <w:p w14:paraId="458678D2"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15,7</w:t>
            </w:r>
          </w:p>
        </w:tc>
        <w:tc>
          <w:tcPr>
            <w:tcW w:w="1001" w:type="dxa"/>
            <w:tcBorders>
              <w:top w:val="nil"/>
            </w:tcBorders>
            <w:shd w:val="clear" w:color="000000" w:fill="FFFFFF"/>
            <w:vAlign w:val="bottom"/>
          </w:tcPr>
          <w:p w14:paraId="52D5E1F6"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2,5</w:t>
            </w:r>
          </w:p>
        </w:tc>
      </w:tr>
      <w:tr w:rsidR="00C26107" w:rsidRPr="00C26107" w14:paraId="39F29FC5" w14:textId="77777777" w:rsidTr="00EE71E1">
        <w:trPr>
          <w:trHeight w:val="142"/>
          <w:jc w:val="center"/>
        </w:trPr>
        <w:tc>
          <w:tcPr>
            <w:tcW w:w="2598" w:type="dxa"/>
            <w:vAlign w:val="bottom"/>
          </w:tcPr>
          <w:p w14:paraId="2D47A7B4"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Порез на доходак</w:t>
            </w:r>
          </w:p>
        </w:tc>
        <w:tc>
          <w:tcPr>
            <w:tcW w:w="1208" w:type="dxa"/>
            <w:tcBorders>
              <w:top w:val="nil"/>
            </w:tcBorders>
            <w:shd w:val="clear" w:color="000000" w:fill="FFFFFF"/>
            <w:vAlign w:val="bottom"/>
          </w:tcPr>
          <w:p w14:paraId="30F97025"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225,4</w:t>
            </w:r>
          </w:p>
        </w:tc>
        <w:tc>
          <w:tcPr>
            <w:tcW w:w="1759" w:type="dxa"/>
            <w:tcBorders>
              <w:top w:val="nil"/>
            </w:tcBorders>
            <w:shd w:val="clear" w:color="000000" w:fill="FFFFFF"/>
            <w:vAlign w:val="bottom"/>
          </w:tcPr>
          <w:p w14:paraId="6C50076B"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73,3</w:t>
            </w:r>
          </w:p>
        </w:tc>
        <w:tc>
          <w:tcPr>
            <w:tcW w:w="1025" w:type="dxa"/>
            <w:tcBorders>
              <w:top w:val="nil"/>
            </w:tcBorders>
            <w:shd w:val="clear" w:color="000000" w:fill="FFFFFF"/>
            <w:vAlign w:val="bottom"/>
          </w:tcPr>
          <w:p w14:paraId="553974C1"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152,2</w:t>
            </w:r>
          </w:p>
        </w:tc>
        <w:tc>
          <w:tcPr>
            <w:tcW w:w="1025" w:type="dxa"/>
            <w:tcBorders>
              <w:top w:val="nil"/>
            </w:tcBorders>
            <w:shd w:val="clear" w:color="000000" w:fill="FFFFFF"/>
            <w:vAlign w:val="bottom"/>
          </w:tcPr>
          <w:p w14:paraId="1840E4B6"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143,7</w:t>
            </w:r>
          </w:p>
        </w:tc>
        <w:tc>
          <w:tcPr>
            <w:tcW w:w="1026" w:type="dxa"/>
            <w:tcBorders>
              <w:top w:val="nil"/>
            </w:tcBorders>
            <w:shd w:val="clear" w:color="000000" w:fill="FFFFFF"/>
            <w:vAlign w:val="bottom"/>
          </w:tcPr>
          <w:p w14:paraId="0C92D05E"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8,5</w:t>
            </w:r>
          </w:p>
        </w:tc>
        <w:tc>
          <w:tcPr>
            <w:tcW w:w="1000" w:type="dxa"/>
            <w:tcBorders>
              <w:top w:val="nil"/>
            </w:tcBorders>
            <w:shd w:val="clear" w:color="000000" w:fill="FFFFFF"/>
            <w:vAlign w:val="bottom"/>
          </w:tcPr>
          <w:p w14:paraId="77506D1A"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3767F2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3F9973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92B3030"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8E46A0A"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DC50235"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B71F3EE" w14:textId="77777777" w:rsidTr="00EE71E1">
        <w:trPr>
          <w:trHeight w:val="130"/>
          <w:jc w:val="center"/>
        </w:trPr>
        <w:tc>
          <w:tcPr>
            <w:tcW w:w="2598" w:type="dxa"/>
            <w:vAlign w:val="bottom"/>
          </w:tcPr>
          <w:p w14:paraId="2BE80D6D"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Доприноси</w:t>
            </w:r>
          </w:p>
        </w:tc>
        <w:tc>
          <w:tcPr>
            <w:tcW w:w="1208" w:type="dxa"/>
            <w:tcBorders>
              <w:top w:val="nil"/>
            </w:tcBorders>
            <w:shd w:val="clear" w:color="000000" w:fill="FFFFFF"/>
            <w:vAlign w:val="bottom"/>
          </w:tcPr>
          <w:p w14:paraId="0057E5A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784,5</w:t>
            </w:r>
          </w:p>
        </w:tc>
        <w:tc>
          <w:tcPr>
            <w:tcW w:w="1759" w:type="dxa"/>
            <w:tcBorders>
              <w:top w:val="nil"/>
            </w:tcBorders>
            <w:shd w:val="clear" w:color="000000" w:fill="FFFFFF"/>
            <w:vAlign w:val="bottom"/>
          </w:tcPr>
          <w:p w14:paraId="47128725"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2CD76EDC"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5FC4BCAB"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1986E8A8"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7982429"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2B01C6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784,5</w:t>
            </w:r>
          </w:p>
        </w:tc>
        <w:tc>
          <w:tcPr>
            <w:tcW w:w="1000" w:type="dxa"/>
            <w:tcBorders>
              <w:top w:val="nil"/>
            </w:tcBorders>
            <w:shd w:val="clear" w:color="000000" w:fill="FFFFFF"/>
            <w:vAlign w:val="bottom"/>
          </w:tcPr>
          <w:p w14:paraId="493E574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556,9</w:t>
            </w:r>
          </w:p>
        </w:tc>
        <w:tc>
          <w:tcPr>
            <w:tcW w:w="1001" w:type="dxa"/>
            <w:tcBorders>
              <w:top w:val="nil"/>
            </w:tcBorders>
            <w:shd w:val="clear" w:color="000000" w:fill="FFFFFF"/>
            <w:vAlign w:val="bottom"/>
          </w:tcPr>
          <w:p w14:paraId="77A76A6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209,4</w:t>
            </w:r>
          </w:p>
        </w:tc>
        <w:tc>
          <w:tcPr>
            <w:tcW w:w="1000" w:type="dxa"/>
            <w:tcBorders>
              <w:top w:val="nil"/>
            </w:tcBorders>
            <w:shd w:val="clear" w:color="000000" w:fill="FFFFFF"/>
            <w:vAlign w:val="bottom"/>
          </w:tcPr>
          <w:p w14:paraId="6CA8E36D"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15,7</w:t>
            </w:r>
          </w:p>
        </w:tc>
        <w:tc>
          <w:tcPr>
            <w:tcW w:w="1001" w:type="dxa"/>
            <w:tcBorders>
              <w:top w:val="nil"/>
            </w:tcBorders>
            <w:shd w:val="clear" w:color="000000" w:fill="FFFFFF"/>
            <w:vAlign w:val="bottom"/>
          </w:tcPr>
          <w:p w14:paraId="2629C4DC"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2,5</w:t>
            </w:r>
          </w:p>
        </w:tc>
      </w:tr>
      <w:tr w:rsidR="00C26107" w:rsidRPr="00C26107" w14:paraId="7891D849" w14:textId="77777777" w:rsidTr="00EE71E1">
        <w:trPr>
          <w:trHeight w:val="142"/>
          <w:jc w:val="center"/>
        </w:trPr>
        <w:tc>
          <w:tcPr>
            <w:tcW w:w="2598" w:type="dxa"/>
            <w:vAlign w:val="bottom"/>
          </w:tcPr>
          <w:p w14:paraId="4DA7BA4A"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Порез на добит</w:t>
            </w:r>
          </w:p>
        </w:tc>
        <w:tc>
          <w:tcPr>
            <w:tcW w:w="1208" w:type="dxa"/>
            <w:tcBorders>
              <w:top w:val="nil"/>
            </w:tcBorders>
            <w:shd w:val="clear" w:color="000000" w:fill="FFFFFF"/>
            <w:vAlign w:val="bottom"/>
          </w:tcPr>
          <w:p w14:paraId="36A29801"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107,1</w:t>
            </w:r>
          </w:p>
        </w:tc>
        <w:tc>
          <w:tcPr>
            <w:tcW w:w="1759" w:type="dxa"/>
            <w:tcBorders>
              <w:top w:val="nil"/>
            </w:tcBorders>
            <w:shd w:val="clear" w:color="000000" w:fill="FFFFFF"/>
            <w:vAlign w:val="bottom"/>
          </w:tcPr>
          <w:p w14:paraId="16AE2027"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99,1</w:t>
            </w:r>
          </w:p>
        </w:tc>
        <w:tc>
          <w:tcPr>
            <w:tcW w:w="1025" w:type="dxa"/>
            <w:tcBorders>
              <w:top w:val="nil"/>
            </w:tcBorders>
            <w:shd w:val="clear" w:color="000000" w:fill="FFFFFF"/>
            <w:vAlign w:val="bottom"/>
          </w:tcPr>
          <w:p w14:paraId="31143E1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8,0</w:t>
            </w:r>
          </w:p>
        </w:tc>
        <w:tc>
          <w:tcPr>
            <w:tcW w:w="1025" w:type="dxa"/>
            <w:tcBorders>
              <w:top w:val="nil"/>
            </w:tcBorders>
            <w:shd w:val="clear" w:color="000000" w:fill="FFFFFF"/>
            <w:vAlign w:val="bottom"/>
          </w:tcPr>
          <w:p w14:paraId="709E4ACC"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03A86388"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8,0</w:t>
            </w:r>
          </w:p>
        </w:tc>
        <w:tc>
          <w:tcPr>
            <w:tcW w:w="1000" w:type="dxa"/>
            <w:tcBorders>
              <w:top w:val="nil"/>
            </w:tcBorders>
            <w:shd w:val="clear" w:color="000000" w:fill="FFFFFF"/>
            <w:vAlign w:val="bottom"/>
          </w:tcPr>
          <w:p w14:paraId="6DFF0FC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D0D280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CC63DC9"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C3D1160"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DD0630B"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E748EAA"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52C427A" w14:textId="77777777" w:rsidTr="00EE71E1">
        <w:trPr>
          <w:trHeight w:val="130"/>
          <w:jc w:val="center"/>
        </w:trPr>
        <w:tc>
          <w:tcPr>
            <w:tcW w:w="2598" w:type="dxa"/>
            <w:vAlign w:val="bottom"/>
          </w:tcPr>
          <w:p w14:paraId="0E236222"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ПДВ</w:t>
            </w:r>
          </w:p>
        </w:tc>
        <w:tc>
          <w:tcPr>
            <w:tcW w:w="1208" w:type="dxa"/>
            <w:tcBorders>
              <w:top w:val="nil"/>
            </w:tcBorders>
            <w:shd w:val="clear" w:color="000000" w:fill="FFFFFF"/>
            <w:vAlign w:val="bottom"/>
          </w:tcPr>
          <w:p w14:paraId="7E785E55"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600,4</w:t>
            </w:r>
          </w:p>
        </w:tc>
        <w:tc>
          <w:tcPr>
            <w:tcW w:w="1759" w:type="dxa"/>
            <w:tcBorders>
              <w:top w:val="nil"/>
            </w:tcBorders>
            <w:shd w:val="clear" w:color="000000" w:fill="FFFFFF"/>
            <w:vAlign w:val="bottom"/>
          </w:tcPr>
          <w:p w14:paraId="6AC7D49E"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600,4</w:t>
            </w:r>
          </w:p>
        </w:tc>
        <w:tc>
          <w:tcPr>
            <w:tcW w:w="1025" w:type="dxa"/>
            <w:tcBorders>
              <w:top w:val="nil"/>
            </w:tcBorders>
            <w:shd w:val="clear" w:color="000000" w:fill="FFFFFF"/>
            <w:vAlign w:val="bottom"/>
          </w:tcPr>
          <w:p w14:paraId="0F34A76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72074447"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1BD34F88"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49ED21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BEDE930"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117987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1404E9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B13D663"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3148482"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2E1B34F" w14:textId="77777777" w:rsidTr="00EE71E1">
        <w:trPr>
          <w:trHeight w:val="142"/>
          <w:jc w:val="center"/>
        </w:trPr>
        <w:tc>
          <w:tcPr>
            <w:tcW w:w="2598" w:type="dxa"/>
            <w:vAlign w:val="bottom"/>
          </w:tcPr>
          <w:p w14:paraId="0DFEEE3B"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Акцизе</w:t>
            </w:r>
          </w:p>
        </w:tc>
        <w:tc>
          <w:tcPr>
            <w:tcW w:w="1208" w:type="dxa"/>
            <w:tcBorders>
              <w:top w:val="nil"/>
            </w:tcBorders>
            <w:shd w:val="clear" w:color="000000" w:fill="FFFFFF"/>
            <w:vAlign w:val="bottom"/>
          </w:tcPr>
          <w:p w14:paraId="080611D9"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315,8</w:t>
            </w:r>
          </w:p>
        </w:tc>
        <w:tc>
          <w:tcPr>
            <w:tcW w:w="1759" w:type="dxa"/>
            <w:tcBorders>
              <w:top w:val="nil"/>
            </w:tcBorders>
            <w:shd w:val="clear" w:color="000000" w:fill="FFFFFF"/>
            <w:vAlign w:val="bottom"/>
          </w:tcPr>
          <w:p w14:paraId="6BE75F16"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315,8</w:t>
            </w:r>
          </w:p>
        </w:tc>
        <w:tc>
          <w:tcPr>
            <w:tcW w:w="1025" w:type="dxa"/>
            <w:tcBorders>
              <w:top w:val="nil"/>
            </w:tcBorders>
            <w:shd w:val="clear" w:color="000000" w:fill="FFFFFF"/>
            <w:vAlign w:val="bottom"/>
          </w:tcPr>
          <w:p w14:paraId="2637C41B"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46B160D"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5B39CD2F"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381637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5D1621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CADA78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D00102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6796231"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9B8D574"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5753DE72" w14:textId="77777777" w:rsidTr="00EE71E1">
        <w:trPr>
          <w:trHeight w:val="130"/>
          <w:jc w:val="center"/>
        </w:trPr>
        <w:tc>
          <w:tcPr>
            <w:tcW w:w="2598" w:type="dxa"/>
            <w:vAlign w:val="bottom"/>
          </w:tcPr>
          <w:p w14:paraId="47A8B451"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Царине</w:t>
            </w:r>
          </w:p>
        </w:tc>
        <w:tc>
          <w:tcPr>
            <w:tcW w:w="1208" w:type="dxa"/>
            <w:tcBorders>
              <w:top w:val="nil"/>
            </w:tcBorders>
            <w:shd w:val="clear" w:color="000000" w:fill="FFFFFF"/>
            <w:vAlign w:val="bottom"/>
          </w:tcPr>
          <w:p w14:paraId="2E1A605E"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53,1</w:t>
            </w:r>
          </w:p>
        </w:tc>
        <w:tc>
          <w:tcPr>
            <w:tcW w:w="1759" w:type="dxa"/>
            <w:tcBorders>
              <w:top w:val="nil"/>
            </w:tcBorders>
            <w:shd w:val="clear" w:color="000000" w:fill="FFFFFF"/>
            <w:vAlign w:val="bottom"/>
          </w:tcPr>
          <w:p w14:paraId="44EFC0ED"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53,1</w:t>
            </w:r>
          </w:p>
        </w:tc>
        <w:tc>
          <w:tcPr>
            <w:tcW w:w="1025" w:type="dxa"/>
            <w:tcBorders>
              <w:top w:val="nil"/>
            </w:tcBorders>
            <w:shd w:val="clear" w:color="000000" w:fill="FFFFFF"/>
            <w:vAlign w:val="bottom"/>
          </w:tcPr>
          <w:p w14:paraId="3CC92894"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0C267F80"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3BF5FAC9"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6A2CE14"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EC8C609"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76208E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6FC8A9E"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15E9D2C"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5C08FA7"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525F8292" w14:textId="77777777" w:rsidTr="00EE71E1">
        <w:trPr>
          <w:trHeight w:val="142"/>
          <w:jc w:val="center"/>
        </w:trPr>
        <w:tc>
          <w:tcPr>
            <w:tcW w:w="2598" w:type="dxa"/>
            <w:vAlign w:val="bottom"/>
          </w:tcPr>
          <w:p w14:paraId="4789A104"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Остали порески приходи</w:t>
            </w:r>
          </w:p>
        </w:tc>
        <w:tc>
          <w:tcPr>
            <w:tcW w:w="1208" w:type="dxa"/>
            <w:tcBorders>
              <w:top w:val="nil"/>
            </w:tcBorders>
            <w:shd w:val="clear" w:color="000000" w:fill="FFFFFF"/>
            <w:vAlign w:val="bottom"/>
          </w:tcPr>
          <w:p w14:paraId="05F2FBFC"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84,9</w:t>
            </w:r>
          </w:p>
        </w:tc>
        <w:tc>
          <w:tcPr>
            <w:tcW w:w="1759" w:type="dxa"/>
            <w:tcBorders>
              <w:top w:val="nil"/>
            </w:tcBorders>
            <w:shd w:val="clear" w:color="000000" w:fill="FFFFFF"/>
            <w:vAlign w:val="bottom"/>
          </w:tcPr>
          <w:p w14:paraId="55B9AABE"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13,0</w:t>
            </w:r>
          </w:p>
        </w:tc>
        <w:tc>
          <w:tcPr>
            <w:tcW w:w="1025" w:type="dxa"/>
            <w:tcBorders>
              <w:top w:val="nil"/>
            </w:tcBorders>
            <w:shd w:val="clear" w:color="000000" w:fill="FFFFFF"/>
            <w:vAlign w:val="bottom"/>
          </w:tcPr>
          <w:p w14:paraId="4ED81DB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71,9</w:t>
            </w:r>
          </w:p>
        </w:tc>
        <w:tc>
          <w:tcPr>
            <w:tcW w:w="1025" w:type="dxa"/>
            <w:tcBorders>
              <w:top w:val="nil"/>
            </w:tcBorders>
            <w:shd w:val="clear" w:color="000000" w:fill="FFFFFF"/>
            <w:vAlign w:val="bottom"/>
          </w:tcPr>
          <w:p w14:paraId="53F864B2"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71,9</w:t>
            </w:r>
          </w:p>
        </w:tc>
        <w:tc>
          <w:tcPr>
            <w:tcW w:w="1026" w:type="dxa"/>
            <w:tcBorders>
              <w:top w:val="nil"/>
            </w:tcBorders>
            <w:shd w:val="clear" w:color="000000" w:fill="FFFFFF"/>
            <w:vAlign w:val="bottom"/>
          </w:tcPr>
          <w:p w14:paraId="7B3BE67D"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40643D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3F6587D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518284E"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ACF07D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36C6BDD"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172F64C"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44B9B2BA" w14:textId="77777777" w:rsidTr="00EE71E1">
        <w:trPr>
          <w:trHeight w:val="130"/>
          <w:jc w:val="center"/>
        </w:trPr>
        <w:tc>
          <w:tcPr>
            <w:tcW w:w="2598" w:type="dxa"/>
            <w:vAlign w:val="bottom"/>
          </w:tcPr>
          <w:p w14:paraId="35210763"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Непорески приходи</w:t>
            </w:r>
          </w:p>
        </w:tc>
        <w:tc>
          <w:tcPr>
            <w:tcW w:w="1208" w:type="dxa"/>
            <w:tcBorders>
              <w:top w:val="nil"/>
            </w:tcBorders>
            <w:shd w:val="clear" w:color="000000" w:fill="FFFFFF"/>
            <w:vAlign w:val="bottom"/>
          </w:tcPr>
          <w:p w14:paraId="4F252D77"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233,3</w:t>
            </w:r>
          </w:p>
        </w:tc>
        <w:tc>
          <w:tcPr>
            <w:tcW w:w="1759" w:type="dxa"/>
            <w:tcBorders>
              <w:top w:val="nil"/>
            </w:tcBorders>
            <w:shd w:val="clear" w:color="000000" w:fill="FFFFFF"/>
            <w:vAlign w:val="bottom"/>
          </w:tcPr>
          <w:p w14:paraId="604E1987"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113,8</w:t>
            </w:r>
          </w:p>
        </w:tc>
        <w:tc>
          <w:tcPr>
            <w:tcW w:w="1025" w:type="dxa"/>
            <w:tcBorders>
              <w:top w:val="nil"/>
            </w:tcBorders>
            <w:shd w:val="clear" w:color="000000" w:fill="FFFFFF"/>
            <w:vAlign w:val="bottom"/>
          </w:tcPr>
          <w:p w14:paraId="2F362E1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77,9</w:t>
            </w:r>
          </w:p>
        </w:tc>
        <w:tc>
          <w:tcPr>
            <w:tcW w:w="1025" w:type="dxa"/>
            <w:tcBorders>
              <w:top w:val="nil"/>
            </w:tcBorders>
            <w:shd w:val="clear" w:color="000000" w:fill="FFFFFF"/>
            <w:vAlign w:val="bottom"/>
          </w:tcPr>
          <w:p w14:paraId="4C928D88"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71,6</w:t>
            </w:r>
          </w:p>
        </w:tc>
        <w:tc>
          <w:tcPr>
            <w:tcW w:w="1026" w:type="dxa"/>
            <w:tcBorders>
              <w:top w:val="nil"/>
            </w:tcBorders>
            <w:shd w:val="clear" w:color="000000" w:fill="FFFFFF"/>
            <w:vAlign w:val="bottom"/>
          </w:tcPr>
          <w:p w14:paraId="2D4C7333"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6,3</w:t>
            </w:r>
          </w:p>
        </w:tc>
        <w:tc>
          <w:tcPr>
            <w:tcW w:w="1000" w:type="dxa"/>
            <w:tcBorders>
              <w:top w:val="nil"/>
            </w:tcBorders>
            <w:shd w:val="clear" w:color="000000" w:fill="FFFFFF"/>
            <w:vAlign w:val="bottom"/>
          </w:tcPr>
          <w:p w14:paraId="68EC285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29,9</w:t>
            </w:r>
          </w:p>
        </w:tc>
        <w:tc>
          <w:tcPr>
            <w:tcW w:w="1001" w:type="dxa"/>
            <w:tcBorders>
              <w:top w:val="nil"/>
            </w:tcBorders>
            <w:shd w:val="clear" w:color="000000" w:fill="FFFFFF"/>
            <w:vAlign w:val="bottom"/>
          </w:tcPr>
          <w:p w14:paraId="46D58AD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11,7</w:t>
            </w:r>
          </w:p>
        </w:tc>
        <w:tc>
          <w:tcPr>
            <w:tcW w:w="1000" w:type="dxa"/>
            <w:tcBorders>
              <w:top w:val="nil"/>
            </w:tcBorders>
            <w:shd w:val="clear" w:color="000000" w:fill="FFFFFF"/>
            <w:vAlign w:val="bottom"/>
          </w:tcPr>
          <w:p w14:paraId="093D55F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1,0</w:t>
            </w:r>
          </w:p>
        </w:tc>
        <w:tc>
          <w:tcPr>
            <w:tcW w:w="1001" w:type="dxa"/>
            <w:tcBorders>
              <w:top w:val="nil"/>
            </w:tcBorders>
            <w:shd w:val="clear" w:color="000000" w:fill="FFFFFF"/>
            <w:vAlign w:val="bottom"/>
          </w:tcPr>
          <w:p w14:paraId="1118C7F8"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9,0</w:t>
            </w:r>
          </w:p>
        </w:tc>
        <w:tc>
          <w:tcPr>
            <w:tcW w:w="1000" w:type="dxa"/>
            <w:tcBorders>
              <w:top w:val="nil"/>
            </w:tcBorders>
            <w:shd w:val="clear" w:color="000000" w:fill="FFFFFF"/>
            <w:vAlign w:val="bottom"/>
          </w:tcPr>
          <w:p w14:paraId="7EBC2EA3"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w:t>
            </w:r>
          </w:p>
        </w:tc>
        <w:tc>
          <w:tcPr>
            <w:tcW w:w="1001" w:type="dxa"/>
            <w:tcBorders>
              <w:top w:val="nil"/>
            </w:tcBorders>
            <w:shd w:val="clear" w:color="000000" w:fill="FFFFFF"/>
            <w:vAlign w:val="bottom"/>
          </w:tcPr>
          <w:p w14:paraId="1456103D"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0,6</w:t>
            </w:r>
          </w:p>
        </w:tc>
      </w:tr>
      <w:tr w:rsidR="00C26107" w:rsidRPr="00C26107" w14:paraId="464AA54B" w14:textId="77777777" w:rsidTr="00EE71E1">
        <w:trPr>
          <w:trHeight w:val="142"/>
          <w:jc w:val="center"/>
        </w:trPr>
        <w:tc>
          <w:tcPr>
            <w:tcW w:w="2598" w:type="dxa"/>
            <w:vAlign w:val="bottom"/>
          </w:tcPr>
          <w:p w14:paraId="230A56C0"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Донације</w:t>
            </w:r>
          </w:p>
        </w:tc>
        <w:tc>
          <w:tcPr>
            <w:tcW w:w="1208" w:type="dxa"/>
            <w:tcBorders>
              <w:top w:val="nil"/>
            </w:tcBorders>
            <w:shd w:val="clear" w:color="000000" w:fill="FFFFFF"/>
            <w:vAlign w:val="bottom"/>
          </w:tcPr>
          <w:p w14:paraId="5EAEBAAC"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19,5</w:t>
            </w:r>
          </w:p>
        </w:tc>
        <w:tc>
          <w:tcPr>
            <w:tcW w:w="1759" w:type="dxa"/>
            <w:tcBorders>
              <w:top w:val="nil"/>
            </w:tcBorders>
            <w:shd w:val="clear" w:color="000000" w:fill="FFFFFF"/>
            <w:vAlign w:val="bottom"/>
          </w:tcPr>
          <w:p w14:paraId="703C37CA"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17,5</w:t>
            </w:r>
          </w:p>
        </w:tc>
        <w:tc>
          <w:tcPr>
            <w:tcW w:w="1025" w:type="dxa"/>
            <w:tcBorders>
              <w:top w:val="nil"/>
            </w:tcBorders>
            <w:shd w:val="clear" w:color="000000" w:fill="FFFFFF"/>
            <w:vAlign w:val="bottom"/>
          </w:tcPr>
          <w:p w14:paraId="51354262"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w:t>
            </w:r>
          </w:p>
        </w:tc>
        <w:tc>
          <w:tcPr>
            <w:tcW w:w="1025" w:type="dxa"/>
            <w:tcBorders>
              <w:top w:val="nil"/>
            </w:tcBorders>
            <w:shd w:val="clear" w:color="000000" w:fill="FFFFFF"/>
            <w:vAlign w:val="bottom"/>
          </w:tcPr>
          <w:p w14:paraId="0340892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w:t>
            </w:r>
          </w:p>
        </w:tc>
        <w:tc>
          <w:tcPr>
            <w:tcW w:w="1026" w:type="dxa"/>
            <w:tcBorders>
              <w:top w:val="nil"/>
            </w:tcBorders>
            <w:shd w:val="clear" w:color="000000" w:fill="FFFFFF"/>
            <w:vAlign w:val="bottom"/>
          </w:tcPr>
          <w:p w14:paraId="5DD9CDE4"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7BC9D4B"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9EAFB38"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0,5</w:t>
            </w:r>
          </w:p>
        </w:tc>
        <w:tc>
          <w:tcPr>
            <w:tcW w:w="1000" w:type="dxa"/>
            <w:tcBorders>
              <w:top w:val="nil"/>
            </w:tcBorders>
            <w:shd w:val="clear" w:color="000000" w:fill="FFFFFF"/>
            <w:vAlign w:val="bottom"/>
          </w:tcPr>
          <w:p w14:paraId="76B47D4A"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53779F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C4DE858"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0,5</w:t>
            </w:r>
          </w:p>
        </w:tc>
        <w:tc>
          <w:tcPr>
            <w:tcW w:w="1001" w:type="dxa"/>
            <w:tcBorders>
              <w:top w:val="nil"/>
            </w:tcBorders>
            <w:shd w:val="clear" w:color="000000" w:fill="FFFFFF"/>
            <w:vAlign w:val="bottom"/>
          </w:tcPr>
          <w:p w14:paraId="13D750FD"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4EF2838" w14:textId="77777777" w:rsidTr="00EE71E1">
        <w:trPr>
          <w:trHeight w:val="130"/>
          <w:jc w:val="center"/>
        </w:trPr>
        <w:tc>
          <w:tcPr>
            <w:tcW w:w="2598" w:type="dxa"/>
            <w:shd w:val="clear" w:color="auto" w:fill="D9D9D9" w:themeFill="background1" w:themeFillShade="D9"/>
            <w:vAlign w:val="bottom"/>
          </w:tcPr>
          <w:p w14:paraId="38B40E9B"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bCs/>
                <w:color w:val="002060"/>
                <w:sz w:val="14"/>
                <w:szCs w:val="14"/>
                <w:lang w:val="sr-Cyrl-RS"/>
              </w:rPr>
              <w:t>Јавни расходи</w:t>
            </w:r>
          </w:p>
        </w:tc>
        <w:tc>
          <w:tcPr>
            <w:tcW w:w="1208" w:type="dxa"/>
            <w:tcBorders>
              <w:top w:val="nil"/>
            </w:tcBorders>
            <w:shd w:val="clear" w:color="auto" w:fill="D9D9D9" w:themeFill="background1" w:themeFillShade="D9"/>
            <w:vAlign w:val="bottom"/>
          </w:tcPr>
          <w:p w14:paraId="6EA11A69"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2.603,1</w:t>
            </w:r>
          </w:p>
        </w:tc>
        <w:tc>
          <w:tcPr>
            <w:tcW w:w="1759" w:type="dxa"/>
            <w:tcBorders>
              <w:top w:val="nil"/>
            </w:tcBorders>
            <w:shd w:val="clear" w:color="auto" w:fill="D9D9D9" w:themeFill="background1" w:themeFillShade="D9"/>
            <w:vAlign w:val="bottom"/>
          </w:tcPr>
          <w:p w14:paraId="357F20A3"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1.132,5</w:t>
            </w:r>
          </w:p>
        </w:tc>
        <w:tc>
          <w:tcPr>
            <w:tcW w:w="1025" w:type="dxa"/>
            <w:tcBorders>
              <w:top w:val="nil"/>
            </w:tcBorders>
            <w:shd w:val="clear" w:color="auto" w:fill="D9D9D9" w:themeFill="background1" w:themeFillShade="D9"/>
            <w:vAlign w:val="bottom"/>
          </w:tcPr>
          <w:p w14:paraId="6913D5AB"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390,9</w:t>
            </w:r>
          </w:p>
        </w:tc>
        <w:tc>
          <w:tcPr>
            <w:tcW w:w="1025" w:type="dxa"/>
            <w:tcBorders>
              <w:top w:val="nil"/>
            </w:tcBorders>
            <w:shd w:val="clear" w:color="auto" w:fill="D9D9D9" w:themeFill="background1" w:themeFillShade="D9"/>
            <w:vAlign w:val="bottom"/>
          </w:tcPr>
          <w:p w14:paraId="38F8F3C3"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330,6</w:t>
            </w:r>
          </w:p>
        </w:tc>
        <w:tc>
          <w:tcPr>
            <w:tcW w:w="1026" w:type="dxa"/>
            <w:tcBorders>
              <w:top w:val="nil"/>
            </w:tcBorders>
            <w:shd w:val="clear" w:color="auto" w:fill="D9D9D9" w:themeFill="background1" w:themeFillShade="D9"/>
            <w:vAlign w:val="bottom"/>
          </w:tcPr>
          <w:p w14:paraId="41AC563B"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60,3</w:t>
            </w:r>
          </w:p>
        </w:tc>
        <w:tc>
          <w:tcPr>
            <w:tcW w:w="1000" w:type="dxa"/>
            <w:tcBorders>
              <w:top w:val="nil"/>
            </w:tcBorders>
            <w:shd w:val="clear" w:color="auto" w:fill="D9D9D9" w:themeFill="background1" w:themeFillShade="D9"/>
            <w:vAlign w:val="bottom"/>
          </w:tcPr>
          <w:p w14:paraId="0B74FFD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51,0</w:t>
            </w:r>
          </w:p>
        </w:tc>
        <w:tc>
          <w:tcPr>
            <w:tcW w:w="1001" w:type="dxa"/>
            <w:tcBorders>
              <w:top w:val="nil"/>
            </w:tcBorders>
            <w:shd w:val="clear" w:color="auto" w:fill="D9D9D9" w:themeFill="background1" w:themeFillShade="D9"/>
            <w:vAlign w:val="bottom"/>
          </w:tcPr>
          <w:p w14:paraId="2287658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1.028,6</w:t>
            </w:r>
          </w:p>
        </w:tc>
        <w:tc>
          <w:tcPr>
            <w:tcW w:w="1000" w:type="dxa"/>
            <w:tcBorders>
              <w:top w:val="nil"/>
            </w:tcBorders>
            <w:shd w:val="clear" w:color="auto" w:fill="D9D9D9" w:themeFill="background1" w:themeFillShade="D9"/>
            <w:vAlign w:val="bottom"/>
          </w:tcPr>
          <w:p w14:paraId="3F4E82AC"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654,4</w:t>
            </w:r>
          </w:p>
        </w:tc>
        <w:tc>
          <w:tcPr>
            <w:tcW w:w="1001" w:type="dxa"/>
            <w:tcBorders>
              <w:top w:val="nil"/>
            </w:tcBorders>
            <w:shd w:val="clear" w:color="auto" w:fill="D9D9D9" w:themeFill="background1" w:themeFillShade="D9"/>
            <w:vAlign w:val="bottom"/>
          </w:tcPr>
          <w:p w14:paraId="41F7D4C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347,1</w:t>
            </w:r>
          </w:p>
        </w:tc>
        <w:tc>
          <w:tcPr>
            <w:tcW w:w="1000" w:type="dxa"/>
            <w:tcBorders>
              <w:top w:val="nil"/>
            </w:tcBorders>
            <w:shd w:val="clear" w:color="auto" w:fill="D9D9D9" w:themeFill="background1" w:themeFillShade="D9"/>
            <w:vAlign w:val="bottom"/>
          </w:tcPr>
          <w:p w14:paraId="5BAABD65"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21,0</w:t>
            </w:r>
          </w:p>
        </w:tc>
        <w:tc>
          <w:tcPr>
            <w:tcW w:w="1001" w:type="dxa"/>
            <w:tcBorders>
              <w:top w:val="nil"/>
            </w:tcBorders>
            <w:shd w:val="clear" w:color="auto" w:fill="D9D9D9" w:themeFill="background1" w:themeFillShade="D9"/>
            <w:vAlign w:val="bottom"/>
          </w:tcPr>
          <w:p w14:paraId="4030A322"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6,1</w:t>
            </w:r>
          </w:p>
        </w:tc>
      </w:tr>
      <w:tr w:rsidR="00C26107" w:rsidRPr="00C26107" w14:paraId="24825DA3" w14:textId="77777777" w:rsidTr="00EE71E1">
        <w:trPr>
          <w:trHeight w:val="142"/>
          <w:jc w:val="center"/>
        </w:trPr>
        <w:tc>
          <w:tcPr>
            <w:tcW w:w="2598" w:type="dxa"/>
            <w:vAlign w:val="bottom"/>
          </w:tcPr>
          <w:p w14:paraId="05E6B028"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Текући расходи</w:t>
            </w:r>
          </w:p>
        </w:tc>
        <w:tc>
          <w:tcPr>
            <w:tcW w:w="1208" w:type="dxa"/>
            <w:tcBorders>
              <w:top w:val="nil"/>
            </w:tcBorders>
            <w:shd w:val="clear" w:color="000000" w:fill="FFFFFF"/>
            <w:vAlign w:val="bottom"/>
          </w:tcPr>
          <w:p w14:paraId="7E00B0C4"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2.241,1</w:t>
            </w:r>
          </w:p>
        </w:tc>
        <w:tc>
          <w:tcPr>
            <w:tcW w:w="1759" w:type="dxa"/>
            <w:tcBorders>
              <w:top w:val="nil"/>
            </w:tcBorders>
            <w:shd w:val="clear" w:color="000000" w:fill="FFFFFF"/>
            <w:vAlign w:val="bottom"/>
          </w:tcPr>
          <w:p w14:paraId="7B8A3EEB"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834,6</w:t>
            </w:r>
          </w:p>
        </w:tc>
        <w:tc>
          <w:tcPr>
            <w:tcW w:w="1025" w:type="dxa"/>
            <w:tcBorders>
              <w:top w:val="nil"/>
            </w:tcBorders>
            <w:shd w:val="clear" w:color="000000" w:fill="FFFFFF"/>
            <w:vAlign w:val="bottom"/>
          </w:tcPr>
          <w:p w14:paraId="019CB6FC"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341,5</w:t>
            </w:r>
          </w:p>
        </w:tc>
        <w:tc>
          <w:tcPr>
            <w:tcW w:w="1025" w:type="dxa"/>
            <w:tcBorders>
              <w:top w:val="nil"/>
            </w:tcBorders>
            <w:shd w:val="clear" w:color="000000" w:fill="FFFFFF"/>
            <w:vAlign w:val="bottom"/>
          </w:tcPr>
          <w:p w14:paraId="74248D87"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281,6</w:t>
            </w:r>
          </w:p>
        </w:tc>
        <w:tc>
          <w:tcPr>
            <w:tcW w:w="1026" w:type="dxa"/>
            <w:tcBorders>
              <w:top w:val="nil"/>
            </w:tcBorders>
            <w:shd w:val="clear" w:color="000000" w:fill="FFFFFF"/>
            <w:vAlign w:val="bottom"/>
          </w:tcPr>
          <w:p w14:paraId="395665C9"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59,9</w:t>
            </w:r>
          </w:p>
        </w:tc>
        <w:tc>
          <w:tcPr>
            <w:tcW w:w="1000" w:type="dxa"/>
            <w:tcBorders>
              <w:top w:val="nil"/>
            </w:tcBorders>
            <w:shd w:val="clear" w:color="000000" w:fill="FFFFFF"/>
            <w:vAlign w:val="bottom"/>
          </w:tcPr>
          <w:p w14:paraId="428BAB0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41,5</w:t>
            </w:r>
          </w:p>
        </w:tc>
        <w:tc>
          <w:tcPr>
            <w:tcW w:w="1001" w:type="dxa"/>
            <w:tcBorders>
              <w:top w:val="nil"/>
            </w:tcBorders>
            <w:shd w:val="clear" w:color="000000" w:fill="FFFFFF"/>
            <w:vAlign w:val="bottom"/>
          </w:tcPr>
          <w:p w14:paraId="032E2C8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1.023,4</w:t>
            </w:r>
          </w:p>
        </w:tc>
        <w:tc>
          <w:tcPr>
            <w:tcW w:w="1000" w:type="dxa"/>
            <w:tcBorders>
              <w:top w:val="nil"/>
            </w:tcBorders>
            <w:shd w:val="clear" w:color="000000" w:fill="FFFFFF"/>
            <w:vAlign w:val="bottom"/>
          </w:tcPr>
          <w:p w14:paraId="1D6EF4DC"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653,7</w:t>
            </w:r>
          </w:p>
        </w:tc>
        <w:tc>
          <w:tcPr>
            <w:tcW w:w="1001" w:type="dxa"/>
            <w:tcBorders>
              <w:top w:val="nil"/>
            </w:tcBorders>
            <w:shd w:val="clear" w:color="000000" w:fill="FFFFFF"/>
            <w:vAlign w:val="bottom"/>
          </w:tcPr>
          <w:p w14:paraId="44B4702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343,1</w:t>
            </w:r>
          </w:p>
        </w:tc>
        <w:tc>
          <w:tcPr>
            <w:tcW w:w="1000" w:type="dxa"/>
            <w:tcBorders>
              <w:top w:val="nil"/>
            </w:tcBorders>
            <w:shd w:val="clear" w:color="000000" w:fill="FFFFFF"/>
            <w:vAlign w:val="bottom"/>
          </w:tcPr>
          <w:p w14:paraId="593F0C37"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20,6</w:t>
            </w:r>
          </w:p>
        </w:tc>
        <w:tc>
          <w:tcPr>
            <w:tcW w:w="1001" w:type="dxa"/>
            <w:tcBorders>
              <w:top w:val="nil"/>
            </w:tcBorders>
            <w:shd w:val="clear" w:color="000000" w:fill="FFFFFF"/>
            <w:vAlign w:val="bottom"/>
          </w:tcPr>
          <w:p w14:paraId="62C46C7A"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5,9</w:t>
            </w:r>
          </w:p>
        </w:tc>
      </w:tr>
      <w:tr w:rsidR="00C26107" w:rsidRPr="00C26107" w14:paraId="58E819D7" w14:textId="77777777" w:rsidTr="00EE71E1">
        <w:trPr>
          <w:trHeight w:val="130"/>
          <w:jc w:val="center"/>
        </w:trPr>
        <w:tc>
          <w:tcPr>
            <w:tcW w:w="2598" w:type="dxa"/>
            <w:vAlign w:val="bottom"/>
          </w:tcPr>
          <w:p w14:paraId="384EFD79"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Расходи за запослене</w:t>
            </w:r>
          </w:p>
        </w:tc>
        <w:tc>
          <w:tcPr>
            <w:tcW w:w="1208" w:type="dxa"/>
            <w:tcBorders>
              <w:top w:val="nil"/>
            </w:tcBorders>
            <w:shd w:val="clear" w:color="000000" w:fill="FFFFFF"/>
            <w:vAlign w:val="bottom"/>
          </w:tcPr>
          <w:p w14:paraId="495EDAD5"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513,6</w:t>
            </w:r>
          </w:p>
        </w:tc>
        <w:tc>
          <w:tcPr>
            <w:tcW w:w="1759" w:type="dxa"/>
            <w:tcBorders>
              <w:top w:val="nil"/>
            </w:tcBorders>
            <w:shd w:val="clear" w:color="000000" w:fill="FFFFFF"/>
            <w:vAlign w:val="bottom"/>
          </w:tcPr>
          <w:p w14:paraId="56FDE8FB"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272,5</w:t>
            </w:r>
          </w:p>
        </w:tc>
        <w:tc>
          <w:tcPr>
            <w:tcW w:w="1025" w:type="dxa"/>
            <w:tcBorders>
              <w:top w:val="nil"/>
            </w:tcBorders>
            <w:shd w:val="clear" w:color="000000" w:fill="FFFFFF"/>
            <w:vAlign w:val="bottom"/>
          </w:tcPr>
          <w:p w14:paraId="65DFC996"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93,9</w:t>
            </w:r>
          </w:p>
        </w:tc>
        <w:tc>
          <w:tcPr>
            <w:tcW w:w="1025" w:type="dxa"/>
            <w:tcBorders>
              <w:top w:val="nil"/>
            </w:tcBorders>
            <w:shd w:val="clear" w:color="000000" w:fill="FFFFFF"/>
            <w:vAlign w:val="bottom"/>
          </w:tcPr>
          <w:p w14:paraId="5545689E"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59,4</w:t>
            </w:r>
          </w:p>
        </w:tc>
        <w:tc>
          <w:tcPr>
            <w:tcW w:w="1026" w:type="dxa"/>
            <w:tcBorders>
              <w:top w:val="nil"/>
            </w:tcBorders>
            <w:shd w:val="clear" w:color="000000" w:fill="FFFFFF"/>
            <w:vAlign w:val="bottom"/>
          </w:tcPr>
          <w:p w14:paraId="62CB492B"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34,6</w:t>
            </w:r>
          </w:p>
        </w:tc>
        <w:tc>
          <w:tcPr>
            <w:tcW w:w="1000" w:type="dxa"/>
            <w:tcBorders>
              <w:top w:val="nil"/>
            </w:tcBorders>
            <w:shd w:val="clear" w:color="000000" w:fill="FFFFFF"/>
            <w:vAlign w:val="bottom"/>
          </w:tcPr>
          <w:p w14:paraId="2BC2D34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w:t>
            </w:r>
          </w:p>
        </w:tc>
        <w:tc>
          <w:tcPr>
            <w:tcW w:w="1001" w:type="dxa"/>
            <w:tcBorders>
              <w:top w:val="nil"/>
            </w:tcBorders>
            <w:shd w:val="clear" w:color="000000" w:fill="FFFFFF"/>
            <w:vAlign w:val="bottom"/>
          </w:tcPr>
          <w:p w14:paraId="6C314B9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144,3</w:t>
            </w:r>
          </w:p>
        </w:tc>
        <w:tc>
          <w:tcPr>
            <w:tcW w:w="1000" w:type="dxa"/>
            <w:tcBorders>
              <w:top w:val="nil"/>
            </w:tcBorders>
            <w:shd w:val="clear" w:color="000000" w:fill="FFFFFF"/>
            <w:vAlign w:val="bottom"/>
          </w:tcPr>
          <w:p w14:paraId="3A2F0F5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3,1</w:t>
            </w:r>
          </w:p>
        </w:tc>
        <w:tc>
          <w:tcPr>
            <w:tcW w:w="1001" w:type="dxa"/>
            <w:tcBorders>
              <w:top w:val="nil"/>
            </w:tcBorders>
            <w:shd w:val="clear" w:color="000000" w:fill="FFFFFF"/>
            <w:vAlign w:val="bottom"/>
          </w:tcPr>
          <w:p w14:paraId="3A6D65A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139,5</w:t>
            </w:r>
          </w:p>
        </w:tc>
        <w:tc>
          <w:tcPr>
            <w:tcW w:w="1000" w:type="dxa"/>
            <w:tcBorders>
              <w:top w:val="nil"/>
            </w:tcBorders>
            <w:shd w:val="clear" w:color="000000" w:fill="FFFFFF"/>
            <w:vAlign w:val="bottom"/>
          </w:tcPr>
          <w:p w14:paraId="11E2D0EE"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w:t>
            </w:r>
          </w:p>
        </w:tc>
        <w:tc>
          <w:tcPr>
            <w:tcW w:w="1001" w:type="dxa"/>
            <w:tcBorders>
              <w:top w:val="nil"/>
            </w:tcBorders>
            <w:shd w:val="clear" w:color="000000" w:fill="FFFFFF"/>
            <w:vAlign w:val="bottom"/>
          </w:tcPr>
          <w:p w14:paraId="4575F295"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532F0FA6" w14:textId="77777777" w:rsidTr="00EE71E1">
        <w:trPr>
          <w:trHeight w:val="142"/>
          <w:jc w:val="center"/>
        </w:trPr>
        <w:tc>
          <w:tcPr>
            <w:tcW w:w="2598" w:type="dxa"/>
            <w:vAlign w:val="bottom"/>
          </w:tcPr>
          <w:p w14:paraId="5B343388"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Доприноси на терет послодавца</w:t>
            </w:r>
          </w:p>
        </w:tc>
        <w:tc>
          <w:tcPr>
            <w:tcW w:w="1208" w:type="dxa"/>
            <w:tcBorders>
              <w:top w:val="nil"/>
            </w:tcBorders>
            <w:shd w:val="clear" w:color="000000" w:fill="FFFFFF"/>
            <w:vAlign w:val="bottom"/>
          </w:tcPr>
          <w:p w14:paraId="7CA9CDD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88,9</w:t>
            </w:r>
          </w:p>
        </w:tc>
        <w:tc>
          <w:tcPr>
            <w:tcW w:w="1759" w:type="dxa"/>
            <w:tcBorders>
              <w:top w:val="nil"/>
            </w:tcBorders>
            <w:shd w:val="clear" w:color="000000" w:fill="FFFFFF"/>
            <w:vAlign w:val="bottom"/>
          </w:tcPr>
          <w:p w14:paraId="194B4884"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48,2</w:t>
            </w:r>
          </w:p>
        </w:tc>
        <w:tc>
          <w:tcPr>
            <w:tcW w:w="1025" w:type="dxa"/>
            <w:tcBorders>
              <w:top w:val="nil"/>
            </w:tcBorders>
            <w:shd w:val="clear" w:color="000000" w:fill="FFFFFF"/>
            <w:vAlign w:val="bottom"/>
          </w:tcPr>
          <w:p w14:paraId="7829B077"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15,8</w:t>
            </w:r>
          </w:p>
        </w:tc>
        <w:tc>
          <w:tcPr>
            <w:tcW w:w="1025" w:type="dxa"/>
            <w:tcBorders>
              <w:top w:val="nil"/>
            </w:tcBorders>
            <w:shd w:val="clear" w:color="000000" w:fill="FFFFFF"/>
            <w:vAlign w:val="bottom"/>
          </w:tcPr>
          <w:p w14:paraId="7263AE21"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9,1</w:t>
            </w:r>
          </w:p>
        </w:tc>
        <w:tc>
          <w:tcPr>
            <w:tcW w:w="1026" w:type="dxa"/>
            <w:tcBorders>
              <w:top w:val="nil"/>
            </w:tcBorders>
            <w:shd w:val="clear" w:color="000000" w:fill="FFFFFF"/>
            <w:vAlign w:val="bottom"/>
          </w:tcPr>
          <w:p w14:paraId="751C0D37"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6,8</w:t>
            </w:r>
          </w:p>
        </w:tc>
        <w:tc>
          <w:tcPr>
            <w:tcW w:w="1000" w:type="dxa"/>
            <w:tcBorders>
              <w:top w:val="nil"/>
            </w:tcBorders>
            <w:shd w:val="clear" w:color="000000" w:fill="FFFFFF"/>
            <w:vAlign w:val="bottom"/>
          </w:tcPr>
          <w:p w14:paraId="5033E01B"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0,4</w:t>
            </w:r>
          </w:p>
        </w:tc>
        <w:tc>
          <w:tcPr>
            <w:tcW w:w="1001" w:type="dxa"/>
            <w:tcBorders>
              <w:top w:val="nil"/>
            </w:tcBorders>
            <w:shd w:val="clear" w:color="000000" w:fill="FFFFFF"/>
            <w:vAlign w:val="bottom"/>
          </w:tcPr>
          <w:p w14:paraId="71293FA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24,4</w:t>
            </w:r>
          </w:p>
        </w:tc>
        <w:tc>
          <w:tcPr>
            <w:tcW w:w="1000" w:type="dxa"/>
            <w:tcBorders>
              <w:top w:val="nil"/>
            </w:tcBorders>
            <w:shd w:val="clear" w:color="000000" w:fill="FFFFFF"/>
            <w:vAlign w:val="bottom"/>
          </w:tcPr>
          <w:p w14:paraId="567BCD52"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0,6</w:t>
            </w:r>
          </w:p>
        </w:tc>
        <w:tc>
          <w:tcPr>
            <w:tcW w:w="1001" w:type="dxa"/>
            <w:tcBorders>
              <w:top w:val="nil"/>
            </w:tcBorders>
            <w:shd w:val="clear" w:color="000000" w:fill="FFFFFF"/>
            <w:vAlign w:val="bottom"/>
          </w:tcPr>
          <w:p w14:paraId="6680B31B"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23,5</w:t>
            </w:r>
          </w:p>
        </w:tc>
        <w:tc>
          <w:tcPr>
            <w:tcW w:w="1000" w:type="dxa"/>
            <w:tcBorders>
              <w:top w:val="nil"/>
            </w:tcBorders>
            <w:shd w:val="clear" w:color="000000" w:fill="FFFFFF"/>
            <w:vAlign w:val="bottom"/>
          </w:tcPr>
          <w:p w14:paraId="7263F75C"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0,4</w:t>
            </w:r>
          </w:p>
        </w:tc>
        <w:tc>
          <w:tcPr>
            <w:tcW w:w="1001" w:type="dxa"/>
            <w:tcBorders>
              <w:top w:val="nil"/>
            </w:tcBorders>
            <w:shd w:val="clear" w:color="000000" w:fill="FFFFFF"/>
            <w:vAlign w:val="bottom"/>
          </w:tcPr>
          <w:p w14:paraId="00157B7D"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10F72B73" w14:textId="77777777" w:rsidTr="00EE71E1">
        <w:trPr>
          <w:trHeight w:val="130"/>
          <w:jc w:val="center"/>
        </w:trPr>
        <w:tc>
          <w:tcPr>
            <w:tcW w:w="2598" w:type="dxa"/>
            <w:vAlign w:val="bottom"/>
          </w:tcPr>
          <w:p w14:paraId="4F7837B6"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Куповина роба и услуга</w:t>
            </w:r>
          </w:p>
        </w:tc>
        <w:tc>
          <w:tcPr>
            <w:tcW w:w="1208" w:type="dxa"/>
            <w:tcBorders>
              <w:top w:val="nil"/>
            </w:tcBorders>
            <w:shd w:val="clear" w:color="000000" w:fill="FFFFFF"/>
            <w:vAlign w:val="bottom"/>
          </w:tcPr>
          <w:p w14:paraId="51FE1184"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456,9</w:t>
            </w:r>
          </w:p>
        </w:tc>
        <w:tc>
          <w:tcPr>
            <w:tcW w:w="1759" w:type="dxa"/>
            <w:tcBorders>
              <w:top w:val="nil"/>
            </w:tcBorders>
            <w:shd w:val="clear" w:color="000000" w:fill="FFFFFF"/>
            <w:vAlign w:val="bottom"/>
          </w:tcPr>
          <w:p w14:paraId="1AF2CAF9"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124,3</w:t>
            </w:r>
          </w:p>
        </w:tc>
        <w:tc>
          <w:tcPr>
            <w:tcW w:w="1025" w:type="dxa"/>
            <w:tcBorders>
              <w:top w:val="nil"/>
            </w:tcBorders>
            <w:shd w:val="clear" w:color="000000" w:fill="FFFFFF"/>
            <w:vAlign w:val="bottom"/>
          </w:tcPr>
          <w:p w14:paraId="6F617A03"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126,0</w:t>
            </w:r>
          </w:p>
        </w:tc>
        <w:tc>
          <w:tcPr>
            <w:tcW w:w="1025" w:type="dxa"/>
            <w:tcBorders>
              <w:top w:val="nil"/>
            </w:tcBorders>
            <w:shd w:val="clear" w:color="000000" w:fill="FFFFFF"/>
            <w:vAlign w:val="bottom"/>
          </w:tcPr>
          <w:p w14:paraId="0992B0D7"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123,7</w:t>
            </w:r>
          </w:p>
        </w:tc>
        <w:tc>
          <w:tcPr>
            <w:tcW w:w="1026" w:type="dxa"/>
            <w:tcBorders>
              <w:top w:val="nil"/>
            </w:tcBorders>
            <w:shd w:val="clear" w:color="000000" w:fill="FFFFFF"/>
            <w:vAlign w:val="bottom"/>
          </w:tcPr>
          <w:p w14:paraId="5B96E35F"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w:t>
            </w:r>
          </w:p>
        </w:tc>
        <w:tc>
          <w:tcPr>
            <w:tcW w:w="1000" w:type="dxa"/>
            <w:tcBorders>
              <w:top w:val="nil"/>
            </w:tcBorders>
            <w:shd w:val="clear" w:color="000000" w:fill="FFFFFF"/>
            <w:vAlign w:val="bottom"/>
          </w:tcPr>
          <w:p w14:paraId="469DA75A"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35,2</w:t>
            </w:r>
          </w:p>
        </w:tc>
        <w:tc>
          <w:tcPr>
            <w:tcW w:w="1001" w:type="dxa"/>
            <w:tcBorders>
              <w:top w:val="nil"/>
            </w:tcBorders>
            <w:shd w:val="clear" w:color="000000" w:fill="FFFFFF"/>
            <w:vAlign w:val="bottom"/>
          </w:tcPr>
          <w:p w14:paraId="2929FA7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171,4</w:t>
            </w:r>
          </w:p>
        </w:tc>
        <w:tc>
          <w:tcPr>
            <w:tcW w:w="1000" w:type="dxa"/>
            <w:tcBorders>
              <w:top w:val="nil"/>
            </w:tcBorders>
            <w:shd w:val="clear" w:color="000000" w:fill="FFFFFF"/>
            <w:vAlign w:val="bottom"/>
          </w:tcPr>
          <w:p w14:paraId="4A7B829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w:t>
            </w:r>
          </w:p>
        </w:tc>
        <w:tc>
          <w:tcPr>
            <w:tcW w:w="1001" w:type="dxa"/>
            <w:tcBorders>
              <w:top w:val="nil"/>
            </w:tcBorders>
            <w:shd w:val="clear" w:color="000000" w:fill="FFFFFF"/>
            <w:vAlign w:val="bottom"/>
          </w:tcPr>
          <w:p w14:paraId="7F4E04B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164,8</w:t>
            </w:r>
          </w:p>
        </w:tc>
        <w:tc>
          <w:tcPr>
            <w:tcW w:w="1000" w:type="dxa"/>
            <w:tcBorders>
              <w:top w:val="nil"/>
            </w:tcBorders>
            <w:shd w:val="clear" w:color="000000" w:fill="FFFFFF"/>
            <w:vAlign w:val="bottom"/>
          </w:tcPr>
          <w:p w14:paraId="6F17D837"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0,9</w:t>
            </w:r>
          </w:p>
        </w:tc>
        <w:tc>
          <w:tcPr>
            <w:tcW w:w="1001" w:type="dxa"/>
            <w:tcBorders>
              <w:top w:val="nil"/>
            </w:tcBorders>
            <w:shd w:val="clear" w:color="000000" w:fill="FFFFFF"/>
            <w:vAlign w:val="bottom"/>
          </w:tcPr>
          <w:p w14:paraId="00CE9A04"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3,3</w:t>
            </w:r>
          </w:p>
        </w:tc>
      </w:tr>
      <w:tr w:rsidR="00C26107" w:rsidRPr="00C26107" w14:paraId="18D310D6" w14:textId="77777777" w:rsidTr="00EE71E1">
        <w:trPr>
          <w:trHeight w:val="142"/>
          <w:jc w:val="center"/>
        </w:trPr>
        <w:tc>
          <w:tcPr>
            <w:tcW w:w="2598" w:type="dxa"/>
            <w:vAlign w:val="bottom"/>
          </w:tcPr>
          <w:p w14:paraId="754AA3C1"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Отплата камата</w:t>
            </w:r>
          </w:p>
        </w:tc>
        <w:tc>
          <w:tcPr>
            <w:tcW w:w="1208" w:type="dxa"/>
            <w:tcBorders>
              <w:top w:val="nil"/>
            </w:tcBorders>
            <w:shd w:val="clear" w:color="000000" w:fill="FFFFFF"/>
            <w:vAlign w:val="bottom"/>
          </w:tcPr>
          <w:p w14:paraId="4B792BA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113,6</w:t>
            </w:r>
          </w:p>
        </w:tc>
        <w:tc>
          <w:tcPr>
            <w:tcW w:w="1759" w:type="dxa"/>
            <w:tcBorders>
              <w:top w:val="nil"/>
            </w:tcBorders>
            <w:shd w:val="clear" w:color="000000" w:fill="FFFFFF"/>
            <w:vAlign w:val="bottom"/>
          </w:tcPr>
          <w:p w14:paraId="028D2DCB"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111,2</w:t>
            </w:r>
          </w:p>
        </w:tc>
        <w:tc>
          <w:tcPr>
            <w:tcW w:w="1025" w:type="dxa"/>
            <w:tcBorders>
              <w:top w:val="nil"/>
            </w:tcBorders>
            <w:shd w:val="clear" w:color="000000" w:fill="FFFFFF"/>
            <w:vAlign w:val="bottom"/>
          </w:tcPr>
          <w:p w14:paraId="7D228315"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w:t>
            </w:r>
          </w:p>
        </w:tc>
        <w:tc>
          <w:tcPr>
            <w:tcW w:w="1025" w:type="dxa"/>
            <w:tcBorders>
              <w:top w:val="nil"/>
            </w:tcBorders>
            <w:shd w:val="clear" w:color="000000" w:fill="FFFFFF"/>
            <w:vAlign w:val="bottom"/>
          </w:tcPr>
          <w:p w14:paraId="300BC1A1"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2,0</w:t>
            </w:r>
          </w:p>
        </w:tc>
        <w:tc>
          <w:tcPr>
            <w:tcW w:w="1026" w:type="dxa"/>
            <w:tcBorders>
              <w:top w:val="nil"/>
            </w:tcBorders>
            <w:shd w:val="clear" w:color="000000" w:fill="FFFFFF"/>
            <w:vAlign w:val="bottom"/>
          </w:tcPr>
          <w:p w14:paraId="4E1017C7"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0,3</w:t>
            </w:r>
          </w:p>
        </w:tc>
        <w:tc>
          <w:tcPr>
            <w:tcW w:w="1000" w:type="dxa"/>
            <w:tcBorders>
              <w:top w:val="nil"/>
            </w:tcBorders>
            <w:shd w:val="clear" w:color="000000" w:fill="FFFFFF"/>
            <w:vAlign w:val="bottom"/>
          </w:tcPr>
          <w:p w14:paraId="5A6D026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0,1</w:t>
            </w:r>
          </w:p>
        </w:tc>
        <w:tc>
          <w:tcPr>
            <w:tcW w:w="1001" w:type="dxa"/>
            <w:tcBorders>
              <w:top w:val="nil"/>
            </w:tcBorders>
            <w:shd w:val="clear" w:color="000000" w:fill="FFFFFF"/>
            <w:vAlign w:val="bottom"/>
          </w:tcPr>
          <w:p w14:paraId="23025D2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CBD317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11F327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4E0CF35"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F7A1060"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6BD8A510" w14:textId="77777777" w:rsidTr="00EE71E1">
        <w:trPr>
          <w:trHeight w:val="130"/>
          <w:jc w:val="center"/>
        </w:trPr>
        <w:tc>
          <w:tcPr>
            <w:tcW w:w="2598" w:type="dxa"/>
            <w:vAlign w:val="bottom"/>
          </w:tcPr>
          <w:p w14:paraId="7439B309"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Субвенције</w:t>
            </w:r>
          </w:p>
        </w:tc>
        <w:tc>
          <w:tcPr>
            <w:tcW w:w="1208" w:type="dxa"/>
            <w:tcBorders>
              <w:top w:val="nil"/>
            </w:tcBorders>
            <w:shd w:val="clear" w:color="000000" w:fill="FFFFFF"/>
            <w:vAlign w:val="bottom"/>
          </w:tcPr>
          <w:p w14:paraId="6496638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136,8</w:t>
            </w:r>
          </w:p>
        </w:tc>
        <w:tc>
          <w:tcPr>
            <w:tcW w:w="1759" w:type="dxa"/>
            <w:tcBorders>
              <w:top w:val="nil"/>
            </w:tcBorders>
            <w:shd w:val="clear" w:color="000000" w:fill="FFFFFF"/>
            <w:vAlign w:val="bottom"/>
          </w:tcPr>
          <w:p w14:paraId="7875AE53"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109,7</w:t>
            </w:r>
          </w:p>
        </w:tc>
        <w:tc>
          <w:tcPr>
            <w:tcW w:w="1025" w:type="dxa"/>
            <w:tcBorders>
              <w:top w:val="nil"/>
            </w:tcBorders>
            <w:shd w:val="clear" w:color="000000" w:fill="FFFFFF"/>
            <w:vAlign w:val="bottom"/>
          </w:tcPr>
          <w:p w14:paraId="55AD9665"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27,1</w:t>
            </w:r>
          </w:p>
        </w:tc>
        <w:tc>
          <w:tcPr>
            <w:tcW w:w="1025" w:type="dxa"/>
            <w:tcBorders>
              <w:top w:val="nil"/>
            </w:tcBorders>
            <w:shd w:val="clear" w:color="000000" w:fill="FFFFFF"/>
            <w:vAlign w:val="bottom"/>
          </w:tcPr>
          <w:p w14:paraId="7F6F7E6C"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19,2</w:t>
            </w:r>
          </w:p>
        </w:tc>
        <w:tc>
          <w:tcPr>
            <w:tcW w:w="1026" w:type="dxa"/>
            <w:tcBorders>
              <w:top w:val="nil"/>
            </w:tcBorders>
            <w:shd w:val="clear" w:color="000000" w:fill="FFFFFF"/>
            <w:vAlign w:val="bottom"/>
          </w:tcPr>
          <w:p w14:paraId="7351FE5A"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7,9</w:t>
            </w:r>
          </w:p>
        </w:tc>
        <w:tc>
          <w:tcPr>
            <w:tcW w:w="1000" w:type="dxa"/>
            <w:tcBorders>
              <w:top w:val="nil"/>
            </w:tcBorders>
            <w:shd w:val="clear" w:color="000000" w:fill="FFFFFF"/>
            <w:vAlign w:val="bottom"/>
          </w:tcPr>
          <w:p w14:paraId="2B97AC1F"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4B2EA9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EDF829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FA0E67E"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AB7463E"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40E8386"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7E1A932" w14:textId="77777777" w:rsidTr="00EE71E1">
        <w:trPr>
          <w:trHeight w:val="142"/>
          <w:jc w:val="center"/>
        </w:trPr>
        <w:tc>
          <w:tcPr>
            <w:tcW w:w="2598" w:type="dxa"/>
            <w:shd w:val="clear" w:color="auto" w:fill="D9D9D9" w:themeFill="background1" w:themeFillShade="D9"/>
            <w:vAlign w:val="bottom"/>
          </w:tcPr>
          <w:p w14:paraId="71413A8A"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Социјална помоћ и трансфери</w:t>
            </w:r>
          </w:p>
        </w:tc>
        <w:tc>
          <w:tcPr>
            <w:tcW w:w="1208" w:type="dxa"/>
            <w:tcBorders>
              <w:top w:val="nil"/>
            </w:tcBorders>
            <w:shd w:val="clear" w:color="auto" w:fill="D9D9D9" w:themeFill="background1" w:themeFillShade="D9"/>
            <w:vAlign w:val="bottom"/>
          </w:tcPr>
          <w:p w14:paraId="6E6FB757"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848,1</w:t>
            </w:r>
          </w:p>
        </w:tc>
        <w:tc>
          <w:tcPr>
            <w:tcW w:w="1759" w:type="dxa"/>
            <w:tcBorders>
              <w:top w:val="nil"/>
            </w:tcBorders>
            <w:shd w:val="clear" w:color="auto" w:fill="D9D9D9" w:themeFill="background1" w:themeFillShade="D9"/>
            <w:vAlign w:val="bottom"/>
          </w:tcPr>
          <w:p w14:paraId="4ED98482"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120,0</w:t>
            </w:r>
          </w:p>
        </w:tc>
        <w:tc>
          <w:tcPr>
            <w:tcW w:w="1025" w:type="dxa"/>
            <w:tcBorders>
              <w:top w:val="nil"/>
            </w:tcBorders>
            <w:shd w:val="clear" w:color="auto" w:fill="D9D9D9" w:themeFill="background1" w:themeFillShade="D9"/>
            <w:vAlign w:val="bottom"/>
          </w:tcPr>
          <w:p w14:paraId="09BD4B78"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47,8</w:t>
            </w:r>
          </w:p>
        </w:tc>
        <w:tc>
          <w:tcPr>
            <w:tcW w:w="1025" w:type="dxa"/>
            <w:tcBorders>
              <w:top w:val="nil"/>
            </w:tcBorders>
            <w:shd w:val="clear" w:color="auto" w:fill="D9D9D9" w:themeFill="background1" w:themeFillShade="D9"/>
            <w:vAlign w:val="bottom"/>
          </w:tcPr>
          <w:p w14:paraId="3E04DEB6"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47,6</w:t>
            </w:r>
          </w:p>
        </w:tc>
        <w:tc>
          <w:tcPr>
            <w:tcW w:w="1026" w:type="dxa"/>
            <w:tcBorders>
              <w:top w:val="nil"/>
            </w:tcBorders>
            <w:shd w:val="clear" w:color="auto" w:fill="D9D9D9" w:themeFill="background1" w:themeFillShade="D9"/>
            <w:vAlign w:val="bottom"/>
          </w:tcPr>
          <w:p w14:paraId="5BE0B4B9"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0,2</w:t>
            </w:r>
          </w:p>
        </w:tc>
        <w:tc>
          <w:tcPr>
            <w:tcW w:w="1000" w:type="dxa"/>
            <w:tcBorders>
              <w:top w:val="nil"/>
            </w:tcBorders>
            <w:shd w:val="clear" w:color="auto" w:fill="D9D9D9" w:themeFill="background1" w:themeFillShade="D9"/>
            <w:vAlign w:val="bottom"/>
          </w:tcPr>
          <w:p w14:paraId="5681F76B"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0,0</w:t>
            </w:r>
          </w:p>
        </w:tc>
        <w:tc>
          <w:tcPr>
            <w:tcW w:w="1001" w:type="dxa"/>
            <w:tcBorders>
              <w:top w:val="nil"/>
            </w:tcBorders>
            <w:shd w:val="clear" w:color="auto" w:fill="D9D9D9" w:themeFill="background1" w:themeFillShade="D9"/>
            <w:vAlign w:val="bottom"/>
          </w:tcPr>
          <w:p w14:paraId="52FDB862"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680,3</w:t>
            </w:r>
          </w:p>
        </w:tc>
        <w:tc>
          <w:tcPr>
            <w:tcW w:w="1000" w:type="dxa"/>
            <w:tcBorders>
              <w:top w:val="nil"/>
            </w:tcBorders>
            <w:shd w:val="clear" w:color="auto" w:fill="D9D9D9" w:themeFill="background1" w:themeFillShade="D9"/>
            <w:vAlign w:val="bottom"/>
          </w:tcPr>
          <w:p w14:paraId="6A9772B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646,7</w:t>
            </w:r>
          </w:p>
        </w:tc>
        <w:tc>
          <w:tcPr>
            <w:tcW w:w="1001" w:type="dxa"/>
            <w:tcBorders>
              <w:top w:val="nil"/>
            </w:tcBorders>
            <w:shd w:val="clear" w:color="auto" w:fill="D9D9D9" w:themeFill="background1" w:themeFillShade="D9"/>
            <w:vAlign w:val="bottom"/>
          </w:tcPr>
          <w:p w14:paraId="4F19FFD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14,3</w:t>
            </w:r>
          </w:p>
        </w:tc>
        <w:tc>
          <w:tcPr>
            <w:tcW w:w="1000" w:type="dxa"/>
            <w:tcBorders>
              <w:top w:val="nil"/>
            </w:tcBorders>
            <w:shd w:val="clear" w:color="auto" w:fill="D9D9D9" w:themeFill="background1" w:themeFillShade="D9"/>
            <w:vAlign w:val="bottom"/>
          </w:tcPr>
          <w:p w14:paraId="33790857"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16,8</w:t>
            </w:r>
          </w:p>
        </w:tc>
        <w:tc>
          <w:tcPr>
            <w:tcW w:w="1001" w:type="dxa"/>
            <w:tcBorders>
              <w:top w:val="nil"/>
            </w:tcBorders>
            <w:shd w:val="clear" w:color="auto" w:fill="D9D9D9" w:themeFill="background1" w:themeFillShade="D9"/>
            <w:vAlign w:val="bottom"/>
          </w:tcPr>
          <w:p w14:paraId="4541C9A5"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2,5</w:t>
            </w:r>
          </w:p>
        </w:tc>
      </w:tr>
      <w:tr w:rsidR="00C26107" w:rsidRPr="00C26107" w14:paraId="649204ED" w14:textId="77777777" w:rsidTr="00EE71E1">
        <w:trPr>
          <w:trHeight w:val="130"/>
          <w:jc w:val="center"/>
        </w:trPr>
        <w:tc>
          <w:tcPr>
            <w:tcW w:w="2598" w:type="dxa"/>
            <w:vAlign w:val="bottom"/>
          </w:tcPr>
          <w:p w14:paraId="77248601" w14:textId="2A04B899" w:rsidR="00C26107" w:rsidRPr="00C26107" w:rsidRDefault="00C26107" w:rsidP="00C26107">
            <w:pPr>
              <w:pStyle w:val="Footer"/>
              <w:rPr>
                <w:rFonts w:cstheme="minorHAnsi"/>
                <w:color w:val="002060"/>
                <w:sz w:val="14"/>
                <w:szCs w:val="14"/>
                <w:lang w:val="sr-Cyrl-RS"/>
              </w:rPr>
            </w:pPr>
            <w:r w:rsidRPr="00C26107">
              <w:rPr>
                <w:rFonts w:ascii="Calibri" w:hAnsi="Calibri" w:cs="Calibri"/>
                <w:i/>
                <w:iCs/>
                <w:color w:val="002060"/>
                <w:sz w:val="14"/>
                <w:szCs w:val="14"/>
                <w:lang w:val="sr-Cyrl-RS"/>
              </w:rPr>
              <w:t xml:space="preserve">             </w:t>
            </w:r>
            <w:r w:rsidR="00EE71E1" w:rsidRPr="00C26107">
              <w:rPr>
                <w:rFonts w:ascii="Calibri" w:hAnsi="Calibri" w:cs="Calibri"/>
                <w:i/>
                <w:iCs/>
                <w:color w:val="002060"/>
                <w:sz w:val="14"/>
                <w:szCs w:val="14"/>
                <w:lang w:val="sr-Cyrl-RS"/>
              </w:rPr>
              <w:t>од</w:t>
            </w:r>
            <w:r w:rsidRPr="00C26107">
              <w:rPr>
                <w:rFonts w:ascii="Calibri" w:hAnsi="Calibri" w:cs="Calibri"/>
                <w:i/>
                <w:iCs/>
                <w:color w:val="002060"/>
                <w:sz w:val="14"/>
                <w:szCs w:val="14"/>
                <w:lang w:val="sr-Cyrl-RS"/>
              </w:rPr>
              <w:t xml:space="preserve"> чега пензије</w:t>
            </w:r>
          </w:p>
        </w:tc>
        <w:tc>
          <w:tcPr>
            <w:tcW w:w="1208" w:type="dxa"/>
            <w:tcBorders>
              <w:top w:val="nil"/>
            </w:tcBorders>
            <w:shd w:val="clear" w:color="000000" w:fill="FFFFFF"/>
            <w:vAlign w:val="bottom"/>
          </w:tcPr>
          <w:p w14:paraId="4F35BFF6"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621,0</w:t>
            </w:r>
          </w:p>
        </w:tc>
        <w:tc>
          <w:tcPr>
            <w:tcW w:w="1759" w:type="dxa"/>
            <w:tcBorders>
              <w:top w:val="nil"/>
            </w:tcBorders>
            <w:shd w:val="clear" w:color="000000" w:fill="FFFFFF"/>
            <w:vAlign w:val="bottom"/>
          </w:tcPr>
          <w:p w14:paraId="5C1213E9"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3C92BFC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64D482AB"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47A5D59A"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0005BF9"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8D52FE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621,0</w:t>
            </w:r>
          </w:p>
        </w:tc>
        <w:tc>
          <w:tcPr>
            <w:tcW w:w="1000" w:type="dxa"/>
            <w:tcBorders>
              <w:top w:val="nil"/>
            </w:tcBorders>
            <w:shd w:val="clear" w:color="000000" w:fill="FFFFFF"/>
            <w:vAlign w:val="bottom"/>
          </w:tcPr>
          <w:p w14:paraId="559C9A72"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621,0</w:t>
            </w:r>
          </w:p>
        </w:tc>
        <w:tc>
          <w:tcPr>
            <w:tcW w:w="1001" w:type="dxa"/>
            <w:tcBorders>
              <w:top w:val="nil"/>
            </w:tcBorders>
            <w:shd w:val="clear" w:color="000000" w:fill="FFFFFF"/>
            <w:vAlign w:val="bottom"/>
          </w:tcPr>
          <w:p w14:paraId="73DDF136"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47B90BE"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336C80B2"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E08F8F7" w14:textId="77777777" w:rsidTr="00EE71E1">
        <w:trPr>
          <w:trHeight w:val="142"/>
          <w:jc w:val="center"/>
        </w:trPr>
        <w:tc>
          <w:tcPr>
            <w:tcW w:w="2598" w:type="dxa"/>
            <w:vAlign w:val="bottom"/>
          </w:tcPr>
          <w:p w14:paraId="50D3F740"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Остали текући расходи</w:t>
            </w:r>
          </w:p>
        </w:tc>
        <w:tc>
          <w:tcPr>
            <w:tcW w:w="1208" w:type="dxa"/>
            <w:tcBorders>
              <w:top w:val="nil"/>
            </w:tcBorders>
            <w:shd w:val="clear" w:color="000000" w:fill="FFFFFF"/>
            <w:vAlign w:val="bottom"/>
          </w:tcPr>
          <w:p w14:paraId="6EC13574"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83,2</w:t>
            </w:r>
          </w:p>
        </w:tc>
        <w:tc>
          <w:tcPr>
            <w:tcW w:w="1759" w:type="dxa"/>
            <w:tcBorders>
              <w:top w:val="nil"/>
            </w:tcBorders>
            <w:shd w:val="clear" w:color="000000" w:fill="FFFFFF"/>
            <w:vAlign w:val="bottom"/>
          </w:tcPr>
          <w:p w14:paraId="052C8FDE"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48,7</w:t>
            </w:r>
          </w:p>
        </w:tc>
        <w:tc>
          <w:tcPr>
            <w:tcW w:w="1025" w:type="dxa"/>
            <w:tcBorders>
              <w:top w:val="nil"/>
            </w:tcBorders>
            <w:shd w:val="clear" w:color="000000" w:fill="FFFFFF"/>
            <w:vAlign w:val="bottom"/>
          </w:tcPr>
          <w:p w14:paraId="1997DA58"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28,5</w:t>
            </w:r>
          </w:p>
        </w:tc>
        <w:tc>
          <w:tcPr>
            <w:tcW w:w="1025" w:type="dxa"/>
            <w:tcBorders>
              <w:top w:val="nil"/>
            </w:tcBorders>
            <w:shd w:val="clear" w:color="000000" w:fill="FFFFFF"/>
            <w:vAlign w:val="bottom"/>
          </w:tcPr>
          <w:p w14:paraId="71A01943"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20,8</w:t>
            </w:r>
          </w:p>
        </w:tc>
        <w:tc>
          <w:tcPr>
            <w:tcW w:w="1026" w:type="dxa"/>
            <w:tcBorders>
              <w:top w:val="nil"/>
            </w:tcBorders>
            <w:shd w:val="clear" w:color="000000" w:fill="FFFFFF"/>
            <w:vAlign w:val="bottom"/>
          </w:tcPr>
          <w:p w14:paraId="25F6217E"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7,8</w:t>
            </w:r>
          </w:p>
        </w:tc>
        <w:tc>
          <w:tcPr>
            <w:tcW w:w="1000" w:type="dxa"/>
            <w:tcBorders>
              <w:top w:val="nil"/>
            </w:tcBorders>
            <w:shd w:val="clear" w:color="000000" w:fill="FFFFFF"/>
            <w:vAlign w:val="bottom"/>
          </w:tcPr>
          <w:p w14:paraId="6E6FA5E1"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3,0</w:t>
            </w:r>
          </w:p>
        </w:tc>
        <w:tc>
          <w:tcPr>
            <w:tcW w:w="1001" w:type="dxa"/>
            <w:tcBorders>
              <w:top w:val="nil"/>
            </w:tcBorders>
            <w:shd w:val="clear" w:color="000000" w:fill="FFFFFF"/>
            <w:vAlign w:val="bottom"/>
          </w:tcPr>
          <w:p w14:paraId="4C3B910A"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3,0</w:t>
            </w:r>
          </w:p>
        </w:tc>
        <w:tc>
          <w:tcPr>
            <w:tcW w:w="1000" w:type="dxa"/>
            <w:tcBorders>
              <w:top w:val="nil"/>
            </w:tcBorders>
            <w:shd w:val="clear" w:color="000000" w:fill="FFFFFF"/>
            <w:vAlign w:val="bottom"/>
          </w:tcPr>
          <w:p w14:paraId="2438007B"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w:t>
            </w:r>
          </w:p>
        </w:tc>
        <w:tc>
          <w:tcPr>
            <w:tcW w:w="1001" w:type="dxa"/>
            <w:tcBorders>
              <w:top w:val="nil"/>
            </w:tcBorders>
            <w:shd w:val="clear" w:color="000000" w:fill="FFFFFF"/>
            <w:vAlign w:val="bottom"/>
          </w:tcPr>
          <w:p w14:paraId="13772BFA"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1,0</w:t>
            </w:r>
          </w:p>
        </w:tc>
        <w:tc>
          <w:tcPr>
            <w:tcW w:w="1000" w:type="dxa"/>
            <w:tcBorders>
              <w:top w:val="nil"/>
            </w:tcBorders>
            <w:shd w:val="clear" w:color="000000" w:fill="FFFFFF"/>
            <w:vAlign w:val="bottom"/>
          </w:tcPr>
          <w:p w14:paraId="5DDEDFA0"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0,8</w:t>
            </w:r>
          </w:p>
        </w:tc>
        <w:tc>
          <w:tcPr>
            <w:tcW w:w="1001" w:type="dxa"/>
            <w:tcBorders>
              <w:top w:val="nil"/>
            </w:tcBorders>
            <w:shd w:val="clear" w:color="000000" w:fill="FFFFFF"/>
            <w:vAlign w:val="bottom"/>
          </w:tcPr>
          <w:p w14:paraId="4A35D3BE"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0,1</w:t>
            </w:r>
          </w:p>
        </w:tc>
      </w:tr>
      <w:tr w:rsidR="00C26107" w:rsidRPr="00C26107" w14:paraId="0724DFD1" w14:textId="77777777" w:rsidTr="00EE71E1">
        <w:trPr>
          <w:trHeight w:val="130"/>
          <w:jc w:val="center"/>
        </w:trPr>
        <w:tc>
          <w:tcPr>
            <w:tcW w:w="2598" w:type="dxa"/>
            <w:vAlign w:val="bottom"/>
          </w:tcPr>
          <w:p w14:paraId="0943E683"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Капитални расходи</w:t>
            </w:r>
          </w:p>
        </w:tc>
        <w:tc>
          <w:tcPr>
            <w:tcW w:w="1208" w:type="dxa"/>
            <w:tcBorders>
              <w:top w:val="nil"/>
            </w:tcBorders>
            <w:shd w:val="clear" w:color="000000" w:fill="FFFFFF"/>
            <w:vAlign w:val="bottom"/>
          </w:tcPr>
          <w:p w14:paraId="0CEEEDB5"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327,1</w:t>
            </w:r>
          </w:p>
        </w:tc>
        <w:tc>
          <w:tcPr>
            <w:tcW w:w="1759" w:type="dxa"/>
            <w:tcBorders>
              <w:top w:val="nil"/>
            </w:tcBorders>
            <w:shd w:val="clear" w:color="000000" w:fill="FFFFFF"/>
            <w:vAlign w:val="bottom"/>
          </w:tcPr>
          <w:p w14:paraId="4522027C"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266,6</w:t>
            </w:r>
          </w:p>
        </w:tc>
        <w:tc>
          <w:tcPr>
            <w:tcW w:w="1025" w:type="dxa"/>
            <w:tcBorders>
              <w:top w:val="nil"/>
            </w:tcBorders>
            <w:shd w:val="clear" w:color="000000" w:fill="FFFFFF"/>
            <w:vAlign w:val="bottom"/>
          </w:tcPr>
          <w:p w14:paraId="44C61EB2"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45,8</w:t>
            </w:r>
          </w:p>
        </w:tc>
        <w:tc>
          <w:tcPr>
            <w:tcW w:w="1025" w:type="dxa"/>
            <w:tcBorders>
              <w:top w:val="nil"/>
            </w:tcBorders>
            <w:shd w:val="clear" w:color="000000" w:fill="FFFFFF"/>
            <w:vAlign w:val="bottom"/>
          </w:tcPr>
          <w:p w14:paraId="7F946FB9"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45,3</w:t>
            </w:r>
          </w:p>
        </w:tc>
        <w:tc>
          <w:tcPr>
            <w:tcW w:w="1026" w:type="dxa"/>
            <w:tcBorders>
              <w:top w:val="nil"/>
            </w:tcBorders>
            <w:shd w:val="clear" w:color="000000" w:fill="FFFFFF"/>
            <w:vAlign w:val="bottom"/>
          </w:tcPr>
          <w:p w14:paraId="7C8EFCF9"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0,5</w:t>
            </w:r>
          </w:p>
        </w:tc>
        <w:tc>
          <w:tcPr>
            <w:tcW w:w="1000" w:type="dxa"/>
            <w:tcBorders>
              <w:top w:val="nil"/>
            </w:tcBorders>
            <w:shd w:val="clear" w:color="000000" w:fill="FFFFFF"/>
            <w:vAlign w:val="bottom"/>
          </w:tcPr>
          <w:p w14:paraId="148BC48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9,5</w:t>
            </w:r>
          </w:p>
        </w:tc>
        <w:tc>
          <w:tcPr>
            <w:tcW w:w="1001" w:type="dxa"/>
            <w:tcBorders>
              <w:top w:val="nil"/>
            </w:tcBorders>
            <w:shd w:val="clear" w:color="000000" w:fill="FFFFFF"/>
            <w:vAlign w:val="bottom"/>
          </w:tcPr>
          <w:p w14:paraId="50FF7AC9"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5,2</w:t>
            </w:r>
          </w:p>
        </w:tc>
        <w:tc>
          <w:tcPr>
            <w:tcW w:w="1000" w:type="dxa"/>
            <w:tcBorders>
              <w:top w:val="nil"/>
            </w:tcBorders>
            <w:shd w:val="clear" w:color="000000" w:fill="FFFFFF"/>
            <w:vAlign w:val="bottom"/>
          </w:tcPr>
          <w:p w14:paraId="741641A4"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0,7</w:t>
            </w:r>
          </w:p>
        </w:tc>
        <w:tc>
          <w:tcPr>
            <w:tcW w:w="1001" w:type="dxa"/>
            <w:tcBorders>
              <w:top w:val="nil"/>
            </w:tcBorders>
            <w:shd w:val="clear" w:color="000000" w:fill="FFFFFF"/>
            <w:vAlign w:val="bottom"/>
          </w:tcPr>
          <w:p w14:paraId="14E11B81"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4,0</w:t>
            </w:r>
          </w:p>
        </w:tc>
        <w:tc>
          <w:tcPr>
            <w:tcW w:w="1000" w:type="dxa"/>
            <w:tcBorders>
              <w:top w:val="nil"/>
            </w:tcBorders>
            <w:shd w:val="clear" w:color="000000" w:fill="FFFFFF"/>
            <w:vAlign w:val="bottom"/>
          </w:tcPr>
          <w:p w14:paraId="1AE8DF22"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0,4</w:t>
            </w:r>
          </w:p>
        </w:tc>
        <w:tc>
          <w:tcPr>
            <w:tcW w:w="1001" w:type="dxa"/>
            <w:tcBorders>
              <w:top w:val="nil"/>
            </w:tcBorders>
            <w:shd w:val="clear" w:color="000000" w:fill="FFFFFF"/>
            <w:vAlign w:val="bottom"/>
          </w:tcPr>
          <w:p w14:paraId="72C4E8D3"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0,1</w:t>
            </w:r>
          </w:p>
        </w:tc>
      </w:tr>
      <w:tr w:rsidR="00C26107" w:rsidRPr="00C26107" w14:paraId="2A7F25FA" w14:textId="77777777" w:rsidTr="00EE71E1">
        <w:trPr>
          <w:trHeight w:val="142"/>
          <w:jc w:val="center"/>
        </w:trPr>
        <w:tc>
          <w:tcPr>
            <w:tcW w:w="2598" w:type="dxa"/>
            <w:vAlign w:val="bottom"/>
          </w:tcPr>
          <w:p w14:paraId="2CAAFD77"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Нето буџетске позајмице</w:t>
            </w:r>
          </w:p>
        </w:tc>
        <w:tc>
          <w:tcPr>
            <w:tcW w:w="1208" w:type="dxa"/>
            <w:tcBorders>
              <w:top w:val="nil"/>
            </w:tcBorders>
            <w:shd w:val="clear" w:color="000000" w:fill="FFFFFF"/>
            <w:vAlign w:val="bottom"/>
          </w:tcPr>
          <w:p w14:paraId="36CA7BF9"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23,2</w:t>
            </w:r>
          </w:p>
        </w:tc>
        <w:tc>
          <w:tcPr>
            <w:tcW w:w="1759" w:type="dxa"/>
            <w:tcBorders>
              <w:top w:val="nil"/>
            </w:tcBorders>
            <w:shd w:val="clear" w:color="000000" w:fill="FFFFFF"/>
            <w:vAlign w:val="bottom"/>
          </w:tcPr>
          <w:p w14:paraId="1102CCB6"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19,6</w:t>
            </w:r>
          </w:p>
        </w:tc>
        <w:tc>
          <w:tcPr>
            <w:tcW w:w="1025" w:type="dxa"/>
            <w:tcBorders>
              <w:top w:val="nil"/>
            </w:tcBorders>
            <w:shd w:val="clear" w:color="000000" w:fill="FFFFFF"/>
            <w:vAlign w:val="bottom"/>
          </w:tcPr>
          <w:p w14:paraId="33742002"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3,6</w:t>
            </w:r>
          </w:p>
        </w:tc>
        <w:tc>
          <w:tcPr>
            <w:tcW w:w="1025" w:type="dxa"/>
            <w:tcBorders>
              <w:top w:val="nil"/>
            </w:tcBorders>
            <w:shd w:val="clear" w:color="000000" w:fill="FFFFFF"/>
            <w:vAlign w:val="bottom"/>
          </w:tcPr>
          <w:p w14:paraId="08FCC7EB"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3,6</w:t>
            </w:r>
          </w:p>
        </w:tc>
        <w:tc>
          <w:tcPr>
            <w:tcW w:w="1026" w:type="dxa"/>
            <w:tcBorders>
              <w:top w:val="nil"/>
            </w:tcBorders>
            <w:shd w:val="clear" w:color="000000" w:fill="FFFFFF"/>
            <w:vAlign w:val="bottom"/>
          </w:tcPr>
          <w:p w14:paraId="648E3805"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F07F3C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F1F081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485E6B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FF0F98F"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AA2BF30"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08D5EEA"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E03B227" w14:textId="77777777" w:rsidTr="00EE71E1">
        <w:trPr>
          <w:trHeight w:val="130"/>
          <w:jc w:val="center"/>
        </w:trPr>
        <w:tc>
          <w:tcPr>
            <w:tcW w:w="2598" w:type="dxa"/>
            <w:vAlign w:val="bottom"/>
          </w:tcPr>
          <w:p w14:paraId="6AE0C208"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 xml:space="preserve">    Активиране гаранције</w:t>
            </w:r>
          </w:p>
        </w:tc>
        <w:tc>
          <w:tcPr>
            <w:tcW w:w="1208" w:type="dxa"/>
            <w:tcBorders>
              <w:top w:val="nil"/>
            </w:tcBorders>
            <w:shd w:val="clear" w:color="000000" w:fill="FFFFFF"/>
            <w:vAlign w:val="bottom"/>
          </w:tcPr>
          <w:p w14:paraId="4B80A16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11,7</w:t>
            </w:r>
          </w:p>
        </w:tc>
        <w:tc>
          <w:tcPr>
            <w:tcW w:w="1759" w:type="dxa"/>
            <w:tcBorders>
              <w:top w:val="nil"/>
            </w:tcBorders>
            <w:shd w:val="clear" w:color="000000" w:fill="FFFFFF"/>
            <w:vAlign w:val="bottom"/>
          </w:tcPr>
          <w:p w14:paraId="20BD7119"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11,7</w:t>
            </w:r>
          </w:p>
        </w:tc>
        <w:tc>
          <w:tcPr>
            <w:tcW w:w="1025" w:type="dxa"/>
            <w:tcBorders>
              <w:top w:val="nil"/>
            </w:tcBorders>
            <w:shd w:val="clear" w:color="000000" w:fill="FFFFFF"/>
            <w:vAlign w:val="bottom"/>
          </w:tcPr>
          <w:p w14:paraId="1EA87CC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0C80768"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54D0F932"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FF4D9E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F57DACB"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871650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13CA73E"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EE89AC4"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C860F40"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706BBC48" w14:textId="77777777" w:rsidTr="00EE71E1">
        <w:trPr>
          <w:trHeight w:val="142"/>
          <w:jc w:val="center"/>
        </w:trPr>
        <w:tc>
          <w:tcPr>
            <w:tcW w:w="2598" w:type="dxa"/>
            <w:shd w:val="clear" w:color="auto" w:fill="D9D9D9" w:themeFill="background1" w:themeFillShade="D9"/>
            <w:vAlign w:val="bottom"/>
          </w:tcPr>
          <w:p w14:paraId="3ED63E39"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bCs/>
                <w:color w:val="002060"/>
                <w:sz w:val="14"/>
                <w:szCs w:val="14"/>
                <w:lang w:val="sr-Cyrl-RS"/>
              </w:rPr>
              <w:t>Фискални резултат искљ. трансфере</w:t>
            </w:r>
          </w:p>
        </w:tc>
        <w:tc>
          <w:tcPr>
            <w:tcW w:w="1208" w:type="dxa"/>
            <w:tcBorders>
              <w:top w:val="nil"/>
            </w:tcBorders>
            <w:shd w:val="clear" w:color="auto" w:fill="D9D9D9" w:themeFill="background1" w:themeFillShade="D9"/>
            <w:vAlign w:val="bottom"/>
          </w:tcPr>
          <w:p w14:paraId="3C1DEDCE"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-179,1</w:t>
            </w:r>
          </w:p>
        </w:tc>
        <w:tc>
          <w:tcPr>
            <w:tcW w:w="1759" w:type="dxa"/>
            <w:tcBorders>
              <w:top w:val="nil"/>
            </w:tcBorders>
            <w:shd w:val="clear" w:color="auto" w:fill="D9D9D9" w:themeFill="background1" w:themeFillShade="D9"/>
            <w:vAlign w:val="bottom"/>
          </w:tcPr>
          <w:p w14:paraId="6338D8F1"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153,4</w:t>
            </w:r>
          </w:p>
        </w:tc>
        <w:tc>
          <w:tcPr>
            <w:tcW w:w="1025" w:type="dxa"/>
            <w:tcBorders>
              <w:top w:val="nil"/>
            </w:tcBorders>
            <w:shd w:val="clear" w:color="auto" w:fill="D9D9D9" w:themeFill="background1" w:themeFillShade="D9"/>
            <w:vAlign w:val="bottom"/>
          </w:tcPr>
          <w:p w14:paraId="16E77EFA"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-79,5</w:t>
            </w:r>
          </w:p>
        </w:tc>
        <w:tc>
          <w:tcPr>
            <w:tcW w:w="1025" w:type="dxa"/>
            <w:tcBorders>
              <w:top w:val="nil"/>
            </w:tcBorders>
            <w:shd w:val="clear" w:color="auto" w:fill="D9D9D9" w:themeFill="background1" w:themeFillShade="D9"/>
            <w:vAlign w:val="bottom"/>
          </w:tcPr>
          <w:p w14:paraId="49FF061A"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-41,9</w:t>
            </w:r>
          </w:p>
        </w:tc>
        <w:tc>
          <w:tcPr>
            <w:tcW w:w="1026" w:type="dxa"/>
            <w:tcBorders>
              <w:top w:val="nil"/>
            </w:tcBorders>
            <w:shd w:val="clear" w:color="auto" w:fill="D9D9D9" w:themeFill="background1" w:themeFillShade="D9"/>
            <w:vAlign w:val="bottom"/>
          </w:tcPr>
          <w:p w14:paraId="5799DFA5"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-37,5</w:t>
            </w:r>
          </w:p>
        </w:tc>
        <w:tc>
          <w:tcPr>
            <w:tcW w:w="1000" w:type="dxa"/>
            <w:tcBorders>
              <w:top w:val="nil"/>
            </w:tcBorders>
            <w:shd w:val="clear" w:color="auto" w:fill="D9D9D9" w:themeFill="background1" w:themeFillShade="D9"/>
            <w:vAlign w:val="bottom"/>
          </w:tcPr>
          <w:p w14:paraId="4525B2BB"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-21,1</w:t>
            </w:r>
          </w:p>
        </w:tc>
        <w:tc>
          <w:tcPr>
            <w:tcW w:w="1001" w:type="dxa"/>
            <w:tcBorders>
              <w:top w:val="nil"/>
            </w:tcBorders>
            <w:shd w:val="clear" w:color="auto" w:fill="D9D9D9" w:themeFill="background1" w:themeFillShade="D9"/>
            <w:vAlign w:val="bottom"/>
          </w:tcPr>
          <w:p w14:paraId="5246781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-231,9</w:t>
            </w:r>
          </w:p>
        </w:tc>
        <w:tc>
          <w:tcPr>
            <w:tcW w:w="1000" w:type="dxa"/>
            <w:tcBorders>
              <w:top w:val="nil"/>
            </w:tcBorders>
            <w:shd w:val="clear" w:color="auto" w:fill="D9D9D9" w:themeFill="background1" w:themeFillShade="D9"/>
            <w:vAlign w:val="bottom"/>
          </w:tcPr>
          <w:p w14:paraId="7479E11F"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-96,5</w:t>
            </w:r>
          </w:p>
        </w:tc>
        <w:tc>
          <w:tcPr>
            <w:tcW w:w="1001" w:type="dxa"/>
            <w:tcBorders>
              <w:top w:val="nil"/>
            </w:tcBorders>
            <w:shd w:val="clear" w:color="auto" w:fill="D9D9D9" w:themeFill="background1" w:themeFillShade="D9"/>
            <w:vAlign w:val="bottom"/>
          </w:tcPr>
          <w:p w14:paraId="02BE4924"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-128,7</w:t>
            </w:r>
          </w:p>
        </w:tc>
        <w:tc>
          <w:tcPr>
            <w:tcW w:w="1000" w:type="dxa"/>
            <w:tcBorders>
              <w:top w:val="nil"/>
            </w:tcBorders>
            <w:shd w:val="clear" w:color="auto" w:fill="D9D9D9" w:themeFill="background1" w:themeFillShade="D9"/>
            <w:vAlign w:val="bottom"/>
          </w:tcPr>
          <w:p w14:paraId="5908ACB0"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-3,7</w:t>
            </w:r>
          </w:p>
        </w:tc>
        <w:tc>
          <w:tcPr>
            <w:tcW w:w="1001" w:type="dxa"/>
            <w:tcBorders>
              <w:top w:val="nil"/>
            </w:tcBorders>
            <w:shd w:val="clear" w:color="auto" w:fill="D9D9D9" w:themeFill="background1" w:themeFillShade="D9"/>
            <w:vAlign w:val="bottom"/>
          </w:tcPr>
          <w:p w14:paraId="3CD5C823"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bCs/>
                <w:color w:val="002060"/>
                <w:sz w:val="14"/>
                <w:szCs w:val="14"/>
                <w:lang w:val="sr-Cyrl-RS"/>
              </w:rPr>
              <w:t>-2,9</w:t>
            </w:r>
          </w:p>
        </w:tc>
      </w:tr>
      <w:tr w:rsidR="00C26107" w:rsidRPr="00C26107" w14:paraId="380342E6" w14:textId="77777777" w:rsidTr="00EE71E1">
        <w:trPr>
          <w:trHeight w:val="130"/>
          <w:jc w:val="center"/>
        </w:trPr>
        <w:tc>
          <w:tcPr>
            <w:tcW w:w="2598" w:type="dxa"/>
            <w:vAlign w:val="bottom"/>
          </w:tcPr>
          <w:p w14:paraId="702300A0"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Трансфери од других нивоа власти</w:t>
            </w:r>
          </w:p>
        </w:tc>
        <w:tc>
          <w:tcPr>
            <w:tcW w:w="1208" w:type="dxa"/>
            <w:tcBorders>
              <w:top w:val="nil"/>
            </w:tcBorders>
            <w:shd w:val="clear" w:color="000000" w:fill="FFFFFF"/>
            <w:vAlign w:val="bottom"/>
          </w:tcPr>
          <w:p w14:paraId="09DBFEAD"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418,2</w:t>
            </w:r>
          </w:p>
        </w:tc>
        <w:tc>
          <w:tcPr>
            <w:tcW w:w="1759" w:type="dxa"/>
            <w:tcBorders>
              <w:top w:val="nil"/>
            </w:tcBorders>
            <w:shd w:val="clear" w:color="000000" w:fill="FFFFFF"/>
            <w:vAlign w:val="bottom"/>
          </w:tcPr>
          <w:p w14:paraId="57C5F2C3"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5" w:type="dxa"/>
            <w:tcBorders>
              <w:top w:val="nil"/>
            </w:tcBorders>
            <w:shd w:val="clear" w:color="000000" w:fill="FFFFFF"/>
            <w:vAlign w:val="bottom"/>
          </w:tcPr>
          <w:p w14:paraId="5FFEFA5B"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88,1</w:t>
            </w:r>
          </w:p>
        </w:tc>
        <w:tc>
          <w:tcPr>
            <w:tcW w:w="1025" w:type="dxa"/>
            <w:tcBorders>
              <w:top w:val="nil"/>
            </w:tcBorders>
            <w:shd w:val="clear" w:color="000000" w:fill="FFFFFF"/>
            <w:vAlign w:val="bottom"/>
          </w:tcPr>
          <w:p w14:paraId="53D754E4"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50,1</w:t>
            </w:r>
          </w:p>
        </w:tc>
        <w:tc>
          <w:tcPr>
            <w:tcW w:w="1026" w:type="dxa"/>
            <w:tcBorders>
              <w:top w:val="nil"/>
            </w:tcBorders>
            <w:shd w:val="clear" w:color="000000" w:fill="FFFFFF"/>
            <w:vAlign w:val="bottom"/>
          </w:tcPr>
          <w:p w14:paraId="06E094E2"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38,0</w:t>
            </w:r>
          </w:p>
        </w:tc>
        <w:tc>
          <w:tcPr>
            <w:tcW w:w="1000" w:type="dxa"/>
            <w:tcBorders>
              <w:top w:val="nil"/>
            </w:tcBorders>
            <w:shd w:val="clear" w:color="000000" w:fill="FFFFFF"/>
            <w:vAlign w:val="bottom"/>
          </w:tcPr>
          <w:p w14:paraId="70BC64B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17,7</w:t>
            </w:r>
          </w:p>
        </w:tc>
        <w:tc>
          <w:tcPr>
            <w:tcW w:w="1001" w:type="dxa"/>
            <w:tcBorders>
              <w:top w:val="nil"/>
            </w:tcBorders>
            <w:shd w:val="clear" w:color="000000" w:fill="FFFFFF"/>
            <w:vAlign w:val="bottom"/>
          </w:tcPr>
          <w:p w14:paraId="06708651"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305,4</w:t>
            </w:r>
          </w:p>
        </w:tc>
        <w:tc>
          <w:tcPr>
            <w:tcW w:w="1000" w:type="dxa"/>
            <w:tcBorders>
              <w:top w:val="nil"/>
            </w:tcBorders>
            <w:shd w:val="clear" w:color="000000" w:fill="FFFFFF"/>
            <w:vAlign w:val="bottom"/>
          </w:tcPr>
          <w:p w14:paraId="25DD8FF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161,1</w:t>
            </w:r>
          </w:p>
        </w:tc>
        <w:tc>
          <w:tcPr>
            <w:tcW w:w="1001" w:type="dxa"/>
            <w:tcBorders>
              <w:top w:val="nil"/>
            </w:tcBorders>
            <w:shd w:val="clear" w:color="000000" w:fill="FFFFFF"/>
            <w:vAlign w:val="bottom"/>
          </w:tcPr>
          <w:p w14:paraId="3FE9D073"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132,8</w:t>
            </w:r>
          </w:p>
        </w:tc>
        <w:tc>
          <w:tcPr>
            <w:tcW w:w="1000" w:type="dxa"/>
            <w:tcBorders>
              <w:top w:val="nil"/>
            </w:tcBorders>
            <w:shd w:val="clear" w:color="000000" w:fill="FFFFFF"/>
            <w:vAlign w:val="bottom"/>
          </w:tcPr>
          <w:p w14:paraId="07EEA911"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8,6</w:t>
            </w:r>
          </w:p>
        </w:tc>
        <w:tc>
          <w:tcPr>
            <w:tcW w:w="1001" w:type="dxa"/>
            <w:tcBorders>
              <w:top w:val="nil"/>
            </w:tcBorders>
            <w:shd w:val="clear" w:color="000000" w:fill="FFFFFF"/>
            <w:vAlign w:val="bottom"/>
          </w:tcPr>
          <w:p w14:paraId="69D8AA1E"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w:t>
            </w:r>
          </w:p>
        </w:tc>
      </w:tr>
      <w:tr w:rsidR="00C26107" w:rsidRPr="00C26107" w14:paraId="42AE0A62" w14:textId="77777777" w:rsidTr="00EE71E1">
        <w:trPr>
          <w:trHeight w:val="142"/>
          <w:jc w:val="center"/>
        </w:trPr>
        <w:tc>
          <w:tcPr>
            <w:tcW w:w="2598" w:type="dxa"/>
            <w:vAlign w:val="bottom"/>
          </w:tcPr>
          <w:p w14:paraId="702A5103"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Буџет Републике</w:t>
            </w:r>
          </w:p>
        </w:tc>
        <w:tc>
          <w:tcPr>
            <w:tcW w:w="1208" w:type="dxa"/>
            <w:tcBorders>
              <w:top w:val="nil"/>
            </w:tcBorders>
            <w:shd w:val="clear" w:color="000000" w:fill="FFFFFF"/>
            <w:vAlign w:val="bottom"/>
          </w:tcPr>
          <w:p w14:paraId="2272C9AA"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344,7</w:t>
            </w:r>
          </w:p>
        </w:tc>
        <w:tc>
          <w:tcPr>
            <w:tcW w:w="1759" w:type="dxa"/>
            <w:tcBorders>
              <w:top w:val="nil"/>
            </w:tcBorders>
            <w:shd w:val="clear" w:color="000000" w:fill="FFFFFF"/>
            <w:vAlign w:val="bottom"/>
          </w:tcPr>
          <w:p w14:paraId="28AF560D"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5" w:type="dxa"/>
            <w:tcBorders>
              <w:top w:val="nil"/>
            </w:tcBorders>
            <w:shd w:val="clear" w:color="000000" w:fill="FFFFFF"/>
            <w:vAlign w:val="bottom"/>
          </w:tcPr>
          <w:p w14:paraId="6984FBA6"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88,1</w:t>
            </w:r>
          </w:p>
        </w:tc>
        <w:tc>
          <w:tcPr>
            <w:tcW w:w="1025" w:type="dxa"/>
            <w:tcBorders>
              <w:top w:val="nil"/>
            </w:tcBorders>
            <w:shd w:val="clear" w:color="000000" w:fill="FFFFFF"/>
            <w:vAlign w:val="bottom"/>
          </w:tcPr>
          <w:p w14:paraId="2DB701B9"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50,1</w:t>
            </w:r>
          </w:p>
        </w:tc>
        <w:tc>
          <w:tcPr>
            <w:tcW w:w="1026" w:type="dxa"/>
            <w:tcBorders>
              <w:top w:val="nil"/>
            </w:tcBorders>
            <w:shd w:val="clear" w:color="000000" w:fill="FFFFFF"/>
            <w:vAlign w:val="bottom"/>
          </w:tcPr>
          <w:p w14:paraId="60C9D7B1"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38,0</w:t>
            </w:r>
          </w:p>
        </w:tc>
        <w:tc>
          <w:tcPr>
            <w:tcW w:w="1000" w:type="dxa"/>
            <w:tcBorders>
              <w:top w:val="nil"/>
            </w:tcBorders>
            <w:shd w:val="clear" w:color="000000" w:fill="FFFFFF"/>
            <w:vAlign w:val="bottom"/>
          </w:tcPr>
          <w:p w14:paraId="3A64981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17,7</w:t>
            </w:r>
          </w:p>
        </w:tc>
        <w:tc>
          <w:tcPr>
            <w:tcW w:w="1001" w:type="dxa"/>
            <w:tcBorders>
              <w:top w:val="nil"/>
            </w:tcBorders>
            <w:shd w:val="clear" w:color="000000" w:fill="FFFFFF"/>
            <w:vAlign w:val="bottom"/>
          </w:tcPr>
          <w:p w14:paraId="402A73D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231,9</w:t>
            </w:r>
          </w:p>
        </w:tc>
        <w:tc>
          <w:tcPr>
            <w:tcW w:w="1000" w:type="dxa"/>
            <w:tcBorders>
              <w:top w:val="nil"/>
            </w:tcBorders>
            <w:shd w:val="clear" w:color="000000" w:fill="FFFFFF"/>
            <w:vAlign w:val="bottom"/>
          </w:tcPr>
          <w:p w14:paraId="37AA79F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153,6</w:t>
            </w:r>
          </w:p>
        </w:tc>
        <w:tc>
          <w:tcPr>
            <w:tcW w:w="1001" w:type="dxa"/>
            <w:tcBorders>
              <w:top w:val="nil"/>
            </w:tcBorders>
            <w:shd w:val="clear" w:color="000000" w:fill="FFFFFF"/>
            <w:vAlign w:val="bottom"/>
          </w:tcPr>
          <w:p w14:paraId="2214B193"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69,2</w:t>
            </w:r>
          </w:p>
        </w:tc>
        <w:tc>
          <w:tcPr>
            <w:tcW w:w="1000" w:type="dxa"/>
            <w:tcBorders>
              <w:top w:val="nil"/>
            </w:tcBorders>
            <w:shd w:val="clear" w:color="000000" w:fill="FFFFFF"/>
            <w:vAlign w:val="bottom"/>
          </w:tcPr>
          <w:p w14:paraId="0EED0F86"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8,6</w:t>
            </w:r>
          </w:p>
        </w:tc>
        <w:tc>
          <w:tcPr>
            <w:tcW w:w="1001" w:type="dxa"/>
            <w:tcBorders>
              <w:top w:val="nil"/>
            </w:tcBorders>
            <w:shd w:val="clear" w:color="000000" w:fill="FFFFFF"/>
            <w:vAlign w:val="bottom"/>
          </w:tcPr>
          <w:p w14:paraId="37794738"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0,5</w:t>
            </w:r>
          </w:p>
        </w:tc>
      </w:tr>
      <w:tr w:rsidR="00C26107" w:rsidRPr="00C26107" w14:paraId="15475708" w14:textId="77777777" w:rsidTr="00EE71E1">
        <w:trPr>
          <w:trHeight w:val="130"/>
          <w:jc w:val="center"/>
        </w:trPr>
        <w:tc>
          <w:tcPr>
            <w:tcW w:w="2598" w:type="dxa"/>
            <w:vAlign w:val="bottom"/>
          </w:tcPr>
          <w:p w14:paraId="29D11FAE"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Градови и општине</w:t>
            </w:r>
          </w:p>
        </w:tc>
        <w:tc>
          <w:tcPr>
            <w:tcW w:w="1208" w:type="dxa"/>
            <w:tcBorders>
              <w:top w:val="nil"/>
            </w:tcBorders>
            <w:shd w:val="clear" w:color="000000" w:fill="FFFFFF"/>
            <w:vAlign w:val="bottom"/>
          </w:tcPr>
          <w:p w14:paraId="56B91407" w14:textId="77777777" w:rsidR="00C26107" w:rsidRPr="00C26107" w:rsidRDefault="00C26107" w:rsidP="00C26107">
            <w:pPr>
              <w:pStyle w:val="Footer"/>
              <w:ind w:right="397"/>
              <w:jc w:val="right"/>
              <w:rPr>
                <w:rFonts w:ascii="Calibri" w:hAnsi="Calibri" w:cs="Calibri"/>
                <w:bCs/>
                <w:color w:val="002060"/>
                <w:sz w:val="14"/>
                <w:szCs w:val="14"/>
                <w:lang w:val="sr-Cyrl-RS"/>
              </w:rPr>
            </w:pPr>
          </w:p>
        </w:tc>
        <w:tc>
          <w:tcPr>
            <w:tcW w:w="1759" w:type="dxa"/>
            <w:tcBorders>
              <w:top w:val="nil"/>
            </w:tcBorders>
            <w:shd w:val="clear" w:color="000000" w:fill="FFFFFF"/>
            <w:vAlign w:val="bottom"/>
          </w:tcPr>
          <w:p w14:paraId="154224C4"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25892CF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1A8F2806"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00FF2050"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6873E0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D638FC0"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F8E8BB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A92086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F5A127D"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3D843DE5"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79FCABA7" w14:textId="77777777" w:rsidTr="00EE71E1">
        <w:trPr>
          <w:trHeight w:val="142"/>
          <w:jc w:val="center"/>
        </w:trPr>
        <w:tc>
          <w:tcPr>
            <w:tcW w:w="2598" w:type="dxa"/>
            <w:vAlign w:val="bottom"/>
          </w:tcPr>
          <w:p w14:paraId="6CE28367"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AП Војводина</w:t>
            </w:r>
          </w:p>
        </w:tc>
        <w:tc>
          <w:tcPr>
            <w:tcW w:w="1208" w:type="dxa"/>
            <w:tcBorders>
              <w:top w:val="nil"/>
            </w:tcBorders>
            <w:shd w:val="clear" w:color="000000" w:fill="FFFFFF"/>
            <w:vAlign w:val="bottom"/>
          </w:tcPr>
          <w:p w14:paraId="48D7FAC8" w14:textId="77777777" w:rsidR="00C26107" w:rsidRPr="00C26107" w:rsidRDefault="00C26107" w:rsidP="00C26107">
            <w:pPr>
              <w:pStyle w:val="Footer"/>
              <w:ind w:right="397"/>
              <w:jc w:val="right"/>
              <w:rPr>
                <w:rFonts w:ascii="Calibri" w:hAnsi="Calibri" w:cs="Calibri"/>
                <w:bCs/>
                <w:color w:val="002060"/>
                <w:sz w:val="14"/>
                <w:szCs w:val="14"/>
                <w:lang w:val="sr-Cyrl-RS"/>
              </w:rPr>
            </w:pPr>
          </w:p>
        </w:tc>
        <w:tc>
          <w:tcPr>
            <w:tcW w:w="1759" w:type="dxa"/>
            <w:tcBorders>
              <w:top w:val="nil"/>
            </w:tcBorders>
            <w:shd w:val="clear" w:color="000000" w:fill="FFFFFF"/>
            <w:vAlign w:val="bottom"/>
          </w:tcPr>
          <w:p w14:paraId="20BCA7F2"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0083A7DD"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55CB7E8F"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7AC31368"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8CC71D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63754A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3B6D8C4"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8A6B21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E0B02DC"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77977FB"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1168F0F7" w14:textId="77777777" w:rsidTr="00EE71E1">
        <w:trPr>
          <w:trHeight w:val="130"/>
          <w:jc w:val="center"/>
        </w:trPr>
        <w:tc>
          <w:tcPr>
            <w:tcW w:w="2598" w:type="dxa"/>
            <w:vAlign w:val="bottom"/>
          </w:tcPr>
          <w:p w14:paraId="6D520CD7"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Фонд ПИО</w:t>
            </w:r>
          </w:p>
        </w:tc>
        <w:tc>
          <w:tcPr>
            <w:tcW w:w="1208" w:type="dxa"/>
            <w:tcBorders>
              <w:top w:val="nil"/>
            </w:tcBorders>
            <w:shd w:val="clear" w:color="000000" w:fill="FFFFFF"/>
            <w:vAlign w:val="bottom"/>
          </w:tcPr>
          <w:p w14:paraId="7FC398F3"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64,6</w:t>
            </w:r>
          </w:p>
        </w:tc>
        <w:tc>
          <w:tcPr>
            <w:tcW w:w="1759" w:type="dxa"/>
            <w:tcBorders>
              <w:top w:val="nil"/>
            </w:tcBorders>
            <w:shd w:val="clear" w:color="000000" w:fill="FFFFFF"/>
            <w:vAlign w:val="bottom"/>
          </w:tcPr>
          <w:p w14:paraId="0DCFA46E"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71E3D711"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CBE8F7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45930F2A"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5B9A1EA"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D8557D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64,6</w:t>
            </w:r>
          </w:p>
        </w:tc>
        <w:tc>
          <w:tcPr>
            <w:tcW w:w="1000" w:type="dxa"/>
            <w:tcBorders>
              <w:top w:val="nil"/>
            </w:tcBorders>
            <w:shd w:val="clear" w:color="000000" w:fill="FFFFFF"/>
            <w:vAlign w:val="bottom"/>
          </w:tcPr>
          <w:p w14:paraId="6F869D2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A48C6A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62,2</w:t>
            </w:r>
          </w:p>
        </w:tc>
        <w:tc>
          <w:tcPr>
            <w:tcW w:w="1000" w:type="dxa"/>
            <w:tcBorders>
              <w:top w:val="nil"/>
            </w:tcBorders>
            <w:shd w:val="clear" w:color="000000" w:fill="FFFFFF"/>
            <w:vAlign w:val="bottom"/>
          </w:tcPr>
          <w:p w14:paraId="74F9BF85"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C353CC4"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2,4</w:t>
            </w:r>
          </w:p>
        </w:tc>
      </w:tr>
      <w:tr w:rsidR="00C26107" w:rsidRPr="00C26107" w14:paraId="3CD86ACA" w14:textId="77777777" w:rsidTr="00EE71E1">
        <w:trPr>
          <w:trHeight w:val="142"/>
          <w:jc w:val="center"/>
        </w:trPr>
        <w:tc>
          <w:tcPr>
            <w:tcW w:w="2598" w:type="dxa"/>
            <w:vAlign w:val="bottom"/>
          </w:tcPr>
          <w:p w14:paraId="01F0EB55"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РФЗО</w:t>
            </w:r>
          </w:p>
        </w:tc>
        <w:tc>
          <w:tcPr>
            <w:tcW w:w="1208" w:type="dxa"/>
            <w:tcBorders>
              <w:top w:val="nil"/>
            </w:tcBorders>
            <w:shd w:val="clear" w:color="000000" w:fill="FFFFFF"/>
            <w:vAlign w:val="bottom"/>
          </w:tcPr>
          <w:p w14:paraId="1280C6D1"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w:t>
            </w:r>
          </w:p>
        </w:tc>
        <w:tc>
          <w:tcPr>
            <w:tcW w:w="1759" w:type="dxa"/>
            <w:tcBorders>
              <w:top w:val="nil"/>
            </w:tcBorders>
            <w:shd w:val="clear" w:color="000000" w:fill="FFFFFF"/>
            <w:vAlign w:val="bottom"/>
          </w:tcPr>
          <w:p w14:paraId="7157F679"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569779C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0C2821B6"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7AA20919"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543F6F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B658D4A"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w:t>
            </w:r>
          </w:p>
        </w:tc>
        <w:tc>
          <w:tcPr>
            <w:tcW w:w="1000" w:type="dxa"/>
            <w:tcBorders>
              <w:top w:val="nil"/>
            </w:tcBorders>
            <w:shd w:val="clear" w:color="000000" w:fill="FFFFFF"/>
            <w:vAlign w:val="bottom"/>
          </w:tcPr>
          <w:p w14:paraId="51EA0E8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w:t>
            </w:r>
          </w:p>
        </w:tc>
        <w:tc>
          <w:tcPr>
            <w:tcW w:w="1001" w:type="dxa"/>
            <w:tcBorders>
              <w:top w:val="nil"/>
            </w:tcBorders>
            <w:shd w:val="clear" w:color="000000" w:fill="FFFFFF"/>
            <w:vAlign w:val="bottom"/>
          </w:tcPr>
          <w:p w14:paraId="1B3BFED4"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7ABBDD1"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29DDA9C"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3BEA17A7" w14:textId="77777777" w:rsidTr="00EE71E1">
        <w:trPr>
          <w:trHeight w:val="130"/>
          <w:jc w:val="center"/>
        </w:trPr>
        <w:tc>
          <w:tcPr>
            <w:tcW w:w="2598" w:type="dxa"/>
            <w:vAlign w:val="bottom"/>
          </w:tcPr>
          <w:p w14:paraId="5585923C"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НСЗ</w:t>
            </w:r>
          </w:p>
        </w:tc>
        <w:tc>
          <w:tcPr>
            <w:tcW w:w="1208" w:type="dxa"/>
            <w:tcBorders>
              <w:top w:val="nil"/>
            </w:tcBorders>
            <w:shd w:val="clear" w:color="000000" w:fill="FFFFFF"/>
            <w:vAlign w:val="bottom"/>
          </w:tcPr>
          <w:p w14:paraId="0047F340"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4,9</w:t>
            </w:r>
          </w:p>
        </w:tc>
        <w:tc>
          <w:tcPr>
            <w:tcW w:w="1759" w:type="dxa"/>
            <w:tcBorders>
              <w:top w:val="nil"/>
            </w:tcBorders>
            <w:shd w:val="clear" w:color="000000" w:fill="FFFFFF"/>
            <w:vAlign w:val="bottom"/>
          </w:tcPr>
          <w:p w14:paraId="634B7D7E"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621A4129"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2442A9D2"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2C79B4A8"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41462E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D240C6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4,9</w:t>
            </w:r>
          </w:p>
        </w:tc>
        <w:tc>
          <w:tcPr>
            <w:tcW w:w="1000" w:type="dxa"/>
            <w:tcBorders>
              <w:top w:val="nil"/>
            </w:tcBorders>
            <w:shd w:val="clear" w:color="000000" w:fill="FFFFFF"/>
            <w:vAlign w:val="bottom"/>
          </w:tcPr>
          <w:p w14:paraId="5AFC408D"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3,5</w:t>
            </w:r>
          </w:p>
        </w:tc>
        <w:tc>
          <w:tcPr>
            <w:tcW w:w="1001" w:type="dxa"/>
            <w:tcBorders>
              <w:top w:val="nil"/>
            </w:tcBorders>
            <w:shd w:val="clear" w:color="000000" w:fill="FFFFFF"/>
            <w:vAlign w:val="bottom"/>
          </w:tcPr>
          <w:p w14:paraId="1A455477"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1,4</w:t>
            </w:r>
          </w:p>
        </w:tc>
        <w:tc>
          <w:tcPr>
            <w:tcW w:w="1000" w:type="dxa"/>
            <w:tcBorders>
              <w:top w:val="nil"/>
            </w:tcBorders>
            <w:shd w:val="clear" w:color="000000" w:fill="FFFFFF"/>
            <w:vAlign w:val="bottom"/>
          </w:tcPr>
          <w:p w14:paraId="70C61AA4"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AF8F55E"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FB15FD8" w14:textId="77777777" w:rsidTr="00EE71E1">
        <w:trPr>
          <w:trHeight w:val="142"/>
          <w:jc w:val="center"/>
        </w:trPr>
        <w:tc>
          <w:tcPr>
            <w:tcW w:w="2598" w:type="dxa"/>
            <w:vAlign w:val="bottom"/>
          </w:tcPr>
          <w:p w14:paraId="1E9A28ED"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Фонд СОВО</w:t>
            </w:r>
          </w:p>
        </w:tc>
        <w:tc>
          <w:tcPr>
            <w:tcW w:w="1208" w:type="dxa"/>
            <w:tcBorders>
              <w:top w:val="nil"/>
            </w:tcBorders>
            <w:shd w:val="clear" w:color="000000" w:fill="FFFFFF"/>
            <w:vAlign w:val="bottom"/>
          </w:tcPr>
          <w:p w14:paraId="1B20DBF9" w14:textId="77777777" w:rsidR="00C26107" w:rsidRPr="00C26107" w:rsidRDefault="00C26107" w:rsidP="00C26107">
            <w:pPr>
              <w:pStyle w:val="Footer"/>
              <w:ind w:right="397"/>
              <w:jc w:val="right"/>
              <w:rPr>
                <w:rFonts w:ascii="Calibri" w:hAnsi="Calibri" w:cs="Calibri"/>
                <w:bCs/>
                <w:color w:val="002060"/>
                <w:sz w:val="14"/>
                <w:szCs w:val="14"/>
                <w:lang w:val="sr-Cyrl-RS"/>
              </w:rPr>
            </w:pPr>
          </w:p>
        </w:tc>
        <w:tc>
          <w:tcPr>
            <w:tcW w:w="1759" w:type="dxa"/>
            <w:tcBorders>
              <w:top w:val="nil"/>
            </w:tcBorders>
            <w:shd w:val="clear" w:color="000000" w:fill="FFFFFF"/>
            <w:vAlign w:val="bottom"/>
          </w:tcPr>
          <w:p w14:paraId="56A3AB0F"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5FE642DA"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1F9F8E52"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4723B38F"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FAC51A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0C4A824"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373435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7EA7D4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9D3DFA3"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0372C74"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7AF3AC42" w14:textId="77777777" w:rsidTr="00EE71E1">
        <w:trPr>
          <w:trHeight w:val="130"/>
          <w:jc w:val="center"/>
        </w:trPr>
        <w:tc>
          <w:tcPr>
            <w:tcW w:w="2598" w:type="dxa"/>
            <w:vAlign w:val="bottom"/>
          </w:tcPr>
          <w:p w14:paraId="22B6A522"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Остали нивои</w:t>
            </w:r>
          </w:p>
        </w:tc>
        <w:tc>
          <w:tcPr>
            <w:tcW w:w="1208" w:type="dxa"/>
            <w:tcBorders>
              <w:top w:val="nil"/>
            </w:tcBorders>
            <w:shd w:val="clear" w:color="000000" w:fill="FFFFFF"/>
            <w:vAlign w:val="bottom"/>
          </w:tcPr>
          <w:p w14:paraId="53E9BDA7" w14:textId="77777777" w:rsidR="00C26107" w:rsidRPr="00C26107" w:rsidRDefault="00C26107" w:rsidP="00C26107">
            <w:pPr>
              <w:pStyle w:val="Footer"/>
              <w:ind w:right="397"/>
              <w:jc w:val="right"/>
              <w:rPr>
                <w:rFonts w:ascii="Calibri" w:hAnsi="Calibri" w:cs="Calibri"/>
                <w:bCs/>
                <w:color w:val="002060"/>
                <w:sz w:val="14"/>
                <w:szCs w:val="14"/>
                <w:lang w:val="sr-Cyrl-RS"/>
              </w:rPr>
            </w:pPr>
          </w:p>
        </w:tc>
        <w:tc>
          <w:tcPr>
            <w:tcW w:w="1759" w:type="dxa"/>
            <w:tcBorders>
              <w:top w:val="nil"/>
            </w:tcBorders>
            <w:shd w:val="clear" w:color="000000" w:fill="FFFFFF"/>
            <w:vAlign w:val="bottom"/>
          </w:tcPr>
          <w:p w14:paraId="491D8144"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0BF4E021"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C46FDF9"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5A8A04D5"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BE8553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B1AFAA6"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50E84F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90F458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9EB3192"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ED98C98"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570CED1" w14:textId="77777777" w:rsidTr="00EE71E1">
        <w:trPr>
          <w:trHeight w:val="142"/>
          <w:jc w:val="center"/>
        </w:trPr>
        <w:tc>
          <w:tcPr>
            <w:tcW w:w="2598" w:type="dxa"/>
            <w:vAlign w:val="bottom"/>
          </w:tcPr>
          <w:p w14:paraId="712468B8"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Трансфери другим нивоима власти</w:t>
            </w:r>
          </w:p>
        </w:tc>
        <w:tc>
          <w:tcPr>
            <w:tcW w:w="1208" w:type="dxa"/>
            <w:tcBorders>
              <w:top w:val="nil"/>
            </w:tcBorders>
            <w:shd w:val="clear" w:color="000000" w:fill="FFFFFF"/>
            <w:vAlign w:val="bottom"/>
          </w:tcPr>
          <w:p w14:paraId="1CD247B8"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418,2</w:t>
            </w:r>
          </w:p>
        </w:tc>
        <w:tc>
          <w:tcPr>
            <w:tcW w:w="1759" w:type="dxa"/>
            <w:tcBorders>
              <w:top w:val="nil"/>
            </w:tcBorders>
            <w:shd w:val="clear" w:color="000000" w:fill="FFFFFF"/>
            <w:vAlign w:val="bottom"/>
          </w:tcPr>
          <w:p w14:paraId="4A160E79"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337,7</w:t>
            </w:r>
          </w:p>
        </w:tc>
        <w:tc>
          <w:tcPr>
            <w:tcW w:w="1025" w:type="dxa"/>
            <w:tcBorders>
              <w:top w:val="nil"/>
            </w:tcBorders>
            <w:shd w:val="clear" w:color="000000" w:fill="FFFFFF"/>
            <w:vAlign w:val="bottom"/>
          </w:tcPr>
          <w:p w14:paraId="4B360D60"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5" w:type="dxa"/>
            <w:tcBorders>
              <w:top w:val="nil"/>
            </w:tcBorders>
            <w:shd w:val="clear" w:color="000000" w:fill="FFFFFF"/>
            <w:vAlign w:val="bottom"/>
          </w:tcPr>
          <w:p w14:paraId="73ABF869"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6" w:type="dxa"/>
            <w:tcBorders>
              <w:top w:val="nil"/>
            </w:tcBorders>
            <w:shd w:val="clear" w:color="000000" w:fill="FFFFFF"/>
            <w:vAlign w:val="bottom"/>
          </w:tcPr>
          <w:p w14:paraId="2765BA80"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4B078C6"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1160738"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73,5</w:t>
            </w:r>
          </w:p>
        </w:tc>
        <w:tc>
          <w:tcPr>
            <w:tcW w:w="1000" w:type="dxa"/>
            <w:tcBorders>
              <w:top w:val="nil"/>
            </w:tcBorders>
            <w:shd w:val="clear" w:color="000000" w:fill="FFFFFF"/>
            <w:vAlign w:val="bottom"/>
          </w:tcPr>
          <w:p w14:paraId="451FA72A"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64,6</w:t>
            </w:r>
          </w:p>
        </w:tc>
        <w:tc>
          <w:tcPr>
            <w:tcW w:w="1001" w:type="dxa"/>
            <w:tcBorders>
              <w:top w:val="nil"/>
            </w:tcBorders>
            <w:shd w:val="clear" w:color="000000" w:fill="FFFFFF"/>
            <w:vAlign w:val="bottom"/>
          </w:tcPr>
          <w:p w14:paraId="6A5CDC7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w:t>
            </w:r>
          </w:p>
        </w:tc>
        <w:tc>
          <w:tcPr>
            <w:tcW w:w="1000" w:type="dxa"/>
            <w:tcBorders>
              <w:top w:val="nil"/>
            </w:tcBorders>
            <w:shd w:val="clear" w:color="000000" w:fill="FFFFFF"/>
            <w:vAlign w:val="bottom"/>
          </w:tcPr>
          <w:p w14:paraId="078276E2"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4,9</w:t>
            </w:r>
          </w:p>
        </w:tc>
        <w:tc>
          <w:tcPr>
            <w:tcW w:w="1001" w:type="dxa"/>
            <w:tcBorders>
              <w:top w:val="nil"/>
            </w:tcBorders>
            <w:shd w:val="clear" w:color="000000" w:fill="FFFFFF"/>
            <w:vAlign w:val="bottom"/>
          </w:tcPr>
          <w:p w14:paraId="331771AD"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2848E6B" w14:textId="77777777" w:rsidTr="00EE71E1">
        <w:trPr>
          <w:trHeight w:val="142"/>
          <w:jc w:val="center"/>
        </w:trPr>
        <w:tc>
          <w:tcPr>
            <w:tcW w:w="2598" w:type="dxa"/>
            <w:vAlign w:val="bottom"/>
          </w:tcPr>
          <w:p w14:paraId="73BB0103"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Буџет Републике</w:t>
            </w:r>
          </w:p>
        </w:tc>
        <w:tc>
          <w:tcPr>
            <w:tcW w:w="1208" w:type="dxa"/>
            <w:tcBorders>
              <w:top w:val="nil"/>
            </w:tcBorders>
            <w:shd w:val="clear" w:color="000000" w:fill="FFFFFF"/>
            <w:vAlign w:val="bottom"/>
          </w:tcPr>
          <w:p w14:paraId="6822CF2B"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759" w:type="dxa"/>
            <w:tcBorders>
              <w:top w:val="nil"/>
            </w:tcBorders>
            <w:shd w:val="clear" w:color="000000" w:fill="FFFFFF"/>
            <w:vAlign w:val="bottom"/>
          </w:tcPr>
          <w:p w14:paraId="1A7280DC" w14:textId="77777777" w:rsidR="00C26107" w:rsidRPr="00C26107" w:rsidRDefault="00C26107" w:rsidP="00C26107">
            <w:pPr>
              <w:pStyle w:val="Footer"/>
              <w:ind w:right="737"/>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35C64267"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5" w:type="dxa"/>
            <w:tcBorders>
              <w:top w:val="nil"/>
            </w:tcBorders>
            <w:shd w:val="clear" w:color="000000" w:fill="FFFFFF"/>
            <w:vAlign w:val="bottom"/>
          </w:tcPr>
          <w:p w14:paraId="11EE3207"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7,0</w:t>
            </w:r>
          </w:p>
        </w:tc>
        <w:tc>
          <w:tcPr>
            <w:tcW w:w="1026" w:type="dxa"/>
            <w:tcBorders>
              <w:top w:val="nil"/>
            </w:tcBorders>
            <w:shd w:val="clear" w:color="000000" w:fill="FFFFFF"/>
            <w:vAlign w:val="bottom"/>
          </w:tcPr>
          <w:p w14:paraId="7A01EA64"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689F2D8"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65360D5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5AA269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B96FE84"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AAEE65E"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2C88AE1"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78C2FA3" w14:textId="77777777" w:rsidTr="00EE71E1">
        <w:trPr>
          <w:trHeight w:val="130"/>
          <w:jc w:val="center"/>
        </w:trPr>
        <w:tc>
          <w:tcPr>
            <w:tcW w:w="2598" w:type="dxa"/>
            <w:vAlign w:val="bottom"/>
          </w:tcPr>
          <w:p w14:paraId="32584696"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Градови и општине</w:t>
            </w:r>
          </w:p>
        </w:tc>
        <w:tc>
          <w:tcPr>
            <w:tcW w:w="1208" w:type="dxa"/>
            <w:tcBorders>
              <w:top w:val="nil"/>
            </w:tcBorders>
            <w:shd w:val="clear" w:color="000000" w:fill="FFFFFF"/>
            <w:vAlign w:val="bottom"/>
          </w:tcPr>
          <w:p w14:paraId="7F98A64F"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50,1</w:t>
            </w:r>
          </w:p>
        </w:tc>
        <w:tc>
          <w:tcPr>
            <w:tcW w:w="1759" w:type="dxa"/>
            <w:tcBorders>
              <w:top w:val="nil"/>
            </w:tcBorders>
            <w:shd w:val="clear" w:color="000000" w:fill="FFFFFF"/>
            <w:vAlign w:val="bottom"/>
          </w:tcPr>
          <w:p w14:paraId="1E310FED"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50,1</w:t>
            </w:r>
          </w:p>
        </w:tc>
        <w:tc>
          <w:tcPr>
            <w:tcW w:w="1025" w:type="dxa"/>
            <w:tcBorders>
              <w:top w:val="nil"/>
            </w:tcBorders>
            <w:shd w:val="clear" w:color="000000" w:fill="FFFFFF"/>
            <w:vAlign w:val="bottom"/>
          </w:tcPr>
          <w:p w14:paraId="5B3CA7E0"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1011FBB"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632B1D3A"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80D212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ABE6C6C"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6526A76"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2CB1B3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4DEF70C"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8B875CF"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02D2CC66" w14:textId="77777777" w:rsidTr="00EE71E1">
        <w:trPr>
          <w:trHeight w:val="142"/>
          <w:jc w:val="center"/>
        </w:trPr>
        <w:tc>
          <w:tcPr>
            <w:tcW w:w="2598" w:type="dxa"/>
            <w:vAlign w:val="bottom"/>
          </w:tcPr>
          <w:p w14:paraId="480C44D9"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AП Војводина</w:t>
            </w:r>
          </w:p>
        </w:tc>
        <w:tc>
          <w:tcPr>
            <w:tcW w:w="1208" w:type="dxa"/>
            <w:tcBorders>
              <w:top w:val="nil"/>
            </w:tcBorders>
            <w:shd w:val="clear" w:color="000000" w:fill="FFFFFF"/>
            <w:vAlign w:val="bottom"/>
          </w:tcPr>
          <w:p w14:paraId="19BA215C"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38,0</w:t>
            </w:r>
          </w:p>
        </w:tc>
        <w:tc>
          <w:tcPr>
            <w:tcW w:w="1759" w:type="dxa"/>
            <w:tcBorders>
              <w:top w:val="nil"/>
            </w:tcBorders>
            <w:shd w:val="clear" w:color="000000" w:fill="FFFFFF"/>
            <w:vAlign w:val="bottom"/>
          </w:tcPr>
          <w:p w14:paraId="149E88D0"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38,0</w:t>
            </w:r>
          </w:p>
        </w:tc>
        <w:tc>
          <w:tcPr>
            <w:tcW w:w="1025" w:type="dxa"/>
            <w:tcBorders>
              <w:top w:val="nil"/>
            </w:tcBorders>
            <w:shd w:val="clear" w:color="000000" w:fill="FFFFFF"/>
            <w:vAlign w:val="bottom"/>
          </w:tcPr>
          <w:p w14:paraId="20F3447E"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2F9760B4"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5D65A571"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F88C7E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D69B95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BF72E7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4BD92F9"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7BC1FD7"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71E5C97"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12EB5CEC" w14:textId="77777777" w:rsidTr="00EE71E1">
        <w:trPr>
          <w:trHeight w:val="130"/>
          <w:jc w:val="center"/>
        </w:trPr>
        <w:tc>
          <w:tcPr>
            <w:tcW w:w="2598" w:type="dxa"/>
            <w:vAlign w:val="bottom"/>
          </w:tcPr>
          <w:p w14:paraId="6BF819BA"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Фонд ПИО</w:t>
            </w:r>
          </w:p>
        </w:tc>
        <w:tc>
          <w:tcPr>
            <w:tcW w:w="1208" w:type="dxa"/>
            <w:tcBorders>
              <w:top w:val="nil"/>
            </w:tcBorders>
            <w:shd w:val="clear" w:color="000000" w:fill="FFFFFF"/>
            <w:vAlign w:val="bottom"/>
          </w:tcPr>
          <w:p w14:paraId="27FFE903"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161,1</w:t>
            </w:r>
          </w:p>
        </w:tc>
        <w:tc>
          <w:tcPr>
            <w:tcW w:w="1759" w:type="dxa"/>
            <w:tcBorders>
              <w:top w:val="nil"/>
            </w:tcBorders>
            <w:shd w:val="clear" w:color="000000" w:fill="FFFFFF"/>
            <w:vAlign w:val="bottom"/>
          </w:tcPr>
          <w:p w14:paraId="1F9AECFC"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153,6</w:t>
            </w:r>
          </w:p>
        </w:tc>
        <w:tc>
          <w:tcPr>
            <w:tcW w:w="1025" w:type="dxa"/>
            <w:tcBorders>
              <w:top w:val="nil"/>
            </w:tcBorders>
            <w:shd w:val="clear" w:color="000000" w:fill="FFFFFF"/>
            <w:vAlign w:val="bottom"/>
          </w:tcPr>
          <w:p w14:paraId="158251AC"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4383E9F5"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36B337DE"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4730DA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CDF768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7,5</w:t>
            </w:r>
          </w:p>
        </w:tc>
        <w:tc>
          <w:tcPr>
            <w:tcW w:w="1000" w:type="dxa"/>
            <w:tcBorders>
              <w:top w:val="nil"/>
            </w:tcBorders>
            <w:shd w:val="clear" w:color="000000" w:fill="FFFFFF"/>
            <w:vAlign w:val="bottom"/>
          </w:tcPr>
          <w:p w14:paraId="43D27E4B"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7D43E30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4,1</w:t>
            </w:r>
          </w:p>
        </w:tc>
        <w:tc>
          <w:tcPr>
            <w:tcW w:w="1000" w:type="dxa"/>
            <w:tcBorders>
              <w:top w:val="nil"/>
            </w:tcBorders>
            <w:shd w:val="clear" w:color="000000" w:fill="FFFFFF"/>
            <w:vAlign w:val="bottom"/>
          </w:tcPr>
          <w:p w14:paraId="30687C73"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3,5</w:t>
            </w:r>
          </w:p>
        </w:tc>
        <w:tc>
          <w:tcPr>
            <w:tcW w:w="1001" w:type="dxa"/>
            <w:tcBorders>
              <w:top w:val="nil"/>
            </w:tcBorders>
            <w:shd w:val="clear" w:color="000000" w:fill="FFFFFF"/>
            <w:vAlign w:val="bottom"/>
          </w:tcPr>
          <w:p w14:paraId="337B0E96"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85682F7" w14:textId="77777777" w:rsidTr="00EE71E1">
        <w:trPr>
          <w:trHeight w:val="142"/>
          <w:jc w:val="center"/>
        </w:trPr>
        <w:tc>
          <w:tcPr>
            <w:tcW w:w="2598" w:type="dxa"/>
            <w:vAlign w:val="bottom"/>
          </w:tcPr>
          <w:p w14:paraId="6A5887B3"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РФЗО</w:t>
            </w:r>
          </w:p>
        </w:tc>
        <w:tc>
          <w:tcPr>
            <w:tcW w:w="1208" w:type="dxa"/>
            <w:tcBorders>
              <w:top w:val="nil"/>
            </w:tcBorders>
            <w:shd w:val="clear" w:color="000000" w:fill="FFFFFF"/>
            <w:vAlign w:val="bottom"/>
          </w:tcPr>
          <w:p w14:paraId="615AC02F"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132,8</w:t>
            </w:r>
          </w:p>
        </w:tc>
        <w:tc>
          <w:tcPr>
            <w:tcW w:w="1759" w:type="dxa"/>
            <w:tcBorders>
              <w:top w:val="nil"/>
            </w:tcBorders>
            <w:shd w:val="clear" w:color="000000" w:fill="FFFFFF"/>
            <w:vAlign w:val="bottom"/>
          </w:tcPr>
          <w:p w14:paraId="718BA2F6"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69,2</w:t>
            </w:r>
          </w:p>
        </w:tc>
        <w:tc>
          <w:tcPr>
            <w:tcW w:w="1025" w:type="dxa"/>
            <w:tcBorders>
              <w:top w:val="nil"/>
            </w:tcBorders>
            <w:shd w:val="clear" w:color="000000" w:fill="FFFFFF"/>
            <w:vAlign w:val="bottom"/>
          </w:tcPr>
          <w:p w14:paraId="14F7BA0C"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7EA90971"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35DC1EE6"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89A384B"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F6E6DD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63,6</w:t>
            </w:r>
          </w:p>
        </w:tc>
        <w:tc>
          <w:tcPr>
            <w:tcW w:w="1000" w:type="dxa"/>
            <w:tcBorders>
              <w:top w:val="nil"/>
            </w:tcBorders>
            <w:shd w:val="clear" w:color="000000" w:fill="FFFFFF"/>
            <w:vAlign w:val="bottom"/>
          </w:tcPr>
          <w:p w14:paraId="3A7792DD"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62,2</w:t>
            </w:r>
          </w:p>
        </w:tc>
        <w:tc>
          <w:tcPr>
            <w:tcW w:w="1001" w:type="dxa"/>
            <w:tcBorders>
              <w:top w:val="nil"/>
            </w:tcBorders>
            <w:shd w:val="clear" w:color="000000" w:fill="FFFFFF"/>
            <w:vAlign w:val="bottom"/>
          </w:tcPr>
          <w:p w14:paraId="1849FB0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692F4395"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1,4</w:t>
            </w:r>
          </w:p>
        </w:tc>
        <w:tc>
          <w:tcPr>
            <w:tcW w:w="1001" w:type="dxa"/>
            <w:tcBorders>
              <w:top w:val="nil"/>
            </w:tcBorders>
            <w:shd w:val="clear" w:color="000000" w:fill="FFFFFF"/>
            <w:vAlign w:val="bottom"/>
          </w:tcPr>
          <w:p w14:paraId="55408C63"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2DB44084" w14:textId="77777777" w:rsidTr="00EE71E1">
        <w:trPr>
          <w:trHeight w:val="130"/>
          <w:jc w:val="center"/>
        </w:trPr>
        <w:tc>
          <w:tcPr>
            <w:tcW w:w="2598" w:type="dxa"/>
            <w:vAlign w:val="bottom"/>
          </w:tcPr>
          <w:p w14:paraId="19EAFEC5"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НСЗ</w:t>
            </w:r>
          </w:p>
        </w:tc>
        <w:tc>
          <w:tcPr>
            <w:tcW w:w="1208" w:type="dxa"/>
            <w:tcBorders>
              <w:top w:val="nil"/>
            </w:tcBorders>
            <w:shd w:val="clear" w:color="000000" w:fill="FFFFFF"/>
            <w:vAlign w:val="bottom"/>
          </w:tcPr>
          <w:p w14:paraId="673C9884"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8,6</w:t>
            </w:r>
          </w:p>
        </w:tc>
        <w:tc>
          <w:tcPr>
            <w:tcW w:w="1759" w:type="dxa"/>
            <w:tcBorders>
              <w:top w:val="nil"/>
            </w:tcBorders>
            <w:shd w:val="clear" w:color="000000" w:fill="FFFFFF"/>
            <w:vAlign w:val="bottom"/>
          </w:tcPr>
          <w:p w14:paraId="1AB3EEB3"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8,6</w:t>
            </w:r>
          </w:p>
        </w:tc>
        <w:tc>
          <w:tcPr>
            <w:tcW w:w="1025" w:type="dxa"/>
            <w:tcBorders>
              <w:top w:val="nil"/>
            </w:tcBorders>
            <w:shd w:val="clear" w:color="000000" w:fill="FFFFFF"/>
            <w:vAlign w:val="bottom"/>
          </w:tcPr>
          <w:p w14:paraId="03D90E57"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3907D3C2"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7C537D22"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29F4826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43A94F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767267E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1E08F963"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5954172A"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0A099C0C"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4E89C6AE" w14:textId="77777777" w:rsidTr="00EE71E1">
        <w:trPr>
          <w:trHeight w:val="142"/>
          <w:jc w:val="center"/>
        </w:trPr>
        <w:tc>
          <w:tcPr>
            <w:tcW w:w="2598" w:type="dxa"/>
            <w:vAlign w:val="bottom"/>
          </w:tcPr>
          <w:p w14:paraId="771BDEB8"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Фонд СОВО</w:t>
            </w:r>
          </w:p>
        </w:tc>
        <w:tc>
          <w:tcPr>
            <w:tcW w:w="1208" w:type="dxa"/>
            <w:tcBorders>
              <w:top w:val="nil"/>
            </w:tcBorders>
            <w:shd w:val="clear" w:color="000000" w:fill="FFFFFF"/>
            <w:vAlign w:val="bottom"/>
          </w:tcPr>
          <w:p w14:paraId="033C1FB9"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w:t>
            </w:r>
          </w:p>
        </w:tc>
        <w:tc>
          <w:tcPr>
            <w:tcW w:w="1759" w:type="dxa"/>
            <w:tcBorders>
              <w:top w:val="nil"/>
            </w:tcBorders>
            <w:shd w:val="clear" w:color="000000" w:fill="FFFFFF"/>
            <w:vAlign w:val="bottom"/>
          </w:tcPr>
          <w:p w14:paraId="3499BED2"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0,5</w:t>
            </w:r>
          </w:p>
        </w:tc>
        <w:tc>
          <w:tcPr>
            <w:tcW w:w="1025" w:type="dxa"/>
            <w:tcBorders>
              <w:top w:val="nil"/>
            </w:tcBorders>
            <w:shd w:val="clear" w:color="000000" w:fill="FFFFFF"/>
            <w:vAlign w:val="bottom"/>
          </w:tcPr>
          <w:p w14:paraId="093A4421"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1B545532"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0D552347"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1637128B"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9CF175E"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2,4</w:t>
            </w:r>
          </w:p>
        </w:tc>
        <w:tc>
          <w:tcPr>
            <w:tcW w:w="1000" w:type="dxa"/>
            <w:tcBorders>
              <w:top w:val="nil"/>
            </w:tcBorders>
            <w:shd w:val="clear" w:color="000000" w:fill="FFFFFF"/>
            <w:vAlign w:val="bottom"/>
          </w:tcPr>
          <w:p w14:paraId="78C045D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2,4</w:t>
            </w:r>
          </w:p>
        </w:tc>
        <w:tc>
          <w:tcPr>
            <w:tcW w:w="1001" w:type="dxa"/>
            <w:tcBorders>
              <w:top w:val="nil"/>
            </w:tcBorders>
            <w:shd w:val="clear" w:color="000000" w:fill="FFFFFF"/>
            <w:vAlign w:val="bottom"/>
          </w:tcPr>
          <w:p w14:paraId="03434682"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6F4AC23"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337C9C6D"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65CC2A83" w14:textId="77777777" w:rsidTr="00EE71E1">
        <w:trPr>
          <w:trHeight w:val="130"/>
          <w:jc w:val="center"/>
        </w:trPr>
        <w:tc>
          <w:tcPr>
            <w:tcW w:w="2598" w:type="dxa"/>
            <w:vAlign w:val="bottom"/>
          </w:tcPr>
          <w:p w14:paraId="1697ED2F" w14:textId="77777777" w:rsidR="00C26107" w:rsidRPr="00C26107" w:rsidRDefault="00C26107" w:rsidP="00C26107">
            <w:pPr>
              <w:pStyle w:val="Footer"/>
              <w:rPr>
                <w:rFonts w:cstheme="minorHAnsi"/>
                <w:color w:val="002060"/>
                <w:sz w:val="14"/>
                <w:szCs w:val="14"/>
                <w:lang w:val="sr-Cyrl-RS"/>
              </w:rPr>
            </w:pPr>
            <w:r w:rsidRPr="00C26107">
              <w:rPr>
                <w:rFonts w:ascii="Calibri" w:hAnsi="Calibri" w:cs="Calibri"/>
                <w:color w:val="002060"/>
                <w:sz w:val="14"/>
                <w:szCs w:val="14"/>
                <w:lang w:val="sr-Cyrl-RS"/>
              </w:rPr>
              <w:t>Остали нивои</w:t>
            </w:r>
          </w:p>
        </w:tc>
        <w:tc>
          <w:tcPr>
            <w:tcW w:w="1208" w:type="dxa"/>
            <w:tcBorders>
              <w:top w:val="nil"/>
            </w:tcBorders>
            <w:shd w:val="clear" w:color="000000" w:fill="FFFFFF"/>
            <w:vAlign w:val="bottom"/>
          </w:tcPr>
          <w:p w14:paraId="5D72F419" w14:textId="77777777" w:rsidR="00C26107" w:rsidRPr="00C26107" w:rsidRDefault="00C26107" w:rsidP="00C26107">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17,7</w:t>
            </w:r>
          </w:p>
        </w:tc>
        <w:tc>
          <w:tcPr>
            <w:tcW w:w="1759" w:type="dxa"/>
            <w:tcBorders>
              <w:top w:val="nil"/>
            </w:tcBorders>
            <w:shd w:val="clear" w:color="000000" w:fill="FFFFFF"/>
            <w:vAlign w:val="bottom"/>
          </w:tcPr>
          <w:p w14:paraId="1E0B3CA0"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17,7</w:t>
            </w:r>
          </w:p>
        </w:tc>
        <w:tc>
          <w:tcPr>
            <w:tcW w:w="1025" w:type="dxa"/>
            <w:tcBorders>
              <w:top w:val="nil"/>
            </w:tcBorders>
            <w:shd w:val="clear" w:color="000000" w:fill="FFFFFF"/>
            <w:vAlign w:val="bottom"/>
          </w:tcPr>
          <w:p w14:paraId="30217BED"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5" w:type="dxa"/>
            <w:tcBorders>
              <w:top w:val="nil"/>
            </w:tcBorders>
            <w:shd w:val="clear" w:color="000000" w:fill="FFFFFF"/>
            <w:vAlign w:val="bottom"/>
          </w:tcPr>
          <w:p w14:paraId="0F9BF69D" w14:textId="77777777" w:rsidR="00C26107" w:rsidRPr="00C26107" w:rsidRDefault="00C26107" w:rsidP="00C26107">
            <w:pPr>
              <w:pStyle w:val="Footer"/>
              <w:ind w:right="340"/>
              <w:jc w:val="right"/>
              <w:rPr>
                <w:rFonts w:ascii="Calibri" w:hAnsi="Calibri" w:cs="Calibri"/>
                <w:bCs/>
                <w:color w:val="002060"/>
                <w:sz w:val="14"/>
                <w:szCs w:val="14"/>
                <w:lang w:val="sr-Cyrl-RS"/>
              </w:rPr>
            </w:pPr>
          </w:p>
        </w:tc>
        <w:tc>
          <w:tcPr>
            <w:tcW w:w="1026" w:type="dxa"/>
            <w:tcBorders>
              <w:top w:val="nil"/>
            </w:tcBorders>
            <w:shd w:val="clear" w:color="000000" w:fill="FFFFFF"/>
            <w:vAlign w:val="bottom"/>
          </w:tcPr>
          <w:p w14:paraId="6D508B65"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4600A1E5"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214F9FF1"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06B79A8D"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4CB0B6F7" w14:textId="77777777" w:rsidR="00C26107" w:rsidRPr="00C26107" w:rsidRDefault="00C26107" w:rsidP="00EE71E1">
            <w:pPr>
              <w:pStyle w:val="Footer"/>
              <w:ind w:right="340"/>
              <w:jc w:val="right"/>
              <w:rPr>
                <w:rFonts w:ascii="Calibri" w:hAnsi="Calibri" w:cs="Calibri"/>
                <w:bCs/>
                <w:color w:val="002060"/>
                <w:sz w:val="14"/>
                <w:szCs w:val="14"/>
                <w:lang w:val="sr-Cyrl-RS"/>
              </w:rPr>
            </w:pPr>
          </w:p>
        </w:tc>
        <w:tc>
          <w:tcPr>
            <w:tcW w:w="1000" w:type="dxa"/>
            <w:tcBorders>
              <w:top w:val="nil"/>
            </w:tcBorders>
            <w:shd w:val="clear" w:color="000000" w:fill="FFFFFF"/>
            <w:vAlign w:val="bottom"/>
          </w:tcPr>
          <w:p w14:paraId="3267EDDC" w14:textId="77777777" w:rsidR="00C26107" w:rsidRPr="00C26107" w:rsidRDefault="00C26107" w:rsidP="00EE71E1">
            <w:pPr>
              <w:pStyle w:val="Footer"/>
              <w:ind w:right="397"/>
              <w:jc w:val="right"/>
              <w:rPr>
                <w:rFonts w:ascii="Calibri" w:hAnsi="Calibri" w:cs="Calibri"/>
                <w:bCs/>
                <w:color w:val="002060"/>
                <w:sz w:val="14"/>
                <w:szCs w:val="14"/>
                <w:lang w:val="sr-Cyrl-RS"/>
              </w:rPr>
            </w:pPr>
          </w:p>
        </w:tc>
        <w:tc>
          <w:tcPr>
            <w:tcW w:w="1001" w:type="dxa"/>
            <w:tcBorders>
              <w:top w:val="nil"/>
            </w:tcBorders>
            <w:shd w:val="clear" w:color="000000" w:fill="FFFFFF"/>
            <w:vAlign w:val="bottom"/>
          </w:tcPr>
          <w:p w14:paraId="581CD960" w14:textId="77777777" w:rsidR="00C26107" w:rsidRPr="00C26107" w:rsidRDefault="00C26107" w:rsidP="00EE71E1">
            <w:pPr>
              <w:pStyle w:val="Footer"/>
              <w:ind w:right="397"/>
              <w:jc w:val="right"/>
              <w:rPr>
                <w:rFonts w:ascii="Calibri" w:hAnsi="Calibri" w:cs="Calibri"/>
                <w:bCs/>
                <w:color w:val="002060"/>
                <w:sz w:val="14"/>
                <w:szCs w:val="14"/>
                <w:lang w:val="sr-Cyrl-RS"/>
              </w:rPr>
            </w:pPr>
          </w:p>
        </w:tc>
      </w:tr>
      <w:tr w:rsidR="00C26107" w:rsidRPr="00C26107" w14:paraId="4E964E96" w14:textId="77777777" w:rsidTr="00EE71E1">
        <w:trPr>
          <w:trHeight w:val="142"/>
          <w:jc w:val="center"/>
        </w:trPr>
        <w:tc>
          <w:tcPr>
            <w:tcW w:w="2598" w:type="dxa"/>
            <w:vAlign w:val="center"/>
          </w:tcPr>
          <w:p w14:paraId="6487E058" w14:textId="77777777" w:rsidR="00C26107" w:rsidRPr="00C26107" w:rsidRDefault="00C26107" w:rsidP="00C26107">
            <w:pPr>
              <w:pStyle w:val="Footer"/>
              <w:rPr>
                <w:rFonts w:cstheme="minorHAnsi"/>
                <w:color w:val="002060"/>
                <w:spacing w:val="-4"/>
                <w:sz w:val="14"/>
                <w:szCs w:val="14"/>
                <w:lang w:val="sr-Cyrl-RS"/>
              </w:rPr>
            </w:pPr>
            <w:r w:rsidRPr="00C26107">
              <w:rPr>
                <w:rFonts w:ascii="Calibri" w:hAnsi="Calibri" w:cs="Calibri"/>
                <w:color w:val="002060"/>
                <w:spacing w:val="-4"/>
                <w:sz w:val="14"/>
                <w:szCs w:val="14"/>
                <w:lang w:val="sr-Cyrl-RS"/>
              </w:rPr>
              <w:t>Нето трансфери другим нивоима власти</w:t>
            </w:r>
          </w:p>
        </w:tc>
        <w:tc>
          <w:tcPr>
            <w:tcW w:w="1208" w:type="dxa"/>
            <w:tcBorders>
              <w:top w:val="nil"/>
            </w:tcBorders>
            <w:shd w:val="clear" w:color="000000" w:fill="FFFFFF"/>
            <w:vAlign w:val="bottom"/>
          </w:tcPr>
          <w:p w14:paraId="4BB67A5E" w14:textId="77777777" w:rsidR="00C26107" w:rsidRPr="00C26107" w:rsidRDefault="00C26107" w:rsidP="00C26107">
            <w:pPr>
              <w:pStyle w:val="Footer"/>
              <w:ind w:right="397"/>
              <w:jc w:val="right"/>
              <w:rPr>
                <w:rFonts w:ascii="Calibri" w:hAnsi="Calibri" w:cs="Calibri"/>
                <w:bCs/>
                <w:color w:val="002060"/>
                <w:sz w:val="14"/>
                <w:szCs w:val="14"/>
                <w:lang w:val="sr-Cyrl-RS"/>
              </w:rPr>
            </w:pPr>
          </w:p>
        </w:tc>
        <w:tc>
          <w:tcPr>
            <w:tcW w:w="1759" w:type="dxa"/>
            <w:tcBorders>
              <w:top w:val="nil"/>
            </w:tcBorders>
            <w:shd w:val="clear" w:color="000000" w:fill="FFFFFF"/>
            <w:vAlign w:val="bottom"/>
          </w:tcPr>
          <w:p w14:paraId="32813F4B" w14:textId="77777777" w:rsidR="00C26107" w:rsidRPr="00C26107" w:rsidRDefault="00C26107" w:rsidP="00C26107">
            <w:pPr>
              <w:pStyle w:val="Footer"/>
              <w:ind w:right="73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-330,7</w:t>
            </w:r>
          </w:p>
        </w:tc>
        <w:tc>
          <w:tcPr>
            <w:tcW w:w="1025" w:type="dxa"/>
            <w:tcBorders>
              <w:top w:val="nil"/>
            </w:tcBorders>
            <w:shd w:val="clear" w:color="000000" w:fill="FFFFFF"/>
            <w:vAlign w:val="bottom"/>
          </w:tcPr>
          <w:p w14:paraId="2365DD3D"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81,1</w:t>
            </w:r>
          </w:p>
        </w:tc>
        <w:tc>
          <w:tcPr>
            <w:tcW w:w="1025" w:type="dxa"/>
            <w:tcBorders>
              <w:top w:val="nil"/>
            </w:tcBorders>
            <w:shd w:val="clear" w:color="000000" w:fill="FFFFFF"/>
            <w:vAlign w:val="bottom"/>
          </w:tcPr>
          <w:p w14:paraId="15E54175" w14:textId="77777777" w:rsidR="00C26107" w:rsidRPr="00C26107" w:rsidRDefault="00C26107" w:rsidP="00C26107">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43,1</w:t>
            </w:r>
          </w:p>
        </w:tc>
        <w:tc>
          <w:tcPr>
            <w:tcW w:w="1026" w:type="dxa"/>
            <w:tcBorders>
              <w:top w:val="nil"/>
            </w:tcBorders>
            <w:shd w:val="clear" w:color="000000" w:fill="FFFFFF"/>
            <w:vAlign w:val="bottom"/>
          </w:tcPr>
          <w:p w14:paraId="170CE63F"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38,0</w:t>
            </w:r>
          </w:p>
        </w:tc>
        <w:tc>
          <w:tcPr>
            <w:tcW w:w="1000" w:type="dxa"/>
            <w:tcBorders>
              <w:top w:val="nil"/>
            </w:tcBorders>
            <w:shd w:val="clear" w:color="000000" w:fill="FFFFFF"/>
            <w:vAlign w:val="bottom"/>
          </w:tcPr>
          <w:p w14:paraId="64E9AFF6"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17,7</w:t>
            </w:r>
          </w:p>
        </w:tc>
        <w:tc>
          <w:tcPr>
            <w:tcW w:w="1001" w:type="dxa"/>
            <w:tcBorders>
              <w:top w:val="nil"/>
            </w:tcBorders>
            <w:shd w:val="clear" w:color="000000" w:fill="FFFFFF"/>
            <w:vAlign w:val="bottom"/>
          </w:tcPr>
          <w:p w14:paraId="74106F98"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231,9</w:t>
            </w:r>
          </w:p>
        </w:tc>
        <w:tc>
          <w:tcPr>
            <w:tcW w:w="1000" w:type="dxa"/>
            <w:tcBorders>
              <w:top w:val="nil"/>
            </w:tcBorders>
            <w:shd w:val="clear" w:color="000000" w:fill="FFFFFF"/>
            <w:vAlign w:val="bottom"/>
          </w:tcPr>
          <w:p w14:paraId="35960465"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96,5</w:t>
            </w:r>
          </w:p>
        </w:tc>
        <w:tc>
          <w:tcPr>
            <w:tcW w:w="1001" w:type="dxa"/>
            <w:tcBorders>
              <w:top w:val="nil"/>
            </w:tcBorders>
            <w:shd w:val="clear" w:color="000000" w:fill="FFFFFF"/>
            <w:vAlign w:val="bottom"/>
          </w:tcPr>
          <w:p w14:paraId="57335900" w14:textId="77777777" w:rsidR="00C26107" w:rsidRPr="00C26107" w:rsidRDefault="00C26107" w:rsidP="00EE71E1">
            <w:pPr>
              <w:pStyle w:val="Footer"/>
              <w:ind w:right="340"/>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128,7</w:t>
            </w:r>
          </w:p>
        </w:tc>
        <w:tc>
          <w:tcPr>
            <w:tcW w:w="1000" w:type="dxa"/>
            <w:tcBorders>
              <w:top w:val="nil"/>
            </w:tcBorders>
            <w:shd w:val="clear" w:color="000000" w:fill="FFFFFF"/>
            <w:vAlign w:val="bottom"/>
          </w:tcPr>
          <w:p w14:paraId="67EA4BAF"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3,7</w:t>
            </w:r>
          </w:p>
        </w:tc>
        <w:tc>
          <w:tcPr>
            <w:tcW w:w="1001" w:type="dxa"/>
            <w:tcBorders>
              <w:top w:val="nil"/>
            </w:tcBorders>
            <w:shd w:val="clear" w:color="000000" w:fill="FFFFFF"/>
            <w:vAlign w:val="bottom"/>
          </w:tcPr>
          <w:p w14:paraId="22666DFD" w14:textId="77777777" w:rsidR="00C26107" w:rsidRPr="00C26107" w:rsidRDefault="00C26107" w:rsidP="00EE71E1">
            <w:pPr>
              <w:pStyle w:val="Footer"/>
              <w:ind w:right="397"/>
              <w:jc w:val="right"/>
              <w:rPr>
                <w:rFonts w:ascii="Calibri" w:hAnsi="Calibri" w:cs="Calibri"/>
                <w:bCs/>
                <w:color w:val="002060"/>
                <w:sz w:val="14"/>
                <w:szCs w:val="14"/>
                <w:lang w:val="sr-Cyrl-RS"/>
              </w:rPr>
            </w:pPr>
            <w:r w:rsidRPr="00C26107">
              <w:rPr>
                <w:rFonts w:ascii="Calibri" w:hAnsi="Calibri" w:cs="Calibri"/>
                <w:color w:val="002060"/>
                <w:sz w:val="14"/>
                <w:szCs w:val="14"/>
                <w:lang w:val="sr-Cyrl-RS"/>
              </w:rPr>
              <w:t>2,9</w:t>
            </w:r>
          </w:p>
        </w:tc>
      </w:tr>
      <w:tr w:rsidR="00C26107" w:rsidRPr="00C82D9F" w14:paraId="03A72F41" w14:textId="77777777" w:rsidTr="00EE71E1">
        <w:trPr>
          <w:trHeight w:val="130"/>
          <w:jc w:val="center"/>
        </w:trPr>
        <w:tc>
          <w:tcPr>
            <w:tcW w:w="2598" w:type="dxa"/>
            <w:tcBorders>
              <w:bottom w:val="single" w:sz="4" w:space="0" w:color="auto"/>
            </w:tcBorders>
            <w:shd w:val="clear" w:color="auto" w:fill="D9D9D9" w:themeFill="background1" w:themeFillShade="D9"/>
            <w:vAlign w:val="bottom"/>
          </w:tcPr>
          <w:p w14:paraId="7751BBDD" w14:textId="77777777" w:rsidR="00C26107" w:rsidRPr="00C82D9F" w:rsidRDefault="00C26107" w:rsidP="00C26107">
            <w:pPr>
              <w:pStyle w:val="Footer"/>
              <w:rPr>
                <w:rFonts w:cstheme="minorHAnsi"/>
                <w:b/>
                <w:color w:val="002060"/>
                <w:sz w:val="14"/>
                <w:szCs w:val="14"/>
                <w:lang w:val="sr-Cyrl-RS"/>
              </w:rPr>
            </w:pPr>
            <w:r w:rsidRPr="00C82D9F">
              <w:rPr>
                <w:rFonts w:ascii="Calibri" w:hAnsi="Calibri" w:cs="Calibri"/>
                <w:b/>
                <w:bCs/>
                <w:color w:val="002060"/>
                <w:sz w:val="14"/>
                <w:szCs w:val="14"/>
                <w:lang w:val="sr-Cyrl-RS"/>
              </w:rPr>
              <w:t>Фискални резултат</w:t>
            </w:r>
          </w:p>
        </w:tc>
        <w:tc>
          <w:tcPr>
            <w:tcW w:w="1208" w:type="dxa"/>
            <w:tcBorders>
              <w:bottom w:val="single" w:sz="4" w:space="0" w:color="auto"/>
            </w:tcBorders>
            <w:shd w:val="clear" w:color="auto" w:fill="D9D9D9" w:themeFill="background1" w:themeFillShade="D9"/>
            <w:vAlign w:val="bottom"/>
          </w:tcPr>
          <w:p w14:paraId="15A0F24B" w14:textId="77777777" w:rsidR="00C26107" w:rsidRPr="00C82D9F" w:rsidRDefault="00C26107" w:rsidP="00C26107">
            <w:pPr>
              <w:pStyle w:val="Footer"/>
              <w:ind w:right="397"/>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-179,1</w:t>
            </w:r>
          </w:p>
        </w:tc>
        <w:tc>
          <w:tcPr>
            <w:tcW w:w="1759" w:type="dxa"/>
            <w:tcBorders>
              <w:bottom w:val="single" w:sz="4" w:space="0" w:color="auto"/>
            </w:tcBorders>
            <w:shd w:val="clear" w:color="auto" w:fill="D9D9D9" w:themeFill="background1" w:themeFillShade="D9"/>
            <w:vAlign w:val="bottom"/>
          </w:tcPr>
          <w:p w14:paraId="5A7BD507" w14:textId="77777777" w:rsidR="00C26107" w:rsidRPr="00C82D9F" w:rsidRDefault="00C26107" w:rsidP="00C26107">
            <w:pPr>
              <w:pStyle w:val="Footer"/>
              <w:ind w:right="737"/>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-177,3</w:t>
            </w:r>
          </w:p>
        </w:tc>
        <w:tc>
          <w:tcPr>
            <w:tcW w:w="1025" w:type="dxa"/>
            <w:tcBorders>
              <w:bottom w:val="single" w:sz="4" w:space="0" w:color="auto"/>
            </w:tcBorders>
            <w:shd w:val="clear" w:color="auto" w:fill="D9D9D9" w:themeFill="background1" w:themeFillShade="D9"/>
            <w:vAlign w:val="bottom"/>
          </w:tcPr>
          <w:p w14:paraId="5BA846B5" w14:textId="77777777" w:rsidR="00C26107" w:rsidRPr="00C82D9F" w:rsidRDefault="00C26107" w:rsidP="00C26107">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1,6</w:t>
            </w:r>
          </w:p>
        </w:tc>
        <w:tc>
          <w:tcPr>
            <w:tcW w:w="1025" w:type="dxa"/>
            <w:tcBorders>
              <w:bottom w:val="single" w:sz="4" w:space="0" w:color="auto"/>
            </w:tcBorders>
            <w:shd w:val="clear" w:color="auto" w:fill="D9D9D9" w:themeFill="background1" w:themeFillShade="D9"/>
            <w:vAlign w:val="bottom"/>
          </w:tcPr>
          <w:p w14:paraId="61AD6D70" w14:textId="77777777" w:rsidR="00C26107" w:rsidRPr="00C82D9F" w:rsidRDefault="00C26107" w:rsidP="00C26107">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1,2</w:t>
            </w:r>
          </w:p>
        </w:tc>
        <w:tc>
          <w:tcPr>
            <w:tcW w:w="1026" w:type="dxa"/>
            <w:tcBorders>
              <w:bottom w:val="single" w:sz="4" w:space="0" w:color="auto"/>
            </w:tcBorders>
            <w:shd w:val="clear" w:color="auto" w:fill="D9D9D9" w:themeFill="background1" w:themeFillShade="D9"/>
            <w:vAlign w:val="bottom"/>
          </w:tcPr>
          <w:p w14:paraId="554C39CD" w14:textId="77777777" w:rsidR="00C26107" w:rsidRPr="00C82D9F" w:rsidRDefault="00C26107" w:rsidP="00EE71E1">
            <w:pPr>
              <w:pStyle w:val="Footer"/>
              <w:ind w:right="397"/>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0,5</w:t>
            </w:r>
          </w:p>
        </w:tc>
        <w:tc>
          <w:tcPr>
            <w:tcW w:w="1000" w:type="dxa"/>
            <w:tcBorders>
              <w:bottom w:val="single" w:sz="4" w:space="0" w:color="auto"/>
            </w:tcBorders>
            <w:shd w:val="clear" w:color="auto" w:fill="D9D9D9" w:themeFill="background1" w:themeFillShade="D9"/>
            <w:vAlign w:val="bottom"/>
          </w:tcPr>
          <w:p w14:paraId="68525EB0" w14:textId="77777777" w:rsidR="00C26107" w:rsidRPr="00C82D9F" w:rsidRDefault="00C26107" w:rsidP="00EE71E1">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-3,4</w:t>
            </w:r>
          </w:p>
        </w:tc>
        <w:tc>
          <w:tcPr>
            <w:tcW w:w="1001" w:type="dxa"/>
            <w:tcBorders>
              <w:bottom w:val="single" w:sz="4" w:space="0" w:color="auto"/>
            </w:tcBorders>
            <w:shd w:val="clear" w:color="auto" w:fill="D9D9D9" w:themeFill="background1" w:themeFillShade="D9"/>
            <w:vAlign w:val="bottom"/>
          </w:tcPr>
          <w:p w14:paraId="3B077163" w14:textId="77777777" w:rsidR="00C26107" w:rsidRPr="00C82D9F" w:rsidRDefault="00C26107" w:rsidP="00EE71E1">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0,0</w:t>
            </w:r>
          </w:p>
        </w:tc>
        <w:tc>
          <w:tcPr>
            <w:tcW w:w="1000" w:type="dxa"/>
            <w:tcBorders>
              <w:bottom w:val="single" w:sz="4" w:space="0" w:color="auto"/>
            </w:tcBorders>
            <w:shd w:val="clear" w:color="auto" w:fill="D9D9D9" w:themeFill="background1" w:themeFillShade="D9"/>
            <w:vAlign w:val="bottom"/>
          </w:tcPr>
          <w:p w14:paraId="2795A893" w14:textId="77777777" w:rsidR="00C26107" w:rsidRPr="00C82D9F" w:rsidRDefault="00C26107" w:rsidP="00EE71E1">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0,0</w:t>
            </w:r>
          </w:p>
        </w:tc>
        <w:tc>
          <w:tcPr>
            <w:tcW w:w="1001" w:type="dxa"/>
            <w:tcBorders>
              <w:bottom w:val="single" w:sz="4" w:space="0" w:color="auto"/>
            </w:tcBorders>
            <w:shd w:val="clear" w:color="auto" w:fill="D9D9D9" w:themeFill="background1" w:themeFillShade="D9"/>
            <w:vAlign w:val="bottom"/>
          </w:tcPr>
          <w:p w14:paraId="3370DF6D" w14:textId="77777777" w:rsidR="00C26107" w:rsidRPr="00C82D9F" w:rsidRDefault="00C26107" w:rsidP="00EE71E1">
            <w:pPr>
              <w:pStyle w:val="Footer"/>
              <w:ind w:right="340"/>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0,0</w:t>
            </w:r>
          </w:p>
        </w:tc>
        <w:tc>
          <w:tcPr>
            <w:tcW w:w="1000" w:type="dxa"/>
            <w:tcBorders>
              <w:bottom w:val="single" w:sz="4" w:space="0" w:color="auto"/>
            </w:tcBorders>
            <w:shd w:val="clear" w:color="auto" w:fill="D9D9D9" w:themeFill="background1" w:themeFillShade="D9"/>
            <w:vAlign w:val="bottom"/>
          </w:tcPr>
          <w:p w14:paraId="0C383224" w14:textId="77777777" w:rsidR="00C26107" w:rsidRPr="00C82D9F" w:rsidRDefault="00C26107" w:rsidP="00EE71E1">
            <w:pPr>
              <w:pStyle w:val="Footer"/>
              <w:ind w:right="397"/>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0,0</w:t>
            </w:r>
          </w:p>
        </w:tc>
        <w:tc>
          <w:tcPr>
            <w:tcW w:w="1001" w:type="dxa"/>
            <w:tcBorders>
              <w:bottom w:val="single" w:sz="4" w:space="0" w:color="auto"/>
            </w:tcBorders>
            <w:shd w:val="clear" w:color="auto" w:fill="D9D9D9" w:themeFill="background1" w:themeFillShade="D9"/>
            <w:vAlign w:val="bottom"/>
          </w:tcPr>
          <w:p w14:paraId="62E844E0" w14:textId="77777777" w:rsidR="00C26107" w:rsidRPr="00C82D9F" w:rsidRDefault="00C26107" w:rsidP="00EE71E1">
            <w:pPr>
              <w:pStyle w:val="Footer"/>
              <w:ind w:right="397"/>
              <w:jc w:val="right"/>
              <w:rPr>
                <w:rFonts w:ascii="Calibri" w:hAnsi="Calibri" w:cs="Calibri"/>
                <w:b/>
                <w:bCs/>
                <w:color w:val="002060"/>
                <w:sz w:val="14"/>
                <w:szCs w:val="14"/>
                <w:lang w:val="sr-Cyrl-RS"/>
              </w:rPr>
            </w:pPr>
            <w:r w:rsidRPr="00C82D9F">
              <w:rPr>
                <w:rFonts w:ascii="Calibri" w:hAnsi="Calibri" w:cs="Calibri"/>
                <w:b/>
                <w:bCs/>
                <w:color w:val="002060"/>
                <w:sz w:val="14"/>
                <w:szCs w:val="14"/>
                <w:lang w:val="sr-Cyrl-RS"/>
              </w:rPr>
              <w:t>0,0</w:t>
            </w:r>
          </w:p>
        </w:tc>
      </w:tr>
    </w:tbl>
    <w:p w14:paraId="3FCC76FA" w14:textId="77777777" w:rsidR="00C26107" w:rsidRPr="00C26107" w:rsidRDefault="00C26107" w:rsidP="00CC11FD">
      <w:pPr>
        <w:pStyle w:val="Footer"/>
        <w:spacing w:before="40" w:after="60"/>
        <w:ind w:left="57" w:right="57"/>
        <w:rPr>
          <w:rFonts w:cstheme="minorHAnsi"/>
          <w:sz w:val="16"/>
          <w:szCs w:val="16"/>
          <w:lang w:val="sr-Cyrl-RS"/>
        </w:rPr>
      </w:pPr>
      <w:r w:rsidRPr="00C26107">
        <w:rPr>
          <w:rFonts w:cstheme="minorHAnsi"/>
          <w:sz w:val="16"/>
          <w:szCs w:val="16"/>
          <w:lang w:val="sr-Cyrl-RS"/>
        </w:rPr>
        <w:t>У табели је приказан оквирни износ прихода и расхода у 2021.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износи нису законски обавезујући.</w:t>
      </w:r>
    </w:p>
    <w:p w14:paraId="2786DD95" w14:textId="77777777" w:rsidR="00791B25" w:rsidRDefault="00C26107" w:rsidP="00CC11FD">
      <w:pPr>
        <w:pStyle w:val="Footer"/>
        <w:spacing w:before="40" w:after="60"/>
        <w:ind w:left="57" w:right="57"/>
        <w:rPr>
          <w:rFonts w:cstheme="minorHAnsi"/>
          <w:sz w:val="16"/>
          <w:szCs w:val="16"/>
          <w:lang w:val="sr-Cyrl-RS"/>
        </w:rPr>
        <w:sectPr w:rsidR="00791B25" w:rsidSect="00D505DF">
          <w:pgSz w:w="15840" w:h="12240" w:orient="landscape" w:code="1"/>
          <w:pgMar w:top="680" w:right="567" w:bottom="680" w:left="567" w:header="510" w:footer="397" w:gutter="0"/>
          <w:cols w:space="720"/>
          <w:docGrid w:linePitch="360"/>
        </w:sectPr>
      </w:pPr>
      <w:r w:rsidRPr="00C26107">
        <w:rPr>
          <w:rFonts w:cstheme="minorHAnsi"/>
          <w:sz w:val="16"/>
          <w:szCs w:val="16"/>
          <w:lang w:val="sr-Cyrl-RS"/>
        </w:rPr>
        <w:t>* Буџет је приказан без дела сопствених прихода индиректних буџетских корисника и из њих финансираних расхода, који нису обухваћени информационим системом извршења буџета.</w:t>
      </w:r>
    </w:p>
    <w:p w14:paraId="0AAF5AA9" w14:textId="61C9732C" w:rsidR="00791B25" w:rsidRPr="00791B25" w:rsidRDefault="00791B25" w:rsidP="007077DE">
      <w:pPr>
        <w:pStyle w:val="Heading1"/>
        <w:spacing w:after="360"/>
        <w:rPr>
          <w:rFonts w:asciiTheme="minorHAnsi" w:hAnsiTheme="minorHAnsi" w:cstheme="minorHAnsi"/>
          <w:color w:val="002060"/>
          <w:sz w:val="24"/>
          <w:szCs w:val="26"/>
          <w:lang w:val="sr-Cyrl-RS"/>
        </w:rPr>
      </w:pPr>
      <w:bookmarkStart w:id="50" w:name="_Toc56667086"/>
      <w:r w:rsidRPr="00791B25">
        <w:rPr>
          <w:rFonts w:asciiTheme="minorHAnsi" w:hAnsiTheme="minorHAnsi" w:cstheme="minorHAnsi"/>
          <w:color w:val="002060"/>
          <w:sz w:val="24"/>
          <w:szCs w:val="26"/>
          <w:lang w:val="sr-Cyrl-RS"/>
        </w:rPr>
        <w:lastRenderedPageBreak/>
        <w:t xml:space="preserve">Прилог </w:t>
      </w:r>
      <w:r>
        <w:rPr>
          <w:rFonts w:asciiTheme="minorHAnsi" w:hAnsiTheme="minorHAnsi" w:cstheme="minorHAnsi"/>
          <w:color w:val="002060"/>
          <w:sz w:val="24"/>
          <w:szCs w:val="26"/>
          <w:lang w:val="en-GB"/>
        </w:rPr>
        <w:t>3</w:t>
      </w:r>
      <w:r w:rsidRPr="00791B25">
        <w:rPr>
          <w:rFonts w:asciiTheme="minorHAnsi" w:hAnsiTheme="minorHAnsi" w:cstheme="minorHAnsi"/>
          <w:color w:val="002060"/>
          <w:sz w:val="24"/>
          <w:szCs w:val="26"/>
          <w:lang w:val="sr-Cyrl-RS"/>
        </w:rPr>
        <w:t xml:space="preserve"> – Изјашњење на оцену Фискалног савета</w:t>
      </w:r>
      <w:bookmarkEnd w:id="50"/>
    </w:p>
    <w:p w14:paraId="0435B86D" w14:textId="77777777" w:rsidR="00791B25" w:rsidRPr="002E6AEF" w:rsidRDefault="00791B25" w:rsidP="00D01F64">
      <w:pPr>
        <w:ind w:firstLine="720"/>
        <w:rPr>
          <w:lang w:val="sr-Cyrl-RS"/>
        </w:rPr>
      </w:pPr>
      <w:r w:rsidRPr="002E6AEF">
        <w:rPr>
          <w:lang w:val="sr-Cyrl-RS"/>
        </w:rPr>
        <w:t>Имајући у виду мишљење Фискалног савета на Нацрт Фискалне стратегије, износимо изјашњење на најважније оцене Фискалне стратегије.</w:t>
      </w:r>
    </w:p>
    <w:p w14:paraId="1BF0D576" w14:textId="77777777" w:rsidR="00791B25" w:rsidRPr="002E6AEF" w:rsidRDefault="00791B25" w:rsidP="00D01F64">
      <w:pPr>
        <w:ind w:firstLine="720"/>
        <w:rPr>
          <w:rFonts w:cstheme="minorHAnsi"/>
          <w:bCs/>
          <w:szCs w:val="72"/>
          <w:lang w:val="sr-Cyrl-RS"/>
        </w:rPr>
      </w:pPr>
      <w:r w:rsidRPr="002E6AEF">
        <w:rPr>
          <w:rFonts w:cstheme="minorHAnsi"/>
          <w:bCs/>
          <w:szCs w:val="72"/>
          <w:lang w:val="sr-Cyrl-RS"/>
        </w:rPr>
        <w:t>Средњорочна пројекција кретања реалног сектора заснована је на реалистичном приступу, како би фискална политика била адекватно постављена и како не би угрозила досадашња постигнућа. Кретања основних макроекономских агрегата и индикатора за Републику Србију у периоду 2021–2023. година пројектована су на основу актуелних економских трендова и изгледа за Републику Србију и међународно окружење, као и на основу процене ефеката планираних мера економске политике.</w:t>
      </w:r>
    </w:p>
    <w:p w14:paraId="0139DBA0" w14:textId="413335F8" w:rsidR="00791B25" w:rsidRPr="002E6AEF" w:rsidRDefault="00791B25" w:rsidP="00D01F64">
      <w:pPr>
        <w:ind w:firstLine="720"/>
        <w:rPr>
          <w:rFonts w:cstheme="minorHAnsi"/>
          <w:bCs/>
          <w:szCs w:val="72"/>
          <w:lang w:val="sr-Cyrl-RS"/>
        </w:rPr>
      </w:pPr>
      <w:r w:rsidRPr="002E6AEF">
        <w:rPr>
          <w:rFonts w:cstheme="minorHAnsi"/>
          <w:bCs/>
          <w:szCs w:val="72"/>
          <w:lang w:val="sr-Cyrl-RS"/>
        </w:rPr>
        <w:t>За 2021. годину пројектован је реални раст БДП од 6,0% чиме је иницијална пројекција из претходне Фискалне стратегије ревидирана навише за 2,0 п.п. Главни разлог ове ревизије јесте нижа база у 2020. години услед утицаја пандемије на све компоненте БДП</w:t>
      </w:r>
      <w:r w:rsidRPr="002E6AEF">
        <w:rPr>
          <w:rStyle w:val="FootnoteReference"/>
          <w:rFonts w:cstheme="minorHAnsi"/>
          <w:bCs/>
          <w:szCs w:val="72"/>
          <w:lang w:val="sr-Cyrl-RS"/>
        </w:rPr>
        <w:footnoteReference w:id="18"/>
      </w:r>
      <w:r w:rsidRPr="002E6AEF">
        <w:rPr>
          <w:rFonts w:cstheme="minorHAnsi"/>
          <w:bCs/>
          <w:szCs w:val="72"/>
          <w:lang w:val="sr-Cyrl-RS"/>
        </w:rPr>
        <w:t>. Средњорочни макроекономски и фискални сценарио усклађен је са ММФ, у окв</w:t>
      </w:r>
      <w:r w:rsidR="002E6AEF" w:rsidRPr="002E6AEF">
        <w:rPr>
          <w:rFonts w:cstheme="minorHAnsi"/>
          <w:bCs/>
          <w:szCs w:val="72"/>
          <w:lang w:val="sr-Cyrl-RS"/>
        </w:rPr>
        <w:t>иру пете ревизије програма.</w:t>
      </w:r>
    </w:p>
    <w:p w14:paraId="23AB2EBE" w14:textId="27D0F75C" w:rsidR="00791B25" w:rsidRPr="002E6AEF" w:rsidRDefault="00791B25" w:rsidP="00D01F64">
      <w:pPr>
        <w:ind w:firstLine="720"/>
        <w:rPr>
          <w:rFonts w:ascii="Calibri" w:eastAsia="Calibri" w:hAnsi="Calibri" w:cs="Calibri"/>
          <w:szCs w:val="20"/>
          <w:lang w:val="sr-Cyrl-RS"/>
        </w:rPr>
      </w:pPr>
      <w:r w:rsidRPr="002E6AEF">
        <w:rPr>
          <w:rFonts w:cstheme="minorHAnsi"/>
          <w:bCs/>
          <w:szCs w:val="72"/>
          <w:lang w:val="sr-Cyrl-RS"/>
        </w:rPr>
        <w:t>При основном макроекономском сценарију, фискални дефицит од 3%, вратиће дуг на опадајућу путању у 2021. години.</w:t>
      </w:r>
      <w:r w:rsidRPr="002E6AEF">
        <w:rPr>
          <w:rFonts w:ascii="Calibri" w:eastAsia="Calibri" w:hAnsi="Calibri" w:cs="Calibri"/>
          <w:szCs w:val="20"/>
          <w:lang w:val="sr-Cyrl-RS"/>
        </w:rPr>
        <w:t xml:space="preserve"> Процењено једнократно повећање фискалног дефицита на 8,9% БДП у 2020. години (примарни дефицит од 6,9% БДП) утицаће на то да се, до сада, опадајућа путања учешћа јавног дуга у БДП преокрене. Учешће јавног дуга опште државе у БДП</w:t>
      </w:r>
      <w:r w:rsidR="00EC79AA">
        <w:rPr>
          <w:rFonts w:ascii="Calibri" w:eastAsia="Calibri" w:hAnsi="Calibri" w:cs="Calibri"/>
          <w:szCs w:val="20"/>
          <w:lang w:val="sr-Cyrl-RS"/>
        </w:rPr>
        <w:t xml:space="preserve"> ће</w:t>
      </w:r>
      <w:r w:rsidRPr="002E6AEF">
        <w:rPr>
          <w:rFonts w:ascii="Calibri" w:eastAsia="Calibri" w:hAnsi="Calibri" w:cs="Calibri"/>
          <w:szCs w:val="20"/>
          <w:lang w:val="sr-Cyrl-RS"/>
        </w:rPr>
        <w:t xml:space="preserve"> достићи 59% на крају 2020. године. Фискалном стратегијом за наредни средњорочни период предвиђена је стабилизација јавних финансија и значајно мањи нивои дефицита који ће јавни дуг вратити у зону опадајућег тренда. Процес стабилизације јавних финансија ће бити постепен и одмерен како се сувише рестриктивним политикама на би нарушиле претпоставке убрзаног привредног раста.</w:t>
      </w:r>
    </w:p>
    <w:p w14:paraId="792CE98A" w14:textId="25055F8A" w:rsidR="00791B25" w:rsidRPr="002E6AEF" w:rsidRDefault="00791B25" w:rsidP="00D01F64">
      <w:pPr>
        <w:ind w:firstLine="720"/>
        <w:rPr>
          <w:rFonts w:cstheme="minorHAnsi"/>
          <w:bCs/>
          <w:szCs w:val="72"/>
          <w:lang w:val="sr-Cyrl-RS"/>
        </w:rPr>
      </w:pPr>
      <w:r w:rsidRPr="002E6AEF">
        <w:rPr>
          <w:rFonts w:cstheme="minorHAnsi"/>
          <w:bCs/>
          <w:szCs w:val="72"/>
          <w:lang w:val="sr-Cyrl-RS"/>
        </w:rPr>
        <w:t>Ипак, свесни да се централни сценарио раста заснива на претпоставци обуздавања здравствене кризе те неуобичајено високе неизвесности у том погледу, у Фискалној стратегији констатују се и негативни ризици по макроекономски сценарио</w:t>
      </w:r>
      <w:r w:rsidRPr="002E6AEF">
        <w:rPr>
          <w:rStyle w:val="FootnoteReference"/>
          <w:rFonts w:cstheme="minorHAnsi"/>
          <w:bCs/>
          <w:szCs w:val="72"/>
          <w:lang w:val="sr-Cyrl-RS"/>
        </w:rPr>
        <w:footnoteReference w:id="19"/>
      </w:r>
      <w:r w:rsidR="00D01F64" w:rsidRPr="002E6AEF">
        <w:rPr>
          <w:rFonts w:cstheme="minorHAnsi"/>
          <w:bCs/>
          <w:szCs w:val="72"/>
          <w:lang w:val="sr-Cyrl-RS"/>
        </w:rPr>
        <w:t>.</w:t>
      </w:r>
    </w:p>
    <w:p w14:paraId="4B085984" w14:textId="77777777" w:rsidR="00791B25" w:rsidRPr="002E6AEF" w:rsidRDefault="00791B25" w:rsidP="00D01F64">
      <w:pPr>
        <w:ind w:firstLine="720"/>
        <w:rPr>
          <w:rFonts w:cstheme="minorHAnsi"/>
          <w:bCs/>
          <w:szCs w:val="72"/>
          <w:lang w:val="sr-Cyrl-RS"/>
        </w:rPr>
      </w:pPr>
      <w:r w:rsidRPr="002E6AEF">
        <w:rPr>
          <w:rFonts w:cstheme="minorHAnsi"/>
          <w:bCs/>
          <w:szCs w:val="72"/>
          <w:lang w:val="sr-Cyrl-RS"/>
        </w:rPr>
        <w:t>Постојање неизвесности у погледу стабилизације прво здравствене а последично и економске кризе, и у тим условима честих ревизија макроекономских пројекција, могуће су измене у основном сценарију, уколико се не остваре одређене претпоставке на којима је заснован. Пројекције Министарства финансија, у складу са међународном методологијом и праксом, у себи садржи и ризике који могу бити позитивно и негативно симетрични, а при чијој активацији ће пројекције бити ревидиране. Влада је показала да је способна за спровођење мера консолидације када је потребно, те је неосновано оценити да ће прекомерним дефицитом доћи до даљег повећања јавног дуга.</w:t>
      </w:r>
    </w:p>
    <w:p w14:paraId="1A5F0149" w14:textId="772BB3AB" w:rsidR="00791B25" w:rsidRPr="002E6AEF" w:rsidRDefault="00791B25" w:rsidP="00D01F64">
      <w:pPr>
        <w:ind w:firstLine="720"/>
        <w:rPr>
          <w:rFonts w:cstheme="minorHAnsi"/>
          <w:bCs/>
          <w:szCs w:val="72"/>
          <w:lang w:val="sr-Cyrl-RS"/>
        </w:rPr>
      </w:pPr>
      <w:r w:rsidRPr="002E6AEF">
        <w:rPr>
          <w:lang w:val="sr-Cyrl-RS"/>
        </w:rPr>
        <w:t>Расходи за запослене опадају са 10,4% БДП у 2020. години на 10,0%</w:t>
      </w:r>
      <w:r w:rsidR="00EC79AA">
        <w:rPr>
          <w:lang w:val="sr-Cyrl-RS"/>
        </w:rPr>
        <w:t xml:space="preserve"> </w:t>
      </w:r>
      <w:r w:rsidRPr="002E6AEF">
        <w:rPr>
          <w:lang w:val="sr-Cyrl-RS"/>
        </w:rPr>
        <w:t>БДП у 2021.</w:t>
      </w:r>
      <w:r w:rsidR="00EC79AA">
        <w:rPr>
          <w:lang w:val="sr-Cyrl-RS"/>
        </w:rPr>
        <w:t xml:space="preserve"> години</w:t>
      </w:r>
      <w:r w:rsidRPr="002E6AEF">
        <w:rPr>
          <w:lang w:val="sr-Cyrl-RS"/>
        </w:rPr>
        <w:t>, а до краја посматраног периода на 9,6% БДП. Просек расхода за зараде у ЕУ износи око 10% БДП. С обзиром на ограничен фискални простор у наредном периоду зараде ће се повећавати умерено, уз контролу и смањење њиховог учешћа у БДП. Аргумент да су плате у јавном сектору веће за 20% у односу на приватни сектор мора се сагледати у светлу чињенице да је у питању укупан јавни сектор укључујући и јавна предузећа и јавне агенције. Управо ригидна контрола плата у јавном сектору, пре свега у државној администрацији, довела је до тенденције формирања бројних органа и организација које се оснивају у форми јавних агенција, излазе из сектора државе, како зараде не би биле под строгом и ригидном контролом као што је случај у државној и локалној администрацији</w:t>
      </w:r>
      <w:r w:rsidR="00EE7FB0" w:rsidRPr="002E6AEF">
        <w:rPr>
          <w:lang w:val="sr-Cyrl-RS"/>
        </w:rPr>
        <w:t xml:space="preserve">. </w:t>
      </w:r>
      <w:r w:rsidRPr="002E6AEF">
        <w:rPr>
          <w:lang w:val="sr-Cyrl-RS"/>
        </w:rPr>
        <w:t xml:space="preserve">Такође, у претходном периоду било је планирано да нови систем платних разреда за све запослене у јавном сектору (укључујући војску и полицију), односно нови Закон о платама државних </w:t>
      </w:r>
      <w:r w:rsidRPr="002E6AEF">
        <w:rPr>
          <w:lang w:val="sr-Cyrl-RS"/>
        </w:rPr>
        <w:lastRenderedPageBreak/>
        <w:t>службеника и намештеника и измене Уредбе о каталогу радних места у јавним службама и другим организацијама у јавном сектору, буде израђен ове године, како би био спреман за имплементацију с буџетом за 2021. годину. Због познатих околности које су утицале на ток формирања нових органа власти, које би затим учествовале у преговорима о новом систему плата и коефицијената са синдикатима, целокупан процес је одложен за наредну годину. Нови систем платних разреда требало би да буде имплементиран од 2022. године.</w:t>
      </w:r>
    </w:p>
    <w:p w14:paraId="027A3476" w14:textId="2C48A5E1" w:rsidR="00791B25" w:rsidRPr="002E6AEF" w:rsidRDefault="00791B25" w:rsidP="00D01F64">
      <w:pPr>
        <w:ind w:firstLine="720"/>
        <w:rPr>
          <w:rFonts w:ascii="Calibri" w:eastAsia="Calibri" w:hAnsi="Calibri" w:cs="Calibri"/>
          <w:szCs w:val="20"/>
          <w:lang w:val="sr-Cyrl-RS" w:eastAsia="ja-JP"/>
        </w:rPr>
      </w:pPr>
      <w:r w:rsidRPr="002E6AEF">
        <w:rPr>
          <w:lang w:val="sr-Cyrl-RS"/>
        </w:rPr>
        <w:t xml:space="preserve">У Фискалној стратегији констатовано је опредељење Владе да се ојачају фискална правила у циљу стабилизације јавних финансија. </w:t>
      </w:r>
      <w:r w:rsidRPr="002E6AEF">
        <w:rPr>
          <w:rFonts w:ascii="Calibri" w:eastAsia="Calibri" w:hAnsi="Calibri" w:cs="Calibri"/>
          <w:szCs w:val="20"/>
          <w:lang w:val="sr-Cyrl-RS" w:eastAsia="ja-JP"/>
        </w:rPr>
        <w:t>Како би се обезбедила стабилност и одрживост јавних финансија на дужи рок потребан је функционалан систем фискалних правила. Тренутно важећа фискална правила су уведена још 2010. године. Од ове године поново је уведена индексација пензија, где се пензије усклађују коришћењем „швајцарске формулеˮ, уз поштовање лимита од 11% БДП за укупне расходе за пензије. Измена Закона о буџетском систему којом би се, између осталог, ојачала фискална правила, планирано је у 2021. години, са применом од 2022. године, које дефинише ниво дефицита и којим се обезбеђује да ниво јавног дуга буде постављен на силазну путању. Приликом дефинисања новог сета фискалних правила, осим Министарства финансија, активно уче</w:t>
      </w:r>
      <w:r w:rsidR="00D01F64" w:rsidRPr="002E6AEF">
        <w:rPr>
          <w:rFonts w:ascii="Calibri" w:eastAsia="Calibri" w:hAnsi="Calibri" w:cs="Calibri"/>
          <w:szCs w:val="20"/>
          <w:lang w:val="sr-Cyrl-RS" w:eastAsia="ja-JP"/>
        </w:rPr>
        <w:t>шће имаће ММФ и Фискални савет.</w:t>
      </w:r>
    </w:p>
    <w:sectPr w:rsidR="00791B25" w:rsidRPr="002E6AEF" w:rsidSect="007077DE">
      <w:pgSz w:w="12240" w:h="15840" w:code="1"/>
      <w:pgMar w:top="1418" w:right="1418"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B3921A" w14:textId="77777777" w:rsidR="00C13014" w:rsidRDefault="00C13014" w:rsidP="00BF7F6A">
      <w:pPr>
        <w:spacing w:after="0" w:line="240" w:lineRule="auto"/>
      </w:pPr>
      <w:r>
        <w:separator/>
      </w:r>
    </w:p>
  </w:endnote>
  <w:endnote w:type="continuationSeparator" w:id="0">
    <w:p w14:paraId="70063C62" w14:textId="77777777" w:rsidR="00C13014" w:rsidRDefault="00C13014"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2779108"/>
      <w:docPartObj>
        <w:docPartGallery w:val="Page Numbers (Bottom of Page)"/>
        <w:docPartUnique/>
      </w:docPartObj>
    </w:sdtPr>
    <w:sdtEndPr>
      <w:rPr>
        <w:noProof/>
      </w:rPr>
    </w:sdtEndPr>
    <w:sdtContent>
      <w:p w14:paraId="662369E3" w14:textId="1A633953" w:rsidR="0078423E" w:rsidRDefault="0078423E" w:rsidP="00D20C2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7A211B0" w14:textId="77777777" w:rsidR="0078423E" w:rsidRDefault="0078423E">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5586345"/>
      <w:docPartObj>
        <w:docPartGallery w:val="Page Numbers (Bottom of Page)"/>
        <w:docPartUnique/>
      </w:docPartObj>
    </w:sdtPr>
    <w:sdtEndPr>
      <w:rPr>
        <w:noProof/>
      </w:rPr>
    </w:sdtEndPr>
    <w:sdtContent>
      <w:p w14:paraId="127B2647" w14:textId="36DCB80D" w:rsidR="0078423E" w:rsidRDefault="0078423E">
        <w:pPr>
          <w:pStyle w:val="Footer"/>
        </w:pPr>
        <w:r>
          <w:fldChar w:fldCharType="begin"/>
        </w:r>
        <w:r>
          <w:instrText xml:space="preserve"> PAGE   \* MERGEFORMAT </w:instrText>
        </w:r>
        <w:r>
          <w:fldChar w:fldCharType="separate"/>
        </w:r>
        <w:r w:rsidR="009A0267">
          <w:rPr>
            <w:noProof/>
          </w:rPr>
          <w:t>2</w:t>
        </w:r>
        <w:r>
          <w:rPr>
            <w:noProof/>
          </w:rPr>
          <w:fldChar w:fldCharType="end"/>
        </w:r>
      </w:p>
    </w:sdtContent>
  </w:sdt>
  <w:p w14:paraId="197822CC" w14:textId="77777777" w:rsidR="0078423E" w:rsidRDefault="0078423E">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1EB104" w14:textId="77777777" w:rsidR="000766DD" w:rsidRDefault="000766DD">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91268810"/>
      <w:docPartObj>
        <w:docPartGallery w:val="Page Numbers (Bottom of Page)"/>
        <w:docPartUnique/>
      </w:docPartObj>
    </w:sdtPr>
    <w:sdtEndPr>
      <w:rPr>
        <w:noProof/>
      </w:rPr>
    </w:sdtEndPr>
    <w:sdtContent>
      <w:p w14:paraId="0B40D069" w14:textId="77777777" w:rsidR="0078423E" w:rsidRDefault="0078423E" w:rsidP="00D20C27">
        <w:pPr>
          <w:pStyle w:val="Footer"/>
          <w:jc w:val="right"/>
        </w:pPr>
        <w:r>
          <w:fldChar w:fldCharType="begin"/>
        </w:r>
        <w:r>
          <w:instrText xml:space="preserve"> PAGE   \* MERGEFORMAT </w:instrText>
        </w:r>
        <w:r>
          <w:fldChar w:fldCharType="separate"/>
        </w:r>
        <w:r>
          <w:rPr>
            <w:noProof/>
          </w:rPr>
          <w:t>4</w:t>
        </w:r>
        <w:r>
          <w:rPr>
            <w:noProof/>
          </w:rPr>
          <w:fldChar w:fldCharType="end"/>
        </w:r>
      </w:p>
    </w:sdtContent>
  </w:sdt>
  <w:p w14:paraId="508807A3" w14:textId="77777777" w:rsidR="0078423E" w:rsidRDefault="0078423E">
    <w:pPr>
      <w:pStyle w:val="Foote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8190949"/>
      <w:docPartObj>
        <w:docPartGallery w:val="Page Numbers (Bottom of Page)"/>
        <w:docPartUnique/>
      </w:docPartObj>
    </w:sdtPr>
    <w:sdtEndPr>
      <w:rPr>
        <w:noProof/>
      </w:rPr>
    </w:sdtEndPr>
    <w:sdtContent>
      <w:p w14:paraId="6263E603" w14:textId="06B07DC6" w:rsidR="0078423E" w:rsidRDefault="0078423E">
        <w:pPr>
          <w:pStyle w:val="Footer"/>
        </w:pPr>
        <w:r>
          <w:fldChar w:fldCharType="begin"/>
        </w:r>
        <w:r>
          <w:instrText xml:space="preserve"> PAGE   \* MERGEFORMAT </w:instrText>
        </w:r>
        <w:r>
          <w:fldChar w:fldCharType="separate"/>
        </w:r>
        <w:r w:rsidR="009A0267">
          <w:rPr>
            <w:noProof/>
          </w:rPr>
          <w:t>4</w:t>
        </w:r>
        <w:r>
          <w:rPr>
            <w:noProof/>
          </w:rPr>
          <w:fldChar w:fldCharType="end"/>
        </w:r>
      </w:p>
    </w:sdtContent>
  </w:sdt>
  <w:p w14:paraId="2D7BF767" w14:textId="77777777" w:rsidR="0078423E" w:rsidRDefault="0078423E">
    <w:pPr>
      <w:pStyle w:val="Foo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3431757"/>
      <w:docPartObj>
        <w:docPartGallery w:val="Page Numbers (Bottom of Page)"/>
        <w:docPartUnique/>
      </w:docPartObj>
    </w:sdtPr>
    <w:sdtEndPr>
      <w:rPr>
        <w:noProof/>
      </w:rPr>
    </w:sdtEndPr>
    <w:sdtContent>
      <w:p w14:paraId="774B5704" w14:textId="77777777" w:rsidR="0078423E" w:rsidRDefault="0078423E">
        <w:pPr>
          <w:pStyle w:val="Footer"/>
          <w:jc w:val="right"/>
        </w:pPr>
        <w:r>
          <w:fldChar w:fldCharType="begin"/>
        </w:r>
        <w:r>
          <w:instrText xml:space="preserve"> PAGE   \* MERGEFORMAT </w:instrText>
        </w:r>
        <w:r>
          <w:fldChar w:fldCharType="separate"/>
        </w:r>
        <w:r>
          <w:rPr>
            <w:noProof/>
          </w:rPr>
          <w:t>6</w:t>
        </w:r>
        <w:r>
          <w:rPr>
            <w:noProof/>
          </w:rPr>
          <w:fldChar w:fldCharType="end"/>
        </w:r>
      </w:p>
    </w:sdtContent>
  </w:sdt>
  <w:p w14:paraId="2056273F" w14:textId="77777777" w:rsidR="0078423E" w:rsidRDefault="0078423E">
    <w:pPr>
      <w:pStyle w:val="Foote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5547896"/>
      <w:docPartObj>
        <w:docPartGallery w:val="Page Numbers (Bottom of Page)"/>
        <w:docPartUnique/>
      </w:docPartObj>
    </w:sdtPr>
    <w:sdtEndPr>
      <w:rPr>
        <w:noProof/>
      </w:rPr>
    </w:sdtEndPr>
    <w:sdtContent>
      <w:p w14:paraId="547FE25A" w14:textId="11A18489" w:rsidR="0078423E" w:rsidRDefault="0078423E" w:rsidP="00521A99">
        <w:pPr>
          <w:pStyle w:val="Footer"/>
          <w:jc w:val="left"/>
        </w:pPr>
        <w:r>
          <w:fldChar w:fldCharType="begin"/>
        </w:r>
        <w:r>
          <w:instrText xml:space="preserve"> PAGE   \* MERGEFORMAT </w:instrText>
        </w:r>
        <w:r>
          <w:fldChar w:fldCharType="separate"/>
        </w:r>
        <w:r w:rsidR="009A0267">
          <w:rPr>
            <w:noProof/>
          </w:rPr>
          <w:t>5</w:t>
        </w:r>
        <w:r>
          <w:rPr>
            <w:noProof/>
          </w:rPr>
          <w:fldChar w:fldCharType="end"/>
        </w:r>
      </w:p>
    </w:sdtContent>
  </w:sdt>
  <w:p w14:paraId="491B6E96" w14:textId="77777777" w:rsidR="0078423E" w:rsidRDefault="0078423E">
    <w:pPr>
      <w:pStyle w:val="Foote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8068856"/>
      <w:docPartObj>
        <w:docPartGallery w:val="Page Numbers (Bottom of Page)"/>
        <w:docPartUnique/>
      </w:docPartObj>
    </w:sdtPr>
    <w:sdtEndPr>
      <w:rPr>
        <w:noProof/>
      </w:rPr>
    </w:sdtEndPr>
    <w:sdtContent>
      <w:p w14:paraId="1D9CA1E9" w14:textId="77777777" w:rsidR="0078423E" w:rsidRDefault="0078423E">
        <w:pPr>
          <w:pStyle w:val="Footer"/>
          <w:jc w:val="right"/>
        </w:pPr>
        <w:r>
          <w:fldChar w:fldCharType="begin"/>
        </w:r>
        <w:r>
          <w:instrText xml:space="preserve"> PAGE   \* MERGEFORMAT </w:instrText>
        </w:r>
        <w:r>
          <w:fldChar w:fldCharType="separate"/>
        </w:r>
        <w:r>
          <w:rPr>
            <w:noProof/>
          </w:rPr>
          <w:t>14</w:t>
        </w:r>
        <w:r>
          <w:rPr>
            <w:noProof/>
          </w:rPr>
          <w:fldChar w:fldCharType="end"/>
        </w:r>
      </w:p>
    </w:sdtContent>
  </w:sdt>
  <w:p w14:paraId="1CFC1C66" w14:textId="77777777" w:rsidR="0078423E" w:rsidRDefault="0078423E">
    <w:pPr>
      <w:pStyle w:val="Foote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1341562"/>
      <w:docPartObj>
        <w:docPartGallery w:val="Page Numbers (Bottom of Page)"/>
        <w:docPartUnique/>
      </w:docPartObj>
    </w:sdtPr>
    <w:sdtEndPr>
      <w:rPr>
        <w:noProof/>
      </w:rPr>
    </w:sdtEndPr>
    <w:sdtContent>
      <w:p w14:paraId="6199C35A" w14:textId="4B367DCA" w:rsidR="0078423E" w:rsidRDefault="0078423E" w:rsidP="00521A99">
        <w:pPr>
          <w:pStyle w:val="Footer"/>
          <w:jc w:val="left"/>
        </w:pPr>
        <w:r>
          <w:fldChar w:fldCharType="begin"/>
        </w:r>
        <w:r>
          <w:instrText xml:space="preserve"> PAGE   \* MERGEFORMAT </w:instrText>
        </w:r>
        <w:r>
          <w:fldChar w:fldCharType="separate"/>
        </w:r>
        <w:r w:rsidR="009A0267">
          <w:rPr>
            <w:noProof/>
          </w:rPr>
          <w:t>16</w:t>
        </w:r>
        <w:r>
          <w:rPr>
            <w:noProof/>
          </w:rPr>
          <w:fldChar w:fldCharType="end"/>
        </w:r>
      </w:p>
    </w:sdtContent>
  </w:sdt>
  <w:p w14:paraId="62E84EA7" w14:textId="77777777" w:rsidR="0078423E" w:rsidRDefault="0078423E">
    <w:pPr>
      <w:pStyle w:val="Foote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4371492"/>
      <w:docPartObj>
        <w:docPartGallery w:val="Page Numbers (Bottom of Page)"/>
        <w:docPartUnique/>
      </w:docPartObj>
    </w:sdtPr>
    <w:sdtEndPr>
      <w:rPr>
        <w:noProof/>
      </w:rPr>
    </w:sdtEndPr>
    <w:sdtContent>
      <w:p w14:paraId="1258651C" w14:textId="77777777" w:rsidR="0078423E" w:rsidRDefault="0078423E" w:rsidP="00D20C27">
        <w:pPr>
          <w:pStyle w:val="Footer"/>
          <w:jc w:val="right"/>
        </w:pPr>
        <w:r>
          <w:fldChar w:fldCharType="begin"/>
        </w:r>
        <w:r>
          <w:instrText xml:space="preserve"> PAGE   \* MERGEFORMAT </w:instrText>
        </w:r>
        <w:r>
          <w:fldChar w:fldCharType="separate"/>
        </w:r>
        <w:r>
          <w:rPr>
            <w:noProof/>
          </w:rPr>
          <w:t>16</w:t>
        </w:r>
        <w:r>
          <w:rPr>
            <w:noProof/>
          </w:rPr>
          <w:fldChar w:fldCharType="end"/>
        </w:r>
      </w:p>
    </w:sdtContent>
  </w:sdt>
  <w:p w14:paraId="642BA70E" w14:textId="77777777" w:rsidR="0078423E" w:rsidRDefault="0078423E">
    <w:pPr>
      <w:pStyle w:val="Foote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726492"/>
      <w:docPartObj>
        <w:docPartGallery w:val="Page Numbers (Bottom of Page)"/>
        <w:docPartUnique/>
      </w:docPartObj>
    </w:sdtPr>
    <w:sdtEndPr>
      <w:rPr>
        <w:noProof/>
      </w:rPr>
    </w:sdtEndPr>
    <w:sdtContent>
      <w:p w14:paraId="245CF944" w14:textId="3BF7FBB7" w:rsidR="0078423E" w:rsidRDefault="0078423E">
        <w:pPr>
          <w:pStyle w:val="Footer"/>
        </w:pPr>
        <w:r>
          <w:fldChar w:fldCharType="begin"/>
        </w:r>
        <w:r>
          <w:instrText xml:space="preserve"> PAGE   \* MERGEFORMAT </w:instrText>
        </w:r>
        <w:r>
          <w:fldChar w:fldCharType="separate"/>
        </w:r>
        <w:r>
          <w:rPr>
            <w:noProof/>
          </w:rPr>
          <w:t>19</w:t>
        </w:r>
        <w:r>
          <w:rPr>
            <w:noProof/>
          </w:rPr>
          <w:fldChar w:fldCharType="end"/>
        </w:r>
      </w:p>
    </w:sdtContent>
  </w:sdt>
  <w:p w14:paraId="1DD37940" w14:textId="77777777" w:rsidR="0078423E" w:rsidRDefault="0078423E">
    <w:pPr>
      <w:pStyle w:val="Foote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73494557"/>
      <w:docPartObj>
        <w:docPartGallery w:val="Page Numbers (Bottom of Page)"/>
        <w:docPartUnique/>
      </w:docPartObj>
    </w:sdtPr>
    <w:sdtEndPr>
      <w:rPr>
        <w:noProof/>
      </w:rPr>
    </w:sdtEndPr>
    <w:sdtContent>
      <w:p w14:paraId="05BF288D" w14:textId="2FB72592" w:rsidR="0078423E" w:rsidRDefault="0078423E">
        <w:pPr>
          <w:pStyle w:val="Footer"/>
        </w:pPr>
        <w:r>
          <w:fldChar w:fldCharType="begin"/>
        </w:r>
        <w:r>
          <w:instrText xml:space="preserve"> PAGE   \* MERGEFORMAT </w:instrText>
        </w:r>
        <w:r>
          <w:fldChar w:fldCharType="separate"/>
        </w:r>
        <w:r w:rsidR="009A0267">
          <w:rPr>
            <w:noProof/>
          </w:rPr>
          <w:t>19</w:t>
        </w:r>
        <w:r>
          <w:rPr>
            <w:noProof/>
          </w:rPr>
          <w:fldChar w:fldCharType="end"/>
        </w:r>
      </w:p>
    </w:sdtContent>
  </w:sdt>
  <w:p w14:paraId="11835FD9" w14:textId="77777777" w:rsidR="0078423E" w:rsidRPr="00287EFB" w:rsidRDefault="0078423E" w:rsidP="00C130D2">
    <w:pPr>
      <w:pStyle w:val="Footer"/>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6092870"/>
      <w:docPartObj>
        <w:docPartGallery w:val="Page Numbers (Bottom of Page)"/>
        <w:docPartUnique/>
      </w:docPartObj>
    </w:sdtPr>
    <w:sdtEndPr>
      <w:rPr>
        <w:noProof/>
      </w:rPr>
    </w:sdtEndPr>
    <w:sdtContent>
      <w:p w14:paraId="5261F0E7" w14:textId="77777777" w:rsidR="0078423E" w:rsidRDefault="0078423E">
        <w:pPr>
          <w:pStyle w:val="Footer"/>
          <w:jc w:val="right"/>
        </w:pPr>
        <w:r>
          <w:fldChar w:fldCharType="begin"/>
        </w:r>
        <w:r>
          <w:instrText xml:space="preserve"> PAGE   \* MERGEFORMAT </w:instrText>
        </w:r>
        <w:r>
          <w:fldChar w:fldCharType="separate"/>
        </w:r>
        <w:r>
          <w:rPr>
            <w:noProof/>
          </w:rPr>
          <w:t>20</w:t>
        </w:r>
        <w:r>
          <w:rPr>
            <w:noProof/>
          </w:rPr>
          <w:fldChar w:fldCharType="end"/>
        </w:r>
      </w:p>
    </w:sdtContent>
  </w:sdt>
  <w:p w14:paraId="1263BA7E" w14:textId="77777777" w:rsidR="0078423E" w:rsidRDefault="0078423E">
    <w:pPr>
      <w:pStyle w:val="Footer"/>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6097003"/>
      <w:docPartObj>
        <w:docPartGallery w:val="Page Numbers (Bottom of Page)"/>
        <w:docPartUnique/>
      </w:docPartObj>
    </w:sdtPr>
    <w:sdtEndPr>
      <w:rPr>
        <w:noProof/>
      </w:rPr>
    </w:sdtEndPr>
    <w:sdtContent>
      <w:p w14:paraId="7D6EE6DB" w14:textId="671C119E" w:rsidR="0078423E" w:rsidRPr="001B7E15" w:rsidRDefault="0078423E" w:rsidP="00C130D2">
        <w:pPr>
          <w:pStyle w:val="Footer"/>
        </w:pPr>
        <w:r w:rsidRPr="001B7E15">
          <w:fldChar w:fldCharType="begin"/>
        </w:r>
        <w:r w:rsidRPr="001B7E15">
          <w:instrText xml:space="preserve"> PAGE   \* MERGEFORMAT </w:instrText>
        </w:r>
        <w:r w:rsidRPr="001B7E15">
          <w:fldChar w:fldCharType="separate"/>
        </w:r>
        <w:r w:rsidR="009A0267">
          <w:rPr>
            <w:noProof/>
          </w:rPr>
          <w:t>20</w:t>
        </w:r>
        <w:r w:rsidRPr="001B7E15">
          <w:rPr>
            <w:noProof/>
          </w:rPr>
          <w:fldChar w:fldCharType="end"/>
        </w:r>
      </w:p>
    </w:sdtContent>
  </w:sdt>
  <w:p w14:paraId="229B6515" w14:textId="77777777" w:rsidR="0078423E" w:rsidRPr="001B7E15" w:rsidRDefault="0078423E">
    <w:pPr>
      <w:pStyle w:val="Footer"/>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398396"/>
      <w:docPartObj>
        <w:docPartGallery w:val="Page Numbers (Bottom of Page)"/>
        <w:docPartUnique/>
      </w:docPartObj>
    </w:sdtPr>
    <w:sdtEndPr>
      <w:rPr>
        <w:noProof/>
      </w:rPr>
    </w:sdtEndPr>
    <w:sdtContent>
      <w:p w14:paraId="2F9F4654" w14:textId="77777777" w:rsidR="0078423E" w:rsidRDefault="0078423E" w:rsidP="00D20C27">
        <w:pPr>
          <w:pStyle w:val="Footer"/>
          <w:jc w:val="right"/>
        </w:pPr>
        <w:r>
          <w:fldChar w:fldCharType="begin"/>
        </w:r>
        <w:r>
          <w:instrText xml:space="preserve"> PAGE   \* MERGEFORMAT </w:instrText>
        </w:r>
        <w:r>
          <w:fldChar w:fldCharType="separate"/>
        </w:r>
        <w:r>
          <w:rPr>
            <w:noProof/>
          </w:rPr>
          <w:t>4</w:t>
        </w:r>
        <w:r>
          <w:rPr>
            <w:noProof/>
          </w:rPr>
          <w:fldChar w:fldCharType="end"/>
        </w:r>
      </w:p>
    </w:sdtContent>
  </w:sdt>
  <w:p w14:paraId="0C59C28F" w14:textId="77777777" w:rsidR="0078423E" w:rsidRDefault="0078423E">
    <w:pPr>
      <w:pStyle w:val="Footer"/>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2442920"/>
      <w:docPartObj>
        <w:docPartGallery w:val="Page Numbers (Bottom of Page)"/>
        <w:docPartUnique/>
      </w:docPartObj>
    </w:sdtPr>
    <w:sdtEndPr>
      <w:rPr>
        <w:noProof/>
      </w:rPr>
    </w:sdtEndPr>
    <w:sdtContent>
      <w:p w14:paraId="3E66DBE3" w14:textId="48C0E95E" w:rsidR="0078423E" w:rsidRDefault="0078423E">
        <w:pPr>
          <w:pStyle w:val="Footer"/>
        </w:pPr>
        <w:r>
          <w:fldChar w:fldCharType="begin"/>
        </w:r>
        <w:r>
          <w:instrText xml:space="preserve"> PAGE   \* MERGEFORMAT </w:instrText>
        </w:r>
        <w:r>
          <w:fldChar w:fldCharType="separate"/>
        </w:r>
        <w:r w:rsidR="009A0267">
          <w:rPr>
            <w:noProof/>
          </w:rPr>
          <w:t>27</w:t>
        </w:r>
        <w:r>
          <w:rPr>
            <w:noProof/>
          </w:rPr>
          <w:fldChar w:fldCharType="end"/>
        </w:r>
      </w:p>
    </w:sdtContent>
  </w:sdt>
  <w:p w14:paraId="0B0E7028" w14:textId="77777777" w:rsidR="0078423E" w:rsidRDefault="0078423E">
    <w:pPr>
      <w:pStyle w:val="Footer"/>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0244971"/>
      <w:docPartObj>
        <w:docPartGallery w:val="Page Numbers (Bottom of Page)"/>
        <w:docPartUnique/>
      </w:docPartObj>
    </w:sdtPr>
    <w:sdtEndPr>
      <w:rPr>
        <w:noProof/>
      </w:rPr>
    </w:sdtEndPr>
    <w:sdtContent>
      <w:p w14:paraId="09C2B49E" w14:textId="77777777" w:rsidR="0078423E" w:rsidRDefault="0078423E" w:rsidP="00D20C27">
        <w:pPr>
          <w:pStyle w:val="Footer"/>
          <w:jc w:val="right"/>
        </w:pPr>
        <w:r>
          <w:fldChar w:fldCharType="begin"/>
        </w:r>
        <w:r>
          <w:instrText xml:space="preserve"> PAGE   \* MERGEFORMAT </w:instrText>
        </w:r>
        <w:r>
          <w:fldChar w:fldCharType="separate"/>
        </w:r>
        <w:r>
          <w:rPr>
            <w:noProof/>
          </w:rPr>
          <w:t>28</w:t>
        </w:r>
        <w:r>
          <w:rPr>
            <w:noProof/>
          </w:rPr>
          <w:fldChar w:fldCharType="end"/>
        </w:r>
      </w:p>
    </w:sdtContent>
  </w:sdt>
  <w:p w14:paraId="0D97CC12" w14:textId="77777777" w:rsidR="0078423E" w:rsidRDefault="0078423E">
    <w:pPr>
      <w:pStyle w:val="Footer"/>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9482075"/>
      <w:docPartObj>
        <w:docPartGallery w:val="Page Numbers (Bottom of Page)"/>
        <w:docPartUnique/>
      </w:docPartObj>
    </w:sdtPr>
    <w:sdtEndPr>
      <w:rPr>
        <w:noProof/>
      </w:rPr>
    </w:sdtEndPr>
    <w:sdtContent>
      <w:p w14:paraId="2BDF3641" w14:textId="56F713D0" w:rsidR="0078423E" w:rsidRDefault="0078423E">
        <w:pPr>
          <w:pStyle w:val="Footer"/>
        </w:pPr>
        <w:r>
          <w:fldChar w:fldCharType="begin"/>
        </w:r>
        <w:r>
          <w:instrText xml:space="preserve"> PAGE   \* MERGEFORMAT </w:instrText>
        </w:r>
        <w:r>
          <w:fldChar w:fldCharType="separate"/>
        </w:r>
        <w:r w:rsidR="009A0267">
          <w:rPr>
            <w:noProof/>
          </w:rPr>
          <w:t>28</w:t>
        </w:r>
        <w:r>
          <w:rPr>
            <w:noProof/>
          </w:rPr>
          <w:fldChar w:fldCharType="end"/>
        </w:r>
      </w:p>
    </w:sdtContent>
  </w:sdt>
  <w:p w14:paraId="2D312771" w14:textId="77777777" w:rsidR="0078423E" w:rsidRDefault="0078423E">
    <w:pPr>
      <w:pStyle w:val="Footer"/>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0836293"/>
      <w:docPartObj>
        <w:docPartGallery w:val="Page Numbers (Bottom of Page)"/>
        <w:docPartUnique/>
      </w:docPartObj>
    </w:sdtPr>
    <w:sdtEndPr>
      <w:rPr>
        <w:noProof/>
      </w:rPr>
    </w:sdtEndPr>
    <w:sdtContent>
      <w:p w14:paraId="348F662F" w14:textId="77777777" w:rsidR="0078423E" w:rsidRPr="001B7E15" w:rsidRDefault="0078423E" w:rsidP="00D20C27">
        <w:pPr>
          <w:pStyle w:val="Footer"/>
          <w:jc w:val="right"/>
        </w:pPr>
        <w:r w:rsidRPr="001B7E15">
          <w:fldChar w:fldCharType="begin"/>
        </w:r>
        <w:r w:rsidRPr="001B7E15">
          <w:instrText xml:space="preserve"> PAGE   \* MERGEFORMAT </w:instrText>
        </w:r>
        <w:r w:rsidRPr="001B7E15">
          <w:fldChar w:fldCharType="separate"/>
        </w:r>
        <w:r>
          <w:rPr>
            <w:noProof/>
          </w:rPr>
          <w:t>28</w:t>
        </w:r>
        <w:r w:rsidRPr="001B7E15">
          <w:rPr>
            <w:noProof/>
          </w:rPr>
          <w:fldChar w:fldCharType="end"/>
        </w:r>
      </w:p>
    </w:sdtContent>
  </w:sdt>
  <w:p w14:paraId="7C4FF169" w14:textId="77777777" w:rsidR="0078423E" w:rsidRPr="001B7E15" w:rsidRDefault="0078423E">
    <w:pPr>
      <w:pStyle w:val="Footer"/>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5523031"/>
      <w:docPartObj>
        <w:docPartGallery w:val="Page Numbers (Bottom of Page)"/>
        <w:docPartUnique/>
      </w:docPartObj>
    </w:sdtPr>
    <w:sdtEndPr/>
    <w:sdtContent>
      <w:sdt>
        <w:sdtPr>
          <w:id w:val="112323529"/>
          <w:docPartObj>
            <w:docPartGallery w:val="Page Numbers (Bottom of Page)"/>
            <w:docPartUnique/>
          </w:docPartObj>
        </w:sdtPr>
        <w:sdtEndPr/>
        <w:sdtContent>
          <w:p w14:paraId="2806C2F0" w14:textId="62164EFE" w:rsidR="0078423E" w:rsidRPr="001476C8" w:rsidRDefault="0078423E" w:rsidP="007F1E4F">
            <w:pPr>
              <w:pStyle w:val="Footer"/>
              <w:jc w:val="left"/>
            </w:pPr>
            <w:r w:rsidRPr="001476C8">
              <w:fldChar w:fldCharType="begin"/>
            </w:r>
            <w:r w:rsidRPr="001476C8">
              <w:instrText xml:space="preserve"> PAGE   \* MERGEFORMAT </w:instrText>
            </w:r>
            <w:r w:rsidRPr="001476C8">
              <w:fldChar w:fldCharType="separate"/>
            </w:r>
            <w:r w:rsidR="009A0267">
              <w:rPr>
                <w:noProof/>
              </w:rPr>
              <w:t>29</w:t>
            </w:r>
            <w:r w:rsidRPr="001476C8">
              <w:fldChar w:fldCharType="end"/>
            </w:r>
          </w:p>
        </w:sdtContent>
      </w:sdt>
    </w:sdtContent>
  </w:sdt>
  <w:p w14:paraId="267145DC" w14:textId="77777777" w:rsidR="0078423E" w:rsidRPr="004F72C4" w:rsidRDefault="0078423E" w:rsidP="004F72C4">
    <w:pPr>
      <w:pStyle w:val="Footer"/>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8862087"/>
      <w:docPartObj>
        <w:docPartGallery w:val="Page Numbers (Bottom of Page)"/>
        <w:docPartUnique/>
      </w:docPartObj>
    </w:sdtPr>
    <w:sdtEndPr>
      <w:rPr>
        <w:noProof/>
      </w:rPr>
    </w:sdtEndPr>
    <w:sdtContent>
      <w:p w14:paraId="771B049C"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628CCD9B" w14:textId="77777777" w:rsidR="0078423E" w:rsidRPr="00231623" w:rsidRDefault="0078423E" w:rsidP="00231623">
    <w:pPr>
      <w:pStyle w:val="Footer"/>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4654684"/>
      <w:docPartObj>
        <w:docPartGallery w:val="Page Numbers (Bottom of Page)"/>
        <w:docPartUnique/>
      </w:docPartObj>
    </w:sdtPr>
    <w:sdtEndPr>
      <w:rPr>
        <w:noProof/>
      </w:rPr>
    </w:sdtEndPr>
    <w:sdtContent>
      <w:p w14:paraId="1A08B119" w14:textId="3A0077B7" w:rsidR="0078423E" w:rsidRPr="001B7E15" w:rsidRDefault="0078423E" w:rsidP="00C130D2">
        <w:pPr>
          <w:pStyle w:val="Footer"/>
        </w:pPr>
        <w:r w:rsidRPr="001B7E15">
          <w:fldChar w:fldCharType="begin"/>
        </w:r>
        <w:r w:rsidRPr="001B7E15">
          <w:instrText xml:space="preserve"> PAGE   \* MERGEFORMAT </w:instrText>
        </w:r>
        <w:r w:rsidRPr="001B7E15">
          <w:fldChar w:fldCharType="separate"/>
        </w:r>
        <w:r w:rsidR="009A0267">
          <w:rPr>
            <w:noProof/>
          </w:rPr>
          <w:t>30</w:t>
        </w:r>
        <w:r w:rsidRPr="001B7E15">
          <w:rPr>
            <w:noProof/>
          </w:rPr>
          <w:fldChar w:fldCharType="end"/>
        </w:r>
      </w:p>
    </w:sdtContent>
  </w:sdt>
  <w:p w14:paraId="5A7ED416" w14:textId="77777777" w:rsidR="0078423E" w:rsidRPr="00725FF8" w:rsidRDefault="0078423E" w:rsidP="00C130D2">
    <w:pPr>
      <w:pStyle w:val="Footer"/>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9655436"/>
      <w:docPartObj>
        <w:docPartGallery w:val="Page Numbers (Bottom of Page)"/>
        <w:docPartUnique/>
      </w:docPartObj>
    </w:sdtPr>
    <w:sdtEndPr>
      <w:rPr>
        <w:noProof/>
      </w:rPr>
    </w:sdtEndPr>
    <w:sdtContent>
      <w:p w14:paraId="4686D9F6"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3E649FC3" w14:textId="77777777" w:rsidR="0078423E" w:rsidRPr="00231623" w:rsidRDefault="0078423E" w:rsidP="00231623">
    <w:pPr>
      <w:pStyle w:val="Footer"/>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00613188"/>
      <w:docPartObj>
        <w:docPartGallery w:val="Page Numbers (Bottom of Page)"/>
        <w:docPartUnique/>
      </w:docPartObj>
    </w:sdtPr>
    <w:sdtEndPr>
      <w:rPr>
        <w:noProof/>
      </w:rPr>
    </w:sdtEndPr>
    <w:sdtContent>
      <w:p w14:paraId="209EB8F4" w14:textId="1C31F12A" w:rsidR="0078423E" w:rsidRPr="001B7E15" w:rsidRDefault="0078423E" w:rsidP="00C130D2">
        <w:pPr>
          <w:pStyle w:val="Footer"/>
        </w:pPr>
        <w:r w:rsidRPr="001B7E15">
          <w:fldChar w:fldCharType="begin"/>
        </w:r>
        <w:r w:rsidRPr="001B7E15">
          <w:instrText xml:space="preserve"> PAGE   \* MERGEFORMAT </w:instrText>
        </w:r>
        <w:r w:rsidRPr="001B7E15">
          <w:fldChar w:fldCharType="separate"/>
        </w:r>
        <w:r w:rsidR="009A0267">
          <w:rPr>
            <w:noProof/>
          </w:rPr>
          <w:t>31</w:t>
        </w:r>
        <w:r w:rsidRPr="001B7E15">
          <w:rPr>
            <w:noProof/>
          </w:rPr>
          <w:fldChar w:fldCharType="end"/>
        </w:r>
      </w:p>
    </w:sdtContent>
  </w:sdt>
  <w:p w14:paraId="042A2590" w14:textId="77777777" w:rsidR="0078423E" w:rsidRPr="00725FF8" w:rsidRDefault="0078423E" w:rsidP="00C130D2">
    <w:pPr>
      <w:pStyle w:val="Footer"/>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6631356"/>
      <w:docPartObj>
        <w:docPartGallery w:val="Page Numbers (Bottom of Page)"/>
        <w:docPartUnique/>
      </w:docPartObj>
    </w:sdtPr>
    <w:sdtEndPr>
      <w:rPr>
        <w:noProof/>
      </w:rPr>
    </w:sdtEndPr>
    <w:sdtContent>
      <w:p w14:paraId="7CBD2E97"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00B14933" w14:textId="77777777" w:rsidR="0078423E" w:rsidRPr="00231623" w:rsidRDefault="0078423E" w:rsidP="00231623">
    <w:pPr>
      <w:pStyle w:val="Footer"/>
    </w:pP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5234439"/>
      <w:docPartObj>
        <w:docPartGallery w:val="Page Numbers (Bottom of Page)"/>
        <w:docPartUnique/>
      </w:docPartObj>
    </w:sdtPr>
    <w:sdtEndPr>
      <w:rPr>
        <w:noProof/>
      </w:rPr>
    </w:sdtEndPr>
    <w:sdtContent>
      <w:p w14:paraId="5CAC349F" w14:textId="4166DEC6" w:rsidR="0078423E" w:rsidRPr="001B7E15" w:rsidRDefault="0078423E" w:rsidP="00C130D2">
        <w:pPr>
          <w:pStyle w:val="Footer"/>
        </w:pPr>
        <w:r w:rsidRPr="001B7E15">
          <w:fldChar w:fldCharType="begin"/>
        </w:r>
        <w:r w:rsidRPr="001B7E15">
          <w:instrText xml:space="preserve"> PAGE   \* MERGEFORMAT </w:instrText>
        </w:r>
        <w:r w:rsidRPr="001B7E15">
          <w:fldChar w:fldCharType="separate"/>
        </w:r>
        <w:r w:rsidR="009A0267">
          <w:rPr>
            <w:noProof/>
          </w:rPr>
          <w:t>39</w:t>
        </w:r>
        <w:r w:rsidRPr="001B7E15">
          <w:rPr>
            <w:noProof/>
          </w:rPr>
          <w:fldChar w:fldCharType="end"/>
        </w:r>
      </w:p>
    </w:sdtContent>
  </w:sdt>
  <w:p w14:paraId="556B90AA" w14:textId="77777777" w:rsidR="0078423E" w:rsidRPr="00725FF8" w:rsidRDefault="0078423E" w:rsidP="00C130D2">
    <w:pPr>
      <w:pStyle w:val="Footer"/>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4798950"/>
      <w:docPartObj>
        <w:docPartGallery w:val="Page Numbers (Bottom of Page)"/>
        <w:docPartUnique/>
      </w:docPartObj>
    </w:sdtPr>
    <w:sdtEndPr>
      <w:rPr>
        <w:noProof/>
      </w:rPr>
    </w:sdtEndPr>
    <w:sdtContent>
      <w:p w14:paraId="759F8EDD"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5389805" w14:textId="77777777" w:rsidR="0078423E" w:rsidRPr="00231623" w:rsidRDefault="0078423E" w:rsidP="00C130D2">
    <w:pPr>
      <w:pStyle w:val="Footer"/>
    </w:pP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4502654"/>
      <w:docPartObj>
        <w:docPartGallery w:val="Page Numbers (Bottom of Page)"/>
        <w:docPartUnique/>
      </w:docPartObj>
    </w:sdtPr>
    <w:sdtEndPr>
      <w:rPr>
        <w:noProof/>
      </w:rPr>
    </w:sdtEndPr>
    <w:sdtContent>
      <w:p w14:paraId="365B3D70" w14:textId="610AD83D" w:rsidR="0078423E"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9A0267">
          <w:rPr>
            <w:noProof/>
          </w:rPr>
          <w:t>41</w:t>
        </w:r>
        <w:r w:rsidRPr="001B7E15">
          <w:rPr>
            <w:noProof/>
          </w:rPr>
          <w:fldChar w:fldCharType="end"/>
        </w:r>
      </w:p>
    </w:sdtContent>
  </w:sdt>
  <w:p w14:paraId="6550C6E1" w14:textId="77777777" w:rsidR="0078423E" w:rsidRPr="00956C60" w:rsidRDefault="0078423E" w:rsidP="00956C60">
    <w:pPr>
      <w:pStyle w:val="Footer"/>
    </w:pP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17582342"/>
      <w:docPartObj>
        <w:docPartGallery w:val="Page Numbers (Bottom of Page)"/>
        <w:docPartUnique/>
      </w:docPartObj>
    </w:sdtPr>
    <w:sdtEndPr>
      <w:rPr>
        <w:noProof/>
      </w:rPr>
    </w:sdtEndPr>
    <w:sdtContent>
      <w:p w14:paraId="7A66F4D1"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5ACAFB86" w14:textId="77777777" w:rsidR="0078423E" w:rsidRPr="00231623" w:rsidRDefault="0078423E" w:rsidP="00C130D2">
    <w:pPr>
      <w:pStyle w:val="Footer"/>
    </w:pP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6519983"/>
      <w:docPartObj>
        <w:docPartGallery w:val="Page Numbers (Bottom of Page)"/>
        <w:docPartUnique/>
      </w:docPartObj>
    </w:sdtPr>
    <w:sdtEndPr>
      <w:rPr>
        <w:noProof/>
      </w:rPr>
    </w:sdtEndPr>
    <w:sdtContent>
      <w:p w14:paraId="4255D1C8" w14:textId="66A457D4" w:rsidR="0078423E"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9A0267">
          <w:rPr>
            <w:noProof/>
          </w:rPr>
          <w:t>52</w:t>
        </w:r>
        <w:r w:rsidRPr="001B7E15">
          <w:rPr>
            <w:noProof/>
          </w:rPr>
          <w:fldChar w:fldCharType="end"/>
        </w:r>
      </w:p>
    </w:sdtContent>
  </w:sdt>
  <w:p w14:paraId="715DCABB" w14:textId="77777777" w:rsidR="0078423E" w:rsidRPr="00956C60" w:rsidRDefault="0078423E" w:rsidP="00956C60">
    <w:pPr>
      <w:pStyle w:val="Footer"/>
    </w:pPr>
  </w:p>
</w:ftr>
</file>

<file path=word/footer3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6682961"/>
      <w:docPartObj>
        <w:docPartGallery w:val="Page Numbers (Bottom of Page)"/>
        <w:docPartUnique/>
      </w:docPartObj>
    </w:sdtPr>
    <w:sdtEndPr>
      <w:rPr>
        <w:noProof/>
      </w:rPr>
    </w:sdtEndPr>
    <w:sdtContent>
      <w:p w14:paraId="6F85ACEC"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7647CEFF" w14:textId="77777777" w:rsidR="0078423E" w:rsidRPr="00231623" w:rsidRDefault="0078423E" w:rsidP="00C130D2">
    <w:pPr>
      <w:pStyle w:val="Footer"/>
    </w:pPr>
  </w:p>
</w:ftr>
</file>

<file path=word/footer3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1336439"/>
      <w:docPartObj>
        <w:docPartGallery w:val="Page Numbers (Bottom of Page)"/>
        <w:docPartUnique/>
      </w:docPartObj>
    </w:sdtPr>
    <w:sdtEndPr>
      <w:rPr>
        <w:noProof/>
      </w:rPr>
    </w:sdtEndPr>
    <w:sdtContent>
      <w:p w14:paraId="260F5639" w14:textId="4C75D62A" w:rsidR="0078423E" w:rsidRDefault="0078423E" w:rsidP="00C130D2">
        <w:pPr>
          <w:pStyle w:val="Footer"/>
          <w:rPr>
            <w:noProof/>
          </w:rPr>
        </w:pPr>
        <w:r w:rsidRPr="001B7E15">
          <w:fldChar w:fldCharType="begin"/>
        </w:r>
        <w:r w:rsidRPr="001B7E15">
          <w:instrText xml:space="preserve"> PAGE   \* MERGEFORMAT </w:instrText>
        </w:r>
        <w:r w:rsidRPr="001B7E15">
          <w:fldChar w:fldCharType="separate"/>
        </w:r>
        <w:r>
          <w:rPr>
            <w:noProof/>
          </w:rPr>
          <w:t>60</w:t>
        </w:r>
        <w:r w:rsidRPr="001B7E15">
          <w:rPr>
            <w:noProof/>
          </w:rPr>
          <w:fldChar w:fldCharType="end"/>
        </w:r>
      </w:p>
    </w:sdtContent>
  </w:sdt>
  <w:p w14:paraId="356B8972" w14:textId="77777777" w:rsidR="0078423E" w:rsidRPr="00956C60" w:rsidRDefault="0078423E" w:rsidP="00956C60">
    <w:pPr>
      <w:pStyle w:val="Footer"/>
    </w:pPr>
  </w:p>
</w:ftr>
</file>

<file path=word/footer3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0594641"/>
      <w:docPartObj>
        <w:docPartGallery w:val="Page Numbers (Bottom of Page)"/>
        <w:docPartUnique/>
      </w:docPartObj>
    </w:sdtPr>
    <w:sdtEndPr>
      <w:rPr>
        <w:noProof/>
      </w:rPr>
    </w:sdtEndPr>
    <w:sdtContent>
      <w:p w14:paraId="0BAD3761"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0F3246DA" w14:textId="77777777" w:rsidR="0078423E" w:rsidRPr="00231623" w:rsidRDefault="0078423E" w:rsidP="00C130D2">
    <w:pPr>
      <w:pStyle w:val="Footer"/>
    </w:pPr>
  </w:p>
</w:ftr>
</file>

<file path=word/footer3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1081999"/>
      <w:docPartObj>
        <w:docPartGallery w:val="Page Numbers (Bottom of Page)"/>
        <w:docPartUnique/>
      </w:docPartObj>
    </w:sdtPr>
    <w:sdtEndPr>
      <w:rPr>
        <w:noProof/>
      </w:rPr>
    </w:sdtEndPr>
    <w:sdtContent>
      <w:p w14:paraId="7F7CF478" w14:textId="544D6995" w:rsidR="0078423E"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9A0267">
          <w:rPr>
            <w:noProof/>
          </w:rPr>
          <w:t>59</w:t>
        </w:r>
        <w:r w:rsidRPr="001B7E15">
          <w:rPr>
            <w:noProof/>
          </w:rPr>
          <w:fldChar w:fldCharType="end"/>
        </w:r>
      </w:p>
    </w:sdtContent>
  </w:sdt>
  <w:p w14:paraId="77BB9321" w14:textId="77777777" w:rsidR="0078423E" w:rsidRPr="00956C60" w:rsidRDefault="0078423E" w:rsidP="00956C60">
    <w:pPr>
      <w:pStyle w:val="Footer"/>
    </w:pPr>
  </w:p>
</w:ftr>
</file>

<file path=word/footer3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1031986"/>
      <w:docPartObj>
        <w:docPartGallery w:val="Page Numbers (Bottom of Page)"/>
        <w:docPartUnique/>
      </w:docPartObj>
    </w:sdtPr>
    <w:sdtEndPr>
      <w:rPr>
        <w:noProof/>
      </w:rPr>
    </w:sdtEndPr>
    <w:sdtContent>
      <w:p w14:paraId="65A26902" w14:textId="77777777" w:rsidR="0078423E" w:rsidRPr="001B7E15"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12</w:t>
        </w:r>
        <w:r w:rsidRPr="001B7E15">
          <w:rPr>
            <w:noProof/>
          </w:rPr>
          <w:fldChar w:fldCharType="end"/>
        </w:r>
      </w:p>
    </w:sdtContent>
  </w:sdt>
  <w:p w14:paraId="22A362CC" w14:textId="77777777" w:rsidR="0078423E" w:rsidRPr="00231623" w:rsidRDefault="0078423E" w:rsidP="00C130D2">
    <w:pPr>
      <w:pStyle w:val="Footer"/>
    </w:pPr>
  </w:p>
</w:ftr>
</file>

<file path=word/footer3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7707117"/>
      <w:docPartObj>
        <w:docPartGallery w:val="Page Numbers (Bottom of Page)"/>
        <w:docPartUnique/>
      </w:docPartObj>
    </w:sdtPr>
    <w:sdtEndPr>
      <w:rPr>
        <w:noProof/>
      </w:rPr>
    </w:sdtEndPr>
    <w:sdtContent>
      <w:p w14:paraId="564828D3" w14:textId="6AFC3B35" w:rsidR="0078423E"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9A0267">
          <w:rPr>
            <w:noProof/>
          </w:rPr>
          <w:t>72</w:t>
        </w:r>
        <w:r w:rsidRPr="001B7E15">
          <w:rPr>
            <w:noProof/>
          </w:rPr>
          <w:fldChar w:fldCharType="end"/>
        </w:r>
      </w:p>
    </w:sdtContent>
  </w:sdt>
  <w:p w14:paraId="29531C5E" w14:textId="77777777" w:rsidR="0078423E" w:rsidRPr="00956C60" w:rsidRDefault="0078423E" w:rsidP="00956C60">
    <w:pPr>
      <w:pStyle w:val="Footer"/>
    </w:pPr>
  </w:p>
</w:ftr>
</file>

<file path=word/footer3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4474617"/>
      <w:docPartObj>
        <w:docPartGallery w:val="Page Numbers (Bottom of Page)"/>
        <w:docPartUnique/>
      </w:docPartObj>
    </w:sdtPr>
    <w:sdtEndPr>
      <w:rPr>
        <w:noProof/>
      </w:rPr>
    </w:sdtEndPr>
    <w:sdtContent>
      <w:sdt>
        <w:sdtPr>
          <w:id w:val="-361831365"/>
          <w:docPartObj>
            <w:docPartGallery w:val="Page Numbers (Bottom of Page)"/>
            <w:docPartUnique/>
          </w:docPartObj>
        </w:sdtPr>
        <w:sdtEndPr>
          <w:rPr>
            <w:noProof/>
          </w:rPr>
        </w:sdtEndPr>
        <w:sdtContent>
          <w:p w14:paraId="32BFEFD3" w14:textId="77777777" w:rsidR="0078423E" w:rsidRPr="00F061F2"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18</w:t>
            </w:r>
            <w:r w:rsidRPr="001B7E15">
              <w:rPr>
                <w:noProof/>
              </w:rPr>
              <w:fldChar w:fldCharType="end"/>
            </w:r>
          </w:p>
        </w:sdtContent>
      </w:sdt>
    </w:sdtContent>
  </w:sdt>
  <w:p w14:paraId="086047C0" w14:textId="77777777" w:rsidR="0078423E" w:rsidRDefault="0078423E" w:rsidP="00542CA2">
    <w:pPr>
      <w:spacing w:after="0"/>
    </w:pPr>
  </w:p>
</w:ftr>
</file>

<file path=word/footer3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8631820"/>
      <w:docPartObj>
        <w:docPartGallery w:val="Page Numbers (Bottom of Page)"/>
        <w:docPartUnique/>
      </w:docPartObj>
    </w:sdtPr>
    <w:sdtEndPr>
      <w:rPr>
        <w:noProof/>
      </w:rPr>
    </w:sdtEndPr>
    <w:sdtContent>
      <w:sdt>
        <w:sdtPr>
          <w:id w:val="202532828"/>
          <w:docPartObj>
            <w:docPartGallery w:val="Page Numbers (Bottom of Page)"/>
            <w:docPartUnique/>
          </w:docPartObj>
        </w:sdtPr>
        <w:sdtEndPr>
          <w:rPr>
            <w:noProof/>
          </w:rPr>
        </w:sdtEndPr>
        <w:sdtContent>
          <w:p w14:paraId="406D2A45" w14:textId="4698629A" w:rsidR="0078423E" w:rsidRPr="00F061F2"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9A0267">
              <w:rPr>
                <w:noProof/>
              </w:rPr>
              <w:t>73</w:t>
            </w:r>
            <w:r w:rsidRPr="001B7E15">
              <w:rPr>
                <w:noProof/>
              </w:rPr>
              <w:fldChar w:fldCharType="end"/>
            </w:r>
          </w:p>
        </w:sdtContent>
      </w:sdt>
    </w:sdtContent>
  </w:sdt>
  <w:p w14:paraId="36FB7B00" w14:textId="77777777" w:rsidR="0078423E" w:rsidRDefault="0078423E" w:rsidP="00542CA2">
    <w:pPr>
      <w:spacing w:after="0"/>
    </w:pPr>
  </w:p>
</w:ftr>
</file>

<file path=word/footer3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3422665"/>
      <w:docPartObj>
        <w:docPartGallery w:val="Page Numbers (Bottom of Page)"/>
        <w:docPartUnique/>
      </w:docPartObj>
    </w:sdtPr>
    <w:sdtEndPr>
      <w:rPr>
        <w:noProof/>
      </w:rPr>
    </w:sdtEndPr>
    <w:sdtContent>
      <w:sdt>
        <w:sdtPr>
          <w:id w:val="2124424384"/>
          <w:docPartObj>
            <w:docPartGallery w:val="Page Numbers (Bottom of Page)"/>
            <w:docPartUnique/>
          </w:docPartObj>
        </w:sdtPr>
        <w:sdtEndPr>
          <w:rPr>
            <w:noProof/>
          </w:rPr>
        </w:sdtEndPr>
        <w:sdtContent>
          <w:p w14:paraId="496E2393" w14:textId="77777777" w:rsidR="0078423E" w:rsidRPr="00F061F2" w:rsidRDefault="0078423E"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21579998" w14:textId="77777777" w:rsidR="0078423E" w:rsidRDefault="0078423E" w:rsidP="00542CA2">
    <w:pPr>
      <w:spacing w:after="0"/>
    </w:pPr>
  </w:p>
</w:ftr>
</file>

<file path=word/footer4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1072008"/>
      <w:docPartObj>
        <w:docPartGallery w:val="Page Numbers (Bottom of Page)"/>
        <w:docPartUnique/>
      </w:docPartObj>
    </w:sdtPr>
    <w:sdtEndPr>
      <w:rPr>
        <w:noProof/>
      </w:rPr>
    </w:sdtEndPr>
    <w:sdtContent>
      <w:sdt>
        <w:sdtPr>
          <w:id w:val="-1240482936"/>
          <w:docPartObj>
            <w:docPartGallery w:val="Page Numbers (Bottom of Page)"/>
            <w:docPartUnique/>
          </w:docPartObj>
        </w:sdtPr>
        <w:sdtEndPr>
          <w:rPr>
            <w:noProof/>
          </w:rPr>
        </w:sdtEndPr>
        <w:sdtContent>
          <w:p w14:paraId="3C364D96" w14:textId="5D242BC0" w:rsidR="0078423E" w:rsidRPr="00F061F2" w:rsidRDefault="0078423E" w:rsidP="00C130D2">
            <w:pPr>
              <w:pStyle w:val="Footer"/>
              <w:rPr>
                <w:noProof/>
              </w:rPr>
            </w:pPr>
            <w:r w:rsidRPr="001B7E15">
              <w:fldChar w:fldCharType="begin"/>
            </w:r>
            <w:r w:rsidRPr="001B7E15">
              <w:instrText xml:space="preserve"> PAGE   \* MERGEFORMAT </w:instrText>
            </w:r>
            <w:r w:rsidRPr="001B7E15">
              <w:fldChar w:fldCharType="separate"/>
            </w:r>
            <w:r w:rsidR="00831927">
              <w:rPr>
                <w:noProof/>
              </w:rPr>
              <w:t>88</w:t>
            </w:r>
            <w:r w:rsidRPr="001B7E15">
              <w:rPr>
                <w:noProof/>
              </w:rPr>
              <w:fldChar w:fldCharType="end"/>
            </w:r>
          </w:p>
        </w:sdtContent>
      </w:sdt>
    </w:sdtContent>
  </w:sdt>
  <w:p w14:paraId="0A4B4877" w14:textId="77777777" w:rsidR="0078423E" w:rsidRDefault="0078423E" w:rsidP="00542CA2">
    <w:pPr>
      <w:spacing w:after="0"/>
    </w:pPr>
  </w:p>
</w:ftr>
</file>

<file path=word/footer4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90821"/>
      <w:docPartObj>
        <w:docPartGallery w:val="Page Numbers (Bottom of Page)"/>
        <w:docPartUnique/>
      </w:docPartObj>
    </w:sdtPr>
    <w:sdtEndPr>
      <w:rPr>
        <w:noProof/>
      </w:rPr>
    </w:sdtEndPr>
    <w:sdtContent>
      <w:p w14:paraId="55B00813" w14:textId="69D78624" w:rsidR="0078423E" w:rsidRDefault="0078423E">
        <w:pPr>
          <w:pStyle w:val="Footer"/>
        </w:pPr>
        <w:r>
          <w:fldChar w:fldCharType="begin"/>
        </w:r>
        <w:r>
          <w:instrText xml:space="preserve"> PAGE   \* MERGEFORMAT </w:instrText>
        </w:r>
        <w:r>
          <w:fldChar w:fldCharType="separate"/>
        </w:r>
        <w:r w:rsidR="00831927">
          <w:rPr>
            <w:noProof/>
          </w:rPr>
          <w:t>92</w:t>
        </w:r>
        <w:r>
          <w:rPr>
            <w:noProof/>
          </w:rPr>
          <w:fldChar w:fldCharType="end"/>
        </w:r>
      </w:p>
    </w:sdtContent>
  </w:sdt>
  <w:p w14:paraId="7998BE9F" w14:textId="77777777" w:rsidR="0078423E" w:rsidRPr="00287EFB" w:rsidRDefault="0078423E" w:rsidP="00C130D2">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DBB4A8" w14:textId="77777777" w:rsidR="00C13014" w:rsidRDefault="00C13014" w:rsidP="00BF7F6A">
      <w:pPr>
        <w:spacing w:after="0" w:line="240" w:lineRule="auto"/>
      </w:pPr>
      <w:r>
        <w:separator/>
      </w:r>
    </w:p>
  </w:footnote>
  <w:footnote w:type="continuationSeparator" w:id="0">
    <w:p w14:paraId="75F38DF1" w14:textId="77777777" w:rsidR="00C13014" w:rsidRDefault="00C13014" w:rsidP="00BF7F6A">
      <w:pPr>
        <w:spacing w:after="0" w:line="240" w:lineRule="auto"/>
      </w:pPr>
      <w:r>
        <w:continuationSeparator/>
      </w:r>
    </w:p>
  </w:footnote>
  <w:footnote w:id="1">
    <w:p w14:paraId="207E6058" w14:textId="77777777" w:rsidR="0078423E" w:rsidRPr="007A379E" w:rsidRDefault="0078423E">
      <w:pPr>
        <w:pStyle w:val="FootnoteText"/>
        <w:rPr>
          <w:spacing w:val="-2"/>
          <w:sz w:val="16"/>
          <w:szCs w:val="16"/>
          <w:lang w:val="sr-Cyrl-RS"/>
        </w:rPr>
      </w:pPr>
      <w:r w:rsidRPr="007A379E">
        <w:rPr>
          <w:rStyle w:val="FootnoteReference"/>
          <w:spacing w:val="-2"/>
          <w:sz w:val="16"/>
          <w:szCs w:val="16"/>
        </w:rPr>
        <w:footnoteRef/>
      </w:r>
      <w:r w:rsidRPr="007A379E">
        <w:rPr>
          <w:spacing w:val="-2"/>
          <w:sz w:val="16"/>
          <w:szCs w:val="16"/>
        </w:rPr>
        <w:t xml:space="preserve"> </w:t>
      </w:r>
      <w:r w:rsidRPr="007A379E">
        <w:rPr>
          <w:spacing w:val="-2"/>
          <w:sz w:val="16"/>
          <w:szCs w:val="16"/>
          <w:lang w:val="sr-Cyrl-RS"/>
        </w:rPr>
        <w:t xml:space="preserve">За детаљна методолошка објашњења видети </w:t>
      </w:r>
      <w:hyperlink r:id="rId1" w:history="1">
        <w:r w:rsidRPr="00DF1264">
          <w:rPr>
            <w:rStyle w:val="Hyperlink"/>
            <w:color w:val="44546A" w:themeColor="text2"/>
            <w:spacing w:val="-2"/>
            <w:sz w:val="16"/>
            <w:szCs w:val="16"/>
            <w:u w:val="none"/>
          </w:rPr>
          <w:t>https://www.mfin.gov.rs/wp-content/uploads/2019/12/Model-za-procenu-mesecnog-BDP.pdf</w:t>
        </w:r>
      </w:hyperlink>
    </w:p>
  </w:footnote>
  <w:footnote w:id="2">
    <w:p w14:paraId="4B01F727" w14:textId="5AB2F5D9" w:rsidR="0078423E" w:rsidRPr="00EC308A" w:rsidRDefault="0078423E" w:rsidP="00FE1A26">
      <w:pPr>
        <w:pStyle w:val="FootnoteText"/>
        <w:rPr>
          <w:rFonts w:eastAsia="Calibri" w:cs="Times New Roman"/>
          <w:sz w:val="16"/>
          <w:szCs w:val="16"/>
          <w:lang w:val="sr-Cyrl-RS"/>
        </w:rPr>
      </w:pPr>
      <w:r w:rsidRPr="00852FA3">
        <w:rPr>
          <w:rStyle w:val="FootnoteReference"/>
          <w:sz w:val="16"/>
          <w:szCs w:val="16"/>
        </w:rPr>
        <w:footnoteRef/>
      </w:r>
      <w:r w:rsidRPr="00852FA3">
        <w:rPr>
          <w:sz w:val="16"/>
          <w:szCs w:val="16"/>
        </w:rPr>
        <w:t xml:space="preserve"> </w:t>
      </w:r>
      <w:r w:rsidRPr="00EC308A">
        <w:rPr>
          <w:rFonts w:eastAsia="Calibri" w:cs="Times New Roman"/>
          <w:sz w:val="16"/>
          <w:szCs w:val="16"/>
          <w:lang w:val="sr-Cyrl-RS"/>
        </w:rPr>
        <w:t xml:space="preserve">Детаљнија дефиниција S0 индикатора као и опис коришћене методологије и резултата могу се пронаћи у Фискалној стратегији за 2018. годину са пројекцијама за 2019. и 2020. годину путем линка </w:t>
      </w:r>
      <w:hyperlink r:id="rId2" w:history="1">
        <w:r w:rsidRPr="00DB116D">
          <w:rPr>
            <w:sz w:val="16"/>
            <w:szCs w:val="16"/>
            <w:lang w:val="sr-Cyrl-RS"/>
          </w:rPr>
          <w:t>http://www.mfin.gov.rs/pages/issue.php?id=8382</w:t>
        </w:r>
      </w:hyperlink>
      <w:r w:rsidRPr="00DB116D">
        <w:rPr>
          <w:rFonts w:eastAsia="Calibri" w:cs="Times New Roman"/>
          <w:sz w:val="16"/>
          <w:szCs w:val="16"/>
          <w:lang w:val="sr-Cyrl-RS"/>
        </w:rPr>
        <w:t xml:space="preserve"> </w:t>
      </w:r>
      <w:r>
        <w:rPr>
          <w:rFonts w:eastAsia="Calibri" w:cs="Times New Roman"/>
          <w:sz w:val="16"/>
          <w:szCs w:val="16"/>
          <w:lang w:val="sr-Cyrl-RS"/>
        </w:rPr>
        <w:t>и извештају ЕК</w:t>
      </w:r>
      <w:r w:rsidRPr="00EC308A">
        <w:rPr>
          <w:rFonts w:eastAsia="Calibri" w:cs="Times New Roman"/>
          <w:sz w:val="16"/>
          <w:szCs w:val="16"/>
          <w:lang w:val="sr-Cyrl-RS"/>
        </w:rPr>
        <w:t xml:space="preserve"> “Fiscal Sustainability report 2015” 25, Јануар 2016, 157–158.</w:t>
      </w:r>
    </w:p>
  </w:footnote>
  <w:footnote w:id="3">
    <w:p w14:paraId="6B315F79" w14:textId="341F0318" w:rsidR="0078423E" w:rsidRPr="00455EB5" w:rsidRDefault="0078423E" w:rsidP="00132FA9">
      <w:pPr>
        <w:pStyle w:val="FootnoteText"/>
        <w:rPr>
          <w:rFonts w:cstheme="minorHAnsi"/>
          <w:spacing w:val="-2"/>
          <w:sz w:val="16"/>
          <w:szCs w:val="16"/>
          <w:lang w:val="sr-Cyrl-RS"/>
        </w:rPr>
      </w:pPr>
      <w:r w:rsidRPr="00455EB5">
        <w:rPr>
          <w:rStyle w:val="FootnoteReference"/>
          <w:rFonts w:cstheme="minorHAnsi"/>
          <w:spacing w:val="-2"/>
          <w:sz w:val="16"/>
          <w:szCs w:val="16"/>
          <w:lang w:val="sr-Cyrl-RS"/>
        </w:rPr>
        <w:footnoteRef/>
      </w:r>
      <w:r w:rsidRPr="00455EB5">
        <w:rPr>
          <w:rFonts w:cstheme="minorHAnsi"/>
          <w:spacing w:val="-2"/>
          <w:sz w:val="16"/>
          <w:szCs w:val="16"/>
          <w:lang w:val="sr-Cyrl-RS"/>
        </w:rPr>
        <w:t xml:space="preserve"> Детаљнији приказ структурних реформи по приоритетним областима је саставни део Програма економских реформи у периоду 20</w:t>
      </w:r>
      <w:r>
        <w:rPr>
          <w:rFonts w:cstheme="minorHAnsi"/>
          <w:spacing w:val="-2"/>
          <w:sz w:val="16"/>
          <w:szCs w:val="16"/>
          <w:lang w:val="sr-Cyrl-RS"/>
        </w:rPr>
        <w:t>20</w:t>
      </w:r>
      <w:r w:rsidRPr="00455EB5">
        <w:rPr>
          <w:rFonts w:cstheme="minorHAnsi"/>
          <w:spacing w:val="-2"/>
          <w:sz w:val="16"/>
          <w:szCs w:val="16"/>
          <w:lang w:val="sr-Cyrl-RS"/>
        </w:rPr>
        <w:t>–202</w:t>
      </w:r>
      <w:r>
        <w:rPr>
          <w:rFonts w:cstheme="minorHAnsi"/>
          <w:spacing w:val="-2"/>
          <w:sz w:val="16"/>
          <w:szCs w:val="16"/>
          <w:lang w:val="sr-Cyrl-RS"/>
        </w:rPr>
        <w:t>2</w:t>
      </w:r>
      <w:r w:rsidRPr="00455EB5">
        <w:rPr>
          <w:rFonts w:cstheme="minorHAnsi"/>
          <w:spacing w:val="-2"/>
          <w:sz w:val="16"/>
          <w:szCs w:val="16"/>
          <w:lang w:val="sr-Cyrl-RS"/>
        </w:rPr>
        <w:t>.</w:t>
      </w:r>
    </w:p>
  </w:footnote>
  <w:footnote w:id="4">
    <w:p w14:paraId="60289BB7" w14:textId="77777777" w:rsidR="0078423E" w:rsidRPr="00C336AD" w:rsidRDefault="0078423E" w:rsidP="00C130D2">
      <w:pPr>
        <w:pStyle w:val="FootnoteText"/>
        <w:rPr>
          <w:rFonts w:cstheme="minorHAnsi"/>
          <w:sz w:val="16"/>
          <w:szCs w:val="16"/>
          <w:lang w:val="sr-Cyrl-RS"/>
        </w:rPr>
      </w:pPr>
      <w:r w:rsidRPr="00C336AD">
        <w:rPr>
          <w:rStyle w:val="FootnoteReference"/>
          <w:rFonts w:cstheme="minorHAnsi"/>
          <w:sz w:val="16"/>
          <w:szCs w:val="16"/>
          <w:lang w:val="sr-Cyrl-RS"/>
        </w:rPr>
        <w:footnoteRef/>
      </w:r>
      <w:r>
        <w:rPr>
          <w:rFonts w:cstheme="minorHAnsi"/>
          <w:sz w:val="16"/>
          <w:szCs w:val="16"/>
          <w:lang w:val="sr-Cyrl-RS"/>
        </w:rPr>
        <w:t xml:space="preserve"> Фискална стратегија за 2019. годину са пројекцијама за 2020. и 2021</w:t>
      </w:r>
      <w:r w:rsidRPr="00C336AD">
        <w:rPr>
          <w:rFonts w:cstheme="minorHAnsi"/>
          <w:sz w:val="16"/>
          <w:szCs w:val="16"/>
          <w:lang w:val="sr-Cyrl-RS"/>
        </w:rPr>
        <w:t>. годину.</w:t>
      </w:r>
    </w:p>
  </w:footnote>
  <w:footnote w:id="5">
    <w:p w14:paraId="10EAB7F1" w14:textId="77777777" w:rsidR="0078423E" w:rsidRPr="001A06AE" w:rsidRDefault="0078423E" w:rsidP="00C130D2">
      <w:pPr>
        <w:pStyle w:val="FootnoteText"/>
        <w:rPr>
          <w:sz w:val="16"/>
          <w:lang w:val="sr-Cyrl-RS"/>
        </w:rPr>
      </w:pPr>
      <w:r w:rsidRPr="00326508">
        <w:rPr>
          <w:rStyle w:val="FootnoteReference"/>
          <w:sz w:val="16"/>
        </w:rPr>
        <w:footnoteRef/>
      </w:r>
      <w:r w:rsidRPr="00326508">
        <w:rPr>
          <w:sz w:val="16"/>
        </w:rPr>
        <w:t xml:space="preserve"> </w:t>
      </w:r>
      <w:r w:rsidRPr="00326508">
        <w:rPr>
          <w:sz w:val="16"/>
          <w:lang w:val="sr-Cyrl-RS"/>
        </w:rPr>
        <w:t>Износи су прерачунати на основу реви</w:t>
      </w:r>
      <w:r>
        <w:rPr>
          <w:sz w:val="16"/>
          <w:lang w:val="sr-Cyrl-RS"/>
        </w:rPr>
        <w:t>зије података серије БДП од 2018. до 2021</w:t>
      </w:r>
      <w:r w:rsidRPr="00326508">
        <w:rPr>
          <w:sz w:val="16"/>
          <w:lang w:val="sr-Cyrl-RS"/>
        </w:rPr>
        <w:t>. године.</w:t>
      </w:r>
    </w:p>
  </w:footnote>
  <w:footnote w:id="6">
    <w:p w14:paraId="6C48CA24" w14:textId="6C2D1057" w:rsidR="0078423E" w:rsidRPr="00DF1264" w:rsidRDefault="0078423E" w:rsidP="00FE1A26">
      <w:pPr>
        <w:pStyle w:val="FootnoteText"/>
        <w:rPr>
          <w:rFonts w:eastAsia="Times New Roman" w:cstheme="minorHAnsi"/>
          <w:sz w:val="16"/>
          <w:szCs w:val="16"/>
          <w:lang w:val="sr-Cyrl-RS"/>
        </w:rPr>
      </w:pPr>
      <w:r w:rsidRPr="00C336AD">
        <w:rPr>
          <w:rStyle w:val="FootnoteReference"/>
          <w:rFonts w:cstheme="minorHAnsi"/>
          <w:sz w:val="16"/>
          <w:szCs w:val="16"/>
          <w:lang w:val="sr-Cyrl-RS"/>
        </w:rPr>
        <w:footnoteRef/>
      </w:r>
      <w:r w:rsidRPr="002E51AD">
        <w:rPr>
          <w:rStyle w:val="Hyperlink2"/>
          <w:rFonts w:cstheme="minorHAnsi"/>
          <w:color w:val="44546A" w:themeColor="text2"/>
          <w:sz w:val="16"/>
          <w:szCs w:val="16"/>
          <w:u w:val="none"/>
          <w:lang w:val="sr-Latn-RS"/>
        </w:rPr>
        <w:t xml:space="preserve"> </w:t>
      </w:r>
      <w:hyperlink r:id="rId3" w:history="1">
        <w:r w:rsidRPr="00DF1264">
          <w:rPr>
            <w:rStyle w:val="Hyperlink"/>
            <w:rFonts w:cstheme="minorHAnsi"/>
            <w:color w:val="44546A" w:themeColor="text2"/>
            <w:sz w:val="16"/>
            <w:szCs w:val="16"/>
            <w:u w:val="none"/>
            <w:lang w:val="sr-Cyrl-RS"/>
          </w:rPr>
          <w:t>http://www.obnova.gov.rs/uploads/useruploads/Documents/Kancelarija-za-pomoc-poplavljenih-podrucja-infograf-15-04-2016-srb.pdf</w:t>
        </w:r>
      </w:hyperlink>
    </w:p>
  </w:footnote>
  <w:footnote w:id="7">
    <w:p w14:paraId="3F7FA8A3" w14:textId="77777777" w:rsidR="0078423E" w:rsidRPr="00C336AD" w:rsidRDefault="0078423E" w:rsidP="00FE1A26">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Дефиниција дуга, према критеријумима из Мастрихта, између осталог, различито третира издате гаранције, у односу на дефиницију јавног дуга према домаћем законодавству. У јавни дуг (дуг опште државе) улазе, према критеријумима из Мастрихта, само активиране гаранције. Домаће законодавство, по овом питању има конзервативнији приступ и све издате </w:t>
      </w:r>
      <w:r>
        <w:rPr>
          <w:rFonts w:cstheme="minorHAnsi"/>
          <w:sz w:val="16"/>
          <w:szCs w:val="16"/>
          <w:lang w:val="sr-Cyrl-RS"/>
        </w:rPr>
        <w:t>гаранције укључује у јавни дуг.</w:t>
      </w:r>
    </w:p>
  </w:footnote>
  <w:footnote w:id="8">
    <w:p w14:paraId="1F753BE0" w14:textId="77777777" w:rsidR="0078423E" w:rsidRPr="007A379E" w:rsidRDefault="0078423E" w:rsidP="00FE1A26">
      <w:pPr>
        <w:pStyle w:val="FootnoteText"/>
        <w:spacing w:after="40"/>
        <w:rPr>
          <w:rFonts w:cstheme="minorHAnsi"/>
          <w:sz w:val="16"/>
          <w:szCs w:val="16"/>
          <w:lang w:val="sr-Cyrl-RS"/>
        </w:rPr>
      </w:pPr>
      <w:r w:rsidRPr="007A379E">
        <w:rPr>
          <w:rStyle w:val="FootnoteReference"/>
          <w:rFonts w:cstheme="minorHAnsi"/>
          <w:sz w:val="16"/>
          <w:szCs w:val="16"/>
          <w:lang w:val="sr-Cyrl-RS"/>
        </w:rPr>
        <w:footnoteRef/>
      </w:r>
      <w:r w:rsidRPr="007A379E">
        <w:rPr>
          <w:rFonts w:cstheme="minorHAnsi"/>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третира као финансијска трансакција.</w:t>
      </w:r>
    </w:p>
  </w:footnote>
  <w:footnote w:id="9">
    <w:p w14:paraId="6F86BEDD" w14:textId="77777777" w:rsidR="0078423E" w:rsidRPr="007A379E" w:rsidRDefault="0078423E" w:rsidP="00FE1A26">
      <w:pPr>
        <w:pStyle w:val="FootnoteText"/>
        <w:rPr>
          <w:rFonts w:cstheme="minorHAnsi"/>
          <w:sz w:val="16"/>
          <w:szCs w:val="16"/>
          <w:lang w:val="sr-Cyrl-RS"/>
        </w:rPr>
      </w:pPr>
      <w:r w:rsidRPr="007A379E">
        <w:rPr>
          <w:rStyle w:val="FootnoteReference"/>
          <w:rFonts w:cstheme="minorHAnsi"/>
          <w:sz w:val="16"/>
          <w:szCs w:val="16"/>
          <w:lang w:val="sr-Cyrl-RS"/>
        </w:rPr>
        <w:footnoteRef/>
      </w:r>
      <w:r w:rsidRPr="007A379E">
        <w:rPr>
          <w:rFonts w:cstheme="minorHAnsi"/>
          <w:sz w:val="16"/>
          <w:szCs w:val="16"/>
          <w:lang w:val="sr-Cyrl-RS"/>
        </w:rPr>
        <w:t xml:space="preserve"> Део расхода по основу отплате по гаранцијама за ЈП „Путеви Србијеˮ не укључује се у расходе буџета, јер је ово предузеће део сектора опште државе, те су расходи који су финансирани гарантованим кредитима били део расхода опште државе у моменту трошења средстава, док се сама отплата третира као финансијска трансакција („испод цртеˮ).</w:t>
      </w:r>
    </w:p>
  </w:footnote>
  <w:footnote w:id="10">
    <w:p w14:paraId="1F5510DC" w14:textId="7B264452" w:rsidR="0078423E" w:rsidRPr="00C336AD" w:rsidRDefault="0078423E" w:rsidP="00FE1A26">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Народна скупштина усвојила је измене и допуне Закона о НБС и Закона о банкама, као и нови Закон </w:t>
      </w:r>
      <w:r>
        <w:rPr>
          <w:rFonts w:cstheme="minorHAnsi"/>
          <w:sz w:val="16"/>
          <w:szCs w:val="16"/>
          <w:lang w:val="sr-Cyrl-RS"/>
        </w:rPr>
        <w:t>о АОД</w:t>
      </w:r>
      <w:r w:rsidRPr="00C336AD">
        <w:rPr>
          <w:rFonts w:cstheme="minorHAnsi"/>
          <w:sz w:val="16"/>
          <w:szCs w:val="16"/>
          <w:lang w:val="sr-Cyrl-RS"/>
        </w:rPr>
        <w:t>, Закон о осигурању депозита, Закон о стечају и ликвидацији банака и друштава за осигурање. Са изменом сета финансијских закона, наметнуло се и усвајање допуне Закона о министарствима.</w:t>
      </w:r>
    </w:p>
  </w:footnote>
  <w:footnote w:id="11">
    <w:p w14:paraId="1D74830B" w14:textId="77777777" w:rsidR="0078423E" w:rsidRPr="007A379E" w:rsidRDefault="0078423E" w:rsidP="00FE1A26">
      <w:pPr>
        <w:pStyle w:val="FootnoteText"/>
        <w:rPr>
          <w:rFonts w:cstheme="minorHAnsi"/>
          <w:sz w:val="16"/>
          <w:szCs w:val="16"/>
          <w:lang w:val="sr-Cyrl-RS"/>
        </w:rPr>
      </w:pPr>
      <w:r w:rsidRPr="007A379E">
        <w:rPr>
          <w:rStyle w:val="FootnoteReference"/>
          <w:rFonts w:cstheme="minorHAnsi"/>
          <w:sz w:val="16"/>
          <w:szCs w:val="16"/>
          <w:lang w:val="sr-Cyrl-RS"/>
        </w:rPr>
        <w:footnoteRef/>
      </w:r>
      <w:r w:rsidRPr="007A379E">
        <w:rPr>
          <w:rFonts w:cstheme="minorHAnsi"/>
          <w:sz w:val="16"/>
          <w:szCs w:val="16"/>
          <w:lang w:val="sr-Cyrl-RS"/>
        </w:rPr>
        <w:t xml:space="preserve"> Заштићени депоненти су: физичка лица, предузетници, микро, мала и средња правна лица, након искључења предвиђеним Законом о осигурању депозита.</w:t>
      </w:r>
    </w:p>
  </w:footnote>
  <w:footnote w:id="12">
    <w:p w14:paraId="19D3FC8A" w14:textId="77777777" w:rsidR="0078423E" w:rsidRPr="007A379E" w:rsidRDefault="0078423E" w:rsidP="00FE1A26">
      <w:pPr>
        <w:pStyle w:val="FootnoteText"/>
        <w:spacing w:after="40"/>
        <w:rPr>
          <w:rFonts w:cstheme="minorHAnsi"/>
          <w:sz w:val="16"/>
          <w:szCs w:val="16"/>
          <w:lang w:val="sr-Cyrl-RS"/>
        </w:rPr>
      </w:pPr>
      <w:r w:rsidRPr="007A379E">
        <w:rPr>
          <w:rStyle w:val="FootnoteReference"/>
          <w:rFonts w:cstheme="minorHAnsi"/>
          <w:sz w:val="16"/>
          <w:szCs w:val="16"/>
          <w:lang w:val="sr-Cyrl-RS"/>
        </w:rPr>
        <w:footnoteRef/>
      </w:r>
      <w:r w:rsidRPr="007A379E">
        <w:rPr>
          <w:rFonts w:cstheme="minorHAnsi"/>
          <w:sz w:val="16"/>
          <w:szCs w:val="16"/>
          <w:lang w:val="sr-Cyrl-RS"/>
        </w:rPr>
        <w:t xml:space="preserve"> Обухваћени су расходи на контима: новчане казне и пенали по решењу судова и судских тела и накнада штете за повреде или штету нанету од стране државних органа.</w:t>
      </w:r>
    </w:p>
  </w:footnote>
  <w:footnote w:id="13">
    <w:p w14:paraId="748BEECE" w14:textId="77777777" w:rsidR="0078423E" w:rsidRPr="007A379E" w:rsidRDefault="0078423E" w:rsidP="00FE1A26">
      <w:pPr>
        <w:pStyle w:val="FootnoteText"/>
        <w:rPr>
          <w:rFonts w:cstheme="minorHAnsi"/>
          <w:sz w:val="16"/>
          <w:szCs w:val="16"/>
          <w:lang w:val="sr-Cyrl-RS"/>
        </w:rPr>
      </w:pPr>
      <w:r w:rsidRPr="007A379E">
        <w:rPr>
          <w:rStyle w:val="FootnoteReference"/>
          <w:rFonts w:cstheme="minorHAnsi"/>
          <w:sz w:val="16"/>
          <w:szCs w:val="16"/>
          <w:lang w:val="sr-Cyrl-RS"/>
        </w:rPr>
        <w:footnoteRef/>
      </w:r>
      <w:r w:rsidRPr="00467107">
        <w:rPr>
          <w:rStyle w:val="Hyperlink"/>
          <w:rFonts w:cstheme="minorHAnsi"/>
          <w:color w:val="44546A" w:themeColor="text2"/>
          <w:sz w:val="16"/>
          <w:szCs w:val="16"/>
          <w:u w:val="none"/>
          <w:lang w:val="sr-Latn-RS"/>
        </w:rPr>
        <w:t xml:space="preserve"> </w:t>
      </w:r>
      <w:hyperlink r:id="rId4" w:history="1">
        <w:r w:rsidRPr="00467107">
          <w:rPr>
            <w:rStyle w:val="Hyperlink"/>
            <w:rFonts w:cstheme="minorHAnsi"/>
            <w:color w:val="44546A" w:themeColor="text2"/>
            <w:sz w:val="16"/>
            <w:szCs w:val="16"/>
            <w:u w:val="none"/>
            <w:lang w:val="sr-Cyrl-RS"/>
          </w:rPr>
          <w:t>http://www.obnova.gov.rs/uploads/useruploads/Documents/Kancelarija-za-pomoc-poplavljenih-podrucja-infograf-15-04-2016-srb.pdf</w:t>
        </w:r>
      </w:hyperlink>
    </w:p>
  </w:footnote>
  <w:footnote w:id="14">
    <w:p w14:paraId="77BC8D6B" w14:textId="7E0A437E" w:rsidR="0078423E" w:rsidRPr="00467107" w:rsidRDefault="0078423E" w:rsidP="007A379E">
      <w:pPr>
        <w:spacing w:after="0"/>
        <w:rPr>
          <w:rFonts w:eastAsia="Times New Roman" w:cstheme="minorHAnsi"/>
          <w:bCs/>
          <w:sz w:val="16"/>
          <w:szCs w:val="16"/>
          <w:lang w:val="sr-Cyrl-CS"/>
        </w:rPr>
      </w:pPr>
      <w:r w:rsidRPr="007A379E">
        <w:rPr>
          <w:rStyle w:val="FootnoteReference"/>
          <w:rFonts w:cstheme="minorHAnsi"/>
          <w:sz w:val="16"/>
          <w:szCs w:val="16"/>
        </w:rPr>
        <w:footnoteRef/>
      </w:r>
      <w:r w:rsidRPr="007A379E">
        <w:rPr>
          <w:rFonts w:cstheme="minorHAnsi"/>
          <w:sz w:val="16"/>
          <w:szCs w:val="16"/>
        </w:rPr>
        <w:t xml:space="preserve"> </w:t>
      </w:r>
      <w:r w:rsidRPr="007A379E">
        <w:rPr>
          <w:rFonts w:eastAsia="Times New Roman" w:cstheme="minorHAnsi"/>
          <w:bCs/>
          <w:sz w:val="16"/>
          <w:szCs w:val="16"/>
          <w:lang w:val="sr-Cyrl-C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7A379E">
        <w:rPr>
          <w:rFonts w:cstheme="minorHAnsi"/>
          <w:sz w:val="16"/>
          <w:szCs w:val="16"/>
          <w:lang w:val="sr-Cyrl-CS"/>
        </w:rPr>
        <w:t xml:space="preserve"> </w:t>
      </w:r>
      <w:hyperlink r:id="rId5" w:history="1">
        <w:r w:rsidRPr="007A379E">
          <w:rPr>
            <w:rStyle w:val="Hyperlink"/>
            <w:rFonts w:eastAsia="Times New Roman" w:cstheme="minorHAnsi"/>
            <w:bCs/>
            <w:color w:val="44546A" w:themeColor="text2"/>
            <w:sz w:val="16"/>
            <w:szCs w:val="16"/>
            <w:u w:val="none"/>
            <w:lang w:val="sr-Cyrl-CS"/>
          </w:rPr>
          <w:t>http://www.mfin.gov.rs/pages/article.php?id=8626</w:t>
        </w:r>
      </w:hyperlink>
    </w:p>
  </w:footnote>
  <w:footnote w:id="15">
    <w:p w14:paraId="178A41B4" w14:textId="77777777" w:rsidR="0078423E" w:rsidRPr="00C336AD" w:rsidRDefault="0078423E" w:rsidP="00132FA9">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Јавни дуг у овом документу не обухвата дуг по основу реституције у складу са дефиницијом дуга</w:t>
      </w:r>
      <w:r>
        <w:rPr>
          <w:rFonts w:cstheme="minorHAnsi"/>
          <w:sz w:val="16"/>
          <w:szCs w:val="16"/>
          <w:lang w:val="sr-Cyrl-RS"/>
        </w:rPr>
        <w:t xml:space="preserve"> из Закона о буџетском систему.</w:t>
      </w:r>
    </w:p>
  </w:footnote>
  <w:footnote w:id="16">
    <w:p w14:paraId="351F7CAC" w14:textId="77777777" w:rsidR="0078423E" w:rsidRPr="00B4009D" w:rsidRDefault="0078423E" w:rsidP="004478A8">
      <w:pPr>
        <w:pStyle w:val="FootnoteText"/>
        <w:rPr>
          <w:rStyle w:val="FootnoteReference"/>
          <w:sz w:val="16"/>
          <w:szCs w:val="16"/>
          <w:vertAlign w:val="baseline"/>
          <w:lang w:val="sr-Cyrl-RS"/>
        </w:rPr>
      </w:pPr>
      <w:r w:rsidRPr="00B4009D">
        <w:rPr>
          <w:rStyle w:val="FootnoteReference"/>
          <w:sz w:val="16"/>
          <w:szCs w:val="16"/>
          <w:lang w:val="sr-Cyrl-RS"/>
        </w:rPr>
        <w:footnoteRef/>
      </w:r>
      <w:r w:rsidRPr="00B4009D">
        <w:rPr>
          <w:rStyle w:val="FootnoteReference"/>
          <w:sz w:val="16"/>
          <w:szCs w:val="16"/>
          <w:lang w:val="sr-Cyrl-RS"/>
        </w:rPr>
        <w:t xml:space="preserve"> </w:t>
      </w:r>
      <w:r w:rsidRPr="00B4009D">
        <w:rPr>
          <w:rStyle w:val="FootnoteReference"/>
          <w:sz w:val="16"/>
          <w:szCs w:val="16"/>
          <w:vertAlign w:val="baseline"/>
          <w:lang w:val="sr-Cyrl-RS"/>
        </w:rPr>
        <w:t>АТМ (</w:t>
      </w:r>
      <w:r w:rsidRPr="00FF289A">
        <w:rPr>
          <w:rStyle w:val="FootnoteReference"/>
          <w:i/>
          <w:sz w:val="16"/>
          <w:szCs w:val="16"/>
          <w:vertAlign w:val="baseline"/>
          <w:lang w:val="sr-Cyrl-RS"/>
        </w:rPr>
        <w:t>Average Time to Maturity</w:t>
      </w:r>
      <w:r w:rsidRPr="00B4009D">
        <w:rPr>
          <w:rStyle w:val="FootnoteReference"/>
          <w:sz w:val="16"/>
          <w:szCs w:val="16"/>
          <w:vertAlign w:val="baseline"/>
          <w:lang w:val="sr-Cyrl-RS"/>
        </w:rPr>
        <w:t>) – енглеска скраћеница за просечно време до доспећа.</w:t>
      </w:r>
    </w:p>
  </w:footnote>
  <w:footnote w:id="17">
    <w:p w14:paraId="13FE988C" w14:textId="77777777" w:rsidR="0078423E" w:rsidRPr="00B4009D" w:rsidRDefault="0078423E" w:rsidP="004478A8">
      <w:pPr>
        <w:pStyle w:val="FootnoteText"/>
        <w:rPr>
          <w:sz w:val="16"/>
          <w:szCs w:val="16"/>
        </w:rPr>
      </w:pPr>
      <w:r w:rsidRPr="00B4009D">
        <w:rPr>
          <w:rStyle w:val="FootnoteReference"/>
          <w:sz w:val="16"/>
          <w:szCs w:val="16"/>
          <w:lang w:val="sr-Cyrl-RS"/>
        </w:rPr>
        <w:footnoteRef/>
      </w:r>
      <w:r w:rsidRPr="00B4009D">
        <w:rPr>
          <w:rStyle w:val="FootnoteReference"/>
          <w:sz w:val="16"/>
          <w:szCs w:val="16"/>
          <w:lang w:val="sr-Cyrl-RS"/>
        </w:rPr>
        <w:t xml:space="preserve"> </w:t>
      </w:r>
      <w:r w:rsidRPr="00B4009D">
        <w:rPr>
          <w:rStyle w:val="FootnoteReference"/>
          <w:sz w:val="16"/>
          <w:szCs w:val="16"/>
          <w:vertAlign w:val="baseline"/>
          <w:lang w:val="sr-Cyrl-RS"/>
        </w:rPr>
        <w:t>АТR (</w:t>
      </w:r>
      <w:r w:rsidRPr="00FF289A">
        <w:rPr>
          <w:rStyle w:val="FootnoteReference"/>
          <w:i/>
          <w:sz w:val="16"/>
          <w:szCs w:val="16"/>
          <w:vertAlign w:val="baseline"/>
          <w:lang w:val="sr-Cyrl-RS"/>
        </w:rPr>
        <w:t>Average Time to Refixing</w:t>
      </w:r>
      <w:r w:rsidRPr="00B4009D">
        <w:rPr>
          <w:rStyle w:val="FootnoteReference"/>
          <w:sz w:val="16"/>
          <w:szCs w:val="16"/>
          <w:vertAlign w:val="baseline"/>
          <w:lang w:val="sr-Cyrl-RS"/>
        </w:rPr>
        <w:t>) – енглеска скраћеница за просечно време до промене каматних стопа.</w:t>
      </w:r>
    </w:p>
  </w:footnote>
  <w:footnote w:id="18">
    <w:p w14:paraId="0D8F19F5" w14:textId="64F08E07" w:rsidR="0078423E" w:rsidRPr="00D01F64" w:rsidRDefault="0078423E" w:rsidP="00D01F64">
      <w:pPr>
        <w:spacing w:after="0"/>
        <w:rPr>
          <w:rFonts w:cstheme="minorHAnsi"/>
          <w:bCs/>
          <w:sz w:val="16"/>
          <w:szCs w:val="16"/>
          <w:lang w:val="en-GB"/>
        </w:rPr>
      </w:pPr>
      <w:r w:rsidRPr="00D01F64">
        <w:rPr>
          <w:rStyle w:val="FootnoteReference"/>
          <w:sz w:val="16"/>
          <w:szCs w:val="16"/>
        </w:rPr>
        <w:footnoteRef/>
      </w:r>
      <w:r w:rsidRPr="00D01F64">
        <w:rPr>
          <w:sz w:val="16"/>
          <w:szCs w:val="16"/>
        </w:rPr>
        <w:t xml:space="preserve"> </w:t>
      </w:r>
      <w:r w:rsidRPr="00D01F64">
        <w:rPr>
          <w:sz w:val="16"/>
          <w:szCs w:val="16"/>
          <w:lang w:val="sr-Cyrl-RS"/>
        </w:rPr>
        <w:t>Детаљније образложење пројекције у поглављу: „Пројекције кретања реалног сектора у периоду 2021–2023. година”, стр. 17</w:t>
      </w:r>
      <w:r>
        <w:rPr>
          <w:sz w:val="16"/>
          <w:szCs w:val="16"/>
          <w:lang w:val="en-GB"/>
        </w:rPr>
        <w:t>.</w:t>
      </w:r>
    </w:p>
  </w:footnote>
  <w:footnote w:id="19">
    <w:p w14:paraId="43FD3F16" w14:textId="3D9E2526" w:rsidR="0078423E" w:rsidRPr="00D01F64" w:rsidRDefault="0078423E" w:rsidP="00D01F64">
      <w:pPr>
        <w:pStyle w:val="FootnoteText"/>
        <w:rPr>
          <w:sz w:val="16"/>
          <w:szCs w:val="16"/>
          <w:lang w:val="en-GB"/>
        </w:rPr>
      </w:pPr>
      <w:r w:rsidRPr="00D01F64">
        <w:rPr>
          <w:rStyle w:val="FootnoteReference"/>
          <w:sz w:val="16"/>
          <w:szCs w:val="16"/>
        </w:rPr>
        <w:footnoteRef/>
      </w:r>
      <w:r w:rsidRPr="00D01F64">
        <w:rPr>
          <w:sz w:val="16"/>
          <w:szCs w:val="16"/>
        </w:rPr>
        <w:t xml:space="preserve"> </w:t>
      </w:r>
      <w:r w:rsidRPr="00D01F64">
        <w:rPr>
          <w:spacing w:val="-4"/>
          <w:sz w:val="16"/>
          <w:szCs w:val="16"/>
          <w:lang w:val="sr-Cyrl-RS"/>
        </w:rPr>
        <w:t>Детаљније о ризицима у поглављу: „4. Ризици остваривања пројекције кретања БДП Републике Србије</w:t>
      </w:r>
      <w:r w:rsidRPr="00D01F64">
        <w:rPr>
          <w:spacing w:val="-4"/>
          <w:sz w:val="16"/>
          <w:szCs w:val="16"/>
          <w:lang w:val="en-GB"/>
        </w:rPr>
        <w:t xml:space="preserve"> </w:t>
      </w:r>
      <w:r w:rsidRPr="00D01F64">
        <w:rPr>
          <w:spacing w:val="-4"/>
          <w:sz w:val="16"/>
          <w:szCs w:val="16"/>
          <w:lang w:val="sr-Cyrl-RS"/>
        </w:rPr>
        <w:t>у периоду 2021–2023. година”, стр. 29</w:t>
      </w:r>
      <w:r>
        <w:rPr>
          <w:spacing w:val="-4"/>
          <w:sz w:val="16"/>
          <w:szCs w:val="16"/>
          <w:lang w:val="en-GB"/>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D5579" w14:textId="4903ACCF" w:rsidR="0078423E" w:rsidRDefault="0078423E" w:rsidP="00B14FC0">
    <w:pPr>
      <w:pStyle w:val="Header"/>
      <w:jc w:val="center"/>
    </w:pPr>
    <w:r w:rsidRPr="006C57DB">
      <w:rPr>
        <w:lang w:val="sr-Cyrl-RS"/>
      </w:rPr>
      <w:t xml:space="preserve">Фискална </w:t>
    </w:r>
    <w:r>
      <w:rPr>
        <w:lang w:val="sr-Cyrl-RS"/>
      </w:rPr>
      <w:t>стратегија за 20</w:t>
    </w:r>
    <w:r>
      <w:rPr>
        <w:lang w:val="sr-Latn-RS"/>
      </w:rPr>
      <w:t>20</w:t>
    </w:r>
    <w:r>
      <w:rPr>
        <w:lang w:val="sr-Cyrl-RS"/>
      </w:rPr>
      <w:t>. годину са пројекцијама за 202</w:t>
    </w:r>
    <w:r>
      <w:rPr>
        <w:lang w:val="sr-Latn-RS"/>
      </w:rPr>
      <w:t>1</w:t>
    </w:r>
    <w:r>
      <w:rPr>
        <w:lang w:val="sr-Cyrl-RS"/>
      </w:rPr>
      <w:t>. и 202</w:t>
    </w:r>
    <w:r>
      <w:rPr>
        <w:lang w:val="sr-Latn-RS"/>
      </w:rPr>
      <w:t>2</w:t>
    </w:r>
    <w:r>
      <w:rPr>
        <w:lang w:val="sr-Cyrl-RS"/>
      </w:rPr>
      <w:t>. годину</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43F9AF" w14:textId="63F7C423" w:rsidR="0078423E" w:rsidRPr="000766DD" w:rsidRDefault="0078423E" w:rsidP="000766DD">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9E9417" w14:textId="77777777" w:rsidR="000766DD" w:rsidRDefault="000766DD">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6215A" w14:textId="7BB22C26" w:rsidR="0078423E" w:rsidRPr="000766DD" w:rsidRDefault="0078423E" w:rsidP="000766DD">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CC5632" w14:textId="77777777" w:rsidR="0078423E" w:rsidRPr="00361C29" w:rsidRDefault="0078423E" w:rsidP="00BD7EB6">
    <w:pPr>
      <w:pStyle w:val="Header"/>
      <w:jc w:val="center"/>
      <w:rPr>
        <w:lang w:val="sr-Cyrl-RS"/>
      </w:rPr>
    </w:pPr>
    <w:r w:rsidRPr="00361C29">
      <w:rPr>
        <w:lang w:val="sr-Cyrl-RS"/>
      </w:rPr>
      <w:t>Фискална стратегија за 2019. годину са пројекцијама за 2020. и 2021. годину</w:t>
    </w:r>
  </w:p>
  <w:p w14:paraId="7C137F4C" w14:textId="77777777" w:rsidR="0078423E" w:rsidRPr="00361C29" w:rsidRDefault="0078423E">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FB1C7" w14:textId="77777777" w:rsidR="0078423E" w:rsidRPr="00521A99" w:rsidRDefault="0078423E" w:rsidP="00521A99">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EC6467" w14:textId="31083314" w:rsidR="0078423E" w:rsidRPr="000766DD" w:rsidRDefault="0078423E" w:rsidP="000766DD">
    <w:pPr>
      <w:pStyle w:val="Heade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2E04B" w14:textId="77777777" w:rsidR="0078423E" w:rsidRPr="00521A99" w:rsidRDefault="0078423E" w:rsidP="00521A99">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E6B49" w14:textId="03DE6F67" w:rsidR="0078423E" w:rsidRPr="000766DD" w:rsidRDefault="0078423E" w:rsidP="000766DD">
    <w:pPr>
      <w:pStyle w:val="Header"/>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907FA" w14:textId="77777777" w:rsidR="0078423E" w:rsidRPr="000C433F" w:rsidRDefault="0078423E" w:rsidP="00B14FC0">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p w14:paraId="03E3CFF9" w14:textId="77777777" w:rsidR="0078423E" w:rsidRDefault="0078423E">
    <w:pPr>
      <w:pStyle w:val="Header"/>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642A0" w14:textId="3866DF87" w:rsidR="0078423E" w:rsidRPr="000766DD" w:rsidRDefault="0078423E" w:rsidP="000766DD">
    <w:pPr>
      <w:pStyle w:val="Header"/>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79133"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57A0049" w14:textId="77777777" w:rsidR="0078423E" w:rsidRDefault="0078423E">
    <w:pPr>
      <w:pStyle w:val="Header"/>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F875C" w14:textId="1C5F3622" w:rsidR="0078423E" w:rsidRPr="000766DD" w:rsidRDefault="0078423E" w:rsidP="000766DD">
    <w:pPr>
      <w:pStyle w:val="Header"/>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CA523" w14:textId="77777777" w:rsidR="0078423E" w:rsidRPr="00177077" w:rsidRDefault="0078423E" w:rsidP="00161001">
    <w:pPr>
      <w:pStyle w:val="Header"/>
      <w:jc w:val="center"/>
      <w:rPr>
        <w:lang w:val="sr-Cyrl-RS"/>
      </w:rPr>
    </w:pPr>
    <w:r>
      <w:rPr>
        <w:lang w:val="sr-Cyrl-RS"/>
      </w:rPr>
      <w:t>Фискална стратегија за 2020. годину са пројекцијама за 2021. и 2022. годину</w:t>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2E9747" w14:textId="6B701947" w:rsidR="0078423E" w:rsidRPr="000766DD" w:rsidRDefault="0078423E" w:rsidP="000766DD">
    <w:pPr>
      <w:pStyle w:val="Header"/>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80ACF7"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0F7835D5" w14:textId="77777777" w:rsidR="0078423E" w:rsidRDefault="0078423E">
    <w:pPr>
      <w:pStyle w:val="Header"/>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B9C7E" w14:textId="77777777" w:rsidR="0078423E" w:rsidRPr="000C433F" w:rsidRDefault="0078423E" w:rsidP="00B14FC0">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p w14:paraId="1F3F910D" w14:textId="77777777" w:rsidR="0078423E" w:rsidRDefault="0078423E">
    <w:pPr>
      <w:pStyle w:val="Header"/>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9D29CB" w14:textId="77777777" w:rsidR="0078423E" w:rsidRPr="00B14FC0" w:rsidRDefault="0078423E" w:rsidP="00B14FC0">
    <w:pPr>
      <w:pStyle w:val="Header"/>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0ACF66"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FC350F3" w14:textId="77777777" w:rsidR="0078423E" w:rsidRDefault="0078423E">
    <w:pPr>
      <w:pStyle w:val="Header"/>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0C1E4" w14:textId="77777777" w:rsidR="0078423E" w:rsidRPr="001B7E15" w:rsidRDefault="0078423E" w:rsidP="00BD7EB6">
    <w:pPr>
      <w:pStyle w:val="Header"/>
      <w:jc w:val="center"/>
      <w:rPr>
        <w:lang w:val="sr-Cyrl-RS"/>
      </w:rPr>
    </w:pPr>
    <w:r w:rsidRPr="004044DC">
      <w:rPr>
        <w:lang w:val="sr-Cyrl-RS"/>
      </w:rPr>
      <w:t xml:space="preserve">Ревидирана фискална </w:t>
    </w:r>
    <w:r>
      <w:rPr>
        <w:lang w:val="sr-Cyrl-RS"/>
      </w:rPr>
      <w:t>стратегија за 2020. годину са пројекцијама за 2021. и 2022</w:t>
    </w:r>
    <w:r w:rsidRPr="001B7E15">
      <w:rPr>
        <w:lang w:val="sr-Cyrl-RS"/>
      </w:rPr>
      <w:t>. годину</w:t>
    </w:r>
  </w:p>
  <w:p w14:paraId="5E2B23B0" w14:textId="77777777" w:rsidR="0078423E" w:rsidRDefault="0078423E">
    <w:pPr>
      <w:pStyle w:val="Header"/>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B15EB"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60348CBF" w14:textId="77777777" w:rsidR="0078423E" w:rsidRDefault="0078423E">
    <w:pPr>
      <w:pStyle w:val="Header"/>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F40B7" w14:textId="77777777" w:rsidR="0078423E" w:rsidRPr="00F061F2" w:rsidRDefault="0078423E"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53826DBE" w14:textId="77777777" w:rsidR="0078423E" w:rsidRPr="004F72C4" w:rsidRDefault="0078423E" w:rsidP="004F72C4">
    <w:pPr>
      <w:pStyle w:val="Header"/>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70E11E" w14:textId="58453082" w:rsidR="0078423E" w:rsidRPr="000766DD" w:rsidRDefault="0078423E" w:rsidP="000766DD">
    <w:pPr>
      <w:pStyle w:val="Header"/>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3DD32"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ED988F4" w14:textId="77777777" w:rsidR="0078423E" w:rsidRDefault="0078423E">
    <w:pPr>
      <w:pStyle w:val="Header"/>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5ECC2" w14:textId="77777777" w:rsidR="0078423E" w:rsidRPr="00F061F2" w:rsidRDefault="0078423E" w:rsidP="005D42AC">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33589788" w14:textId="77777777" w:rsidR="0078423E" w:rsidRPr="004F72C4" w:rsidRDefault="0078423E" w:rsidP="004F72C4">
    <w:pPr>
      <w:pStyle w:val="Header"/>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0E4A8"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0540B1BD" w14:textId="77777777" w:rsidR="0078423E" w:rsidRDefault="0078423E">
    <w:pPr>
      <w:pStyle w:val="Header"/>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73216" w14:textId="77777777" w:rsidR="0078423E" w:rsidRPr="00F061F2" w:rsidRDefault="0078423E" w:rsidP="00C130D2">
    <w:pPr>
      <w:pStyle w:val="Header"/>
      <w:jc w:val="center"/>
    </w:pPr>
    <w:r w:rsidRPr="00724C89">
      <w:rPr>
        <w:lang w:val="sr-Cyrl-RS"/>
      </w:rPr>
      <w:t xml:space="preserve">Ревидирана фискална </w:t>
    </w:r>
    <w:r>
      <w:rPr>
        <w:lang w:val="sr-Cyrl-RS"/>
      </w:rPr>
      <w:t>стратегија за 2020. годину са пројекцијама за 2021. и 2022</w:t>
    </w:r>
    <w:r w:rsidRPr="00F061F2">
      <w:rPr>
        <w:lang w:val="sr-Cyrl-RS"/>
      </w:rPr>
      <w:t>. годину</w:t>
    </w:r>
  </w:p>
  <w:p w14:paraId="63994FD4" w14:textId="77777777" w:rsidR="0078423E" w:rsidRPr="004F72C4" w:rsidRDefault="0078423E" w:rsidP="004F72C4">
    <w:pPr>
      <w:pStyle w:val="Header"/>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F7C1C" w14:textId="16525C48" w:rsidR="0078423E" w:rsidRPr="000766DD" w:rsidRDefault="0078423E" w:rsidP="000766DD">
    <w:pPr>
      <w:pStyle w:val="Header"/>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FD518"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12DEAE06" w14:textId="77777777" w:rsidR="0078423E" w:rsidRDefault="0078423E">
    <w:pPr>
      <w:pStyle w:val="Header"/>
    </w:pP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DCFFED" w14:textId="77777777" w:rsidR="0078423E" w:rsidRPr="00F061F2" w:rsidRDefault="0078423E" w:rsidP="00C130D2">
    <w:pPr>
      <w:pStyle w:val="Header"/>
      <w:jc w:val="center"/>
    </w:pPr>
    <w:r w:rsidRPr="00724C89">
      <w:rPr>
        <w:lang w:val="sr-Cyrl-RS"/>
      </w:rPr>
      <w:t xml:space="preserve">Ревидирана фискална </w:t>
    </w:r>
    <w:r>
      <w:rPr>
        <w:lang w:val="sr-Cyrl-RS"/>
      </w:rPr>
      <w:t>стратегија за 2020. годину са пројекцијама за 2021. и 2022</w:t>
    </w:r>
    <w:r w:rsidRPr="00F061F2">
      <w:rPr>
        <w:lang w:val="sr-Cyrl-RS"/>
      </w:rPr>
      <w:t>. годину</w:t>
    </w:r>
  </w:p>
  <w:p w14:paraId="68531FCE" w14:textId="77777777" w:rsidR="0078423E" w:rsidRDefault="0078423E">
    <w:pPr>
      <w:pStyle w:val="Header"/>
    </w:pPr>
  </w:p>
</w:hdr>
</file>

<file path=word/header3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6C422" w14:textId="7CAD8D2F" w:rsidR="0078423E" w:rsidRPr="000766DD" w:rsidRDefault="0078423E" w:rsidP="000766DD">
    <w:pPr>
      <w:pStyle w:val="Header"/>
    </w:pPr>
  </w:p>
</w:hdr>
</file>

<file path=word/header3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25FA6"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78C40AB" w14:textId="77777777" w:rsidR="0078423E" w:rsidRDefault="0078423E">
    <w:pPr>
      <w:pStyle w:val="Header"/>
    </w:pPr>
  </w:p>
</w:hdr>
</file>

<file path=word/header3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94BAA3" w14:textId="77777777" w:rsidR="0078423E" w:rsidRPr="00094C86" w:rsidRDefault="0078423E" w:rsidP="005D42AC">
    <w:pPr>
      <w:pStyle w:val="Header"/>
    </w:pPr>
  </w:p>
</w:hdr>
</file>

<file path=word/header3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D3B631"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03012F80" w14:textId="77777777" w:rsidR="0078423E" w:rsidRDefault="0078423E">
    <w:pPr>
      <w:pStyle w:val="Header"/>
    </w:pPr>
  </w:p>
</w:hdr>
</file>

<file path=word/header3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6A4D56" w14:textId="77777777" w:rsidR="0078423E" w:rsidRPr="00F061F2" w:rsidRDefault="0078423E"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3F25ADB1" w14:textId="77777777" w:rsidR="0078423E" w:rsidRDefault="0078423E">
    <w:pPr>
      <w:pStyle w:val="Header"/>
    </w:pPr>
  </w:p>
</w:hdr>
</file>

<file path=word/header3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BAB09C" w14:textId="77777777" w:rsidR="0078423E" w:rsidRPr="00BF7F6A" w:rsidRDefault="0078423E" w:rsidP="00FE1A26">
    <w:pPr>
      <w:pStyle w:val="Header"/>
      <w:jc w:val="center"/>
      <w:rPr>
        <w:lang w:val="sr-Cyrl-RS"/>
      </w:rPr>
    </w:pPr>
    <w:r w:rsidRPr="006C57DB">
      <w:rPr>
        <w:lang w:val="sr-Cyrl-RS"/>
      </w:rPr>
      <w:t xml:space="preserve">Фискална </w:t>
    </w:r>
    <w:r>
      <w:rPr>
        <w:lang w:val="sr-Cyrl-RS"/>
      </w:rPr>
      <w:t>стратегија за 20</w:t>
    </w:r>
    <w:r>
      <w:rPr>
        <w:lang w:val="sr-Latn-RS"/>
      </w:rPr>
      <w:t>21</w:t>
    </w:r>
    <w:r>
      <w:rPr>
        <w:lang w:val="sr-Cyrl-RS"/>
      </w:rPr>
      <w:t>. годину са пројекцијама за 202</w:t>
    </w:r>
    <w:r>
      <w:rPr>
        <w:lang w:val="sr-Latn-RS"/>
      </w:rPr>
      <w:t>2</w:t>
    </w:r>
    <w:r>
      <w:rPr>
        <w:lang w:val="sr-Cyrl-RS"/>
      </w:rPr>
      <w:t>. и 202</w:t>
    </w:r>
    <w:r>
      <w:rPr>
        <w:lang w:val="sr-Latn-RS"/>
      </w:rPr>
      <w:t>3</w:t>
    </w:r>
    <w:r>
      <w:rPr>
        <w:lang w:val="sr-Cyrl-RS"/>
      </w:rPr>
      <w:t>. годину</w:t>
    </w:r>
  </w:p>
  <w:p w14:paraId="26161B4D" w14:textId="77777777" w:rsidR="0078423E" w:rsidRPr="00956C60" w:rsidRDefault="0078423E" w:rsidP="00C130D2">
    <w:pPr>
      <w:pStyle w:val="Header"/>
      <w:jc w:val="center"/>
    </w:pPr>
  </w:p>
</w:hdr>
</file>

<file path=word/header3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7F76C"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0CBD48F" w14:textId="77777777" w:rsidR="0078423E" w:rsidRDefault="0078423E">
    <w:pPr>
      <w:pStyle w:val="Header"/>
    </w:pPr>
  </w:p>
</w:hdr>
</file>

<file path=word/header3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6669D" w14:textId="77777777" w:rsidR="0078423E" w:rsidRPr="003B6D80" w:rsidRDefault="0078423E" w:rsidP="00E4657F">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3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ADC63" w14:textId="77777777" w:rsidR="0078423E" w:rsidRPr="00956C60" w:rsidRDefault="0078423E" w:rsidP="00C130D2">
    <w:pPr>
      <w:pStyle w:val="Header"/>
      <w:jc w:val="center"/>
    </w:pPr>
  </w:p>
</w:hdr>
</file>

<file path=word/header4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C7857"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36017C0B" w14:textId="77777777" w:rsidR="0078423E" w:rsidRDefault="0078423E">
    <w:pPr>
      <w:pStyle w:val="Header"/>
    </w:pPr>
  </w:p>
</w:hdr>
</file>

<file path=word/header4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ADBD1D" w14:textId="77777777" w:rsidR="0078423E" w:rsidRDefault="0078423E" w:rsidP="00815831">
    <w:pPr>
      <w:pStyle w:val="Header"/>
      <w:jc w:val="center"/>
    </w:pPr>
    <w:r w:rsidRPr="00724C89">
      <w:rPr>
        <w:lang w:val="sr-Cyrl-RS"/>
      </w:rPr>
      <w:t xml:space="preserve">Ревидирана фискална </w:t>
    </w:r>
    <w:r>
      <w:rPr>
        <w:lang w:val="sr-Cyrl-RS"/>
      </w:rPr>
      <w:t>стратегија за 20</w:t>
    </w:r>
    <w:r>
      <w:t>20</w:t>
    </w:r>
    <w:r>
      <w:rPr>
        <w:lang w:val="sr-Cyrl-RS"/>
      </w:rPr>
      <w:t>. годину са пројекцијама за 2021. и 2022</w:t>
    </w:r>
    <w:r w:rsidRPr="00F061F2">
      <w:rPr>
        <w:lang w:val="sr-Cyrl-RS"/>
      </w:rPr>
      <w:t>. годину</w:t>
    </w:r>
  </w:p>
</w:hdr>
</file>

<file path=word/header4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B0D522"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17ED3991" w14:textId="77777777" w:rsidR="0078423E" w:rsidRDefault="0078423E">
    <w:pPr>
      <w:pStyle w:val="Header"/>
    </w:pPr>
  </w:p>
</w:hdr>
</file>

<file path=word/header4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1394BE" w14:textId="77777777" w:rsidR="0078423E" w:rsidRPr="00956C60" w:rsidRDefault="0078423E" w:rsidP="00C130D2">
    <w:pPr>
      <w:pStyle w:val="Header"/>
      <w:jc w:val="center"/>
    </w:pPr>
    <w:r w:rsidRPr="00724C89">
      <w:rPr>
        <w:lang w:val="sr-Cyrl-RS"/>
      </w:rPr>
      <w:t xml:space="preserve">Ревидирана фискална </w:t>
    </w:r>
    <w:r>
      <w:rPr>
        <w:lang w:val="sr-Cyrl-RS"/>
      </w:rPr>
      <w:t>стратегија за 2020. годину са пројекцијама за 2021. и 2022</w:t>
    </w:r>
    <w:r w:rsidRPr="00361C29">
      <w:rPr>
        <w:lang w:val="sr-Cyrl-RS"/>
      </w:rPr>
      <w:t>. годину</w:t>
    </w:r>
  </w:p>
  <w:p w14:paraId="2C3DFE37" w14:textId="77777777" w:rsidR="0078423E" w:rsidRDefault="0078423E"/>
</w:hdr>
</file>

<file path=word/header4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3B938"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54459007" w14:textId="77777777" w:rsidR="0078423E" w:rsidRDefault="0078423E">
    <w:pPr>
      <w:pStyle w:val="Header"/>
    </w:pPr>
  </w:p>
  <w:p w14:paraId="0BB351F6" w14:textId="77777777" w:rsidR="0078423E" w:rsidRDefault="0078423E"/>
</w:hdr>
</file>

<file path=word/header4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EDFF8" w14:textId="77777777" w:rsidR="0078423E" w:rsidRDefault="0078423E"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4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622B8" w14:textId="77777777" w:rsidR="0078423E" w:rsidRPr="00BF7F6A" w:rsidRDefault="0078423E" w:rsidP="00BD7EB6">
    <w:pPr>
      <w:pStyle w:val="Header"/>
      <w:jc w:val="center"/>
      <w:rPr>
        <w:lang w:val="sr-Cyrl-RS"/>
      </w:rPr>
    </w:pPr>
    <w:r>
      <w:rPr>
        <w:lang w:val="sr-Cyrl-RS"/>
      </w:rPr>
      <w:t>Фискална стратегија за 2019. годину са пројекцијама за 2020. и 2021. годину</w:t>
    </w:r>
  </w:p>
  <w:p w14:paraId="40BEC915" w14:textId="77777777" w:rsidR="0078423E" w:rsidRDefault="0078423E">
    <w:pPr>
      <w:pStyle w:val="Header"/>
    </w:pPr>
  </w:p>
  <w:p w14:paraId="7234F51B" w14:textId="77777777" w:rsidR="0078423E" w:rsidRDefault="0078423E"/>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B2519C"/>
    <w:multiLevelType w:val="hybridMultilevel"/>
    <w:tmpl w:val="14EC1DC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63264B"/>
    <w:multiLevelType w:val="hybridMultilevel"/>
    <w:tmpl w:val="8FF08668"/>
    <w:lvl w:ilvl="0" w:tplc="281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7E3294"/>
    <w:multiLevelType w:val="hybridMultilevel"/>
    <w:tmpl w:val="1354E3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AE57C8"/>
    <w:multiLevelType w:val="hybridMultilevel"/>
    <w:tmpl w:val="97704FAE"/>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B575BE"/>
    <w:multiLevelType w:val="hybridMultilevel"/>
    <w:tmpl w:val="8514C64C"/>
    <w:lvl w:ilvl="0" w:tplc="281A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6196F9C"/>
    <w:multiLevelType w:val="hybridMultilevel"/>
    <w:tmpl w:val="03588D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6" w15:restartNumberingAfterBreak="0">
    <w:nsid w:val="1AA27DE4"/>
    <w:multiLevelType w:val="hybridMultilevel"/>
    <w:tmpl w:val="FA80B2E8"/>
    <w:lvl w:ilvl="0" w:tplc="71B0D9D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F077B37"/>
    <w:multiLevelType w:val="hybridMultilevel"/>
    <w:tmpl w:val="81503C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A37CC"/>
    <w:multiLevelType w:val="hybridMultilevel"/>
    <w:tmpl w:val="BA2A7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640D2D"/>
    <w:multiLevelType w:val="hybridMultilevel"/>
    <w:tmpl w:val="B7501ECE"/>
    <w:lvl w:ilvl="0" w:tplc="06960124">
      <w:start w:val="1"/>
      <w:numFmt w:val="decimal"/>
      <w:lvlText w:val="%1)"/>
      <w:lvlJc w:val="left"/>
      <w:pPr>
        <w:ind w:left="2160" w:hanging="360"/>
      </w:pPr>
      <w:rPr>
        <w:rFonts w:ascii="Cambria" w:eastAsia="Times New Roman" w:hAnsi="Cambria" w:cs="Tahoma"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10" w15:restartNumberingAfterBreak="0">
    <w:nsid w:val="269A237E"/>
    <w:multiLevelType w:val="hybridMultilevel"/>
    <w:tmpl w:val="E87A5076"/>
    <w:lvl w:ilvl="0" w:tplc="EF2AD8AC">
      <w:start w:val="7"/>
      <w:numFmt w:val="bullet"/>
      <w:lvlText w:val=""/>
      <w:lvlJc w:val="left"/>
      <w:pPr>
        <w:ind w:left="720" w:hanging="360"/>
      </w:pPr>
      <w:rPr>
        <w:rFonts w:ascii="Symbol" w:eastAsia="Calibri"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7E3366"/>
    <w:multiLevelType w:val="hybridMultilevel"/>
    <w:tmpl w:val="443407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29E336EA"/>
    <w:multiLevelType w:val="hybridMultilevel"/>
    <w:tmpl w:val="F5A8EA88"/>
    <w:lvl w:ilvl="0" w:tplc="5252804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57B7631"/>
    <w:multiLevelType w:val="hybridMultilevel"/>
    <w:tmpl w:val="68EE0AFC"/>
    <w:lvl w:ilvl="0" w:tplc="A278813C">
      <w:numFmt w:val="bullet"/>
      <w:lvlText w:val=""/>
      <w:lvlJc w:val="left"/>
      <w:pPr>
        <w:ind w:left="720" w:hanging="360"/>
      </w:pPr>
      <w:rPr>
        <w:rFonts w:ascii="Symbol" w:eastAsiaTheme="minorHAnsi" w:hAnsi="Symbol" w:cstheme="minorHAnsi"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5" w15:restartNumberingAfterBreak="0">
    <w:nsid w:val="364818FA"/>
    <w:multiLevelType w:val="hybridMultilevel"/>
    <w:tmpl w:val="B3DEF552"/>
    <w:lvl w:ilvl="0" w:tplc="F05C964E">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4467C91"/>
    <w:multiLevelType w:val="hybridMultilevel"/>
    <w:tmpl w:val="9DAA1384"/>
    <w:lvl w:ilvl="0" w:tplc="1D3E2152">
      <w:start w:val="7"/>
      <w:numFmt w:val="bullet"/>
      <w:lvlText w:val=""/>
      <w:lvlJc w:val="left"/>
      <w:pPr>
        <w:ind w:left="720" w:hanging="360"/>
      </w:pPr>
      <w:rPr>
        <w:rFonts w:ascii="Symbol" w:eastAsia="Calibri"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463FD0"/>
    <w:multiLevelType w:val="hybridMultilevel"/>
    <w:tmpl w:val="8F8C83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107BC8"/>
    <w:multiLevelType w:val="hybridMultilevel"/>
    <w:tmpl w:val="0DBA091E"/>
    <w:lvl w:ilvl="0" w:tplc="0988F754">
      <w:start w:val="5"/>
      <w:numFmt w:val="bullet"/>
      <w:lvlText w:val="-"/>
      <w:lvlJc w:val="left"/>
      <w:pPr>
        <w:ind w:left="720" w:hanging="360"/>
      </w:pPr>
      <w:rPr>
        <w:rFonts w:ascii="Arial" w:eastAsia="Times New Roman" w:hAnsi="Arial" w:cs="Aria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E10CE8"/>
    <w:multiLevelType w:val="hybridMultilevel"/>
    <w:tmpl w:val="2EA86312"/>
    <w:lvl w:ilvl="0" w:tplc="3C18CB6A">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24"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25" w15:restartNumberingAfterBreak="0">
    <w:nsid w:val="510620D3"/>
    <w:multiLevelType w:val="hybridMultilevel"/>
    <w:tmpl w:val="0D62EB3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296732"/>
    <w:multiLevelType w:val="hybridMultilevel"/>
    <w:tmpl w:val="50008634"/>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717A3C"/>
    <w:multiLevelType w:val="hybridMultilevel"/>
    <w:tmpl w:val="4498CBF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D88702A"/>
    <w:multiLevelType w:val="hybridMultilevel"/>
    <w:tmpl w:val="A712D11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1597092"/>
    <w:multiLevelType w:val="hybridMultilevel"/>
    <w:tmpl w:val="DD583D3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5939ED"/>
    <w:multiLevelType w:val="hybridMultilevel"/>
    <w:tmpl w:val="F9640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5FD5C5B"/>
    <w:multiLevelType w:val="hybridMultilevel"/>
    <w:tmpl w:val="A216C01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2577D"/>
    <w:multiLevelType w:val="hybridMultilevel"/>
    <w:tmpl w:val="4886B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BD6519D"/>
    <w:multiLevelType w:val="hybridMultilevel"/>
    <w:tmpl w:val="885EE6C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E846ED"/>
    <w:multiLevelType w:val="hybridMultilevel"/>
    <w:tmpl w:val="7B084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9879F0"/>
    <w:multiLevelType w:val="hybridMultilevel"/>
    <w:tmpl w:val="0E260B54"/>
    <w:lvl w:ilvl="0" w:tplc="4210E704">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13"/>
  </w:num>
  <w:num w:numId="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1"/>
  </w:num>
  <w:num w:numId="8">
    <w:abstractNumId w:val="9"/>
  </w:num>
  <w:num w:numId="9">
    <w:abstractNumId w:val="30"/>
  </w:num>
  <w:num w:numId="10">
    <w:abstractNumId w:val="23"/>
  </w:num>
  <w:num w:numId="11">
    <w:abstractNumId w:val="24"/>
  </w:num>
  <w:num w:numId="12">
    <w:abstractNumId w:val="14"/>
  </w:num>
  <w:num w:numId="13">
    <w:abstractNumId w:val="39"/>
  </w:num>
  <w:num w:numId="14">
    <w:abstractNumId w:val="6"/>
  </w:num>
  <w:num w:numId="15">
    <w:abstractNumId w:val="2"/>
  </w:num>
  <w:num w:numId="16">
    <w:abstractNumId w:val="15"/>
  </w:num>
  <w:num w:numId="17">
    <w:abstractNumId w:val="18"/>
  </w:num>
  <w:num w:numId="18">
    <w:abstractNumId w:val="42"/>
  </w:num>
  <w:num w:numId="19">
    <w:abstractNumId w:val="22"/>
  </w:num>
  <w:num w:numId="20">
    <w:abstractNumId w:val="25"/>
  </w:num>
  <w:num w:numId="21">
    <w:abstractNumId w:val="17"/>
  </w:num>
  <w:num w:numId="22">
    <w:abstractNumId w:val="28"/>
  </w:num>
  <w:num w:numId="23">
    <w:abstractNumId w:val="43"/>
  </w:num>
  <w:num w:numId="24">
    <w:abstractNumId w:val="36"/>
  </w:num>
  <w:num w:numId="25">
    <w:abstractNumId w:val="41"/>
  </w:num>
  <w:num w:numId="26">
    <w:abstractNumId w:val="7"/>
  </w:num>
  <w:num w:numId="27">
    <w:abstractNumId w:val="27"/>
  </w:num>
  <w:num w:numId="28">
    <w:abstractNumId w:val="0"/>
  </w:num>
  <w:num w:numId="29">
    <w:abstractNumId w:val="38"/>
  </w:num>
  <w:num w:numId="30">
    <w:abstractNumId w:val="31"/>
  </w:num>
  <w:num w:numId="31">
    <w:abstractNumId w:val="40"/>
  </w:num>
  <w:num w:numId="32">
    <w:abstractNumId w:val="16"/>
  </w:num>
  <w:num w:numId="33">
    <w:abstractNumId w:val="37"/>
  </w:num>
  <w:num w:numId="34">
    <w:abstractNumId w:val="19"/>
  </w:num>
  <w:num w:numId="35">
    <w:abstractNumId w:val="10"/>
  </w:num>
  <w:num w:numId="36">
    <w:abstractNumId w:val="1"/>
  </w:num>
  <w:num w:numId="37">
    <w:abstractNumId w:val="4"/>
  </w:num>
  <w:num w:numId="38">
    <w:abstractNumId w:val="20"/>
  </w:num>
  <w:num w:numId="39">
    <w:abstractNumId w:val="21"/>
  </w:num>
  <w:num w:numId="40">
    <w:abstractNumId w:val="32"/>
  </w:num>
  <w:num w:numId="41">
    <w:abstractNumId w:val="34"/>
  </w:num>
  <w:num w:numId="42">
    <w:abstractNumId w:val="26"/>
  </w:num>
  <w:num w:numId="43">
    <w:abstractNumId w:val="33"/>
  </w:num>
  <w:num w:numId="44">
    <w:abstractNumId w:val="29"/>
  </w:num>
  <w:num w:numId="45">
    <w:abstractNumId w:val="35"/>
  </w:num>
  <w:num w:numId="4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4"/>
  <w:displayBackgroundShape/>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TQzMTS2sDAxNzYwM7RU0lEKTi0uzszPAykwrgUA81w0PiwAAAA="/>
  </w:docVars>
  <w:rsids>
    <w:rsidRoot w:val="00570694"/>
    <w:rsid w:val="00000738"/>
    <w:rsid w:val="00005A98"/>
    <w:rsid w:val="00005B4B"/>
    <w:rsid w:val="00007450"/>
    <w:rsid w:val="00007DCD"/>
    <w:rsid w:val="0001031F"/>
    <w:rsid w:val="0001068B"/>
    <w:rsid w:val="00010C73"/>
    <w:rsid w:val="00011F40"/>
    <w:rsid w:val="0001436A"/>
    <w:rsid w:val="0001456F"/>
    <w:rsid w:val="000146BD"/>
    <w:rsid w:val="0001479F"/>
    <w:rsid w:val="0001518F"/>
    <w:rsid w:val="00016599"/>
    <w:rsid w:val="00017CE7"/>
    <w:rsid w:val="00017FEA"/>
    <w:rsid w:val="00020F32"/>
    <w:rsid w:val="0002394D"/>
    <w:rsid w:val="00023CAD"/>
    <w:rsid w:val="00024B73"/>
    <w:rsid w:val="00025B30"/>
    <w:rsid w:val="00025DEA"/>
    <w:rsid w:val="00026799"/>
    <w:rsid w:val="00030428"/>
    <w:rsid w:val="00030ED7"/>
    <w:rsid w:val="00031215"/>
    <w:rsid w:val="000312CC"/>
    <w:rsid w:val="0003151D"/>
    <w:rsid w:val="0003267D"/>
    <w:rsid w:val="00032ABE"/>
    <w:rsid w:val="0003520F"/>
    <w:rsid w:val="00036174"/>
    <w:rsid w:val="000378CD"/>
    <w:rsid w:val="00040A56"/>
    <w:rsid w:val="00040FBC"/>
    <w:rsid w:val="0004265A"/>
    <w:rsid w:val="00043D88"/>
    <w:rsid w:val="0004446C"/>
    <w:rsid w:val="00044F53"/>
    <w:rsid w:val="00047F55"/>
    <w:rsid w:val="00050D40"/>
    <w:rsid w:val="00050E4C"/>
    <w:rsid w:val="00051446"/>
    <w:rsid w:val="00051E16"/>
    <w:rsid w:val="000520C7"/>
    <w:rsid w:val="0005265C"/>
    <w:rsid w:val="000526AB"/>
    <w:rsid w:val="00052880"/>
    <w:rsid w:val="00053791"/>
    <w:rsid w:val="00053E30"/>
    <w:rsid w:val="00053E87"/>
    <w:rsid w:val="00054089"/>
    <w:rsid w:val="000544FF"/>
    <w:rsid w:val="00054623"/>
    <w:rsid w:val="00054A7A"/>
    <w:rsid w:val="00055075"/>
    <w:rsid w:val="000554B1"/>
    <w:rsid w:val="00055FE2"/>
    <w:rsid w:val="000623F6"/>
    <w:rsid w:val="000628F2"/>
    <w:rsid w:val="00063E59"/>
    <w:rsid w:val="0006488B"/>
    <w:rsid w:val="000662DC"/>
    <w:rsid w:val="000676C7"/>
    <w:rsid w:val="00067B90"/>
    <w:rsid w:val="000718C2"/>
    <w:rsid w:val="000727B2"/>
    <w:rsid w:val="00073179"/>
    <w:rsid w:val="00073336"/>
    <w:rsid w:val="000766DD"/>
    <w:rsid w:val="000771A0"/>
    <w:rsid w:val="00077711"/>
    <w:rsid w:val="000814C2"/>
    <w:rsid w:val="00081C1E"/>
    <w:rsid w:val="00082B03"/>
    <w:rsid w:val="000836F4"/>
    <w:rsid w:val="00085D4A"/>
    <w:rsid w:val="00085ECE"/>
    <w:rsid w:val="0008731A"/>
    <w:rsid w:val="00087CD9"/>
    <w:rsid w:val="000919A1"/>
    <w:rsid w:val="00092123"/>
    <w:rsid w:val="000931AB"/>
    <w:rsid w:val="00095B36"/>
    <w:rsid w:val="000964C9"/>
    <w:rsid w:val="000A00D2"/>
    <w:rsid w:val="000A357F"/>
    <w:rsid w:val="000A3BA4"/>
    <w:rsid w:val="000A3DA9"/>
    <w:rsid w:val="000A46FE"/>
    <w:rsid w:val="000A55CF"/>
    <w:rsid w:val="000A5C49"/>
    <w:rsid w:val="000A72D6"/>
    <w:rsid w:val="000A772F"/>
    <w:rsid w:val="000A7CCE"/>
    <w:rsid w:val="000B062E"/>
    <w:rsid w:val="000B24C5"/>
    <w:rsid w:val="000B282B"/>
    <w:rsid w:val="000B2BAB"/>
    <w:rsid w:val="000B43F5"/>
    <w:rsid w:val="000B44BA"/>
    <w:rsid w:val="000C08A1"/>
    <w:rsid w:val="000C255B"/>
    <w:rsid w:val="000C2568"/>
    <w:rsid w:val="000C433F"/>
    <w:rsid w:val="000C7D6F"/>
    <w:rsid w:val="000D0A45"/>
    <w:rsid w:val="000D1073"/>
    <w:rsid w:val="000D2FC6"/>
    <w:rsid w:val="000D35C5"/>
    <w:rsid w:val="000D3B88"/>
    <w:rsid w:val="000D408C"/>
    <w:rsid w:val="000D5A02"/>
    <w:rsid w:val="000D63DF"/>
    <w:rsid w:val="000D6FF5"/>
    <w:rsid w:val="000E05E0"/>
    <w:rsid w:val="000E1901"/>
    <w:rsid w:val="000E1A99"/>
    <w:rsid w:val="000E2AEF"/>
    <w:rsid w:val="000E343C"/>
    <w:rsid w:val="000E376B"/>
    <w:rsid w:val="000E4558"/>
    <w:rsid w:val="000E5961"/>
    <w:rsid w:val="000E608D"/>
    <w:rsid w:val="000E61F4"/>
    <w:rsid w:val="000E651E"/>
    <w:rsid w:val="000E72F0"/>
    <w:rsid w:val="000F1EB4"/>
    <w:rsid w:val="000F33F8"/>
    <w:rsid w:val="000F4BFA"/>
    <w:rsid w:val="000F4F17"/>
    <w:rsid w:val="000F58B5"/>
    <w:rsid w:val="000F6048"/>
    <w:rsid w:val="00100B11"/>
    <w:rsid w:val="00101649"/>
    <w:rsid w:val="00105FA7"/>
    <w:rsid w:val="00107CFA"/>
    <w:rsid w:val="00107E08"/>
    <w:rsid w:val="00110235"/>
    <w:rsid w:val="00111810"/>
    <w:rsid w:val="00111833"/>
    <w:rsid w:val="00111DAF"/>
    <w:rsid w:val="0011303A"/>
    <w:rsid w:val="00114519"/>
    <w:rsid w:val="0011480F"/>
    <w:rsid w:val="00116920"/>
    <w:rsid w:val="00117192"/>
    <w:rsid w:val="00117933"/>
    <w:rsid w:val="00120DA0"/>
    <w:rsid w:val="00122265"/>
    <w:rsid w:val="0012307B"/>
    <w:rsid w:val="00123E26"/>
    <w:rsid w:val="001259A9"/>
    <w:rsid w:val="001275CF"/>
    <w:rsid w:val="001315A6"/>
    <w:rsid w:val="00131C9F"/>
    <w:rsid w:val="00132FA9"/>
    <w:rsid w:val="00133AB2"/>
    <w:rsid w:val="00133CD9"/>
    <w:rsid w:val="00133D9B"/>
    <w:rsid w:val="001359FB"/>
    <w:rsid w:val="00135A8B"/>
    <w:rsid w:val="00135AAB"/>
    <w:rsid w:val="001367C0"/>
    <w:rsid w:val="00137CAB"/>
    <w:rsid w:val="00140F69"/>
    <w:rsid w:val="00142BB2"/>
    <w:rsid w:val="0014307F"/>
    <w:rsid w:val="001441C8"/>
    <w:rsid w:val="00144472"/>
    <w:rsid w:val="00144545"/>
    <w:rsid w:val="00144917"/>
    <w:rsid w:val="00144C44"/>
    <w:rsid w:val="0014561B"/>
    <w:rsid w:val="00146101"/>
    <w:rsid w:val="00146506"/>
    <w:rsid w:val="001476C8"/>
    <w:rsid w:val="00147925"/>
    <w:rsid w:val="00147C55"/>
    <w:rsid w:val="0015014A"/>
    <w:rsid w:val="00150351"/>
    <w:rsid w:val="00150B26"/>
    <w:rsid w:val="00151DA1"/>
    <w:rsid w:val="001527EE"/>
    <w:rsid w:val="0015290B"/>
    <w:rsid w:val="00152FE9"/>
    <w:rsid w:val="0015484A"/>
    <w:rsid w:val="00155570"/>
    <w:rsid w:val="00156088"/>
    <w:rsid w:val="00156BFA"/>
    <w:rsid w:val="001604B9"/>
    <w:rsid w:val="00161001"/>
    <w:rsid w:val="00162A08"/>
    <w:rsid w:val="00163ABC"/>
    <w:rsid w:val="00164283"/>
    <w:rsid w:val="0016494D"/>
    <w:rsid w:val="001658DB"/>
    <w:rsid w:val="0017035F"/>
    <w:rsid w:val="0017154C"/>
    <w:rsid w:val="00171E52"/>
    <w:rsid w:val="00172947"/>
    <w:rsid w:val="001748A7"/>
    <w:rsid w:val="00175A72"/>
    <w:rsid w:val="001773CD"/>
    <w:rsid w:val="00180DF6"/>
    <w:rsid w:val="00182173"/>
    <w:rsid w:val="001829CE"/>
    <w:rsid w:val="00182A86"/>
    <w:rsid w:val="00183C60"/>
    <w:rsid w:val="00184007"/>
    <w:rsid w:val="00187838"/>
    <w:rsid w:val="001901FC"/>
    <w:rsid w:val="00190661"/>
    <w:rsid w:val="00191645"/>
    <w:rsid w:val="001940DA"/>
    <w:rsid w:val="00195054"/>
    <w:rsid w:val="00195D34"/>
    <w:rsid w:val="00195EED"/>
    <w:rsid w:val="0019659D"/>
    <w:rsid w:val="00196FF3"/>
    <w:rsid w:val="00197D5B"/>
    <w:rsid w:val="001A0449"/>
    <w:rsid w:val="001A06AE"/>
    <w:rsid w:val="001A108B"/>
    <w:rsid w:val="001A25EA"/>
    <w:rsid w:val="001A2C4E"/>
    <w:rsid w:val="001A342B"/>
    <w:rsid w:val="001A35AD"/>
    <w:rsid w:val="001A4391"/>
    <w:rsid w:val="001A7C3B"/>
    <w:rsid w:val="001B0D1E"/>
    <w:rsid w:val="001B0E94"/>
    <w:rsid w:val="001B200E"/>
    <w:rsid w:val="001B2B9F"/>
    <w:rsid w:val="001B3294"/>
    <w:rsid w:val="001B39B1"/>
    <w:rsid w:val="001B3F5A"/>
    <w:rsid w:val="001B4899"/>
    <w:rsid w:val="001B7B6D"/>
    <w:rsid w:val="001C31E8"/>
    <w:rsid w:val="001C37C3"/>
    <w:rsid w:val="001C3EB8"/>
    <w:rsid w:val="001C5986"/>
    <w:rsid w:val="001C5C26"/>
    <w:rsid w:val="001C5E46"/>
    <w:rsid w:val="001C624A"/>
    <w:rsid w:val="001C6D5F"/>
    <w:rsid w:val="001C7486"/>
    <w:rsid w:val="001C7944"/>
    <w:rsid w:val="001D12AA"/>
    <w:rsid w:val="001D1BC3"/>
    <w:rsid w:val="001D254C"/>
    <w:rsid w:val="001D2764"/>
    <w:rsid w:val="001D3241"/>
    <w:rsid w:val="001D3262"/>
    <w:rsid w:val="001D3316"/>
    <w:rsid w:val="001D3A04"/>
    <w:rsid w:val="001D528E"/>
    <w:rsid w:val="001D52A6"/>
    <w:rsid w:val="001D5B59"/>
    <w:rsid w:val="001D6890"/>
    <w:rsid w:val="001D6BAB"/>
    <w:rsid w:val="001D6C6B"/>
    <w:rsid w:val="001E0313"/>
    <w:rsid w:val="001E3C08"/>
    <w:rsid w:val="001E43C2"/>
    <w:rsid w:val="001E499B"/>
    <w:rsid w:val="001E5B42"/>
    <w:rsid w:val="001E71AB"/>
    <w:rsid w:val="001F0A52"/>
    <w:rsid w:val="001F4750"/>
    <w:rsid w:val="001F4A1C"/>
    <w:rsid w:val="001F4FBB"/>
    <w:rsid w:val="001F52FB"/>
    <w:rsid w:val="001F5D30"/>
    <w:rsid w:val="001F6AEA"/>
    <w:rsid w:val="001F72DE"/>
    <w:rsid w:val="00201099"/>
    <w:rsid w:val="00201586"/>
    <w:rsid w:val="0020165D"/>
    <w:rsid w:val="00201771"/>
    <w:rsid w:val="002027E9"/>
    <w:rsid w:val="00203391"/>
    <w:rsid w:val="0020373B"/>
    <w:rsid w:val="002048DF"/>
    <w:rsid w:val="00204F22"/>
    <w:rsid w:val="00205098"/>
    <w:rsid w:val="00205636"/>
    <w:rsid w:val="00206FBA"/>
    <w:rsid w:val="0020757D"/>
    <w:rsid w:val="0020784A"/>
    <w:rsid w:val="0021016A"/>
    <w:rsid w:val="00213C53"/>
    <w:rsid w:val="00214CFC"/>
    <w:rsid w:val="002152C6"/>
    <w:rsid w:val="002166F8"/>
    <w:rsid w:val="00220291"/>
    <w:rsid w:val="00220B7B"/>
    <w:rsid w:val="00222C42"/>
    <w:rsid w:val="00224E76"/>
    <w:rsid w:val="00225A4E"/>
    <w:rsid w:val="0022630A"/>
    <w:rsid w:val="0022672A"/>
    <w:rsid w:val="00227CB2"/>
    <w:rsid w:val="0023004A"/>
    <w:rsid w:val="00230F86"/>
    <w:rsid w:val="00231623"/>
    <w:rsid w:val="00231D59"/>
    <w:rsid w:val="0023268B"/>
    <w:rsid w:val="00232965"/>
    <w:rsid w:val="00236619"/>
    <w:rsid w:val="0023793B"/>
    <w:rsid w:val="0024018B"/>
    <w:rsid w:val="002408F9"/>
    <w:rsid w:val="00240E2E"/>
    <w:rsid w:val="00242481"/>
    <w:rsid w:val="00242716"/>
    <w:rsid w:val="00242C1B"/>
    <w:rsid w:val="00244274"/>
    <w:rsid w:val="002478B5"/>
    <w:rsid w:val="00250469"/>
    <w:rsid w:val="002514DB"/>
    <w:rsid w:val="0025163B"/>
    <w:rsid w:val="00252092"/>
    <w:rsid w:val="002520BF"/>
    <w:rsid w:val="002520F2"/>
    <w:rsid w:val="00253BCE"/>
    <w:rsid w:val="002545C4"/>
    <w:rsid w:val="00255D7F"/>
    <w:rsid w:val="002567C7"/>
    <w:rsid w:val="00256C5B"/>
    <w:rsid w:val="00260796"/>
    <w:rsid w:val="002607ED"/>
    <w:rsid w:val="002608D1"/>
    <w:rsid w:val="00261423"/>
    <w:rsid w:val="0026168D"/>
    <w:rsid w:val="0026272F"/>
    <w:rsid w:val="00264858"/>
    <w:rsid w:val="00265394"/>
    <w:rsid w:val="002654A4"/>
    <w:rsid w:val="00266355"/>
    <w:rsid w:val="00270566"/>
    <w:rsid w:val="00273E35"/>
    <w:rsid w:val="0027402D"/>
    <w:rsid w:val="002745EB"/>
    <w:rsid w:val="002754E6"/>
    <w:rsid w:val="00276FCA"/>
    <w:rsid w:val="00277E7D"/>
    <w:rsid w:val="00280B97"/>
    <w:rsid w:val="00282BAA"/>
    <w:rsid w:val="00285087"/>
    <w:rsid w:val="00285491"/>
    <w:rsid w:val="00285CFC"/>
    <w:rsid w:val="002864D9"/>
    <w:rsid w:val="00291A64"/>
    <w:rsid w:val="00291ED0"/>
    <w:rsid w:val="00292465"/>
    <w:rsid w:val="00292A4F"/>
    <w:rsid w:val="00293770"/>
    <w:rsid w:val="002944BB"/>
    <w:rsid w:val="002976D7"/>
    <w:rsid w:val="002A0D22"/>
    <w:rsid w:val="002A11EE"/>
    <w:rsid w:val="002A2849"/>
    <w:rsid w:val="002A3DF9"/>
    <w:rsid w:val="002A4AC6"/>
    <w:rsid w:val="002A5D8B"/>
    <w:rsid w:val="002A65F6"/>
    <w:rsid w:val="002A7D0E"/>
    <w:rsid w:val="002B0A81"/>
    <w:rsid w:val="002B0D7A"/>
    <w:rsid w:val="002B161B"/>
    <w:rsid w:val="002B1A52"/>
    <w:rsid w:val="002B373F"/>
    <w:rsid w:val="002B46CB"/>
    <w:rsid w:val="002B60EF"/>
    <w:rsid w:val="002B644D"/>
    <w:rsid w:val="002B7144"/>
    <w:rsid w:val="002C0021"/>
    <w:rsid w:val="002C1D90"/>
    <w:rsid w:val="002C1FBC"/>
    <w:rsid w:val="002C3568"/>
    <w:rsid w:val="002C5CC6"/>
    <w:rsid w:val="002C675F"/>
    <w:rsid w:val="002D0A04"/>
    <w:rsid w:val="002D0E7B"/>
    <w:rsid w:val="002D1432"/>
    <w:rsid w:val="002D29FF"/>
    <w:rsid w:val="002D37F1"/>
    <w:rsid w:val="002D5C73"/>
    <w:rsid w:val="002D6257"/>
    <w:rsid w:val="002D6307"/>
    <w:rsid w:val="002D65A5"/>
    <w:rsid w:val="002D7900"/>
    <w:rsid w:val="002D7C40"/>
    <w:rsid w:val="002E1402"/>
    <w:rsid w:val="002E15A1"/>
    <w:rsid w:val="002E1612"/>
    <w:rsid w:val="002E197B"/>
    <w:rsid w:val="002E320D"/>
    <w:rsid w:val="002E3A44"/>
    <w:rsid w:val="002E4487"/>
    <w:rsid w:val="002E4662"/>
    <w:rsid w:val="002E4759"/>
    <w:rsid w:val="002E47F1"/>
    <w:rsid w:val="002E4A8C"/>
    <w:rsid w:val="002E4BCE"/>
    <w:rsid w:val="002E51AD"/>
    <w:rsid w:val="002E527B"/>
    <w:rsid w:val="002E52CA"/>
    <w:rsid w:val="002E58F2"/>
    <w:rsid w:val="002E5BAB"/>
    <w:rsid w:val="002E61D1"/>
    <w:rsid w:val="002E6657"/>
    <w:rsid w:val="002E6AEF"/>
    <w:rsid w:val="002E6EF0"/>
    <w:rsid w:val="002E7C10"/>
    <w:rsid w:val="002E7E1E"/>
    <w:rsid w:val="002F02EE"/>
    <w:rsid w:val="002F0472"/>
    <w:rsid w:val="002F2261"/>
    <w:rsid w:val="002F3901"/>
    <w:rsid w:val="002F3CE6"/>
    <w:rsid w:val="002F42FE"/>
    <w:rsid w:val="002F451B"/>
    <w:rsid w:val="002F558D"/>
    <w:rsid w:val="002F5833"/>
    <w:rsid w:val="002F7235"/>
    <w:rsid w:val="00300901"/>
    <w:rsid w:val="00302ADE"/>
    <w:rsid w:val="00302B46"/>
    <w:rsid w:val="00302E90"/>
    <w:rsid w:val="00303B83"/>
    <w:rsid w:val="00303C2E"/>
    <w:rsid w:val="00303D95"/>
    <w:rsid w:val="00304ECA"/>
    <w:rsid w:val="003050C6"/>
    <w:rsid w:val="00305241"/>
    <w:rsid w:val="003058D5"/>
    <w:rsid w:val="00306BE8"/>
    <w:rsid w:val="00307F73"/>
    <w:rsid w:val="00310B9F"/>
    <w:rsid w:val="00312646"/>
    <w:rsid w:val="003126F7"/>
    <w:rsid w:val="003128B5"/>
    <w:rsid w:val="00314629"/>
    <w:rsid w:val="00315856"/>
    <w:rsid w:val="00315D1D"/>
    <w:rsid w:val="00316892"/>
    <w:rsid w:val="003170C0"/>
    <w:rsid w:val="003171D3"/>
    <w:rsid w:val="00320855"/>
    <w:rsid w:val="003214DF"/>
    <w:rsid w:val="00323A26"/>
    <w:rsid w:val="00324DF0"/>
    <w:rsid w:val="00326508"/>
    <w:rsid w:val="00326551"/>
    <w:rsid w:val="00327FC8"/>
    <w:rsid w:val="00330B52"/>
    <w:rsid w:val="003313B5"/>
    <w:rsid w:val="00332E3E"/>
    <w:rsid w:val="0033359D"/>
    <w:rsid w:val="00333942"/>
    <w:rsid w:val="00333B2E"/>
    <w:rsid w:val="00335B68"/>
    <w:rsid w:val="00336934"/>
    <w:rsid w:val="00341069"/>
    <w:rsid w:val="00341D14"/>
    <w:rsid w:val="00342910"/>
    <w:rsid w:val="00342D1C"/>
    <w:rsid w:val="00343872"/>
    <w:rsid w:val="003438A0"/>
    <w:rsid w:val="00344AF8"/>
    <w:rsid w:val="00345423"/>
    <w:rsid w:val="00346311"/>
    <w:rsid w:val="003472D1"/>
    <w:rsid w:val="00350002"/>
    <w:rsid w:val="00350B37"/>
    <w:rsid w:val="0035103D"/>
    <w:rsid w:val="003524B2"/>
    <w:rsid w:val="003528CF"/>
    <w:rsid w:val="00352961"/>
    <w:rsid w:val="00354DC3"/>
    <w:rsid w:val="00356647"/>
    <w:rsid w:val="003567E9"/>
    <w:rsid w:val="00357300"/>
    <w:rsid w:val="003609A6"/>
    <w:rsid w:val="00361C29"/>
    <w:rsid w:val="00361F64"/>
    <w:rsid w:val="00363ACB"/>
    <w:rsid w:val="00363FDA"/>
    <w:rsid w:val="00363FE4"/>
    <w:rsid w:val="00365A06"/>
    <w:rsid w:val="00365A0C"/>
    <w:rsid w:val="00367B4C"/>
    <w:rsid w:val="00370F51"/>
    <w:rsid w:val="00371E4D"/>
    <w:rsid w:val="00372639"/>
    <w:rsid w:val="0037429D"/>
    <w:rsid w:val="00374B60"/>
    <w:rsid w:val="003755DE"/>
    <w:rsid w:val="0037637C"/>
    <w:rsid w:val="003763EB"/>
    <w:rsid w:val="00376D86"/>
    <w:rsid w:val="003811C4"/>
    <w:rsid w:val="003825BA"/>
    <w:rsid w:val="0038330F"/>
    <w:rsid w:val="003848B5"/>
    <w:rsid w:val="00384EC9"/>
    <w:rsid w:val="003851DF"/>
    <w:rsid w:val="0038706A"/>
    <w:rsid w:val="0039057A"/>
    <w:rsid w:val="003906A5"/>
    <w:rsid w:val="0039113B"/>
    <w:rsid w:val="00395F56"/>
    <w:rsid w:val="00397D63"/>
    <w:rsid w:val="003A1553"/>
    <w:rsid w:val="003A1B75"/>
    <w:rsid w:val="003A3457"/>
    <w:rsid w:val="003A3F7F"/>
    <w:rsid w:val="003A4087"/>
    <w:rsid w:val="003A4697"/>
    <w:rsid w:val="003A4F0F"/>
    <w:rsid w:val="003A4FB0"/>
    <w:rsid w:val="003A5A50"/>
    <w:rsid w:val="003A5BB2"/>
    <w:rsid w:val="003B0E3D"/>
    <w:rsid w:val="003B1963"/>
    <w:rsid w:val="003B2341"/>
    <w:rsid w:val="003B31C0"/>
    <w:rsid w:val="003B33D2"/>
    <w:rsid w:val="003B46C2"/>
    <w:rsid w:val="003B4C3D"/>
    <w:rsid w:val="003C1760"/>
    <w:rsid w:val="003C2754"/>
    <w:rsid w:val="003C6192"/>
    <w:rsid w:val="003C6B14"/>
    <w:rsid w:val="003D2059"/>
    <w:rsid w:val="003D21F5"/>
    <w:rsid w:val="003D2901"/>
    <w:rsid w:val="003D3667"/>
    <w:rsid w:val="003D402A"/>
    <w:rsid w:val="003D4203"/>
    <w:rsid w:val="003D6EFD"/>
    <w:rsid w:val="003D7413"/>
    <w:rsid w:val="003E09E6"/>
    <w:rsid w:val="003E10D3"/>
    <w:rsid w:val="003E166B"/>
    <w:rsid w:val="003E2525"/>
    <w:rsid w:val="003E2EFC"/>
    <w:rsid w:val="003E7579"/>
    <w:rsid w:val="003E7703"/>
    <w:rsid w:val="003F04D6"/>
    <w:rsid w:val="003F128E"/>
    <w:rsid w:val="003F1AC5"/>
    <w:rsid w:val="003F1D6A"/>
    <w:rsid w:val="003F3BF5"/>
    <w:rsid w:val="003F3C4D"/>
    <w:rsid w:val="003F3CA3"/>
    <w:rsid w:val="003F4E09"/>
    <w:rsid w:val="003F5542"/>
    <w:rsid w:val="003F5F46"/>
    <w:rsid w:val="003F7B20"/>
    <w:rsid w:val="00400E19"/>
    <w:rsid w:val="00402E3B"/>
    <w:rsid w:val="004044DC"/>
    <w:rsid w:val="0040477D"/>
    <w:rsid w:val="00404B0E"/>
    <w:rsid w:val="00405B9F"/>
    <w:rsid w:val="00406314"/>
    <w:rsid w:val="0040647C"/>
    <w:rsid w:val="004065FD"/>
    <w:rsid w:val="00407313"/>
    <w:rsid w:val="00411215"/>
    <w:rsid w:val="004127CC"/>
    <w:rsid w:val="00412E79"/>
    <w:rsid w:val="004138CA"/>
    <w:rsid w:val="00416B5D"/>
    <w:rsid w:val="00417419"/>
    <w:rsid w:val="004200F6"/>
    <w:rsid w:val="004201B0"/>
    <w:rsid w:val="004209B8"/>
    <w:rsid w:val="00422B7E"/>
    <w:rsid w:val="00422D28"/>
    <w:rsid w:val="00423472"/>
    <w:rsid w:val="0042379E"/>
    <w:rsid w:val="004243B9"/>
    <w:rsid w:val="0042607B"/>
    <w:rsid w:val="00427276"/>
    <w:rsid w:val="004273B8"/>
    <w:rsid w:val="004275BE"/>
    <w:rsid w:val="00427829"/>
    <w:rsid w:val="00430AB5"/>
    <w:rsid w:val="00434194"/>
    <w:rsid w:val="00434D42"/>
    <w:rsid w:val="00435184"/>
    <w:rsid w:val="0043564D"/>
    <w:rsid w:val="00436726"/>
    <w:rsid w:val="00436A9B"/>
    <w:rsid w:val="00437576"/>
    <w:rsid w:val="004376E1"/>
    <w:rsid w:val="00437E7E"/>
    <w:rsid w:val="00440F0C"/>
    <w:rsid w:val="00441BAD"/>
    <w:rsid w:val="00441C39"/>
    <w:rsid w:val="004437A3"/>
    <w:rsid w:val="00443C0C"/>
    <w:rsid w:val="00443E1E"/>
    <w:rsid w:val="00446736"/>
    <w:rsid w:val="00446FCF"/>
    <w:rsid w:val="00447320"/>
    <w:rsid w:val="004478A8"/>
    <w:rsid w:val="00447A83"/>
    <w:rsid w:val="00447C3A"/>
    <w:rsid w:val="0045088D"/>
    <w:rsid w:val="00451097"/>
    <w:rsid w:val="00451DCA"/>
    <w:rsid w:val="004523FE"/>
    <w:rsid w:val="0045264B"/>
    <w:rsid w:val="00453DB6"/>
    <w:rsid w:val="004543DA"/>
    <w:rsid w:val="0045496D"/>
    <w:rsid w:val="00454B55"/>
    <w:rsid w:val="00455783"/>
    <w:rsid w:val="0045597B"/>
    <w:rsid w:val="00455EB5"/>
    <w:rsid w:val="004562C1"/>
    <w:rsid w:val="0045670B"/>
    <w:rsid w:val="00457864"/>
    <w:rsid w:val="004614F8"/>
    <w:rsid w:val="00462CF3"/>
    <w:rsid w:val="00463868"/>
    <w:rsid w:val="00464617"/>
    <w:rsid w:val="00465410"/>
    <w:rsid w:val="00465E4D"/>
    <w:rsid w:val="00465F14"/>
    <w:rsid w:val="00465FE6"/>
    <w:rsid w:val="004662E0"/>
    <w:rsid w:val="00467107"/>
    <w:rsid w:val="004671E9"/>
    <w:rsid w:val="0047251C"/>
    <w:rsid w:val="00472FF1"/>
    <w:rsid w:val="0047345F"/>
    <w:rsid w:val="00474B98"/>
    <w:rsid w:val="00474C78"/>
    <w:rsid w:val="00476DFD"/>
    <w:rsid w:val="004773C3"/>
    <w:rsid w:val="00480402"/>
    <w:rsid w:val="00481258"/>
    <w:rsid w:val="00481D90"/>
    <w:rsid w:val="0048215F"/>
    <w:rsid w:val="00483CA8"/>
    <w:rsid w:val="00485382"/>
    <w:rsid w:val="00485CEA"/>
    <w:rsid w:val="00486102"/>
    <w:rsid w:val="00486812"/>
    <w:rsid w:val="00486A4A"/>
    <w:rsid w:val="00486C6D"/>
    <w:rsid w:val="00487177"/>
    <w:rsid w:val="004877B6"/>
    <w:rsid w:val="00487A72"/>
    <w:rsid w:val="00487F67"/>
    <w:rsid w:val="00490293"/>
    <w:rsid w:val="00490411"/>
    <w:rsid w:val="004905BA"/>
    <w:rsid w:val="00490D10"/>
    <w:rsid w:val="004920E0"/>
    <w:rsid w:val="00492511"/>
    <w:rsid w:val="004931BE"/>
    <w:rsid w:val="00493500"/>
    <w:rsid w:val="00494D28"/>
    <w:rsid w:val="00495319"/>
    <w:rsid w:val="00495C4D"/>
    <w:rsid w:val="00496856"/>
    <w:rsid w:val="00496AB9"/>
    <w:rsid w:val="00497252"/>
    <w:rsid w:val="004A0011"/>
    <w:rsid w:val="004A0713"/>
    <w:rsid w:val="004A0B95"/>
    <w:rsid w:val="004A3F6C"/>
    <w:rsid w:val="004A66E3"/>
    <w:rsid w:val="004A6826"/>
    <w:rsid w:val="004A715B"/>
    <w:rsid w:val="004A74E7"/>
    <w:rsid w:val="004B073E"/>
    <w:rsid w:val="004B175D"/>
    <w:rsid w:val="004B192B"/>
    <w:rsid w:val="004B197B"/>
    <w:rsid w:val="004B28B5"/>
    <w:rsid w:val="004B3BC2"/>
    <w:rsid w:val="004B3FB4"/>
    <w:rsid w:val="004B49D5"/>
    <w:rsid w:val="004B56B4"/>
    <w:rsid w:val="004B69DB"/>
    <w:rsid w:val="004C0ACF"/>
    <w:rsid w:val="004C206D"/>
    <w:rsid w:val="004C3E16"/>
    <w:rsid w:val="004C4667"/>
    <w:rsid w:val="004C58CF"/>
    <w:rsid w:val="004C77F5"/>
    <w:rsid w:val="004D0C9A"/>
    <w:rsid w:val="004D25B1"/>
    <w:rsid w:val="004D26BF"/>
    <w:rsid w:val="004D4B24"/>
    <w:rsid w:val="004D51A8"/>
    <w:rsid w:val="004D52F8"/>
    <w:rsid w:val="004D5CF1"/>
    <w:rsid w:val="004D694B"/>
    <w:rsid w:val="004D72FF"/>
    <w:rsid w:val="004E030B"/>
    <w:rsid w:val="004E0E6B"/>
    <w:rsid w:val="004E0F92"/>
    <w:rsid w:val="004E1EC6"/>
    <w:rsid w:val="004E3106"/>
    <w:rsid w:val="004E3225"/>
    <w:rsid w:val="004E3C3C"/>
    <w:rsid w:val="004E4676"/>
    <w:rsid w:val="004E46D6"/>
    <w:rsid w:val="004E4EE4"/>
    <w:rsid w:val="004E58FD"/>
    <w:rsid w:val="004E661B"/>
    <w:rsid w:val="004E66CD"/>
    <w:rsid w:val="004E76C7"/>
    <w:rsid w:val="004E7959"/>
    <w:rsid w:val="004F073A"/>
    <w:rsid w:val="004F0E01"/>
    <w:rsid w:val="004F2238"/>
    <w:rsid w:val="004F4B48"/>
    <w:rsid w:val="004F4E32"/>
    <w:rsid w:val="004F4F5A"/>
    <w:rsid w:val="004F5279"/>
    <w:rsid w:val="004F7089"/>
    <w:rsid w:val="004F72C4"/>
    <w:rsid w:val="0050096A"/>
    <w:rsid w:val="00502DA2"/>
    <w:rsid w:val="00503015"/>
    <w:rsid w:val="00503173"/>
    <w:rsid w:val="00504364"/>
    <w:rsid w:val="00504B69"/>
    <w:rsid w:val="00504BBD"/>
    <w:rsid w:val="00506397"/>
    <w:rsid w:val="005106B7"/>
    <w:rsid w:val="00510D82"/>
    <w:rsid w:val="005111A6"/>
    <w:rsid w:val="00511A74"/>
    <w:rsid w:val="0051301A"/>
    <w:rsid w:val="005158F5"/>
    <w:rsid w:val="0051621D"/>
    <w:rsid w:val="005162BA"/>
    <w:rsid w:val="0051790E"/>
    <w:rsid w:val="00517C76"/>
    <w:rsid w:val="00520856"/>
    <w:rsid w:val="00521A99"/>
    <w:rsid w:val="0052313D"/>
    <w:rsid w:val="00523867"/>
    <w:rsid w:val="005238EC"/>
    <w:rsid w:val="00523F2B"/>
    <w:rsid w:val="005242EC"/>
    <w:rsid w:val="005255CB"/>
    <w:rsid w:val="00525761"/>
    <w:rsid w:val="0053001A"/>
    <w:rsid w:val="005300AF"/>
    <w:rsid w:val="00530698"/>
    <w:rsid w:val="00530706"/>
    <w:rsid w:val="005311D2"/>
    <w:rsid w:val="00531681"/>
    <w:rsid w:val="005329B5"/>
    <w:rsid w:val="005340DC"/>
    <w:rsid w:val="00534E19"/>
    <w:rsid w:val="00535489"/>
    <w:rsid w:val="0053608E"/>
    <w:rsid w:val="005368CB"/>
    <w:rsid w:val="00540213"/>
    <w:rsid w:val="005403FC"/>
    <w:rsid w:val="00542CA2"/>
    <w:rsid w:val="00543BEB"/>
    <w:rsid w:val="00544704"/>
    <w:rsid w:val="005459CF"/>
    <w:rsid w:val="005469A1"/>
    <w:rsid w:val="00550482"/>
    <w:rsid w:val="005518F3"/>
    <w:rsid w:val="00551C37"/>
    <w:rsid w:val="0055482B"/>
    <w:rsid w:val="005556DC"/>
    <w:rsid w:val="0055757E"/>
    <w:rsid w:val="00560132"/>
    <w:rsid w:val="00560817"/>
    <w:rsid w:val="00561164"/>
    <w:rsid w:val="00561D71"/>
    <w:rsid w:val="00562159"/>
    <w:rsid w:val="005623C1"/>
    <w:rsid w:val="0056244A"/>
    <w:rsid w:val="00562681"/>
    <w:rsid w:val="00562F03"/>
    <w:rsid w:val="00565F27"/>
    <w:rsid w:val="0056605A"/>
    <w:rsid w:val="005671BE"/>
    <w:rsid w:val="00567BB6"/>
    <w:rsid w:val="00570694"/>
    <w:rsid w:val="00570B3E"/>
    <w:rsid w:val="00571A05"/>
    <w:rsid w:val="00573995"/>
    <w:rsid w:val="00574B64"/>
    <w:rsid w:val="0057670C"/>
    <w:rsid w:val="00577A3B"/>
    <w:rsid w:val="00581D29"/>
    <w:rsid w:val="00582D52"/>
    <w:rsid w:val="0058317B"/>
    <w:rsid w:val="005833E6"/>
    <w:rsid w:val="005845FD"/>
    <w:rsid w:val="00584EBD"/>
    <w:rsid w:val="0058502B"/>
    <w:rsid w:val="0058512D"/>
    <w:rsid w:val="00585281"/>
    <w:rsid w:val="00585AB5"/>
    <w:rsid w:val="00586765"/>
    <w:rsid w:val="00587B1C"/>
    <w:rsid w:val="00591A00"/>
    <w:rsid w:val="00592092"/>
    <w:rsid w:val="005933F9"/>
    <w:rsid w:val="00594BCB"/>
    <w:rsid w:val="00595E68"/>
    <w:rsid w:val="00595FF9"/>
    <w:rsid w:val="005965A5"/>
    <w:rsid w:val="005A0A68"/>
    <w:rsid w:val="005A0EB4"/>
    <w:rsid w:val="005A184B"/>
    <w:rsid w:val="005A20B3"/>
    <w:rsid w:val="005A3CA5"/>
    <w:rsid w:val="005A4A41"/>
    <w:rsid w:val="005A4AFC"/>
    <w:rsid w:val="005A5D3D"/>
    <w:rsid w:val="005B00AD"/>
    <w:rsid w:val="005B01D9"/>
    <w:rsid w:val="005B04E0"/>
    <w:rsid w:val="005B1B23"/>
    <w:rsid w:val="005B5934"/>
    <w:rsid w:val="005B6B35"/>
    <w:rsid w:val="005B6DB4"/>
    <w:rsid w:val="005B7B61"/>
    <w:rsid w:val="005C051A"/>
    <w:rsid w:val="005C0A05"/>
    <w:rsid w:val="005C10E6"/>
    <w:rsid w:val="005C17AD"/>
    <w:rsid w:val="005C1814"/>
    <w:rsid w:val="005C2D35"/>
    <w:rsid w:val="005C34A0"/>
    <w:rsid w:val="005C3A15"/>
    <w:rsid w:val="005C421C"/>
    <w:rsid w:val="005C475C"/>
    <w:rsid w:val="005C67D4"/>
    <w:rsid w:val="005C6DCF"/>
    <w:rsid w:val="005D135B"/>
    <w:rsid w:val="005D1410"/>
    <w:rsid w:val="005D3372"/>
    <w:rsid w:val="005D3E3F"/>
    <w:rsid w:val="005D4150"/>
    <w:rsid w:val="005D42AC"/>
    <w:rsid w:val="005D471C"/>
    <w:rsid w:val="005D635E"/>
    <w:rsid w:val="005D70C3"/>
    <w:rsid w:val="005D7980"/>
    <w:rsid w:val="005E01E3"/>
    <w:rsid w:val="005E0E99"/>
    <w:rsid w:val="005E1AB4"/>
    <w:rsid w:val="005E209A"/>
    <w:rsid w:val="005E3C9F"/>
    <w:rsid w:val="005E46AC"/>
    <w:rsid w:val="005E54B2"/>
    <w:rsid w:val="005E5FBA"/>
    <w:rsid w:val="005E663F"/>
    <w:rsid w:val="005F572E"/>
    <w:rsid w:val="005F5F71"/>
    <w:rsid w:val="005F5FB2"/>
    <w:rsid w:val="005F6FCC"/>
    <w:rsid w:val="005F74AF"/>
    <w:rsid w:val="0060082B"/>
    <w:rsid w:val="00601314"/>
    <w:rsid w:val="00601E97"/>
    <w:rsid w:val="00602707"/>
    <w:rsid w:val="006047AC"/>
    <w:rsid w:val="00606F2B"/>
    <w:rsid w:val="00607233"/>
    <w:rsid w:val="00607829"/>
    <w:rsid w:val="00611243"/>
    <w:rsid w:val="006115E3"/>
    <w:rsid w:val="0061294E"/>
    <w:rsid w:val="00612ABB"/>
    <w:rsid w:val="00614D23"/>
    <w:rsid w:val="006152A4"/>
    <w:rsid w:val="006159C6"/>
    <w:rsid w:val="006163D6"/>
    <w:rsid w:val="0062189A"/>
    <w:rsid w:val="006223AC"/>
    <w:rsid w:val="00622743"/>
    <w:rsid w:val="006238CA"/>
    <w:rsid w:val="006239CC"/>
    <w:rsid w:val="006239F9"/>
    <w:rsid w:val="00623D63"/>
    <w:rsid w:val="00624634"/>
    <w:rsid w:val="0062573C"/>
    <w:rsid w:val="00626E7B"/>
    <w:rsid w:val="00630A81"/>
    <w:rsid w:val="006323F3"/>
    <w:rsid w:val="00632DDC"/>
    <w:rsid w:val="00633E59"/>
    <w:rsid w:val="00635D55"/>
    <w:rsid w:val="00635FB8"/>
    <w:rsid w:val="00637897"/>
    <w:rsid w:val="0064006B"/>
    <w:rsid w:val="00640C2E"/>
    <w:rsid w:val="00641D83"/>
    <w:rsid w:val="00642143"/>
    <w:rsid w:val="00642D38"/>
    <w:rsid w:val="00642DA6"/>
    <w:rsid w:val="00643204"/>
    <w:rsid w:val="0064418F"/>
    <w:rsid w:val="00644B03"/>
    <w:rsid w:val="006451A0"/>
    <w:rsid w:val="006459B9"/>
    <w:rsid w:val="00646358"/>
    <w:rsid w:val="00647469"/>
    <w:rsid w:val="0065080C"/>
    <w:rsid w:val="006539A1"/>
    <w:rsid w:val="00653A8B"/>
    <w:rsid w:val="00653CBF"/>
    <w:rsid w:val="00654D69"/>
    <w:rsid w:val="00655402"/>
    <w:rsid w:val="0065552D"/>
    <w:rsid w:val="00655667"/>
    <w:rsid w:val="00656716"/>
    <w:rsid w:val="00657F55"/>
    <w:rsid w:val="00661CA0"/>
    <w:rsid w:val="00662A2F"/>
    <w:rsid w:val="00663DA8"/>
    <w:rsid w:val="00663DB0"/>
    <w:rsid w:val="0066425F"/>
    <w:rsid w:val="00664623"/>
    <w:rsid w:val="0066483F"/>
    <w:rsid w:val="00664EEB"/>
    <w:rsid w:val="006652B3"/>
    <w:rsid w:val="00665AE5"/>
    <w:rsid w:val="00667DE7"/>
    <w:rsid w:val="00670AA4"/>
    <w:rsid w:val="00671A44"/>
    <w:rsid w:val="00671CEB"/>
    <w:rsid w:val="00671DF9"/>
    <w:rsid w:val="00671F5D"/>
    <w:rsid w:val="0067261A"/>
    <w:rsid w:val="006731F0"/>
    <w:rsid w:val="00676EF0"/>
    <w:rsid w:val="00683313"/>
    <w:rsid w:val="0068345D"/>
    <w:rsid w:val="00684083"/>
    <w:rsid w:val="00684329"/>
    <w:rsid w:val="006845F5"/>
    <w:rsid w:val="0068496E"/>
    <w:rsid w:val="006854A8"/>
    <w:rsid w:val="006858DE"/>
    <w:rsid w:val="00687377"/>
    <w:rsid w:val="006873BE"/>
    <w:rsid w:val="0069037E"/>
    <w:rsid w:val="00690953"/>
    <w:rsid w:val="00691521"/>
    <w:rsid w:val="00692290"/>
    <w:rsid w:val="00692557"/>
    <w:rsid w:val="00693B83"/>
    <w:rsid w:val="00694B47"/>
    <w:rsid w:val="006950DE"/>
    <w:rsid w:val="00695460"/>
    <w:rsid w:val="006959FA"/>
    <w:rsid w:val="00695D98"/>
    <w:rsid w:val="00696B61"/>
    <w:rsid w:val="0069782B"/>
    <w:rsid w:val="006A090A"/>
    <w:rsid w:val="006A2834"/>
    <w:rsid w:val="006A3282"/>
    <w:rsid w:val="006A3DC2"/>
    <w:rsid w:val="006A3E66"/>
    <w:rsid w:val="006A4FE4"/>
    <w:rsid w:val="006A5680"/>
    <w:rsid w:val="006A5824"/>
    <w:rsid w:val="006A6230"/>
    <w:rsid w:val="006A6AE5"/>
    <w:rsid w:val="006B09DC"/>
    <w:rsid w:val="006B1CF8"/>
    <w:rsid w:val="006B230B"/>
    <w:rsid w:val="006B4AB1"/>
    <w:rsid w:val="006B5D72"/>
    <w:rsid w:val="006B6229"/>
    <w:rsid w:val="006B68DD"/>
    <w:rsid w:val="006B7258"/>
    <w:rsid w:val="006C0018"/>
    <w:rsid w:val="006C0D02"/>
    <w:rsid w:val="006C1A3D"/>
    <w:rsid w:val="006C45A5"/>
    <w:rsid w:val="006C48AD"/>
    <w:rsid w:val="006C57DB"/>
    <w:rsid w:val="006C6F5F"/>
    <w:rsid w:val="006D045B"/>
    <w:rsid w:val="006D2F2E"/>
    <w:rsid w:val="006D322D"/>
    <w:rsid w:val="006D361A"/>
    <w:rsid w:val="006D3788"/>
    <w:rsid w:val="006D4A78"/>
    <w:rsid w:val="006D5C20"/>
    <w:rsid w:val="006D7F9D"/>
    <w:rsid w:val="006E037B"/>
    <w:rsid w:val="006E22C0"/>
    <w:rsid w:val="006E3102"/>
    <w:rsid w:val="006E3720"/>
    <w:rsid w:val="006E3D4E"/>
    <w:rsid w:val="006E480E"/>
    <w:rsid w:val="006E5C68"/>
    <w:rsid w:val="006E5F7A"/>
    <w:rsid w:val="006F0487"/>
    <w:rsid w:val="006F09FD"/>
    <w:rsid w:val="006F0C50"/>
    <w:rsid w:val="006F331C"/>
    <w:rsid w:val="00701330"/>
    <w:rsid w:val="007017B2"/>
    <w:rsid w:val="00701A80"/>
    <w:rsid w:val="00702E9C"/>
    <w:rsid w:val="00706142"/>
    <w:rsid w:val="00706309"/>
    <w:rsid w:val="00706CBD"/>
    <w:rsid w:val="0070727F"/>
    <w:rsid w:val="007077DE"/>
    <w:rsid w:val="007103B3"/>
    <w:rsid w:val="00710858"/>
    <w:rsid w:val="00711E47"/>
    <w:rsid w:val="0071314A"/>
    <w:rsid w:val="007136A7"/>
    <w:rsid w:val="00713FFE"/>
    <w:rsid w:val="0071446C"/>
    <w:rsid w:val="007154E3"/>
    <w:rsid w:val="00717295"/>
    <w:rsid w:val="00717FCD"/>
    <w:rsid w:val="0072011A"/>
    <w:rsid w:val="00721BBE"/>
    <w:rsid w:val="007221D9"/>
    <w:rsid w:val="00724228"/>
    <w:rsid w:val="00724BF6"/>
    <w:rsid w:val="00725470"/>
    <w:rsid w:val="00725FF8"/>
    <w:rsid w:val="007270EC"/>
    <w:rsid w:val="00727646"/>
    <w:rsid w:val="007301C2"/>
    <w:rsid w:val="00730FF2"/>
    <w:rsid w:val="00731BA1"/>
    <w:rsid w:val="00731D79"/>
    <w:rsid w:val="007327FF"/>
    <w:rsid w:val="00732E8C"/>
    <w:rsid w:val="00735A07"/>
    <w:rsid w:val="00737168"/>
    <w:rsid w:val="00737E1F"/>
    <w:rsid w:val="00740460"/>
    <w:rsid w:val="0074062C"/>
    <w:rsid w:val="00740854"/>
    <w:rsid w:val="00742999"/>
    <w:rsid w:val="00743774"/>
    <w:rsid w:val="007437EA"/>
    <w:rsid w:val="00744077"/>
    <w:rsid w:val="007451D1"/>
    <w:rsid w:val="00745F06"/>
    <w:rsid w:val="0074685C"/>
    <w:rsid w:val="00747061"/>
    <w:rsid w:val="007470C3"/>
    <w:rsid w:val="007474FE"/>
    <w:rsid w:val="007521EA"/>
    <w:rsid w:val="007568A5"/>
    <w:rsid w:val="007603D5"/>
    <w:rsid w:val="0076040A"/>
    <w:rsid w:val="007607C7"/>
    <w:rsid w:val="007611EF"/>
    <w:rsid w:val="00762304"/>
    <w:rsid w:val="0076301D"/>
    <w:rsid w:val="0076376F"/>
    <w:rsid w:val="00765266"/>
    <w:rsid w:val="00766984"/>
    <w:rsid w:val="00767483"/>
    <w:rsid w:val="00767491"/>
    <w:rsid w:val="00767598"/>
    <w:rsid w:val="00773C84"/>
    <w:rsid w:val="00776442"/>
    <w:rsid w:val="00776AA7"/>
    <w:rsid w:val="00777619"/>
    <w:rsid w:val="00783759"/>
    <w:rsid w:val="00783F09"/>
    <w:rsid w:val="0078423E"/>
    <w:rsid w:val="00784D33"/>
    <w:rsid w:val="0078544E"/>
    <w:rsid w:val="00785BB0"/>
    <w:rsid w:val="00785ED4"/>
    <w:rsid w:val="00786E90"/>
    <w:rsid w:val="0078739F"/>
    <w:rsid w:val="00791B25"/>
    <w:rsid w:val="00791D58"/>
    <w:rsid w:val="00792EA4"/>
    <w:rsid w:val="00793EB9"/>
    <w:rsid w:val="007A0432"/>
    <w:rsid w:val="007A09DE"/>
    <w:rsid w:val="007A1C93"/>
    <w:rsid w:val="007A273A"/>
    <w:rsid w:val="007A323B"/>
    <w:rsid w:val="007A379E"/>
    <w:rsid w:val="007A3B29"/>
    <w:rsid w:val="007A3DAD"/>
    <w:rsid w:val="007A3DE8"/>
    <w:rsid w:val="007A4CE6"/>
    <w:rsid w:val="007A4CEB"/>
    <w:rsid w:val="007A583B"/>
    <w:rsid w:val="007A5B91"/>
    <w:rsid w:val="007A6302"/>
    <w:rsid w:val="007A67B0"/>
    <w:rsid w:val="007A68D3"/>
    <w:rsid w:val="007A737C"/>
    <w:rsid w:val="007A77AC"/>
    <w:rsid w:val="007A7960"/>
    <w:rsid w:val="007B1BB4"/>
    <w:rsid w:val="007B54B7"/>
    <w:rsid w:val="007B6265"/>
    <w:rsid w:val="007B6E26"/>
    <w:rsid w:val="007B6EAB"/>
    <w:rsid w:val="007B7D06"/>
    <w:rsid w:val="007C066B"/>
    <w:rsid w:val="007C1DF7"/>
    <w:rsid w:val="007C3499"/>
    <w:rsid w:val="007C73FF"/>
    <w:rsid w:val="007D0989"/>
    <w:rsid w:val="007D2189"/>
    <w:rsid w:val="007D2CAE"/>
    <w:rsid w:val="007D3E9D"/>
    <w:rsid w:val="007D4CA5"/>
    <w:rsid w:val="007D6891"/>
    <w:rsid w:val="007D6E53"/>
    <w:rsid w:val="007D6F8E"/>
    <w:rsid w:val="007D7182"/>
    <w:rsid w:val="007D723C"/>
    <w:rsid w:val="007E0255"/>
    <w:rsid w:val="007E1689"/>
    <w:rsid w:val="007E1AAF"/>
    <w:rsid w:val="007E1ACF"/>
    <w:rsid w:val="007E34FF"/>
    <w:rsid w:val="007E66F5"/>
    <w:rsid w:val="007E6A5F"/>
    <w:rsid w:val="007E701F"/>
    <w:rsid w:val="007E753D"/>
    <w:rsid w:val="007E770D"/>
    <w:rsid w:val="007F031C"/>
    <w:rsid w:val="007F1E4F"/>
    <w:rsid w:val="007F6DAC"/>
    <w:rsid w:val="007F785E"/>
    <w:rsid w:val="007F7B66"/>
    <w:rsid w:val="008003FB"/>
    <w:rsid w:val="008023DB"/>
    <w:rsid w:val="0080289C"/>
    <w:rsid w:val="00802C14"/>
    <w:rsid w:val="00804269"/>
    <w:rsid w:val="00805949"/>
    <w:rsid w:val="008066BE"/>
    <w:rsid w:val="008069CF"/>
    <w:rsid w:val="00807B2F"/>
    <w:rsid w:val="00807FC3"/>
    <w:rsid w:val="008110F6"/>
    <w:rsid w:val="00811807"/>
    <w:rsid w:val="00812637"/>
    <w:rsid w:val="00812EE2"/>
    <w:rsid w:val="00813312"/>
    <w:rsid w:val="008133E9"/>
    <w:rsid w:val="008139CB"/>
    <w:rsid w:val="00815831"/>
    <w:rsid w:val="00815C8F"/>
    <w:rsid w:val="00821663"/>
    <w:rsid w:val="008217BC"/>
    <w:rsid w:val="008221D2"/>
    <w:rsid w:val="00822BB3"/>
    <w:rsid w:val="008237F3"/>
    <w:rsid w:val="0082585E"/>
    <w:rsid w:val="00826638"/>
    <w:rsid w:val="00826B52"/>
    <w:rsid w:val="00827961"/>
    <w:rsid w:val="0083046B"/>
    <w:rsid w:val="00830EFF"/>
    <w:rsid w:val="00831927"/>
    <w:rsid w:val="00832A91"/>
    <w:rsid w:val="008333A1"/>
    <w:rsid w:val="00833E90"/>
    <w:rsid w:val="008347B0"/>
    <w:rsid w:val="008351E2"/>
    <w:rsid w:val="00835C79"/>
    <w:rsid w:val="00836657"/>
    <w:rsid w:val="008366FA"/>
    <w:rsid w:val="00836DC9"/>
    <w:rsid w:val="00837020"/>
    <w:rsid w:val="0084022E"/>
    <w:rsid w:val="00840D0E"/>
    <w:rsid w:val="00840D9B"/>
    <w:rsid w:val="0084203C"/>
    <w:rsid w:val="008420D4"/>
    <w:rsid w:val="00842EE5"/>
    <w:rsid w:val="00842F07"/>
    <w:rsid w:val="008443FC"/>
    <w:rsid w:val="0084671D"/>
    <w:rsid w:val="0084792D"/>
    <w:rsid w:val="00847F35"/>
    <w:rsid w:val="008519F8"/>
    <w:rsid w:val="00852767"/>
    <w:rsid w:val="00852B88"/>
    <w:rsid w:val="00852FA3"/>
    <w:rsid w:val="008542E1"/>
    <w:rsid w:val="0085433B"/>
    <w:rsid w:val="00854A37"/>
    <w:rsid w:val="00854F1F"/>
    <w:rsid w:val="00855D6C"/>
    <w:rsid w:val="00855EC9"/>
    <w:rsid w:val="00856998"/>
    <w:rsid w:val="00856EF6"/>
    <w:rsid w:val="00860124"/>
    <w:rsid w:val="00860144"/>
    <w:rsid w:val="00862B04"/>
    <w:rsid w:val="00863E55"/>
    <w:rsid w:val="00867B49"/>
    <w:rsid w:val="00867C77"/>
    <w:rsid w:val="00871445"/>
    <w:rsid w:val="00872EFD"/>
    <w:rsid w:val="00873228"/>
    <w:rsid w:val="00875AD1"/>
    <w:rsid w:val="00876CF0"/>
    <w:rsid w:val="00876E75"/>
    <w:rsid w:val="008816A0"/>
    <w:rsid w:val="0088477E"/>
    <w:rsid w:val="008848FE"/>
    <w:rsid w:val="00884956"/>
    <w:rsid w:val="0088756B"/>
    <w:rsid w:val="00887C06"/>
    <w:rsid w:val="00887F8A"/>
    <w:rsid w:val="008914B1"/>
    <w:rsid w:val="00891B6C"/>
    <w:rsid w:val="008946CE"/>
    <w:rsid w:val="008947B2"/>
    <w:rsid w:val="00895137"/>
    <w:rsid w:val="00895C1B"/>
    <w:rsid w:val="008966FE"/>
    <w:rsid w:val="00896B97"/>
    <w:rsid w:val="008979D4"/>
    <w:rsid w:val="008A2849"/>
    <w:rsid w:val="008A48AA"/>
    <w:rsid w:val="008A58C5"/>
    <w:rsid w:val="008A6F70"/>
    <w:rsid w:val="008B0271"/>
    <w:rsid w:val="008B1F84"/>
    <w:rsid w:val="008B2E6D"/>
    <w:rsid w:val="008B3904"/>
    <w:rsid w:val="008B3B5E"/>
    <w:rsid w:val="008B4CB5"/>
    <w:rsid w:val="008B605A"/>
    <w:rsid w:val="008B7BCC"/>
    <w:rsid w:val="008B7C88"/>
    <w:rsid w:val="008C2B7F"/>
    <w:rsid w:val="008C2C80"/>
    <w:rsid w:val="008C36EA"/>
    <w:rsid w:val="008C5626"/>
    <w:rsid w:val="008C57F6"/>
    <w:rsid w:val="008C5CF2"/>
    <w:rsid w:val="008C6D92"/>
    <w:rsid w:val="008C74AD"/>
    <w:rsid w:val="008C7A01"/>
    <w:rsid w:val="008D0230"/>
    <w:rsid w:val="008D05F1"/>
    <w:rsid w:val="008D1425"/>
    <w:rsid w:val="008D1D33"/>
    <w:rsid w:val="008D2DC7"/>
    <w:rsid w:val="008D3291"/>
    <w:rsid w:val="008D3DBC"/>
    <w:rsid w:val="008D436F"/>
    <w:rsid w:val="008D55A9"/>
    <w:rsid w:val="008D6ABE"/>
    <w:rsid w:val="008D6C4D"/>
    <w:rsid w:val="008D7A2E"/>
    <w:rsid w:val="008E1883"/>
    <w:rsid w:val="008E2003"/>
    <w:rsid w:val="008E22B5"/>
    <w:rsid w:val="008E368C"/>
    <w:rsid w:val="008E4992"/>
    <w:rsid w:val="008E6192"/>
    <w:rsid w:val="008E61D1"/>
    <w:rsid w:val="008E65D2"/>
    <w:rsid w:val="008E6892"/>
    <w:rsid w:val="008E79FE"/>
    <w:rsid w:val="008E7C20"/>
    <w:rsid w:val="008F0290"/>
    <w:rsid w:val="008F1546"/>
    <w:rsid w:val="008F16B8"/>
    <w:rsid w:val="008F3399"/>
    <w:rsid w:val="008F33BB"/>
    <w:rsid w:val="008F34BD"/>
    <w:rsid w:val="008F3628"/>
    <w:rsid w:val="008F3DD7"/>
    <w:rsid w:val="008F57E9"/>
    <w:rsid w:val="008F713F"/>
    <w:rsid w:val="008F72D8"/>
    <w:rsid w:val="008F73A2"/>
    <w:rsid w:val="008F7E2A"/>
    <w:rsid w:val="00900799"/>
    <w:rsid w:val="00900D05"/>
    <w:rsid w:val="00902091"/>
    <w:rsid w:val="00904AAE"/>
    <w:rsid w:val="00904B17"/>
    <w:rsid w:val="00907E3F"/>
    <w:rsid w:val="00910058"/>
    <w:rsid w:val="00910525"/>
    <w:rsid w:val="009114FB"/>
    <w:rsid w:val="0091179A"/>
    <w:rsid w:val="00912C72"/>
    <w:rsid w:val="00912D11"/>
    <w:rsid w:val="009131FD"/>
    <w:rsid w:val="00913AAF"/>
    <w:rsid w:val="00913D4E"/>
    <w:rsid w:val="0091487A"/>
    <w:rsid w:val="009162E2"/>
    <w:rsid w:val="009201A2"/>
    <w:rsid w:val="00920496"/>
    <w:rsid w:val="00920524"/>
    <w:rsid w:val="00920720"/>
    <w:rsid w:val="00921E8D"/>
    <w:rsid w:val="00922B97"/>
    <w:rsid w:val="00923503"/>
    <w:rsid w:val="00925821"/>
    <w:rsid w:val="00926217"/>
    <w:rsid w:val="0092764D"/>
    <w:rsid w:val="00927CB1"/>
    <w:rsid w:val="0093003A"/>
    <w:rsid w:val="0093197D"/>
    <w:rsid w:val="00931E50"/>
    <w:rsid w:val="00932185"/>
    <w:rsid w:val="00932E21"/>
    <w:rsid w:val="009360D0"/>
    <w:rsid w:val="00936480"/>
    <w:rsid w:val="009365E3"/>
    <w:rsid w:val="0094136A"/>
    <w:rsid w:val="00943C8F"/>
    <w:rsid w:val="00944DC6"/>
    <w:rsid w:val="009453BD"/>
    <w:rsid w:val="00945653"/>
    <w:rsid w:val="00945CF8"/>
    <w:rsid w:val="009469E5"/>
    <w:rsid w:val="00947AD8"/>
    <w:rsid w:val="009504B3"/>
    <w:rsid w:val="009505B3"/>
    <w:rsid w:val="00952193"/>
    <w:rsid w:val="00952B58"/>
    <w:rsid w:val="0095323F"/>
    <w:rsid w:val="009540E2"/>
    <w:rsid w:val="00954105"/>
    <w:rsid w:val="00954D55"/>
    <w:rsid w:val="0095673A"/>
    <w:rsid w:val="00956BB3"/>
    <w:rsid w:val="00956C60"/>
    <w:rsid w:val="00956D43"/>
    <w:rsid w:val="009602A3"/>
    <w:rsid w:val="009617DC"/>
    <w:rsid w:val="0096352B"/>
    <w:rsid w:val="00964F8A"/>
    <w:rsid w:val="00966211"/>
    <w:rsid w:val="00967BDF"/>
    <w:rsid w:val="00970CA4"/>
    <w:rsid w:val="00970CE7"/>
    <w:rsid w:val="0097203A"/>
    <w:rsid w:val="00972218"/>
    <w:rsid w:val="00972B18"/>
    <w:rsid w:val="00972D75"/>
    <w:rsid w:val="00972DF4"/>
    <w:rsid w:val="00973929"/>
    <w:rsid w:val="00973CA1"/>
    <w:rsid w:val="00973E12"/>
    <w:rsid w:val="00976057"/>
    <w:rsid w:val="009803F8"/>
    <w:rsid w:val="00981195"/>
    <w:rsid w:val="00982156"/>
    <w:rsid w:val="0098403A"/>
    <w:rsid w:val="0098426E"/>
    <w:rsid w:val="00984686"/>
    <w:rsid w:val="00985E62"/>
    <w:rsid w:val="00986E5E"/>
    <w:rsid w:val="009877EB"/>
    <w:rsid w:val="00987DE9"/>
    <w:rsid w:val="00990EF6"/>
    <w:rsid w:val="009910DA"/>
    <w:rsid w:val="0099348C"/>
    <w:rsid w:val="00993B30"/>
    <w:rsid w:val="00994909"/>
    <w:rsid w:val="00994ADD"/>
    <w:rsid w:val="00995B7D"/>
    <w:rsid w:val="00996939"/>
    <w:rsid w:val="00997D8D"/>
    <w:rsid w:val="009A0267"/>
    <w:rsid w:val="009A090E"/>
    <w:rsid w:val="009A0A99"/>
    <w:rsid w:val="009A192D"/>
    <w:rsid w:val="009A1FF2"/>
    <w:rsid w:val="009A206D"/>
    <w:rsid w:val="009A3B60"/>
    <w:rsid w:val="009A3F7A"/>
    <w:rsid w:val="009A4AA4"/>
    <w:rsid w:val="009A65C8"/>
    <w:rsid w:val="009A6C9A"/>
    <w:rsid w:val="009A6F5E"/>
    <w:rsid w:val="009B1086"/>
    <w:rsid w:val="009B1EA0"/>
    <w:rsid w:val="009B204E"/>
    <w:rsid w:val="009B22D2"/>
    <w:rsid w:val="009B39AA"/>
    <w:rsid w:val="009B45EF"/>
    <w:rsid w:val="009B483C"/>
    <w:rsid w:val="009B647D"/>
    <w:rsid w:val="009C1683"/>
    <w:rsid w:val="009C1F5E"/>
    <w:rsid w:val="009C2D22"/>
    <w:rsid w:val="009C40DA"/>
    <w:rsid w:val="009C77E9"/>
    <w:rsid w:val="009C7C9B"/>
    <w:rsid w:val="009D147F"/>
    <w:rsid w:val="009D3478"/>
    <w:rsid w:val="009D3A37"/>
    <w:rsid w:val="009D3C98"/>
    <w:rsid w:val="009D41B7"/>
    <w:rsid w:val="009D465B"/>
    <w:rsid w:val="009D4D6D"/>
    <w:rsid w:val="009D52B2"/>
    <w:rsid w:val="009D547D"/>
    <w:rsid w:val="009D5693"/>
    <w:rsid w:val="009D5857"/>
    <w:rsid w:val="009D593B"/>
    <w:rsid w:val="009E22A8"/>
    <w:rsid w:val="009E35F4"/>
    <w:rsid w:val="009E3D35"/>
    <w:rsid w:val="009E44FD"/>
    <w:rsid w:val="009E4B86"/>
    <w:rsid w:val="009E5850"/>
    <w:rsid w:val="009E600C"/>
    <w:rsid w:val="009E7254"/>
    <w:rsid w:val="009E765D"/>
    <w:rsid w:val="009E7D75"/>
    <w:rsid w:val="009E7F52"/>
    <w:rsid w:val="009F13C7"/>
    <w:rsid w:val="009F1610"/>
    <w:rsid w:val="009F1BA1"/>
    <w:rsid w:val="009F206A"/>
    <w:rsid w:val="009F3697"/>
    <w:rsid w:val="009F4652"/>
    <w:rsid w:val="009F4789"/>
    <w:rsid w:val="009F48B0"/>
    <w:rsid w:val="009F5EDD"/>
    <w:rsid w:val="009F6514"/>
    <w:rsid w:val="00A008E1"/>
    <w:rsid w:val="00A01BD8"/>
    <w:rsid w:val="00A02687"/>
    <w:rsid w:val="00A02EFC"/>
    <w:rsid w:val="00A03BD3"/>
    <w:rsid w:val="00A05517"/>
    <w:rsid w:val="00A05730"/>
    <w:rsid w:val="00A06FA2"/>
    <w:rsid w:val="00A12984"/>
    <w:rsid w:val="00A13517"/>
    <w:rsid w:val="00A14E12"/>
    <w:rsid w:val="00A153B6"/>
    <w:rsid w:val="00A15D80"/>
    <w:rsid w:val="00A16649"/>
    <w:rsid w:val="00A17140"/>
    <w:rsid w:val="00A17907"/>
    <w:rsid w:val="00A21E4E"/>
    <w:rsid w:val="00A236FE"/>
    <w:rsid w:val="00A241C0"/>
    <w:rsid w:val="00A24DCE"/>
    <w:rsid w:val="00A251B9"/>
    <w:rsid w:val="00A270A5"/>
    <w:rsid w:val="00A2781D"/>
    <w:rsid w:val="00A31540"/>
    <w:rsid w:val="00A320E3"/>
    <w:rsid w:val="00A33525"/>
    <w:rsid w:val="00A33573"/>
    <w:rsid w:val="00A33807"/>
    <w:rsid w:val="00A34710"/>
    <w:rsid w:val="00A34AB0"/>
    <w:rsid w:val="00A3611E"/>
    <w:rsid w:val="00A378A8"/>
    <w:rsid w:val="00A37BCE"/>
    <w:rsid w:val="00A37C16"/>
    <w:rsid w:val="00A40744"/>
    <w:rsid w:val="00A40811"/>
    <w:rsid w:val="00A42944"/>
    <w:rsid w:val="00A45365"/>
    <w:rsid w:val="00A473B0"/>
    <w:rsid w:val="00A50A5E"/>
    <w:rsid w:val="00A5233F"/>
    <w:rsid w:val="00A526EE"/>
    <w:rsid w:val="00A52C17"/>
    <w:rsid w:val="00A53E5E"/>
    <w:rsid w:val="00A5591C"/>
    <w:rsid w:val="00A60628"/>
    <w:rsid w:val="00A60DEC"/>
    <w:rsid w:val="00A61232"/>
    <w:rsid w:val="00A619D1"/>
    <w:rsid w:val="00A635CC"/>
    <w:rsid w:val="00A63FD1"/>
    <w:rsid w:val="00A6479F"/>
    <w:rsid w:val="00A64BCA"/>
    <w:rsid w:val="00A64EDF"/>
    <w:rsid w:val="00A65D7B"/>
    <w:rsid w:val="00A66FEC"/>
    <w:rsid w:val="00A67B04"/>
    <w:rsid w:val="00A70B7A"/>
    <w:rsid w:val="00A70E96"/>
    <w:rsid w:val="00A70EA3"/>
    <w:rsid w:val="00A70F3C"/>
    <w:rsid w:val="00A72FBB"/>
    <w:rsid w:val="00A77B61"/>
    <w:rsid w:val="00A81BE5"/>
    <w:rsid w:val="00A8223D"/>
    <w:rsid w:val="00A85589"/>
    <w:rsid w:val="00A8574E"/>
    <w:rsid w:val="00A86002"/>
    <w:rsid w:val="00A87248"/>
    <w:rsid w:val="00A87A10"/>
    <w:rsid w:val="00A930E5"/>
    <w:rsid w:val="00A940CE"/>
    <w:rsid w:val="00A963A9"/>
    <w:rsid w:val="00A96B13"/>
    <w:rsid w:val="00A9779E"/>
    <w:rsid w:val="00AA01E6"/>
    <w:rsid w:val="00AA09DD"/>
    <w:rsid w:val="00AA0D20"/>
    <w:rsid w:val="00AA1305"/>
    <w:rsid w:val="00AA16B3"/>
    <w:rsid w:val="00AA20D5"/>
    <w:rsid w:val="00AA2483"/>
    <w:rsid w:val="00AA2A85"/>
    <w:rsid w:val="00AA31B1"/>
    <w:rsid w:val="00AA41EA"/>
    <w:rsid w:val="00AA497B"/>
    <w:rsid w:val="00AA49D0"/>
    <w:rsid w:val="00AA6AA2"/>
    <w:rsid w:val="00AA6CD0"/>
    <w:rsid w:val="00AB0E2B"/>
    <w:rsid w:val="00AB121A"/>
    <w:rsid w:val="00AB22E0"/>
    <w:rsid w:val="00AB40B6"/>
    <w:rsid w:val="00AB56C1"/>
    <w:rsid w:val="00AB5D49"/>
    <w:rsid w:val="00AB67D0"/>
    <w:rsid w:val="00AC0C4C"/>
    <w:rsid w:val="00AC0CDE"/>
    <w:rsid w:val="00AC0D52"/>
    <w:rsid w:val="00AC132D"/>
    <w:rsid w:val="00AC146A"/>
    <w:rsid w:val="00AC1733"/>
    <w:rsid w:val="00AC368C"/>
    <w:rsid w:val="00AC55D2"/>
    <w:rsid w:val="00AC64E3"/>
    <w:rsid w:val="00AD039C"/>
    <w:rsid w:val="00AD1F20"/>
    <w:rsid w:val="00AD3F52"/>
    <w:rsid w:val="00AD4C8C"/>
    <w:rsid w:val="00AD66EF"/>
    <w:rsid w:val="00AD67C7"/>
    <w:rsid w:val="00AD6DF6"/>
    <w:rsid w:val="00AD7E5B"/>
    <w:rsid w:val="00AE096F"/>
    <w:rsid w:val="00AE1420"/>
    <w:rsid w:val="00AE15F8"/>
    <w:rsid w:val="00AE21CB"/>
    <w:rsid w:val="00AE36BD"/>
    <w:rsid w:val="00AE40EB"/>
    <w:rsid w:val="00AE54A9"/>
    <w:rsid w:val="00AE606D"/>
    <w:rsid w:val="00AE7163"/>
    <w:rsid w:val="00AE73D8"/>
    <w:rsid w:val="00AE74B3"/>
    <w:rsid w:val="00AE7A6B"/>
    <w:rsid w:val="00AE7CB3"/>
    <w:rsid w:val="00AF04C2"/>
    <w:rsid w:val="00AF1122"/>
    <w:rsid w:val="00AF2359"/>
    <w:rsid w:val="00AF2675"/>
    <w:rsid w:val="00AF308D"/>
    <w:rsid w:val="00AF78EE"/>
    <w:rsid w:val="00B0046D"/>
    <w:rsid w:val="00B0099C"/>
    <w:rsid w:val="00B00EDC"/>
    <w:rsid w:val="00B01111"/>
    <w:rsid w:val="00B011E6"/>
    <w:rsid w:val="00B02B0F"/>
    <w:rsid w:val="00B0714F"/>
    <w:rsid w:val="00B0755E"/>
    <w:rsid w:val="00B077CC"/>
    <w:rsid w:val="00B10C05"/>
    <w:rsid w:val="00B11BCB"/>
    <w:rsid w:val="00B11D45"/>
    <w:rsid w:val="00B124AB"/>
    <w:rsid w:val="00B13181"/>
    <w:rsid w:val="00B1439F"/>
    <w:rsid w:val="00B1479C"/>
    <w:rsid w:val="00B14FC0"/>
    <w:rsid w:val="00B1524D"/>
    <w:rsid w:val="00B152F3"/>
    <w:rsid w:val="00B15566"/>
    <w:rsid w:val="00B1706D"/>
    <w:rsid w:val="00B23906"/>
    <w:rsid w:val="00B2422D"/>
    <w:rsid w:val="00B24E69"/>
    <w:rsid w:val="00B25928"/>
    <w:rsid w:val="00B27036"/>
    <w:rsid w:val="00B278FE"/>
    <w:rsid w:val="00B279C9"/>
    <w:rsid w:val="00B27DF3"/>
    <w:rsid w:val="00B27E30"/>
    <w:rsid w:val="00B30199"/>
    <w:rsid w:val="00B30851"/>
    <w:rsid w:val="00B32115"/>
    <w:rsid w:val="00B33189"/>
    <w:rsid w:val="00B331AE"/>
    <w:rsid w:val="00B33A92"/>
    <w:rsid w:val="00B349BB"/>
    <w:rsid w:val="00B3546C"/>
    <w:rsid w:val="00B35610"/>
    <w:rsid w:val="00B36623"/>
    <w:rsid w:val="00B37FDB"/>
    <w:rsid w:val="00B4009D"/>
    <w:rsid w:val="00B4026E"/>
    <w:rsid w:val="00B40628"/>
    <w:rsid w:val="00B40EFB"/>
    <w:rsid w:val="00B42AD2"/>
    <w:rsid w:val="00B435B3"/>
    <w:rsid w:val="00B43A2E"/>
    <w:rsid w:val="00B442C0"/>
    <w:rsid w:val="00B44908"/>
    <w:rsid w:val="00B45B3E"/>
    <w:rsid w:val="00B45E32"/>
    <w:rsid w:val="00B46CA9"/>
    <w:rsid w:val="00B470F9"/>
    <w:rsid w:val="00B51F2D"/>
    <w:rsid w:val="00B529E6"/>
    <w:rsid w:val="00B53CDE"/>
    <w:rsid w:val="00B54C6C"/>
    <w:rsid w:val="00B57A13"/>
    <w:rsid w:val="00B6053B"/>
    <w:rsid w:val="00B60CC1"/>
    <w:rsid w:val="00B632B1"/>
    <w:rsid w:val="00B64F63"/>
    <w:rsid w:val="00B6529E"/>
    <w:rsid w:val="00B653E2"/>
    <w:rsid w:val="00B65F4B"/>
    <w:rsid w:val="00B66238"/>
    <w:rsid w:val="00B66C4B"/>
    <w:rsid w:val="00B67B22"/>
    <w:rsid w:val="00B71C13"/>
    <w:rsid w:val="00B73646"/>
    <w:rsid w:val="00B73D17"/>
    <w:rsid w:val="00B7401C"/>
    <w:rsid w:val="00B74952"/>
    <w:rsid w:val="00B756F5"/>
    <w:rsid w:val="00B77299"/>
    <w:rsid w:val="00B77CBA"/>
    <w:rsid w:val="00B80A5E"/>
    <w:rsid w:val="00B80E26"/>
    <w:rsid w:val="00B81A62"/>
    <w:rsid w:val="00B81DC6"/>
    <w:rsid w:val="00B82DD3"/>
    <w:rsid w:val="00B83321"/>
    <w:rsid w:val="00B84377"/>
    <w:rsid w:val="00B846C6"/>
    <w:rsid w:val="00B8517C"/>
    <w:rsid w:val="00B85C6C"/>
    <w:rsid w:val="00B85F20"/>
    <w:rsid w:val="00B9124A"/>
    <w:rsid w:val="00B93132"/>
    <w:rsid w:val="00B956C4"/>
    <w:rsid w:val="00B95B0A"/>
    <w:rsid w:val="00B96271"/>
    <w:rsid w:val="00B97167"/>
    <w:rsid w:val="00BA17A6"/>
    <w:rsid w:val="00BA2D2B"/>
    <w:rsid w:val="00BA36F0"/>
    <w:rsid w:val="00BA3D6D"/>
    <w:rsid w:val="00BA4876"/>
    <w:rsid w:val="00BA5C3A"/>
    <w:rsid w:val="00BA5C82"/>
    <w:rsid w:val="00BA5FB6"/>
    <w:rsid w:val="00BA64E6"/>
    <w:rsid w:val="00BA6EB3"/>
    <w:rsid w:val="00BA7E4B"/>
    <w:rsid w:val="00BB1858"/>
    <w:rsid w:val="00BB1E30"/>
    <w:rsid w:val="00BB2349"/>
    <w:rsid w:val="00BB2735"/>
    <w:rsid w:val="00BB4494"/>
    <w:rsid w:val="00BB4715"/>
    <w:rsid w:val="00BB590E"/>
    <w:rsid w:val="00BB65B2"/>
    <w:rsid w:val="00BC09A4"/>
    <w:rsid w:val="00BC1466"/>
    <w:rsid w:val="00BC1484"/>
    <w:rsid w:val="00BC1CFA"/>
    <w:rsid w:val="00BC240C"/>
    <w:rsid w:val="00BC2B30"/>
    <w:rsid w:val="00BC3094"/>
    <w:rsid w:val="00BC321E"/>
    <w:rsid w:val="00BC3903"/>
    <w:rsid w:val="00BC4B2A"/>
    <w:rsid w:val="00BC5031"/>
    <w:rsid w:val="00BC62C2"/>
    <w:rsid w:val="00BC799A"/>
    <w:rsid w:val="00BD2004"/>
    <w:rsid w:val="00BD265C"/>
    <w:rsid w:val="00BD3524"/>
    <w:rsid w:val="00BD39DE"/>
    <w:rsid w:val="00BD40A4"/>
    <w:rsid w:val="00BD45D8"/>
    <w:rsid w:val="00BD46B9"/>
    <w:rsid w:val="00BD47AD"/>
    <w:rsid w:val="00BD4D7E"/>
    <w:rsid w:val="00BD5BBC"/>
    <w:rsid w:val="00BD5E18"/>
    <w:rsid w:val="00BD5E95"/>
    <w:rsid w:val="00BD7EB6"/>
    <w:rsid w:val="00BE055C"/>
    <w:rsid w:val="00BE1556"/>
    <w:rsid w:val="00BE2995"/>
    <w:rsid w:val="00BE35CA"/>
    <w:rsid w:val="00BE3C8A"/>
    <w:rsid w:val="00BE75BF"/>
    <w:rsid w:val="00BF0517"/>
    <w:rsid w:val="00BF1118"/>
    <w:rsid w:val="00BF1392"/>
    <w:rsid w:val="00BF2027"/>
    <w:rsid w:val="00BF2053"/>
    <w:rsid w:val="00BF218E"/>
    <w:rsid w:val="00BF2E2E"/>
    <w:rsid w:val="00BF3B45"/>
    <w:rsid w:val="00BF42E7"/>
    <w:rsid w:val="00BF6F8B"/>
    <w:rsid w:val="00BF7F6A"/>
    <w:rsid w:val="00C0023B"/>
    <w:rsid w:val="00C00783"/>
    <w:rsid w:val="00C008C1"/>
    <w:rsid w:val="00C01844"/>
    <w:rsid w:val="00C0288F"/>
    <w:rsid w:val="00C029A2"/>
    <w:rsid w:val="00C030A9"/>
    <w:rsid w:val="00C03134"/>
    <w:rsid w:val="00C034AB"/>
    <w:rsid w:val="00C047C1"/>
    <w:rsid w:val="00C04A4A"/>
    <w:rsid w:val="00C0540C"/>
    <w:rsid w:val="00C0619C"/>
    <w:rsid w:val="00C0668A"/>
    <w:rsid w:val="00C066A9"/>
    <w:rsid w:val="00C07D7A"/>
    <w:rsid w:val="00C10FA7"/>
    <w:rsid w:val="00C11337"/>
    <w:rsid w:val="00C13014"/>
    <w:rsid w:val="00C130D2"/>
    <w:rsid w:val="00C137CE"/>
    <w:rsid w:val="00C13936"/>
    <w:rsid w:val="00C14421"/>
    <w:rsid w:val="00C17567"/>
    <w:rsid w:val="00C17601"/>
    <w:rsid w:val="00C201E0"/>
    <w:rsid w:val="00C2087D"/>
    <w:rsid w:val="00C237FC"/>
    <w:rsid w:val="00C23DE3"/>
    <w:rsid w:val="00C23F5B"/>
    <w:rsid w:val="00C24A3E"/>
    <w:rsid w:val="00C25505"/>
    <w:rsid w:val="00C26107"/>
    <w:rsid w:val="00C2662C"/>
    <w:rsid w:val="00C26685"/>
    <w:rsid w:val="00C26DE3"/>
    <w:rsid w:val="00C2704A"/>
    <w:rsid w:val="00C31201"/>
    <w:rsid w:val="00C31377"/>
    <w:rsid w:val="00C32098"/>
    <w:rsid w:val="00C32435"/>
    <w:rsid w:val="00C32CA0"/>
    <w:rsid w:val="00C336AD"/>
    <w:rsid w:val="00C33A91"/>
    <w:rsid w:val="00C33F97"/>
    <w:rsid w:val="00C42357"/>
    <w:rsid w:val="00C429A1"/>
    <w:rsid w:val="00C42D47"/>
    <w:rsid w:val="00C43860"/>
    <w:rsid w:val="00C43D75"/>
    <w:rsid w:val="00C444BE"/>
    <w:rsid w:val="00C44C7D"/>
    <w:rsid w:val="00C45BBF"/>
    <w:rsid w:val="00C46A53"/>
    <w:rsid w:val="00C47897"/>
    <w:rsid w:val="00C50FB0"/>
    <w:rsid w:val="00C52C45"/>
    <w:rsid w:val="00C54307"/>
    <w:rsid w:val="00C55095"/>
    <w:rsid w:val="00C55154"/>
    <w:rsid w:val="00C56AD0"/>
    <w:rsid w:val="00C57AFE"/>
    <w:rsid w:val="00C57D99"/>
    <w:rsid w:val="00C601A3"/>
    <w:rsid w:val="00C6059C"/>
    <w:rsid w:val="00C60BFB"/>
    <w:rsid w:val="00C60E5A"/>
    <w:rsid w:val="00C6115D"/>
    <w:rsid w:val="00C6140D"/>
    <w:rsid w:val="00C62BAB"/>
    <w:rsid w:val="00C640A5"/>
    <w:rsid w:val="00C64A61"/>
    <w:rsid w:val="00C64ED7"/>
    <w:rsid w:val="00C66BA8"/>
    <w:rsid w:val="00C66F1F"/>
    <w:rsid w:val="00C674F2"/>
    <w:rsid w:val="00C712E3"/>
    <w:rsid w:val="00C72230"/>
    <w:rsid w:val="00C73719"/>
    <w:rsid w:val="00C738D2"/>
    <w:rsid w:val="00C73DEE"/>
    <w:rsid w:val="00C759CE"/>
    <w:rsid w:val="00C75B41"/>
    <w:rsid w:val="00C75D50"/>
    <w:rsid w:val="00C75F7E"/>
    <w:rsid w:val="00C76469"/>
    <w:rsid w:val="00C76578"/>
    <w:rsid w:val="00C76EA5"/>
    <w:rsid w:val="00C76EEB"/>
    <w:rsid w:val="00C7758C"/>
    <w:rsid w:val="00C77659"/>
    <w:rsid w:val="00C7797A"/>
    <w:rsid w:val="00C77F6D"/>
    <w:rsid w:val="00C82842"/>
    <w:rsid w:val="00C82CD2"/>
    <w:rsid w:val="00C82D9F"/>
    <w:rsid w:val="00C85FD2"/>
    <w:rsid w:val="00C86F14"/>
    <w:rsid w:val="00C911A1"/>
    <w:rsid w:val="00C92056"/>
    <w:rsid w:val="00C949DD"/>
    <w:rsid w:val="00C95098"/>
    <w:rsid w:val="00C952A7"/>
    <w:rsid w:val="00C96220"/>
    <w:rsid w:val="00C96935"/>
    <w:rsid w:val="00C9706C"/>
    <w:rsid w:val="00C97381"/>
    <w:rsid w:val="00C97445"/>
    <w:rsid w:val="00CA022E"/>
    <w:rsid w:val="00CA2C93"/>
    <w:rsid w:val="00CA4461"/>
    <w:rsid w:val="00CA50BB"/>
    <w:rsid w:val="00CA57D4"/>
    <w:rsid w:val="00CA5E4B"/>
    <w:rsid w:val="00CA7442"/>
    <w:rsid w:val="00CB0452"/>
    <w:rsid w:val="00CB04E0"/>
    <w:rsid w:val="00CB0D3F"/>
    <w:rsid w:val="00CB513F"/>
    <w:rsid w:val="00CB61B6"/>
    <w:rsid w:val="00CB75DF"/>
    <w:rsid w:val="00CC08C9"/>
    <w:rsid w:val="00CC09B6"/>
    <w:rsid w:val="00CC108C"/>
    <w:rsid w:val="00CC11FD"/>
    <w:rsid w:val="00CC1323"/>
    <w:rsid w:val="00CC2B43"/>
    <w:rsid w:val="00CC2DCA"/>
    <w:rsid w:val="00CC3B2C"/>
    <w:rsid w:val="00CC3B31"/>
    <w:rsid w:val="00CC4725"/>
    <w:rsid w:val="00CC4796"/>
    <w:rsid w:val="00CC55E7"/>
    <w:rsid w:val="00CD0020"/>
    <w:rsid w:val="00CD0079"/>
    <w:rsid w:val="00CD148A"/>
    <w:rsid w:val="00CD2A79"/>
    <w:rsid w:val="00CD2DB6"/>
    <w:rsid w:val="00CD2E2C"/>
    <w:rsid w:val="00CD2FBD"/>
    <w:rsid w:val="00CD3257"/>
    <w:rsid w:val="00CD42B7"/>
    <w:rsid w:val="00CD4F5E"/>
    <w:rsid w:val="00CD625C"/>
    <w:rsid w:val="00CD6E68"/>
    <w:rsid w:val="00CD7341"/>
    <w:rsid w:val="00CE02A2"/>
    <w:rsid w:val="00CE0486"/>
    <w:rsid w:val="00CE1168"/>
    <w:rsid w:val="00CE1358"/>
    <w:rsid w:val="00CE3659"/>
    <w:rsid w:val="00CE368A"/>
    <w:rsid w:val="00CE52F1"/>
    <w:rsid w:val="00CE5657"/>
    <w:rsid w:val="00CE5E55"/>
    <w:rsid w:val="00CE63BA"/>
    <w:rsid w:val="00CE7C14"/>
    <w:rsid w:val="00CF1AF1"/>
    <w:rsid w:val="00CF1B28"/>
    <w:rsid w:val="00CF32B2"/>
    <w:rsid w:val="00CF3A3A"/>
    <w:rsid w:val="00CF3FE4"/>
    <w:rsid w:val="00CF4839"/>
    <w:rsid w:val="00CF5F95"/>
    <w:rsid w:val="00D01AB2"/>
    <w:rsid w:val="00D01F64"/>
    <w:rsid w:val="00D021EF"/>
    <w:rsid w:val="00D0369C"/>
    <w:rsid w:val="00D0416A"/>
    <w:rsid w:val="00D05C6A"/>
    <w:rsid w:val="00D06333"/>
    <w:rsid w:val="00D06D24"/>
    <w:rsid w:val="00D10FE2"/>
    <w:rsid w:val="00D11DC6"/>
    <w:rsid w:val="00D17055"/>
    <w:rsid w:val="00D209DE"/>
    <w:rsid w:val="00D20C27"/>
    <w:rsid w:val="00D228E5"/>
    <w:rsid w:val="00D22C87"/>
    <w:rsid w:val="00D23514"/>
    <w:rsid w:val="00D239FA"/>
    <w:rsid w:val="00D23AD9"/>
    <w:rsid w:val="00D23BBE"/>
    <w:rsid w:val="00D24C9F"/>
    <w:rsid w:val="00D24F09"/>
    <w:rsid w:val="00D263DF"/>
    <w:rsid w:val="00D268D0"/>
    <w:rsid w:val="00D26ACF"/>
    <w:rsid w:val="00D3250D"/>
    <w:rsid w:val="00D33E5B"/>
    <w:rsid w:val="00D3554D"/>
    <w:rsid w:val="00D37C77"/>
    <w:rsid w:val="00D41142"/>
    <w:rsid w:val="00D41FCA"/>
    <w:rsid w:val="00D42008"/>
    <w:rsid w:val="00D42131"/>
    <w:rsid w:val="00D43E25"/>
    <w:rsid w:val="00D441CD"/>
    <w:rsid w:val="00D467D5"/>
    <w:rsid w:val="00D46B2B"/>
    <w:rsid w:val="00D50147"/>
    <w:rsid w:val="00D505DF"/>
    <w:rsid w:val="00D50E63"/>
    <w:rsid w:val="00D525D5"/>
    <w:rsid w:val="00D527AC"/>
    <w:rsid w:val="00D5356D"/>
    <w:rsid w:val="00D53ACB"/>
    <w:rsid w:val="00D547CA"/>
    <w:rsid w:val="00D54EE4"/>
    <w:rsid w:val="00D55391"/>
    <w:rsid w:val="00D558B2"/>
    <w:rsid w:val="00D56871"/>
    <w:rsid w:val="00D577F2"/>
    <w:rsid w:val="00D57C14"/>
    <w:rsid w:val="00D60787"/>
    <w:rsid w:val="00D6165B"/>
    <w:rsid w:val="00D61867"/>
    <w:rsid w:val="00D642C4"/>
    <w:rsid w:val="00D64586"/>
    <w:rsid w:val="00D66705"/>
    <w:rsid w:val="00D66E1B"/>
    <w:rsid w:val="00D67037"/>
    <w:rsid w:val="00D670D2"/>
    <w:rsid w:val="00D67102"/>
    <w:rsid w:val="00D67794"/>
    <w:rsid w:val="00D67A02"/>
    <w:rsid w:val="00D71653"/>
    <w:rsid w:val="00D727F5"/>
    <w:rsid w:val="00D72D84"/>
    <w:rsid w:val="00D734E6"/>
    <w:rsid w:val="00D73D3A"/>
    <w:rsid w:val="00D750A8"/>
    <w:rsid w:val="00D751D5"/>
    <w:rsid w:val="00D7592C"/>
    <w:rsid w:val="00D80BE9"/>
    <w:rsid w:val="00D81397"/>
    <w:rsid w:val="00D81866"/>
    <w:rsid w:val="00D820AD"/>
    <w:rsid w:val="00D82375"/>
    <w:rsid w:val="00D82D2A"/>
    <w:rsid w:val="00D83AD5"/>
    <w:rsid w:val="00D843C2"/>
    <w:rsid w:val="00D852EC"/>
    <w:rsid w:val="00D86352"/>
    <w:rsid w:val="00D8706A"/>
    <w:rsid w:val="00D87123"/>
    <w:rsid w:val="00D906C8"/>
    <w:rsid w:val="00D91A27"/>
    <w:rsid w:val="00D9391F"/>
    <w:rsid w:val="00D93B01"/>
    <w:rsid w:val="00D93BF4"/>
    <w:rsid w:val="00D93F19"/>
    <w:rsid w:val="00D9550A"/>
    <w:rsid w:val="00D9743C"/>
    <w:rsid w:val="00DA02AB"/>
    <w:rsid w:val="00DA2E40"/>
    <w:rsid w:val="00DA31B7"/>
    <w:rsid w:val="00DA383F"/>
    <w:rsid w:val="00DA3CD4"/>
    <w:rsid w:val="00DA51C2"/>
    <w:rsid w:val="00DA6459"/>
    <w:rsid w:val="00DA6AEB"/>
    <w:rsid w:val="00DB0B29"/>
    <w:rsid w:val="00DB116D"/>
    <w:rsid w:val="00DB1200"/>
    <w:rsid w:val="00DB17B8"/>
    <w:rsid w:val="00DB1952"/>
    <w:rsid w:val="00DB229D"/>
    <w:rsid w:val="00DB2CF1"/>
    <w:rsid w:val="00DB3D79"/>
    <w:rsid w:val="00DB4B7A"/>
    <w:rsid w:val="00DB5AF3"/>
    <w:rsid w:val="00DB60FD"/>
    <w:rsid w:val="00DB77D7"/>
    <w:rsid w:val="00DC365B"/>
    <w:rsid w:val="00DC4BA2"/>
    <w:rsid w:val="00DC4FF0"/>
    <w:rsid w:val="00DC5118"/>
    <w:rsid w:val="00DC566C"/>
    <w:rsid w:val="00DC597F"/>
    <w:rsid w:val="00DD09A9"/>
    <w:rsid w:val="00DD1199"/>
    <w:rsid w:val="00DD1DA0"/>
    <w:rsid w:val="00DD235F"/>
    <w:rsid w:val="00DD507F"/>
    <w:rsid w:val="00DD5C06"/>
    <w:rsid w:val="00DD6317"/>
    <w:rsid w:val="00DD74EA"/>
    <w:rsid w:val="00DE0202"/>
    <w:rsid w:val="00DE1CB6"/>
    <w:rsid w:val="00DE3BF8"/>
    <w:rsid w:val="00DE5999"/>
    <w:rsid w:val="00DE5A4C"/>
    <w:rsid w:val="00DE6D95"/>
    <w:rsid w:val="00DE7487"/>
    <w:rsid w:val="00DE7A6C"/>
    <w:rsid w:val="00DF1264"/>
    <w:rsid w:val="00DF15A3"/>
    <w:rsid w:val="00DF1FDA"/>
    <w:rsid w:val="00DF232B"/>
    <w:rsid w:val="00DF3AEC"/>
    <w:rsid w:val="00DF484C"/>
    <w:rsid w:val="00DF792A"/>
    <w:rsid w:val="00E000CF"/>
    <w:rsid w:val="00E00D36"/>
    <w:rsid w:val="00E014C9"/>
    <w:rsid w:val="00E01654"/>
    <w:rsid w:val="00E028C9"/>
    <w:rsid w:val="00E02BB9"/>
    <w:rsid w:val="00E04E29"/>
    <w:rsid w:val="00E07895"/>
    <w:rsid w:val="00E07FF8"/>
    <w:rsid w:val="00E108BA"/>
    <w:rsid w:val="00E10ABB"/>
    <w:rsid w:val="00E11391"/>
    <w:rsid w:val="00E11B34"/>
    <w:rsid w:val="00E12690"/>
    <w:rsid w:val="00E13C52"/>
    <w:rsid w:val="00E148D3"/>
    <w:rsid w:val="00E1507C"/>
    <w:rsid w:val="00E17809"/>
    <w:rsid w:val="00E21672"/>
    <w:rsid w:val="00E21806"/>
    <w:rsid w:val="00E22479"/>
    <w:rsid w:val="00E22C5F"/>
    <w:rsid w:val="00E23BD1"/>
    <w:rsid w:val="00E23D3E"/>
    <w:rsid w:val="00E24A82"/>
    <w:rsid w:val="00E255B2"/>
    <w:rsid w:val="00E26389"/>
    <w:rsid w:val="00E2768F"/>
    <w:rsid w:val="00E276B2"/>
    <w:rsid w:val="00E2787D"/>
    <w:rsid w:val="00E30000"/>
    <w:rsid w:val="00E30197"/>
    <w:rsid w:val="00E3073F"/>
    <w:rsid w:val="00E3151F"/>
    <w:rsid w:val="00E319BF"/>
    <w:rsid w:val="00E31C39"/>
    <w:rsid w:val="00E32159"/>
    <w:rsid w:val="00E32DDD"/>
    <w:rsid w:val="00E3353B"/>
    <w:rsid w:val="00E33648"/>
    <w:rsid w:val="00E336BD"/>
    <w:rsid w:val="00E33ACA"/>
    <w:rsid w:val="00E34EEC"/>
    <w:rsid w:val="00E35775"/>
    <w:rsid w:val="00E362BF"/>
    <w:rsid w:val="00E41734"/>
    <w:rsid w:val="00E41D6A"/>
    <w:rsid w:val="00E428AA"/>
    <w:rsid w:val="00E4350D"/>
    <w:rsid w:val="00E4396B"/>
    <w:rsid w:val="00E44599"/>
    <w:rsid w:val="00E452E8"/>
    <w:rsid w:val="00E457DE"/>
    <w:rsid w:val="00E4595A"/>
    <w:rsid w:val="00E4657F"/>
    <w:rsid w:val="00E47398"/>
    <w:rsid w:val="00E47606"/>
    <w:rsid w:val="00E516CD"/>
    <w:rsid w:val="00E519D4"/>
    <w:rsid w:val="00E51C06"/>
    <w:rsid w:val="00E51C12"/>
    <w:rsid w:val="00E51E4C"/>
    <w:rsid w:val="00E52AF2"/>
    <w:rsid w:val="00E52F21"/>
    <w:rsid w:val="00E5330A"/>
    <w:rsid w:val="00E53AD7"/>
    <w:rsid w:val="00E53B6C"/>
    <w:rsid w:val="00E54821"/>
    <w:rsid w:val="00E54BF3"/>
    <w:rsid w:val="00E55A7C"/>
    <w:rsid w:val="00E60CC1"/>
    <w:rsid w:val="00E62766"/>
    <w:rsid w:val="00E62D8D"/>
    <w:rsid w:val="00E631AF"/>
    <w:rsid w:val="00E643E2"/>
    <w:rsid w:val="00E6728A"/>
    <w:rsid w:val="00E707D1"/>
    <w:rsid w:val="00E72919"/>
    <w:rsid w:val="00E72936"/>
    <w:rsid w:val="00E72D5F"/>
    <w:rsid w:val="00E73114"/>
    <w:rsid w:val="00E73771"/>
    <w:rsid w:val="00E74834"/>
    <w:rsid w:val="00E7543E"/>
    <w:rsid w:val="00E75F0B"/>
    <w:rsid w:val="00E7608A"/>
    <w:rsid w:val="00E76426"/>
    <w:rsid w:val="00E76D57"/>
    <w:rsid w:val="00E803CD"/>
    <w:rsid w:val="00E8093F"/>
    <w:rsid w:val="00E81F81"/>
    <w:rsid w:val="00E8387D"/>
    <w:rsid w:val="00E84B40"/>
    <w:rsid w:val="00E8602E"/>
    <w:rsid w:val="00E86608"/>
    <w:rsid w:val="00E87329"/>
    <w:rsid w:val="00E87C10"/>
    <w:rsid w:val="00E90149"/>
    <w:rsid w:val="00E909ED"/>
    <w:rsid w:val="00E91C21"/>
    <w:rsid w:val="00E933E7"/>
    <w:rsid w:val="00E94D44"/>
    <w:rsid w:val="00E979D3"/>
    <w:rsid w:val="00EA01D7"/>
    <w:rsid w:val="00EA0D40"/>
    <w:rsid w:val="00EA3D8C"/>
    <w:rsid w:val="00EA4D3C"/>
    <w:rsid w:val="00EA4DDC"/>
    <w:rsid w:val="00EA5643"/>
    <w:rsid w:val="00EB0EE8"/>
    <w:rsid w:val="00EB2095"/>
    <w:rsid w:val="00EB248B"/>
    <w:rsid w:val="00EB2EDF"/>
    <w:rsid w:val="00EB38C7"/>
    <w:rsid w:val="00EB570A"/>
    <w:rsid w:val="00EB687C"/>
    <w:rsid w:val="00EB69FF"/>
    <w:rsid w:val="00EB7922"/>
    <w:rsid w:val="00EC2645"/>
    <w:rsid w:val="00EC2C1F"/>
    <w:rsid w:val="00EC4017"/>
    <w:rsid w:val="00EC6D62"/>
    <w:rsid w:val="00EC773A"/>
    <w:rsid w:val="00EC79AA"/>
    <w:rsid w:val="00ED2F0A"/>
    <w:rsid w:val="00ED375E"/>
    <w:rsid w:val="00ED375F"/>
    <w:rsid w:val="00ED4F56"/>
    <w:rsid w:val="00ED6702"/>
    <w:rsid w:val="00ED77D1"/>
    <w:rsid w:val="00ED7D2D"/>
    <w:rsid w:val="00EE04EB"/>
    <w:rsid w:val="00EE0E40"/>
    <w:rsid w:val="00EE0F03"/>
    <w:rsid w:val="00EE1C2C"/>
    <w:rsid w:val="00EE2866"/>
    <w:rsid w:val="00EE3744"/>
    <w:rsid w:val="00EE38ED"/>
    <w:rsid w:val="00EE3DDF"/>
    <w:rsid w:val="00EE495C"/>
    <w:rsid w:val="00EE501A"/>
    <w:rsid w:val="00EE6744"/>
    <w:rsid w:val="00EE6C26"/>
    <w:rsid w:val="00EE71E1"/>
    <w:rsid w:val="00EE7FB0"/>
    <w:rsid w:val="00EF0AAB"/>
    <w:rsid w:val="00EF0ECC"/>
    <w:rsid w:val="00EF1C87"/>
    <w:rsid w:val="00EF1E95"/>
    <w:rsid w:val="00EF221B"/>
    <w:rsid w:val="00EF4564"/>
    <w:rsid w:val="00EF4A13"/>
    <w:rsid w:val="00EF4AB0"/>
    <w:rsid w:val="00EF4D52"/>
    <w:rsid w:val="00EF5E2D"/>
    <w:rsid w:val="00EF61DC"/>
    <w:rsid w:val="00EF71A6"/>
    <w:rsid w:val="00F00D3B"/>
    <w:rsid w:val="00F010DE"/>
    <w:rsid w:val="00F018EC"/>
    <w:rsid w:val="00F01D65"/>
    <w:rsid w:val="00F0394A"/>
    <w:rsid w:val="00F03C70"/>
    <w:rsid w:val="00F041B4"/>
    <w:rsid w:val="00F04347"/>
    <w:rsid w:val="00F04469"/>
    <w:rsid w:val="00F0453E"/>
    <w:rsid w:val="00F066E1"/>
    <w:rsid w:val="00F0714C"/>
    <w:rsid w:val="00F07EA2"/>
    <w:rsid w:val="00F11336"/>
    <w:rsid w:val="00F11524"/>
    <w:rsid w:val="00F11600"/>
    <w:rsid w:val="00F1181B"/>
    <w:rsid w:val="00F128EE"/>
    <w:rsid w:val="00F12E24"/>
    <w:rsid w:val="00F169CC"/>
    <w:rsid w:val="00F204BD"/>
    <w:rsid w:val="00F20588"/>
    <w:rsid w:val="00F25290"/>
    <w:rsid w:val="00F25390"/>
    <w:rsid w:val="00F2558D"/>
    <w:rsid w:val="00F25CBE"/>
    <w:rsid w:val="00F2633C"/>
    <w:rsid w:val="00F26567"/>
    <w:rsid w:val="00F26D56"/>
    <w:rsid w:val="00F2755C"/>
    <w:rsid w:val="00F30775"/>
    <w:rsid w:val="00F315B9"/>
    <w:rsid w:val="00F31747"/>
    <w:rsid w:val="00F321C4"/>
    <w:rsid w:val="00F3355D"/>
    <w:rsid w:val="00F337C4"/>
    <w:rsid w:val="00F34A4E"/>
    <w:rsid w:val="00F355AE"/>
    <w:rsid w:val="00F35602"/>
    <w:rsid w:val="00F35B57"/>
    <w:rsid w:val="00F41E5C"/>
    <w:rsid w:val="00F43C62"/>
    <w:rsid w:val="00F44A95"/>
    <w:rsid w:val="00F44DE0"/>
    <w:rsid w:val="00F44EDB"/>
    <w:rsid w:val="00F45B3B"/>
    <w:rsid w:val="00F53B85"/>
    <w:rsid w:val="00F54B92"/>
    <w:rsid w:val="00F564A2"/>
    <w:rsid w:val="00F56C18"/>
    <w:rsid w:val="00F56DD2"/>
    <w:rsid w:val="00F57BF1"/>
    <w:rsid w:val="00F57FC3"/>
    <w:rsid w:val="00F61E02"/>
    <w:rsid w:val="00F6479E"/>
    <w:rsid w:val="00F6575E"/>
    <w:rsid w:val="00F66419"/>
    <w:rsid w:val="00F725A2"/>
    <w:rsid w:val="00F72984"/>
    <w:rsid w:val="00F7377B"/>
    <w:rsid w:val="00F73789"/>
    <w:rsid w:val="00F73B9F"/>
    <w:rsid w:val="00F74091"/>
    <w:rsid w:val="00F757A5"/>
    <w:rsid w:val="00F81495"/>
    <w:rsid w:val="00F826DA"/>
    <w:rsid w:val="00F82BA9"/>
    <w:rsid w:val="00F859CB"/>
    <w:rsid w:val="00F86A8B"/>
    <w:rsid w:val="00F86B87"/>
    <w:rsid w:val="00F87025"/>
    <w:rsid w:val="00F9039D"/>
    <w:rsid w:val="00F92A0F"/>
    <w:rsid w:val="00F962DA"/>
    <w:rsid w:val="00F9683A"/>
    <w:rsid w:val="00F96DF2"/>
    <w:rsid w:val="00F96E64"/>
    <w:rsid w:val="00F9711F"/>
    <w:rsid w:val="00F97319"/>
    <w:rsid w:val="00F97457"/>
    <w:rsid w:val="00FA1F2E"/>
    <w:rsid w:val="00FA2005"/>
    <w:rsid w:val="00FA47F2"/>
    <w:rsid w:val="00FA616C"/>
    <w:rsid w:val="00FA6506"/>
    <w:rsid w:val="00FA6649"/>
    <w:rsid w:val="00FA6C2A"/>
    <w:rsid w:val="00FB0103"/>
    <w:rsid w:val="00FB0595"/>
    <w:rsid w:val="00FB0E61"/>
    <w:rsid w:val="00FB1119"/>
    <w:rsid w:val="00FB1ACD"/>
    <w:rsid w:val="00FB2B42"/>
    <w:rsid w:val="00FB348B"/>
    <w:rsid w:val="00FB3615"/>
    <w:rsid w:val="00FB384A"/>
    <w:rsid w:val="00FB42E1"/>
    <w:rsid w:val="00FB47C0"/>
    <w:rsid w:val="00FB5FEF"/>
    <w:rsid w:val="00FB6489"/>
    <w:rsid w:val="00FB6B61"/>
    <w:rsid w:val="00FB713A"/>
    <w:rsid w:val="00FB7907"/>
    <w:rsid w:val="00FB7FB1"/>
    <w:rsid w:val="00FC0BE0"/>
    <w:rsid w:val="00FC1057"/>
    <w:rsid w:val="00FC1C01"/>
    <w:rsid w:val="00FC2B71"/>
    <w:rsid w:val="00FC35A0"/>
    <w:rsid w:val="00FC421E"/>
    <w:rsid w:val="00FC54A1"/>
    <w:rsid w:val="00FC57F2"/>
    <w:rsid w:val="00FC60FA"/>
    <w:rsid w:val="00FC65BE"/>
    <w:rsid w:val="00FC692C"/>
    <w:rsid w:val="00FD0A8B"/>
    <w:rsid w:val="00FD102F"/>
    <w:rsid w:val="00FD171C"/>
    <w:rsid w:val="00FD1F33"/>
    <w:rsid w:val="00FD22BC"/>
    <w:rsid w:val="00FD3206"/>
    <w:rsid w:val="00FD372B"/>
    <w:rsid w:val="00FD39E7"/>
    <w:rsid w:val="00FD3AB9"/>
    <w:rsid w:val="00FD4376"/>
    <w:rsid w:val="00FD5678"/>
    <w:rsid w:val="00FD5735"/>
    <w:rsid w:val="00FD64D6"/>
    <w:rsid w:val="00FD6986"/>
    <w:rsid w:val="00FE01AE"/>
    <w:rsid w:val="00FE07A7"/>
    <w:rsid w:val="00FE1A26"/>
    <w:rsid w:val="00FE1B77"/>
    <w:rsid w:val="00FE28C0"/>
    <w:rsid w:val="00FE2D04"/>
    <w:rsid w:val="00FE4DDC"/>
    <w:rsid w:val="00FE5A39"/>
    <w:rsid w:val="00FE6ADE"/>
    <w:rsid w:val="00FE6CC1"/>
    <w:rsid w:val="00FE723B"/>
    <w:rsid w:val="00FE774A"/>
    <w:rsid w:val="00FF040B"/>
    <w:rsid w:val="00FF0B4F"/>
    <w:rsid w:val="00FF12FC"/>
    <w:rsid w:val="00FF289A"/>
    <w:rsid w:val="00FF3B7E"/>
    <w:rsid w:val="00FF4ACF"/>
    <w:rsid w:val="00FF5668"/>
    <w:rsid w:val="00FF634E"/>
    <w:rsid w:val="00FF6648"/>
    <w:rsid w:val="00FF68AE"/>
    <w:rsid w:val="00FF7082"/>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046D"/>
    <w:pPr>
      <w:jc w:val="both"/>
    </w:pPr>
    <w:rPr>
      <w:color w:val="44546A" w:themeColor="text2"/>
      <w:sz w:val="20"/>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D20C27"/>
    <w:pPr>
      <w:spacing w:after="100"/>
      <w:ind w:left="220"/>
    </w:pPr>
  </w:style>
  <w:style w:type="paragraph" w:styleId="FootnoteText">
    <w:name w:val="footnote text"/>
    <w:aliases w:val="Footnote Text Char Char Char,Footnote Text Char Char"/>
    <w:basedOn w:val="Normal"/>
    <w:link w:val="FootnoteTextChar"/>
    <w:uiPriority w:val="99"/>
    <w:unhideWhenUsed/>
    <w:rsid w:val="005556DC"/>
    <w:pPr>
      <w:spacing w:after="0" w:line="240" w:lineRule="auto"/>
    </w:pPr>
    <w:rPr>
      <w:szCs w:val="20"/>
    </w:rPr>
  </w:style>
  <w:style w:type="character" w:customStyle="1" w:styleId="FootnoteTextChar">
    <w:name w:val="Footnote Text Char"/>
    <w:aliases w:val="Footnote Text Char Char Char Char,Footnote Text Char Char Char1"/>
    <w:basedOn w:val="DefaultParagraphFont"/>
    <w:link w:val="FootnoteText"/>
    <w:uiPriority w:val="99"/>
    <w:rsid w:val="005556DC"/>
    <w:rPr>
      <w:sz w:val="20"/>
      <w:szCs w:val="20"/>
    </w:rPr>
  </w:style>
  <w:style w:type="character" w:styleId="FootnoteReference">
    <w:name w:val="footnote reference"/>
    <w:basedOn w:val="DefaultParagraphFont"/>
    <w:uiPriority w:val="99"/>
    <w:unhideWhenUsed/>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2.xml"/><Relationship Id="rId117" Type="http://schemas.openxmlformats.org/officeDocument/2006/relationships/footer" Target="footer24.xml"/><Relationship Id="rId21" Type="http://schemas.openxmlformats.org/officeDocument/2006/relationships/footer" Target="footer4.xml"/><Relationship Id="rId42" Type="http://schemas.openxmlformats.org/officeDocument/2006/relationships/chart" Target="charts/chart10.xml"/><Relationship Id="rId63" Type="http://schemas.openxmlformats.org/officeDocument/2006/relationships/image" Target="media/image2.png"/><Relationship Id="rId68" Type="http://schemas.openxmlformats.org/officeDocument/2006/relationships/chart" Target="charts/chart28.xml"/><Relationship Id="rId84" Type="http://schemas.openxmlformats.org/officeDocument/2006/relationships/image" Target="media/image5.emf"/><Relationship Id="rId89" Type="http://schemas.openxmlformats.org/officeDocument/2006/relationships/chart" Target="charts/chart37.xml"/><Relationship Id="rId112" Type="http://schemas.openxmlformats.org/officeDocument/2006/relationships/footer" Target="footer21.xml"/><Relationship Id="rId133" Type="http://schemas.openxmlformats.org/officeDocument/2006/relationships/image" Target="media/image7.gif"/><Relationship Id="rId138" Type="http://schemas.openxmlformats.org/officeDocument/2006/relationships/header" Target="header34.xml"/><Relationship Id="rId154" Type="http://schemas.openxmlformats.org/officeDocument/2006/relationships/footer" Target="footer36.xml"/><Relationship Id="rId159" Type="http://schemas.openxmlformats.org/officeDocument/2006/relationships/chart" Target="charts/chart51.xml"/><Relationship Id="rId175" Type="http://schemas.openxmlformats.org/officeDocument/2006/relationships/chart" Target="charts/chart59.xml"/><Relationship Id="rId170" Type="http://schemas.openxmlformats.org/officeDocument/2006/relationships/chart" Target="charts/chart54.xml"/><Relationship Id="rId107" Type="http://schemas.openxmlformats.org/officeDocument/2006/relationships/footer" Target="footer19.xml"/><Relationship Id="rId11" Type="http://schemas.openxmlformats.org/officeDocument/2006/relationships/footer" Target="footer2.xml"/><Relationship Id="rId32" Type="http://schemas.openxmlformats.org/officeDocument/2006/relationships/footer" Target="footer7.xml"/><Relationship Id="rId37" Type="http://schemas.openxmlformats.org/officeDocument/2006/relationships/chart" Target="charts/chart5.xml"/><Relationship Id="rId53" Type="http://schemas.openxmlformats.org/officeDocument/2006/relationships/image" Target="media/image20.gif"/><Relationship Id="rId58" Type="http://schemas.openxmlformats.org/officeDocument/2006/relationships/chart" Target="charts/chart19.xml"/><Relationship Id="rId74" Type="http://schemas.openxmlformats.org/officeDocument/2006/relationships/header" Target="header12.xml"/><Relationship Id="rId79" Type="http://schemas.openxmlformats.org/officeDocument/2006/relationships/header" Target="header13.xml"/><Relationship Id="rId102" Type="http://schemas.openxmlformats.org/officeDocument/2006/relationships/footer" Target="footer17.xml"/><Relationship Id="rId123" Type="http://schemas.openxmlformats.org/officeDocument/2006/relationships/header" Target="header29.xml"/><Relationship Id="rId128" Type="http://schemas.openxmlformats.org/officeDocument/2006/relationships/footer" Target="footer27.xml"/><Relationship Id="rId144" Type="http://schemas.openxmlformats.org/officeDocument/2006/relationships/header" Target="header37.xml"/><Relationship Id="rId149" Type="http://schemas.openxmlformats.org/officeDocument/2006/relationships/header" Target="header40.xml"/><Relationship Id="rId5" Type="http://schemas.openxmlformats.org/officeDocument/2006/relationships/webSettings" Target="webSettings.xml"/><Relationship Id="rId90" Type="http://schemas.openxmlformats.org/officeDocument/2006/relationships/chart" Target="charts/chart38.xml"/><Relationship Id="rId95" Type="http://schemas.openxmlformats.org/officeDocument/2006/relationships/header" Target="header14.xml"/><Relationship Id="rId160" Type="http://schemas.openxmlformats.org/officeDocument/2006/relationships/chart" Target="charts/chart52.xml"/><Relationship Id="rId165" Type="http://schemas.openxmlformats.org/officeDocument/2006/relationships/header" Target="header44.xml"/><Relationship Id="rId181" Type="http://schemas.openxmlformats.org/officeDocument/2006/relationships/chart" Target="charts/chart65.xml"/><Relationship Id="rId22" Type="http://schemas.openxmlformats.org/officeDocument/2006/relationships/footer" Target="footer5.xml"/><Relationship Id="rId27" Type="http://schemas.openxmlformats.org/officeDocument/2006/relationships/chart" Target="charts/chart3.xml"/><Relationship Id="rId43" Type="http://schemas.openxmlformats.org/officeDocument/2006/relationships/chart" Target="charts/chart11.xml"/><Relationship Id="rId64" Type="http://schemas.openxmlformats.org/officeDocument/2006/relationships/chart" Target="charts/chart24.xml"/><Relationship Id="rId69" Type="http://schemas.openxmlformats.org/officeDocument/2006/relationships/chart" Target="charts/chart29.xml"/><Relationship Id="rId113" Type="http://schemas.openxmlformats.org/officeDocument/2006/relationships/footer" Target="footer22.xml"/><Relationship Id="rId118" Type="http://schemas.openxmlformats.org/officeDocument/2006/relationships/header" Target="header26.xml"/><Relationship Id="rId134" Type="http://schemas.openxmlformats.org/officeDocument/2006/relationships/chart" Target="charts/chart46.xml"/><Relationship Id="rId139" Type="http://schemas.openxmlformats.org/officeDocument/2006/relationships/chart" Target="charts/chart47.xml"/><Relationship Id="rId80" Type="http://schemas.openxmlformats.org/officeDocument/2006/relationships/footer" Target="footer13.xml"/><Relationship Id="rId85" Type="http://schemas.openxmlformats.org/officeDocument/2006/relationships/chart" Target="charts/chart33.xml"/><Relationship Id="rId150" Type="http://schemas.openxmlformats.org/officeDocument/2006/relationships/image" Target="media/image7.png"/><Relationship Id="rId155" Type="http://schemas.openxmlformats.org/officeDocument/2006/relationships/header" Target="header42.xml"/><Relationship Id="rId171" Type="http://schemas.openxmlformats.org/officeDocument/2006/relationships/chart" Target="charts/chart55.xml"/><Relationship Id="rId176" Type="http://schemas.openxmlformats.org/officeDocument/2006/relationships/chart" Target="charts/chart60.xml"/><Relationship Id="rId12" Type="http://schemas.openxmlformats.org/officeDocument/2006/relationships/header" Target="header3.xml"/><Relationship Id="rId33" Type="http://schemas.openxmlformats.org/officeDocument/2006/relationships/header" Target="header8.xml"/><Relationship Id="rId38" Type="http://schemas.openxmlformats.org/officeDocument/2006/relationships/chart" Target="charts/chart6.xml"/><Relationship Id="rId59" Type="http://schemas.openxmlformats.org/officeDocument/2006/relationships/chart" Target="charts/chart20.xml"/><Relationship Id="rId103" Type="http://schemas.openxmlformats.org/officeDocument/2006/relationships/footer" Target="footer18.xml"/><Relationship Id="rId108" Type="http://schemas.openxmlformats.org/officeDocument/2006/relationships/footer" Target="footer20.xml"/><Relationship Id="rId124" Type="http://schemas.openxmlformats.org/officeDocument/2006/relationships/chart" Target="charts/chart44.xml"/><Relationship Id="rId129" Type="http://schemas.openxmlformats.org/officeDocument/2006/relationships/footer" Target="footer28.xml"/><Relationship Id="rId54" Type="http://schemas.openxmlformats.org/officeDocument/2006/relationships/chart" Target="charts/chart15.xml"/><Relationship Id="rId70" Type="http://schemas.openxmlformats.org/officeDocument/2006/relationships/header" Target="header10.xml"/><Relationship Id="rId75" Type="http://schemas.openxmlformats.org/officeDocument/2006/relationships/chart" Target="charts/chart30.xml"/><Relationship Id="rId91" Type="http://schemas.openxmlformats.org/officeDocument/2006/relationships/chart" Target="charts/chart39.xml"/><Relationship Id="rId96" Type="http://schemas.openxmlformats.org/officeDocument/2006/relationships/header" Target="header15.xml"/><Relationship Id="rId140" Type="http://schemas.openxmlformats.org/officeDocument/2006/relationships/header" Target="header35.xml"/><Relationship Id="rId145" Type="http://schemas.openxmlformats.org/officeDocument/2006/relationships/header" Target="header38.xml"/><Relationship Id="rId161" Type="http://schemas.openxmlformats.org/officeDocument/2006/relationships/chart" Target="charts/chart53.xml"/><Relationship Id="rId166" Type="http://schemas.openxmlformats.org/officeDocument/2006/relationships/header" Target="header45.xml"/><Relationship Id="rId182" Type="http://schemas.openxmlformats.org/officeDocument/2006/relationships/chart" Target="charts/chart6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5.xml"/><Relationship Id="rId28" Type="http://schemas.openxmlformats.org/officeDocument/2006/relationships/chart" Target="charts/chart4.xml"/><Relationship Id="rId36" Type="http://schemas.openxmlformats.org/officeDocument/2006/relationships/footer" Target="footer9.xml"/><Relationship Id="rId57" Type="http://schemas.openxmlformats.org/officeDocument/2006/relationships/chart" Target="charts/chart18.xml"/><Relationship Id="rId106" Type="http://schemas.openxmlformats.org/officeDocument/2006/relationships/header" Target="header20.xml"/><Relationship Id="rId114" Type="http://schemas.openxmlformats.org/officeDocument/2006/relationships/header" Target="header24.xml"/><Relationship Id="rId119" Type="http://schemas.openxmlformats.org/officeDocument/2006/relationships/header" Target="header27.xml"/><Relationship Id="rId127" Type="http://schemas.openxmlformats.org/officeDocument/2006/relationships/header" Target="header31.xml"/><Relationship Id="rId10" Type="http://schemas.openxmlformats.org/officeDocument/2006/relationships/footer" Target="footer1.xml"/><Relationship Id="rId31" Type="http://schemas.openxmlformats.org/officeDocument/2006/relationships/footer" Target="footer6.xml"/><Relationship Id="rId44" Type="http://schemas.openxmlformats.org/officeDocument/2006/relationships/chart" Target="charts/chart12.xml"/><Relationship Id="rId60" Type="http://schemas.openxmlformats.org/officeDocument/2006/relationships/chart" Target="charts/chart21.xml"/><Relationship Id="rId65" Type="http://schemas.openxmlformats.org/officeDocument/2006/relationships/chart" Target="charts/chart25.xml"/><Relationship Id="rId73" Type="http://schemas.openxmlformats.org/officeDocument/2006/relationships/footer" Target="footer11.xml"/><Relationship Id="rId78" Type="http://schemas.openxmlformats.org/officeDocument/2006/relationships/footer" Target="footer12.xml"/><Relationship Id="rId81" Type="http://schemas.openxmlformats.org/officeDocument/2006/relationships/footer" Target="footer14.xml"/><Relationship Id="rId86" Type="http://schemas.openxmlformats.org/officeDocument/2006/relationships/chart" Target="charts/chart34.xml"/><Relationship Id="rId94" Type="http://schemas.openxmlformats.org/officeDocument/2006/relationships/chart" Target="charts/chart42.xml"/><Relationship Id="rId99" Type="http://schemas.openxmlformats.org/officeDocument/2006/relationships/header" Target="header16.xml"/><Relationship Id="rId101" Type="http://schemas.openxmlformats.org/officeDocument/2006/relationships/header" Target="header18.xml"/><Relationship Id="rId122" Type="http://schemas.openxmlformats.org/officeDocument/2006/relationships/footer" Target="footer26.xml"/><Relationship Id="rId130" Type="http://schemas.openxmlformats.org/officeDocument/2006/relationships/header" Target="header32.xml"/><Relationship Id="rId135" Type="http://schemas.openxmlformats.org/officeDocument/2006/relationships/header" Target="header33.xml"/><Relationship Id="rId143" Type="http://schemas.openxmlformats.org/officeDocument/2006/relationships/footer" Target="footer32.xml"/><Relationship Id="rId148" Type="http://schemas.openxmlformats.org/officeDocument/2006/relationships/footer" Target="footer34.xml"/><Relationship Id="rId151" Type="http://schemas.openxmlformats.org/officeDocument/2006/relationships/image" Target="media/image8.png"/><Relationship Id="rId156" Type="http://schemas.openxmlformats.org/officeDocument/2006/relationships/chart" Target="charts/chart48.xml"/><Relationship Id="rId164" Type="http://schemas.openxmlformats.org/officeDocument/2006/relationships/footer" Target="footer38.xml"/><Relationship Id="rId169" Type="http://schemas.openxmlformats.org/officeDocument/2006/relationships/header" Target="header46.xml"/><Relationship Id="rId177" Type="http://schemas.openxmlformats.org/officeDocument/2006/relationships/chart" Target="charts/chart61.xml"/><Relationship Id="rId18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72" Type="http://schemas.openxmlformats.org/officeDocument/2006/relationships/chart" Target="charts/chart56.xml"/><Relationship Id="rId180" Type="http://schemas.openxmlformats.org/officeDocument/2006/relationships/chart" Target="charts/chart64.xml"/><Relationship Id="rId13" Type="http://schemas.openxmlformats.org/officeDocument/2006/relationships/footer" Target="footer3.xml"/><Relationship Id="rId39" Type="http://schemas.openxmlformats.org/officeDocument/2006/relationships/chart" Target="charts/chart7.xml"/><Relationship Id="rId109" Type="http://schemas.openxmlformats.org/officeDocument/2006/relationships/header" Target="header21.xml"/><Relationship Id="rId34" Type="http://schemas.openxmlformats.org/officeDocument/2006/relationships/header" Target="header9.xml"/><Relationship Id="rId55" Type="http://schemas.openxmlformats.org/officeDocument/2006/relationships/chart" Target="charts/chart16.xml"/><Relationship Id="rId76" Type="http://schemas.openxmlformats.org/officeDocument/2006/relationships/chart" Target="charts/chart31.xml"/><Relationship Id="rId97" Type="http://schemas.openxmlformats.org/officeDocument/2006/relationships/footer" Target="footer15.xml"/><Relationship Id="rId104" Type="http://schemas.openxmlformats.org/officeDocument/2006/relationships/header" Target="header19.xml"/><Relationship Id="rId120" Type="http://schemas.openxmlformats.org/officeDocument/2006/relationships/header" Target="header28.xml"/><Relationship Id="rId125" Type="http://schemas.openxmlformats.org/officeDocument/2006/relationships/image" Target="media/image6.png"/><Relationship Id="rId141" Type="http://schemas.openxmlformats.org/officeDocument/2006/relationships/header" Target="header36.xml"/><Relationship Id="rId146" Type="http://schemas.openxmlformats.org/officeDocument/2006/relationships/header" Target="header39.xml"/><Relationship Id="rId167" Type="http://schemas.openxmlformats.org/officeDocument/2006/relationships/footer" Target="footer39.xml"/><Relationship Id="rId7" Type="http://schemas.openxmlformats.org/officeDocument/2006/relationships/endnotes" Target="endnotes.xml"/><Relationship Id="rId71" Type="http://schemas.openxmlformats.org/officeDocument/2006/relationships/header" Target="header11.xml"/><Relationship Id="rId92" Type="http://schemas.openxmlformats.org/officeDocument/2006/relationships/chart" Target="charts/chart40.xml"/><Relationship Id="rId162" Type="http://schemas.openxmlformats.org/officeDocument/2006/relationships/header" Target="header43.xml"/><Relationship Id="rId183" Type="http://schemas.openxmlformats.org/officeDocument/2006/relationships/footer" Target="footer41.xml"/><Relationship Id="rId2" Type="http://schemas.openxmlformats.org/officeDocument/2006/relationships/numbering" Target="numbering.xml"/><Relationship Id="rId29" Type="http://schemas.openxmlformats.org/officeDocument/2006/relationships/header" Target="header6.xml"/><Relationship Id="rId24" Type="http://schemas.openxmlformats.org/officeDocument/2006/relationships/chart" Target="charts/chart1.xml"/><Relationship Id="rId40" Type="http://schemas.openxmlformats.org/officeDocument/2006/relationships/chart" Target="charts/chart8.xml"/><Relationship Id="rId45" Type="http://schemas.openxmlformats.org/officeDocument/2006/relationships/chart" Target="charts/chart13.xml"/><Relationship Id="rId66" Type="http://schemas.openxmlformats.org/officeDocument/2006/relationships/chart" Target="charts/chart26.xml"/><Relationship Id="rId87" Type="http://schemas.openxmlformats.org/officeDocument/2006/relationships/chart" Target="charts/chart35.xml"/><Relationship Id="rId110" Type="http://schemas.openxmlformats.org/officeDocument/2006/relationships/header" Target="header22.xml"/><Relationship Id="rId115" Type="http://schemas.openxmlformats.org/officeDocument/2006/relationships/header" Target="header25.xml"/><Relationship Id="rId131" Type="http://schemas.openxmlformats.org/officeDocument/2006/relationships/image" Target="media/image8.gif"/><Relationship Id="rId136" Type="http://schemas.openxmlformats.org/officeDocument/2006/relationships/footer" Target="footer29.xml"/><Relationship Id="rId157" Type="http://schemas.openxmlformats.org/officeDocument/2006/relationships/chart" Target="charts/chart49.xml"/><Relationship Id="rId178" Type="http://schemas.openxmlformats.org/officeDocument/2006/relationships/chart" Target="charts/chart62.xml"/><Relationship Id="rId61" Type="http://schemas.openxmlformats.org/officeDocument/2006/relationships/chart" Target="charts/chart22.xml"/><Relationship Id="rId82" Type="http://schemas.openxmlformats.org/officeDocument/2006/relationships/image" Target="media/image3.png"/><Relationship Id="rId152" Type="http://schemas.openxmlformats.org/officeDocument/2006/relationships/header" Target="header41.xml"/><Relationship Id="rId173" Type="http://schemas.openxmlformats.org/officeDocument/2006/relationships/chart" Target="charts/chart57.xml"/><Relationship Id="rId19" Type="http://schemas.openxmlformats.org/officeDocument/2006/relationships/image" Target="media/image2.gif"/><Relationship Id="rId30" Type="http://schemas.openxmlformats.org/officeDocument/2006/relationships/header" Target="header7.xml"/><Relationship Id="rId35" Type="http://schemas.openxmlformats.org/officeDocument/2006/relationships/footer" Target="footer8.xml"/><Relationship Id="rId56" Type="http://schemas.openxmlformats.org/officeDocument/2006/relationships/chart" Target="charts/chart17.xml"/><Relationship Id="rId77" Type="http://schemas.openxmlformats.org/officeDocument/2006/relationships/chart" Target="charts/chart32.xml"/><Relationship Id="rId100" Type="http://schemas.openxmlformats.org/officeDocument/2006/relationships/header" Target="header17.xml"/><Relationship Id="rId105" Type="http://schemas.openxmlformats.org/officeDocument/2006/relationships/chart" Target="charts/chart43.xml"/><Relationship Id="rId126" Type="http://schemas.openxmlformats.org/officeDocument/2006/relationships/header" Target="header30.xml"/><Relationship Id="rId147" Type="http://schemas.openxmlformats.org/officeDocument/2006/relationships/footer" Target="footer33.xml"/><Relationship Id="rId168" Type="http://schemas.openxmlformats.org/officeDocument/2006/relationships/footer" Target="footer40.xml"/><Relationship Id="rId8" Type="http://schemas.openxmlformats.org/officeDocument/2006/relationships/header" Target="header1.xml"/><Relationship Id="rId72" Type="http://schemas.openxmlformats.org/officeDocument/2006/relationships/footer" Target="footer10.xml"/><Relationship Id="rId93" Type="http://schemas.openxmlformats.org/officeDocument/2006/relationships/chart" Target="charts/chart41.xml"/><Relationship Id="rId98" Type="http://schemas.openxmlformats.org/officeDocument/2006/relationships/footer" Target="footer16.xml"/><Relationship Id="rId121" Type="http://schemas.openxmlformats.org/officeDocument/2006/relationships/footer" Target="footer25.xml"/><Relationship Id="rId142" Type="http://schemas.openxmlformats.org/officeDocument/2006/relationships/footer" Target="footer31.xml"/><Relationship Id="rId163" Type="http://schemas.openxmlformats.org/officeDocument/2006/relationships/footer" Target="footer37.xml"/><Relationship Id="rId184"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image" Target="media/image1.png"/><Relationship Id="rId46" Type="http://schemas.openxmlformats.org/officeDocument/2006/relationships/chart" Target="charts/chart14.xml"/><Relationship Id="rId67" Type="http://schemas.openxmlformats.org/officeDocument/2006/relationships/chart" Target="charts/chart27.xml"/><Relationship Id="rId116" Type="http://schemas.openxmlformats.org/officeDocument/2006/relationships/footer" Target="footer23.xml"/><Relationship Id="rId137" Type="http://schemas.openxmlformats.org/officeDocument/2006/relationships/footer" Target="footer30.xml"/><Relationship Id="rId158" Type="http://schemas.openxmlformats.org/officeDocument/2006/relationships/chart" Target="charts/chart50.xml"/><Relationship Id="rId20" Type="http://schemas.openxmlformats.org/officeDocument/2006/relationships/header" Target="header4.xml"/><Relationship Id="rId41" Type="http://schemas.openxmlformats.org/officeDocument/2006/relationships/chart" Target="charts/chart9.xml"/><Relationship Id="rId62" Type="http://schemas.openxmlformats.org/officeDocument/2006/relationships/chart" Target="charts/chart23.xml"/><Relationship Id="rId83" Type="http://schemas.openxmlformats.org/officeDocument/2006/relationships/image" Target="media/image4.emf"/><Relationship Id="rId88" Type="http://schemas.openxmlformats.org/officeDocument/2006/relationships/chart" Target="charts/chart36.xml"/><Relationship Id="rId111" Type="http://schemas.openxmlformats.org/officeDocument/2006/relationships/header" Target="header23.xml"/><Relationship Id="rId132" Type="http://schemas.openxmlformats.org/officeDocument/2006/relationships/chart" Target="charts/chart45.xml"/><Relationship Id="rId153" Type="http://schemas.openxmlformats.org/officeDocument/2006/relationships/footer" Target="footer35.xml"/><Relationship Id="rId174" Type="http://schemas.openxmlformats.org/officeDocument/2006/relationships/chart" Target="charts/chart58.xml"/><Relationship Id="rId179" Type="http://schemas.openxmlformats.org/officeDocument/2006/relationships/chart" Target="charts/chart63.xml"/></Relationships>
</file>

<file path=word/_rels/footnotes.xml.rels><?xml version="1.0" encoding="UTF-8" standalone="yes"?>
<Relationships xmlns="http://schemas.openxmlformats.org/package/2006/relationships"><Relationship Id="rId3" Type="http://schemas.openxmlformats.org/officeDocument/2006/relationships/hyperlink" Target="http://www.obnova.gov.rs/uploads/useruploads/Documents/Kancelarija-za-pomoc-poplavljenih-podrucja-infograf-15-04-2016-srb.pdf" TargetMode="External"/><Relationship Id="rId2" Type="http://schemas.openxmlformats.org/officeDocument/2006/relationships/hyperlink" Target="http://www.mfin.gov.rs/pages/issue.php?id=8382" TargetMode="External"/><Relationship Id="rId1" Type="http://schemas.openxmlformats.org/officeDocument/2006/relationships/hyperlink" Target="https://www.mfin.gov.rs/wp-content/uploads/2019/12/Model-za-procenu-mesecnog-BDP.pdf" TargetMode="External"/><Relationship Id="rId5" Type="http://schemas.openxmlformats.org/officeDocument/2006/relationships/hyperlink" Target="http://www.mfin.gov.rs/pages/article.php?id=8626" TargetMode="External"/><Relationship Id="rId4" Type="http://schemas.openxmlformats.org/officeDocument/2006/relationships/hyperlink" Target="http://www.obnova.gov.rs/uploads/useruploads/Documents/Kancelarija-za-pomoc-poplavljenih-podrucja-infograf-15-04-2016-srb.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jovana.djeric\Dropbox\Makro%20sektor\FISKALNA%20STRATEGIJA%202021-2023\Makro%20radni%20fajlovi\GRAFIKONI_MAKRO_okt20.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file:///C:\Users\Jovana\Dropbox\Makro%20sektor\FISKALNA%20STRATEGIJA%202021-2023\Makro%20radni%20fajlovi\GRAFIKONI_MAKRO_okt20.xlsx"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file:///C:\Users\marko.lisica\Dropbox\Makro%20sektor\FISKALNA%20STRATEGIJA%202021-2023\Makro%20radni%20fajlovi\GRAFIKONI_MAKRO_okt20.xlsx" TargetMode="External"/><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jovana.djeric\Dropbox\Makro%20sektor\FISKALNA%20STRATEGIJA%202021-2023\Makro%20radni%20fajlovi\GRAFIKONI_MAKRO_okt20.xlsx" TargetMode="External"/></Relationships>
</file>

<file path=word/charts/_rels/chart35.xml.rels><?xml version="1.0" encoding="UTF-8" standalone="yes"?>
<Relationships xmlns="http://schemas.openxmlformats.org/package/2006/relationships"><Relationship Id="rId2" Type="http://schemas.openxmlformats.org/officeDocument/2006/relationships/oleObject" Target="file:///C:\Users\marko.lisica\Dropbox\Makro%20sektor\FISKALNA%20STRATEGIJA%202021-2023\Makro%20radni%20fajlovi\GRAFIKONI_MAKRO_okt20.xlsx" TargetMode="External"/><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file:///C:\Users\marko.lisica\Dropbox\Makro%20sektor\FISKALNA%20STRATEGIJA%202021-2023\Makro%20radni%20fajlovi\GRAFIKONI_MAKRO_okt20.xlsx" TargetMode="External"/><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oleObject" Target="file:///C:\Users\marko.lisica\Dropbox\Makro%20sektor\FISKALNA%20STRATEGIJA%202021-2023\Makro%20radni%20fajlovi\GRAFIKONI_MAKRO_okt20.xlsx" TargetMode="External"/><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C:\Users\marko.lisica\Dropbox\Makro%20sektor\FISKALNA%20STRATEGIJA%202021-2023\Makro%20radni%20fajlovi\GRAFIKONI_MAKRO_okt20.xlsx" TargetMode="External"/><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1" Type="http://schemas.openxmlformats.org/officeDocument/2006/relationships/oleObject" Target="file:///C:\Users\jelena.terzic\Dropbox\Makro%20sektor\FISKALNA%20STRATEGIJA%202021-2023\Makro%20radni%20fajlovi\GRAFIKONI_MAKRO_okt20.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C:\Users\teodora.poledica\Desktop\GRAFIKONI_MAKRO_okt20.xlsx"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17.xml"/><Relationship Id="rId1" Type="http://schemas.openxmlformats.org/officeDocument/2006/relationships/oleObject" Target="file:///C:\Users\teodora.poledica\Dropbox\Makro%20sektor\FISKALNA%20STRATEGIJA%202021-2023\Makro%20radni%20fajlovi\GRAFIKONI_MAKRO_okt20.xlsx" TargetMode="Externa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oleObject" Target="file:///C:\Users\teodora.poledica\Dropbox\Makro%20sektor\FISKALNA%20STRATEGIJA%202021-2023\Makro%20radni%20fajlovi\GRAFIKONI_MAKRO_okt20.xlsx" TargetMode="External"/></Relationships>
</file>

<file path=word/charts/_rels/chart43.xml.rels><?xml version="1.0" encoding="UTF-8" standalone="yes"?>
<Relationships xmlns="http://schemas.openxmlformats.org/package/2006/relationships"><Relationship Id="rId2" Type="http://schemas.openxmlformats.org/officeDocument/2006/relationships/oleObject" Target="file:///C:\Users\jovana.djeric\Dropbox\Makro%20sektor\FISKALNA%20STRATEGIJA%202021-2023\Makro%20radni%20fajlovi\GRAFIKONI_MAKRO_okt20.xlsx" TargetMode="External"/><Relationship Id="rId1" Type="http://schemas.openxmlformats.org/officeDocument/2006/relationships/themeOverride" Target="../theme/themeOverride39.xml"/></Relationships>
</file>

<file path=word/charts/_rels/chart44.xml.rels><?xml version="1.0" encoding="UTF-8" standalone="yes"?>
<Relationships xmlns="http://schemas.openxmlformats.org/package/2006/relationships"><Relationship Id="rId1" Type="http://schemas.openxmlformats.org/officeDocument/2006/relationships/oleObject" Target="file:///C:\Users\vladimir.malbasic\Desktop\Za%20bazu-%20GFS,%20SS%20bs%20,%20MMF%20table\GFS%20CONSOLIDATION_za%20analizu%20radni%20fajl-2080mq1.xlsx" TargetMode="External"/></Relationships>
</file>

<file path=word/charts/_rels/chart45.xml.rels><?xml version="1.0" encoding="UTF-8" standalone="yes"?>
<Relationships xmlns="http://schemas.openxmlformats.org/package/2006/relationships"><Relationship Id="rId2" Type="http://schemas.openxmlformats.org/officeDocument/2006/relationships/oleObject" Target="file:///C:\Users\jelena.terzic\Desktop\S0%202019.xlsx" TargetMode="External"/><Relationship Id="rId1" Type="http://schemas.openxmlformats.org/officeDocument/2006/relationships/themeOverride" Target="../theme/themeOverride40.xml"/></Relationships>
</file>

<file path=word/charts/_rels/chart46.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file:///C:\Users\jelena.terzic\Dropbox\Makro%20sektor\FISKALNA%20STRATEGIJA%202021-2023\Fiskal%20radni%20fajlovi\S0%202019.xlsx" TargetMode="External"/><Relationship Id="rId1" Type="http://schemas.openxmlformats.org/officeDocument/2006/relationships/themeOverride" Target="../theme/themeOverride41.xm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20.xml"/><Relationship Id="rId1" Type="http://schemas.openxmlformats.org/officeDocument/2006/relationships/package" Target="../embeddings/Microsoft_Excel_Worksheet.xlsx"/></Relationships>
</file>

<file path=word/charts/_rels/chart48.xml.rels><?xml version="1.0" encoding="UTF-8" standalone="yes"?>
<Relationships xmlns="http://schemas.openxmlformats.org/package/2006/relationships"><Relationship Id="rId2" Type="http://schemas.openxmlformats.org/officeDocument/2006/relationships/chartUserShapes" Target="../drawings/drawing21.xml"/><Relationship Id="rId1" Type="http://schemas.openxmlformats.org/officeDocument/2006/relationships/oleObject" Target="file:///C:\Users\vladimir.malbasic\Dropbox\Makro%20sektor\FISKALNA%20STRATEGIJA%202021-2023\Fiskal%20radni%20fajlovi\Grafikoni%20ciklicnog%20deficita,%20poreske%20elasticnosti%20i%20osetljivost%20balansa%20-%20konacna%202017.xlsx" TargetMode="Externa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22.xml"/><Relationship Id="rId1" Type="http://schemas.openxmlformats.org/officeDocument/2006/relationships/oleObject" Target="file:///C:\Users\vladimir.malbasic\Dropbox\Makro%20sektor\FISKALNA%20STRATEGIJA%202021-2023\Fiskal%20radni%20fajlovi\Grafikoni%20ciklicnog%20deficita,%20poreske%20elasticnosti%20i%20osetljivost%20balansa%20-%20konacna%202017.xlsx" TargetMode="External"/></Relationships>
</file>

<file path=word/charts/_rels/chart50.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oleObject" Target="file:///C:\Users\vladimir.malbasic\Dropbox\Makro%20sektor\FISKALNA%20STRATEGIJA%202021-2023\Fiskal%20radni%20fajlovi\Grafikoni%20ciklicnog%20deficita,%20poreske%20elasticnosti%20i%20osetljivost%20balansa%20-%20konacna%202017.xlsx" TargetMode="External"/><Relationship Id="rId1" Type="http://schemas.openxmlformats.org/officeDocument/2006/relationships/themeOverride" Target="../theme/themeOverride42.xml"/></Relationships>
</file>

<file path=word/charts/_rels/chart51.xml.rels><?xml version="1.0" encoding="UTF-8" standalone="yes"?>
<Relationships xmlns="http://schemas.openxmlformats.org/package/2006/relationships"><Relationship Id="rId1" Type="http://schemas.openxmlformats.org/officeDocument/2006/relationships/oleObject" Target="file:///C:\Users\vladimir.malbasic\Dropbox\Makro%20sektor\FISKALNA%20STRATEGIJA%202021-2023\Fiskal%20radni%20fajlovi\Scenarija%20javni%20dug%20fiskalno%20prilagodjavanje%20okt%202018.xlsx"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C:\Users\vladimir.malbasic\Desktop\Za%20bazu-%20GFS,%20SS%20bs%20,%20MMF%20table\GFS%20CONSOLIDATION_za%20analizu%20radni%20fajl-2080mq1.xlsx" TargetMode="External"/></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24.xml"/><Relationship Id="rId1" Type="http://schemas.openxmlformats.org/officeDocument/2006/relationships/oleObject" Target="file:///C:\Users\vladimir.malbasic\Dropbox\Makro%20sektor\FISKALNA%20STRATEGIJA%202021-2023\Fiskal%20radni%20fajlovi\Scenarija%20javni%20dug%20fiskalno%20prilagodjavanje%20okt%202018.xlsx" TargetMode="Externa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43.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4.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45.xml"/></Relationships>
</file>

<file path=word/charts/_rels/chart57.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8.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59.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46.xml"/></Relationships>
</file>

<file path=word/charts/_rels/chart60.xml.rels><?xml version="1.0" encoding="UTF-8" standalone="yes"?>
<Relationships xmlns="http://schemas.openxmlformats.org/package/2006/relationships"><Relationship Id="rId2" Type="http://schemas.openxmlformats.org/officeDocument/2006/relationships/oleObject" Target="file:///C:\Users\Daliborka%20Popovic\AppData\Local\Microsoft\Windows\INetCache\Content.Outlook\B14O5DQ8\Copy%20of%20Hartije%20od%20vrednosti%20na%20medjunarodnom%20trzistu%20SAJT.xlsx" TargetMode="External"/><Relationship Id="rId1" Type="http://schemas.openxmlformats.org/officeDocument/2006/relationships/themeOverride" Target="../theme/themeOverride47.xml"/></Relationships>
</file>

<file path=word/charts/_rels/chart6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48.xml"/></Relationships>
</file>

<file path=word/charts/_rels/chart62.xml.rels><?xml version="1.0" encoding="UTF-8" standalone="yes"?>
<Relationships xmlns="http://schemas.openxmlformats.org/package/2006/relationships"><Relationship Id="rId2" Type="http://schemas.openxmlformats.org/officeDocument/2006/relationships/oleObject" Target="file:///C:\Users\Milena\Desktop\final\MTDS%20%202o20nov_basic%20proj.xlsm" TargetMode="External"/><Relationship Id="rId1" Type="http://schemas.openxmlformats.org/officeDocument/2006/relationships/themeOverride" Target="../theme/themeOverride49.xml"/></Relationships>
</file>

<file path=word/charts/_rels/chart63.xml.rels><?xml version="1.0" encoding="UTF-8" standalone="yes"?>
<Relationships xmlns="http://schemas.openxmlformats.org/package/2006/relationships"><Relationship Id="rId1" Type="http://schemas.openxmlformats.org/officeDocument/2006/relationships/oleObject" Target="file:///C:\Users\Milena\Desktop\final\MTDS%20%202o20nov_basic%20proj.xlsm" TargetMode="External"/></Relationships>
</file>

<file path=word/charts/_rels/chart64.xml.rels><?xml version="1.0" encoding="UTF-8" standalone="yes"?>
<Relationships xmlns="http://schemas.openxmlformats.org/package/2006/relationships"><Relationship Id="rId1" Type="http://schemas.openxmlformats.org/officeDocument/2006/relationships/oleObject" Target="file:///C:\Users\Oliver\Desktop\STRATEGIJA\STRAT2021-2023v6.xlsx" TargetMode="Externa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0.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5948245614035086"/>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rast'!$F$25:$K$25</c:f>
              <c:numCache>
                <c:formatCode>0.00</c:formatCode>
                <c:ptCount val="6"/>
                <c:pt idx="0">
                  <c:v>0.14342190000000005</c:v>
                </c:pt>
                <c:pt idx="1">
                  <c:v>0.10698013000000006</c:v>
                </c:pt>
                <c:pt idx="2">
                  <c:v>-0.65674754000000024</c:v>
                </c:pt>
                <c:pt idx="3">
                  <c:v>0.41362248000000001</c:v>
                </c:pt>
                <c:pt idx="4">
                  <c:v>0.27392137999999999</c:v>
                </c:pt>
                <c:pt idx="5">
                  <c:v>0.20779991999999986</c:v>
                </c:pt>
              </c:numCache>
            </c:numRef>
          </c:val>
          <c:extLst>
            <c:ext xmlns:c16="http://schemas.microsoft.com/office/drawing/2014/chart" uri="{C3380CC4-5D6E-409C-BE32-E72D297353CC}">
              <c16:uniqueId val="{00000000-A55A-47A5-8B21-50F1A0BE0D64}"/>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rast'!$F$26:$K$26</c:f>
              <c:numCache>
                <c:formatCode>0.00</c:formatCode>
                <c:ptCount val="6"/>
                <c:pt idx="0">
                  <c:v>0.47993957999999998</c:v>
                </c:pt>
                <c:pt idx="1">
                  <c:v>0.34422569000000003</c:v>
                </c:pt>
                <c:pt idx="2">
                  <c:v>-0.68279376000000003</c:v>
                </c:pt>
                <c:pt idx="3">
                  <c:v>0.48256884</c:v>
                </c:pt>
                <c:pt idx="4">
                  <c:v>0.45576676999999999</c:v>
                </c:pt>
                <c:pt idx="5">
                  <c:v>0.34551484000000005</c:v>
                </c:pt>
              </c:numCache>
            </c:numRef>
          </c:val>
          <c:extLst>
            <c:ext xmlns:c16="http://schemas.microsoft.com/office/drawing/2014/chart" uri="{C3380CC4-5D6E-409C-BE32-E72D297353CC}">
              <c16:uniqueId val="{00000001-A55A-47A5-8B21-50F1A0BE0D64}"/>
            </c:ext>
          </c:extLst>
        </c:ser>
        <c:ser>
          <c:idx val="2"/>
          <c:order val="2"/>
          <c:tx>
            <c:strRef>
              <c:f>'WEO_ekon. rast'!$B$27</c:f>
              <c:strCache>
                <c:ptCount val="1"/>
                <c:pt idx="0">
                  <c:v>ЕУ</c:v>
                </c:pt>
              </c:strCache>
            </c:strRef>
          </c:tx>
          <c:spPr>
            <a:solidFill>
              <a:srgbClr val="2183C4"/>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rast'!$F$27:$K$27</c:f>
              <c:numCache>
                <c:formatCode>0.00</c:formatCode>
                <c:ptCount val="6"/>
                <c:pt idx="0">
                  <c:v>0.35374344000000002</c:v>
                </c:pt>
                <c:pt idx="1">
                  <c:v>0.26024309999999995</c:v>
                </c:pt>
                <c:pt idx="2">
                  <c:v>-1.1321019999999999</c:v>
                </c:pt>
                <c:pt idx="3">
                  <c:v>0.75025896000000003</c:v>
                </c:pt>
                <c:pt idx="4">
                  <c:v>0.48895319999999998</c:v>
                </c:pt>
                <c:pt idx="5">
                  <c:v>0.36107508000000005</c:v>
                </c:pt>
              </c:numCache>
            </c:numRef>
          </c:val>
          <c:extLst>
            <c:ext xmlns:c16="http://schemas.microsoft.com/office/drawing/2014/chart" uri="{C3380CC4-5D6E-409C-BE32-E72D297353CC}">
              <c16:uniqueId val="{00000002-A55A-47A5-8B21-50F1A0BE0D64}"/>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rast'!$F$28:$K$28</c:f>
              <c:numCache>
                <c:formatCode>0.00</c:formatCode>
                <c:ptCount val="6"/>
                <c:pt idx="0">
                  <c:v>0.80786807999999999</c:v>
                </c:pt>
                <c:pt idx="1">
                  <c:v>0.6620864999999998</c:v>
                </c:pt>
                <c:pt idx="2">
                  <c:v>-0.90459864000000001</c:v>
                </c:pt>
                <c:pt idx="3">
                  <c:v>1.0789486099999996</c:v>
                </c:pt>
                <c:pt idx="4">
                  <c:v>0.99757640000000025</c:v>
                </c:pt>
                <c:pt idx="5">
                  <c:v>0.99484986999999991</c:v>
                </c:pt>
              </c:numCache>
            </c:numRef>
          </c:val>
          <c:extLst>
            <c:ext xmlns:c16="http://schemas.microsoft.com/office/drawing/2014/chart" uri="{C3380CC4-5D6E-409C-BE32-E72D297353CC}">
              <c16:uniqueId val="{00000003-A55A-47A5-8B21-50F1A0BE0D64}"/>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rast'!$F$29:$K$29</c:f>
              <c:numCache>
                <c:formatCode>0.00</c:formatCode>
                <c:ptCount val="6"/>
                <c:pt idx="0">
                  <c:v>1.1358900000000001</c:v>
                </c:pt>
                <c:pt idx="1">
                  <c:v>1.0622235000000002</c:v>
                </c:pt>
                <c:pt idx="2">
                  <c:v>0.34354560000000001</c:v>
                </c:pt>
                <c:pt idx="3">
                  <c:v>1.5746672900000001</c:v>
                </c:pt>
                <c:pt idx="4">
                  <c:v>1.12602958</c:v>
                </c:pt>
                <c:pt idx="5">
                  <c:v>1.13421672</c:v>
                </c:pt>
              </c:numCache>
            </c:numRef>
          </c:val>
          <c:extLst>
            <c:ext xmlns:c16="http://schemas.microsoft.com/office/drawing/2014/chart" uri="{C3380CC4-5D6E-409C-BE32-E72D297353CC}">
              <c16:uniqueId val="{00000004-A55A-47A5-8B21-50F1A0BE0D64}"/>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rast'!$F$24:$K$24</c:f>
              <c:numCache>
                <c:formatCode>General</c:formatCode>
                <c:ptCount val="6"/>
                <c:pt idx="0">
                  <c:v>2018</c:v>
                </c:pt>
                <c:pt idx="1">
                  <c:v>2019</c:v>
                </c:pt>
                <c:pt idx="2">
                  <c:v>2020</c:v>
                </c:pt>
                <c:pt idx="3">
                  <c:v>2021</c:v>
                </c:pt>
                <c:pt idx="4">
                  <c:v>2022</c:v>
                </c:pt>
                <c:pt idx="5">
                  <c:v>2023</c:v>
                </c:pt>
              </c:numCache>
            </c:numRef>
          </c:cat>
          <c:val>
            <c:numRef>
              <c:f>'WEO_ekon. rast'!$F$30:$K$30</c:f>
              <c:numCache>
                <c:formatCode>0.00</c:formatCode>
                <c:ptCount val="6"/>
                <c:pt idx="0">
                  <c:v>0.58613700000000035</c:v>
                </c:pt>
                <c:pt idx="1">
                  <c:v>0.36024107999999977</c:v>
                </c:pt>
                <c:pt idx="2">
                  <c:v>-1.3263036599999998</c:v>
                </c:pt>
                <c:pt idx="3">
                  <c:v>0.85193382000000017</c:v>
                </c:pt>
                <c:pt idx="4">
                  <c:v>0.84675266999999987</c:v>
                </c:pt>
                <c:pt idx="5">
                  <c:v>0.79254356999999986</c:v>
                </c:pt>
              </c:numCache>
            </c:numRef>
          </c:val>
          <c:extLst>
            <c:ext xmlns:c16="http://schemas.microsoft.com/office/drawing/2014/chart" uri="{C3380CC4-5D6E-409C-BE32-E72D297353CC}">
              <c16:uniqueId val="{00000005-A55A-47A5-8B21-50F1A0BE0D64}"/>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dLbl>
              <c:idx val="2"/>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55A-47A5-8B21-50F1A0BE0D64}"/>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rast'!$F$24:$K$24</c:f>
              <c:numCache>
                <c:formatCode>General</c:formatCode>
                <c:ptCount val="6"/>
                <c:pt idx="0">
                  <c:v>2018</c:v>
                </c:pt>
                <c:pt idx="1">
                  <c:v>2019</c:v>
                </c:pt>
                <c:pt idx="2">
                  <c:v>2020</c:v>
                </c:pt>
                <c:pt idx="3">
                  <c:v>2021</c:v>
                </c:pt>
                <c:pt idx="4">
                  <c:v>2022</c:v>
                </c:pt>
                <c:pt idx="5">
                  <c:v>2023</c:v>
                </c:pt>
              </c:numCache>
            </c:numRef>
          </c:cat>
          <c:val>
            <c:numRef>
              <c:f>'WEO_ekon. rast'!$F$31:$K$31</c:f>
              <c:numCache>
                <c:formatCode>0.0</c:formatCode>
                <c:ptCount val="6"/>
                <c:pt idx="0">
                  <c:v>3.5070000000000001</c:v>
                </c:pt>
                <c:pt idx="1">
                  <c:v>2.7959999999999998</c:v>
                </c:pt>
                <c:pt idx="2">
                  <c:v>-4.359</c:v>
                </c:pt>
                <c:pt idx="3">
                  <c:v>5.1520000000000001</c:v>
                </c:pt>
                <c:pt idx="4">
                  <c:v>4.1890000000000001</c:v>
                </c:pt>
                <c:pt idx="5">
                  <c:v>3.8359999999999999</c:v>
                </c:pt>
              </c:numCache>
            </c:numRef>
          </c:val>
          <c:smooth val="0"/>
          <c:extLst>
            <c:ext xmlns:c16="http://schemas.microsoft.com/office/drawing/2014/chart" uri="{C3380CC4-5D6E-409C-BE32-E72D297353CC}">
              <c16:uniqueId val="{00000007-A55A-47A5-8B21-50F1A0BE0D64}"/>
            </c:ext>
          </c:extLst>
        </c:ser>
        <c:ser>
          <c:idx val="7"/>
          <c:order val="7"/>
          <c:tx>
            <c:strRef>
              <c:f>'WEO_ekon. rast'!$B$32</c:f>
              <c:strCache>
                <c:ptCount val="1"/>
              </c:strCache>
            </c:strRef>
          </c:tx>
          <c:spPr>
            <a:ln w="28575" cap="rnd">
              <a:noFill/>
              <a:round/>
            </a:ln>
            <a:effectLst/>
          </c:spPr>
          <c:marker>
            <c:symbol val="none"/>
          </c:marker>
          <c:dLbls>
            <c:dLbl>
              <c:idx val="2"/>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b"/>
              <c:showLegendKey val="0"/>
              <c:showVal val="0"/>
              <c:showCatName val="1"/>
              <c:showSerName val="0"/>
              <c:showPercent val="0"/>
              <c:showBubbleSize val="0"/>
              <c:extLst>
                <c:ext xmlns:c16="http://schemas.microsoft.com/office/drawing/2014/chart" uri="{C3380CC4-5D6E-409C-BE32-E72D297353CC}">
                  <c16:uniqueId val="{00000008-A55A-47A5-8B21-50F1A0BE0D6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rast'!$F$24:$K$24</c:f>
              <c:numCache>
                <c:formatCode>General</c:formatCode>
                <c:ptCount val="6"/>
                <c:pt idx="0">
                  <c:v>2018</c:v>
                </c:pt>
                <c:pt idx="1">
                  <c:v>2019</c:v>
                </c:pt>
                <c:pt idx="2">
                  <c:v>2020</c:v>
                </c:pt>
                <c:pt idx="3">
                  <c:v>2021</c:v>
                </c:pt>
                <c:pt idx="4">
                  <c:v>2022</c:v>
                </c:pt>
                <c:pt idx="5">
                  <c:v>2023</c:v>
                </c:pt>
              </c:numCache>
            </c:numRef>
          </c:cat>
          <c:val>
            <c:numRef>
              <c:f>'WEO_ekon. rast'!$F$32:$K$32</c:f>
              <c:numCache>
                <c:formatCode>General</c:formatCode>
                <c:ptCount val="6"/>
                <c:pt idx="0">
                  <c:v>0</c:v>
                </c:pt>
                <c:pt idx="1">
                  <c:v>0</c:v>
                </c:pt>
                <c:pt idx="2">
                  <c:v>0</c:v>
                </c:pt>
                <c:pt idx="3">
                  <c:v>0</c:v>
                </c:pt>
                <c:pt idx="4">
                  <c:v>0</c:v>
                </c:pt>
                <c:pt idx="5">
                  <c:v>0</c:v>
                </c:pt>
              </c:numCache>
            </c:numRef>
          </c:val>
          <c:smooth val="0"/>
          <c:extLst>
            <c:ext xmlns:c16="http://schemas.microsoft.com/office/drawing/2014/chart" uri="{C3380CC4-5D6E-409C-BE32-E72D297353CC}">
              <c16:uniqueId val="{00000009-A55A-47A5-8B21-50F1A0BE0D64}"/>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642274400"/>
        <c:crosses val="autoZero"/>
        <c:auto val="1"/>
        <c:lblAlgn val="ctr"/>
        <c:lblOffset val="100"/>
        <c:noMultiLvlLbl val="0"/>
      </c:catAx>
      <c:valAx>
        <c:axId val="1642274400"/>
        <c:scaling>
          <c:orientation val="minMax"/>
          <c:max val="6"/>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8199498746867171"/>
          <c:w val="0.94944444444444465"/>
          <c:h val="0.3180050125313283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652245513160466E-2"/>
          <c:y val="3.6405005688282137E-2"/>
          <c:w val="0.88883701220765443"/>
          <c:h val="0.79774475289564895"/>
        </c:manualLayout>
      </c:layout>
      <c:lineChart>
        <c:grouping val="standard"/>
        <c:varyColors val="0"/>
        <c:ser>
          <c:idx val="0"/>
          <c:order val="0"/>
          <c:tx>
            <c:strRef>
              <c:f>Commodities!$O$6</c:f>
              <c:strCache>
                <c:ptCount val="1"/>
                <c:pt idx="0">
                  <c:v>Храна</c:v>
                </c:pt>
              </c:strCache>
            </c:strRef>
          </c:tx>
          <c:spPr>
            <a:ln w="22225" cap="rnd">
              <a:solidFill>
                <a:srgbClr val="00A651"/>
              </a:solidFill>
              <a:round/>
            </a:ln>
            <a:effectLst/>
          </c:spPr>
          <c:marker>
            <c:symbol val="none"/>
          </c:marker>
          <c:cat>
            <c:strRef>
              <c:f>Commodities!$T$8:$T$87</c:f>
              <c:strCache>
                <c:ptCount val="73"/>
                <c:pt idx="0">
                  <c:v>2014</c:v>
                </c:pt>
                <c:pt idx="12">
                  <c:v>2015</c:v>
                </c:pt>
                <c:pt idx="24">
                  <c:v>2016</c:v>
                </c:pt>
                <c:pt idx="36">
                  <c:v>2017</c:v>
                </c:pt>
                <c:pt idx="48">
                  <c:v>2018</c:v>
                </c:pt>
                <c:pt idx="60">
                  <c:v>2019</c:v>
                </c:pt>
                <c:pt idx="72">
                  <c:v>2020</c:v>
                </c:pt>
              </c:strCache>
            </c:strRef>
          </c:cat>
          <c:val>
            <c:numRef>
              <c:f>Commodities!$O$8:$O$87</c:f>
              <c:numCache>
                <c:formatCode>0.00</c:formatCode>
                <c:ptCount val="80"/>
                <c:pt idx="0">
                  <c:v>99.894050149999998</c:v>
                </c:pt>
                <c:pt idx="1">
                  <c:v>102.5722383</c:v>
                </c:pt>
                <c:pt idx="2">
                  <c:v>108.32227829999999</c:v>
                </c:pt>
                <c:pt idx="3">
                  <c:v>110.2642949</c:v>
                </c:pt>
                <c:pt idx="4">
                  <c:v>105.62549989999999</c:v>
                </c:pt>
                <c:pt idx="5">
                  <c:v>103.0717777</c:v>
                </c:pt>
                <c:pt idx="6">
                  <c:v>100.6678895</c:v>
                </c:pt>
                <c:pt idx="7">
                  <c:v>95.989254279999997</c:v>
                </c:pt>
                <c:pt idx="8">
                  <c:v>94.152787869999997</c:v>
                </c:pt>
                <c:pt idx="9">
                  <c:v>93.620995280000002</c:v>
                </c:pt>
                <c:pt idx="10">
                  <c:v>93.578670740000007</c:v>
                </c:pt>
                <c:pt idx="11">
                  <c:v>92.240263100000007</c:v>
                </c:pt>
                <c:pt idx="12">
                  <c:v>88.880471600000007</c:v>
                </c:pt>
                <c:pt idx="13">
                  <c:v>86.106192019999995</c:v>
                </c:pt>
                <c:pt idx="14">
                  <c:v>83.695227459999998</c:v>
                </c:pt>
                <c:pt idx="15">
                  <c:v>85.238654389999994</c:v>
                </c:pt>
                <c:pt idx="16">
                  <c:v>84.859582040000006</c:v>
                </c:pt>
                <c:pt idx="17">
                  <c:v>84.235282990000002</c:v>
                </c:pt>
                <c:pt idx="18">
                  <c:v>83.979449720000005</c:v>
                </c:pt>
                <c:pt idx="19">
                  <c:v>81.406206119999993</c:v>
                </c:pt>
                <c:pt idx="20">
                  <c:v>80.920261929999995</c:v>
                </c:pt>
                <c:pt idx="21">
                  <c:v>81.288680780000007</c:v>
                </c:pt>
                <c:pt idx="22">
                  <c:v>77.793552770000005</c:v>
                </c:pt>
                <c:pt idx="23">
                  <c:v>77.525863959999995</c:v>
                </c:pt>
                <c:pt idx="24">
                  <c:v>77.476087100000001</c:v>
                </c:pt>
                <c:pt idx="25">
                  <c:v>78.678661750000003</c:v>
                </c:pt>
                <c:pt idx="26">
                  <c:v>81.417951599999995</c:v>
                </c:pt>
                <c:pt idx="27">
                  <c:v>83.625363269999994</c:v>
                </c:pt>
                <c:pt idx="28">
                  <c:v>84.557845929999999</c:v>
                </c:pt>
                <c:pt idx="29">
                  <c:v>86.086066590000001</c:v>
                </c:pt>
                <c:pt idx="30">
                  <c:v>86.351124530000007</c:v>
                </c:pt>
                <c:pt idx="31">
                  <c:v>84.718741530000003</c:v>
                </c:pt>
                <c:pt idx="32">
                  <c:v>84.206519490000005</c:v>
                </c:pt>
                <c:pt idx="33">
                  <c:v>83.128647799999996</c:v>
                </c:pt>
                <c:pt idx="34">
                  <c:v>83.463296150000005</c:v>
                </c:pt>
                <c:pt idx="35">
                  <c:v>84.146077140000003</c:v>
                </c:pt>
                <c:pt idx="36">
                  <c:v>87.246712599999995</c:v>
                </c:pt>
                <c:pt idx="37">
                  <c:v>87.533147349999993</c:v>
                </c:pt>
                <c:pt idx="38">
                  <c:v>84.705561320000001</c:v>
                </c:pt>
                <c:pt idx="39">
                  <c:v>84.072876769999993</c:v>
                </c:pt>
                <c:pt idx="40">
                  <c:v>86.093383009999997</c:v>
                </c:pt>
                <c:pt idx="41">
                  <c:v>85.43115607</c:v>
                </c:pt>
                <c:pt idx="42">
                  <c:v>87.295963610000001</c:v>
                </c:pt>
                <c:pt idx="43">
                  <c:v>83.056875529999999</c:v>
                </c:pt>
                <c:pt idx="44">
                  <c:v>81.674877269999996</c:v>
                </c:pt>
                <c:pt idx="45">
                  <c:v>82.283413409999994</c:v>
                </c:pt>
                <c:pt idx="46">
                  <c:v>82.544778660000006</c:v>
                </c:pt>
                <c:pt idx="47">
                  <c:v>82.366446249999996</c:v>
                </c:pt>
                <c:pt idx="48">
                  <c:v>84.882028009999999</c:v>
                </c:pt>
                <c:pt idx="49">
                  <c:v>84.718367319999999</c:v>
                </c:pt>
                <c:pt idx="50">
                  <c:v>85.549325999999994</c:v>
                </c:pt>
                <c:pt idx="51">
                  <c:v>85.214195590000003</c:v>
                </c:pt>
                <c:pt idx="52">
                  <c:v>86.290837580000002</c:v>
                </c:pt>
                <c:pt idx="53">
                  <c:v>82.703812380000002</c:v>
                </c:pt>
                <c:pt idx="54">
                  <c:v>80.420668689999999</c:v>
                </c:pt>
                <c:pt idx="55">
                  <c:v>77.141080770000002</c:v>
                </c:pt>
                <c:pt idx="56">
                  <c:v>78.033350639999995</c:v>
                </c:pt>
                <c:pt idx="57">
                  <c:v>79.291122740000006</c:v>
                </c:pt>
                <c:pt idx="58">
                  <c:v>75.720208740000004</c:v>
                </c:pt>
                <c:pt idx="59">
                  <c:v>77.96224024</c:v>
                </c:pt>
                <c:pt idx="60">
                  <c:v>79.398084409999996</c:v>
                </c:pt>
                <c:pt idx="61">
                  <c:v>77.864515069999996</c:v>
                </c:pt>
                <c:pt idx="62">
                  <c:v>77.027443959999999</c:v>
                </c:pt>
                <c:pt idx="63">
                  <c:v>79.516066809999998</c:v>
                </c:pt>
                <c:pt idx="64">
                  <c:v>76.72822669</c:v>
                </c:pt>
                <c:pt idx="65">
                  <c:v>78.313210240000004</c:v>
                </c:pt>
                <c:pt idx="66">
                  <c:v>78.149819030000003</c:v>
                </c:pt>
                <c:pt idx="67">
                  <c:v>76.520212060000006</c:v>
                </c:pt>
                <c:pt idx="68">
                  <c:v>74.714059689999999</c:v>
                </c:pt>
                <c:pt idx="69">
                  <c:v>74.784716250000002</c:v>
                </c:pt>
                <c:pt idx="70">
                  <c:v>77.627700360000006</c:v>
                </c:pt>
                <c:pt idx="71">
                  <c:v>80.330878459999994</c:v>
                </c:pt>
                <c:pt idx="72">
                  <c:v>81.281045750000004</c:v>
                </c:pt>
                <c:pt idx="73">
                  <c:v>77.902751339999995</c:v>
                </c:pt>
                <c:pt idx="74">
                  <c:v>75.369101299999997</c:v>
                </c:pt>
                <c:pt idx="75">
                  <c:v>72.640301559999997</c:v>
                </c:pt>
                <c:pt idx="76">
                  <c:v>75.476865930000002</c:v>
                </c:pt>
                <c:pt idx="77">
                  <c:v>78.094593209999999</c:v>
                </c:pt>
                <c:pt idx="78">
                  <c:v>78.034389180000005</c:v>
                </c:pt>
                <c:pt idx="79">
                  <c:v>78.211825520000005</c:v>
                </c:pt>
              </c:numCache>
            </c:numRef>
          </c:val>
          <c:smooth val="0"/>
          <c:extLst>
            <c:ext xmlns:c16="http://schemas.microsoft.com/office/drawing/2014/chart" uri="{C3380CC4-5D6E-409C-BE32-E72D297353CC}">
              <c16:uniqueId val="{00000000-C51F-40A1-8483-3373222549B7}"/>
            </c:ext>
          </c:extLst>
        </c:ser>
        <c:ser>
          <c:idx val="1"/>
          <c:order val="1"/>
          <c:tx>
            <c:strRef>
              <c:f>Commodities!$P$6</c:f>
              <c:strCache>
                <c:ptCount val="1"/>
                <c:pt idx="0">
                  <c:v>Метали</c:v>
                </c:pt>
              </c:strCache>
            </c:strRef>
          </c:tx>
          <c:spPr>
            <a:ln w="22225" cap="rnd">
              <a:solidFill>
                <a:srgbClr val="EC008C"/>
              </a:solidFill>
              <a:round/>
            </a:ln>
            <a:effectLst/>
          </c:spPr>
          <c:marker>
            <c:symbol val="none"/>
          </c:marker>
          <c:cat>
            <c:strRef>
              <c:f>Commodities!$T$8:$T$87</c:f>
              <c:strCache>
                <c:ptCount val="73"/>
                <c:pt idx="0">
                  <c:v>2014</c:v>
                </c:pt>
                <c:pt idx="12">
                  <c:v>2015</c:v>
                </c:pt>
                <c:pt idx="24">
                  <c:v>2016</c:v>
                </c:pt>
                <c:pt idx="36">
                  <c:v>2017</c:v>
                </c:pt>
                <c:pt idx="48">
                  <c:v>2018</c:v>
                </c:pt>
                <c:pt idx="60">
                  <c:v>2019</c:v>
                </c:pt>
                <c:pt idx="72">
                  <c:v>2020</c:v>
                </c:pt>
              </c:strCache>
            </c:strRef>
          </c:cat>
          <c:val>
            <c:numRef>
              <c:f>Commodities!$P$8:$P$87</c:f>
              <c:numCache>
                <c:formatCode>0.00</c:formatCode>
                <c:ptCount val="80"/>
                <c:pt idx="0">
                  <c:v>110.3991391</c:v>
                </c:pt>
                <c:pt idx="1">
                  <c:v>107.32891739999999</c:v>
                </c:pt>
                <c:pt idx="2">
                  <c:v>102.1521999</c:v>
                </c:pt>
                <c:pt idx="3">
                  <c:v>105.383233</c:v>
                </c:pt>
                <c:pt idx="4">
                  <c:v>102.35371429999999</c:v>
                </c:pt>
                <c:pt idx="5">
                  <c:v>99.827859849999996</c:v>
                </c:pt>
                <c:pt idx="6">
                  <c:v>102.67693370000001</c:v>
                </c:pt>
                <c:pt idx="7">
                  <c:v>102.0420288</c:v>
                </c:pt>
                <c:pt idx="8">
                  <c:v>97.104151470000005</c:v>
                </c:pt>
                <c:pt idx="9">
                  <c:v>92.63300461</c:v>
                </c:pt>
                <c:pt idx="10">
                  <c:v>91.288774290000006</c:v>
                </c:pt>
                <c:pt idx="11">
                  <c:v>86.810043570000005</c:v>
                </c:pt>
                <c:pt idx="12">
                  <c:v>83.473789690000004</c:v>
                </c:pt>
                <c:pt idx="13">
                  <c:v>80.175673560000007</c:v>
                </c:pt>
                <c:pt idx="14">
                  <c:v>78.180018939999997</c:v>
                </c:pt>
                <c:pt idx="15">
                  <c:v>76.610661960000002</c:v>
                </c:pt>
                <c:pt idx="16">
                  <c:v>80.444731939999997</c:v>
                </c:pt>
                <c:pt idx="17">
                  <c:v>76.75972419</c:v>
                </c:pt>
                <c:pt idx="18">
                  <c:v>69.897428360000006</c:v>
                </c:pt>
                <c:pt idx="19">
                  <c:v>68.92227484</c:v>
                </c:pt>
                <c:pt idx="20">
                  <c:v>69.139170890000003</c:v>
                </c:pt>
                <c:pt idx="21">
                  <c:v>67.215211229999994</c:v>
                </c:pt>
                <c:pt idx="22">
                  <c:v>61.75430781</c:v>
                </c:pt>
                <c:pt idx="23">
                  <c:v>58.942509170000001</c:v>
                </c:pt>
                <c:pt idx="24">
                  <c:v>58.409161670000003</c:v>
                </c:pt>
                <c:pt idx="25">
                  <c:v>61.272954349999999</c:v>
                </c:pt>
                <c:pt idx="26">
                  <c:v>66.352446720000003</c:v>
                </c:pt>
                <c:pt idx="27">
                  <c:v>67.58208879</c:v>
                </c:pt>
                <c:pt idx="28">
                  <c:v>65.208352399999995</c:v>
                </c:pt>
                <c:pt idx="29">
                  <c:v>64.463992390000001</c:v>
                </c:pt>
                <c:pt idx="30">
                  <c:v>68.155430409999994</c:v>
                </c:pt>
                <c:pt idx="31">
                  <c:v>69.237207319999996</c:v>
                </c:pt>
                <c:pt idx="32">
                  <c:v>67.591677849999996</c:v>
                </c:pt>
                <c:pt idx="33">
                  <c:v>68.188432570000003</c:v>
                </c:pt>
                <c:pt idx="34">
                  <c:v>77.586901740000002</c:v>
                </c:pt>
                <c:pt idx="35">
                  <c:v>80.241568439999995</c:v>
                </c:pt>
                <c:pt idx="36">
                  <c:v>81.137387340000004</c:v>
                </c:pt>
                <c:pt idx="37">
                  <c:v>85.944627629999999</c:v>
                </c:pt>
                <c:pt idx="38">
                  <c:v>85.044170269999995</c:v>
                </c:pt>
                <c:pt idx="39">
                  <c:v>78.035783010000003</c:v>
                </c:pt>
                <c:pt idx="40">
                  <c:v>74.586817159999995</c:v>
                </c:pt>
                <c:pt idx="41">
                  <c:v>73.304878410000001</c:v>
                </c:pt>
                <c:pt idx="42">
                  <c:v>78.14609754</c:v>
                </c:pt>
                <c:pt idx="43">
                  <c:v>84.363374669999999</c:v>
                </c:pt>
                <c:pt idx="44">
                  <c:v>83.369253700000002</c:v>
                </c:pt>
                <c:pt idx="45">
                  <c:v>82.091828660000004</c:v>
                </c:pt>
                <c:pt idx="46">
                  <c:v>82.852638290000002</c:v>
                </c:pt>
                <c:pt idx="47">
                  <c:v>85.610221139999993</c:v>
                </c:pt>
                <c:pt idx="48">
                  <c:v>89.456189859999995</c:v>
                </c:pt>
                <c:pt idx="49">
                  <c:v>89.877914759999996</c:v>
                </c:pt>
                <c:pt idx="50">
                  <c:v>86.534282149999996</c:v>
                </c:pt>
                <c:pt idx="51">
                  <c:v>87.275077929999995</c:v>
                </c:pt>
                <c:pt idx="52">
                  <c:v>87.334648790000003</c:v>
                </c:pt>
                <c:pt idx="53">
                  <c:v>87.774347349999999</c:v>
                </c:pt>
                <c:pt idx="54">
                  <c:v>82.221364019999996</c:v>
                </c:pt>
                <c:pt idx="55">
                  <c:v>80.913379820000003</c:v>
                </c:pt>
                <c:pt idx="56">
                  <c:v>80.427794689999999</c:v>
                </c:pt>
                <c:pt idx="57">
                  <c:v>82.300583140000001</c:v>
                </c:pt>
                <c:pt idx="58">
                  <c:v>81.179715270000003</c:v>
                </c:pt>
                <c:pt idx="59">
                  <c:v>79.377617079999993</c:v>
                </c:pt>
                <c:pt idx="60">
                  <c:v>80.590005419999997</c:v>
                </c:pt>
                <c:pt idx="61">
                  <c:v>86.6403313</c:v>
                </c:pt>
                <c:pt idx="62">
                  <c:v>87.420627120000006</c:v>
                </c:pt>
                <c:pt idx="63">
                  <c:v>89.205801500000007</c:v>
                </c:pt>
                <c:pt idx="64">
                  <c:v>88.64493272</c:v>
                </c:pt>
                <c:pt idx="65">
                  <c:v>90.163084449999999</c:v>
                </c:pt>
                <c:pt idx="66">
                  <c:v>93.861472199999994</c:v>
                </c:pt>
                <c:pt idx="67">
                  <c:v>84.782148899999996</c:v>
                </c:pt>
                <c:pt idx="68">
                  <c:v>85.550890030000005</c:v>
                </c:pt>
                <c:pt idx="69">
                  <c:v>83.607954379999995</c:v>
                </c:pt>
                <c:pt idx="70">
                  <c:v>80.186976200000004</c:v>
                </c:pt>
                <c:pt idx="71">
                  <c:v>82.721352449999998</c:v>
                </c:pt>
                <c:pt idx="72">
                  <c:v>83.946108580000001</c:v>
                </c:pt>
                <c:pt idx="73">
                  <c:v>79.249829669999997</c:v>
                </c:pt>
                <c:pt idx="74">
                  <c:v>75.867146059999996</c:v>
                </c:pt>
                <c:pt idx="75">
                  <c:v>73.341787710000006</c:v>
                </c:pt>
                <c:pt idx="76">
                  <c:v>77.489702730000005</c:v>
                </c:pt>
                <c:pt idx="77">
                  <c:v>83.686078030000004</c:v>
                </c:pt>
                <c:pt idx="78">
                  <c:v>87.644889030000002</c:v>
                </c:pt>
                <c:pt idx="79">
                  <c:v>93.427402630000003</c:v>
                </c:pt>
              </c:numCache>
            </c:numRef>
          </c:val>
          <c:smooth val="0"/>
          <c:extLst>
            <c:ext xmlns:c16="http://schemas.microsoft.com/office/drawing/2014/chart" uri="{C3380CC4-5D6E-409C-BE32-E72D297353CC}">
              <c16:uniqueId val="{00000001-C51F-40A1-8483-3373222549B7}"/>
            </c:ext>
          </c:extLst>
        </c:ser>
        <c:ser>
          <c:idx val="2"/>
          <c:order val="2"/>
          <c:tx>
            <c:strRef>
              <c:f>Commodities!$Q$6</c:f>
              <c:strCache>
                <c:ptCount val="1"/>
                <c:pt idx="0">
                  <c:v>Просечна цена нафте</c:v>
                </c:pt>
              </c:strCache>
            </c:strRef>
          </c:tx>
          <c:spPr>
            <a:ln w="22225" cap="rnd">
              <a:solidFill>
                <a:srgbClr val="003891"/>
              </a:solidFill>
              <a:round/>
            </a:ln>
            <a:effectLst/>
          </c:spPr>
          <c:marker>
            <c:symbol val="none"/>
          </c:marker>
          <c:cat>
            <c:strRef>
              <c:f>Commodities!$T$8:$T$87</c:f>
              <c:strCache>
                <c:ptCount val="73"/>
                <c:pt idx="0">
                  <c:v>2014</c:v>
                </c:pt>
                <c:pt idx="12">
                  <c:v>2015</c:v>
                </c:pt>
                <c:pt idx="24">
                  <c:v>2016</c:v>
                </c:pt>
                <c:pt idx="36">
                  <c:v>2017</c:v>
                </c:pt>
                <c:pt idx="48">
                  <c:v>2018</c:v>
                </c:pt>
                <c:pt idx="60">
                  <c:v>2019</c:v>
                </c:pt>
                <c:pt idx="72">
                  <c:v>2020</c:v>
                </c:pt>
              </c:strCache>
            </c:strRef>
          </c:cat>
          <c:val>
            <c:numRef>
              <c:f>Commodities!$Q$8:$Q$87</c:f>
              <c:numCache>
                <c:formatCode>0.00</c:formatCode>
                <c:ptCount val="80"/>
                <c:pt idx="0">
                  <c:v>106.0558379</c:v>
                </c:pt>
                <c:pt idx="1">
                  <c:v>108.2767944</c:v>
                </c:pt>
                <c:pt idx="2">
                  <c:v>106.7223628</c:v>
                </c:pt>
                <c:pt idx="3">
                  <c:v>107.39834089999999</c:v>
                </c:pt>
                <c:pt idx="4">
                  <c:v>108.0557135</c:v>
                </c:pt>
                <c:pt idx="5">
                  <c:v>111.0489894</c:v>
                </c:pt>
                <c:pt idx="6">
                  <c:v>107.7160847</c:v>
                </c:pt>
                <c:pt idx="7">
                  <c:v>103.4693929</c:v>
                </c:pt>
                <c:pt idx="8">
                  <c:v>100.94311999999999</c:v>
                </c:pt>
                <c:pt idx="9">
                  <c:v>91.459897929999997</c:v>
                </c:pt>
                <c:pt idx="10">
                  <c:v>82.941388720000006</c:v>
                </c:pt>
                <c:pt idx="11">
                  <c:v>65.912076979999995</c:v>
                </c:pt>
                <c:pt idx="12">
                  <c:v>53.291306300000002</c:v>
                </c:pt>
                <c:pt idx="13">
                  <c:v>61.931528710000002</c:v>
                </c:pt>
                <c:pt idx="14">
                  <c:v>60.587531519999999</c:v>
                </c:pt>
                <c:pt idx="15">
                  <c:v>65.828652959999999</c:v>
                </c:pt>
                <c:pt idx="16">
                  <c:v>70.36744616</c:v>
                </c:pt>
                <c:pt idx="17">
                  <c:v>68.812511259999994</c:v>
                </c:pt>
                <c:pt idx="18">
                  <c:v>61.405351899999999</c:v>
                </c:pt>
                <c:pt idx="19">
                  <c:v>51.344914770000003</c:v>
                </c:pt>
                <c:pt idx="20">
                  <c:v>51.923999129999999</c:v>
                </c:pt>
                <c:pt idx="21">
                  <c:v>52.625095760000001</c:v>
                </c:pt>
                <c:pt idx="22">
                  <c:v>49.099415329999999</c:v>
                </c:pt>
                <c:pt idx="23">
                  <c:v>41.538212700000003</c:v>
                </c:pt>
                <c:pt idx="24">
                  <c:v>34.058930670000002</c:v>
                </c:pt>
                <c:pt idx="25">
                  <c:v>35.130755579999999</c:v>
                </c:pt>
                <c:pt idx="26">
                  <c:v>42.091180989999998</c:v>
                </c:pt>
                <c:pt idx="27">
                  <c:v>45.342470319999997</c:v>
                </c:pt>
                <c:pt idx="28">
                  <c:v>50.948234579999998</c:v>
                </c:pt>
                <c:pt idx="29">
                  <c:v>52.823879439999999</c:v>
                </c:pt>
                <c:pt idx="30">
                  <c:v>49.613554049999998</c:v>
                </c:pt>
                <c:pt idx="31">
                  <c:v>49.884563219999997</c:v>
                </c:pt>
                <c:pt idx="32">
                  <c:v>50.033403649999997</c:v>
                </c:pt>
                <c:pt idx="33">
                  <c:v>55.35843698</c:v>
                </c:pt>
                <c:pt idx="34">
                  <c:v>51.24860967</c:v>
                </c:pt>
                <c:pt idx="35">
                  <c:v>60.27627304</c:v>
                </c:pt>
                <c:pt idx="36">
                  <c:v>60.99946533</c:v>
                </c:pt>
                <c:pt idx="37">
                  <c:v>61.575275509999997</c:v>
                </c:pt>
                <c:pt idx="38">
                  <c:v>57.770197379999999</c:v>
                </c:pt>
                <c:pt idx="39">
                  <c:v>58.911813850000001</c:v>
                </c:pt>
                <c:pt idx="40">
                  <c:v>55.779449409999998</c:v>
                </c:pt>
                <c:pt idx="41">
                  <c:v>51.169484730000001</c:v>
                </c:pt>
                <c:pt idx="42">
                  <c:v>52.378786910000002</c:v>
                </c:pt>
                <c:pt idx="43">
                  <c:v>54.062120970000002</c:v>
                </c:pt>
                <c:pt idx="44">
                  <c:v>56.645174369999999</c:v>
                </c:pt>
                <c:pt idx="45">
                  <c:v>59.204071980000002</c:v>
                </c:pt>
                <c:pt idx="46">
                  <c:v>64.496909549999998</c:v>
                </c:pt>
                <c:pt idx="47">
                  <c:v>65.379590500000006</c:v>
                </c:pt>
                <c:pt idx="48">
                  <c:v>69.246537540000006</c:v>
                </c:pt>
                <c:pt idx="49">
                  <c:v>65.632868060000007</c:v>
                </c:pt>
                <c:pt idx="50">
                  <c:v>66.361394750000002</c:v>
                </c:pt>
                <c:pt idx="51">
                  <c:v>71.077116279999998</c:v>
                </c:pt>
                <c:pt idx="52">
                  <c:v>76.970618430000002</c:v>
                </c:pt>
                <c:pt idx="53">
                  <c:v>75.961365979999997</c:v>
                </c:pt>
                <c:pt idx="54">
                  <c:v>77.09868385</c:v>
                </c:pt>
                <c:pt idx="55">
                  <c:v>75.760694740000005</c:v>
                </c:pt>
                <c:pt idx="56">
                  <c:v>79.946553769999994</c:v>
                </c:pt>
                <c:pt idx="57">
                  <c:v>81.791511650000004</c:v>
                </c:pt>
                <c:pt idx="58">
                  <c:v>66.855414839999995</c:v>
                </c:pt>
                <c:pt idx="59">
                  <c:v>57.619133980000001</c:v>
                </c:pt>
                <c:pt idx="60">
                  <c:v>60.087122049999998</c:v>
                </c:pt>
                <c:pt idx="61">
                  <c:v>65.001896919999993</c:v>
                </c:pt>
                <c:pt idx="62">
                  <c:v>67.645386290000005</c:v>
                </c:pt>
                <c:pt idx="63">
                  <c:v>72.671479640000001</c:v>
                </c:pt>
                <c:pt idx="64">
                  <c:v>71.100909830000006</c:v>
                </c:pt>
                <c:pt idx="65">
                  <c:v>63.256108130000001</c:v>
                </c:pt>
                <c:pt idx="66">
                  <c:v>65.129275430000007</c:v>
                </c:pt>
                <c:pt idx="67">
                  <c:v>61.348122269999998</c:v>
                </c:pt>
                <c:pt idx="68">
                  <c:v>64.046632880000004</c:v>
                </c:pt>
                <c:pt idx="69">
                  <c:v>60.844724939999999</c:v>
                </c:pt>
                <c:pt idx="70">
                  <c:v>63.861567030000003</c:v>
                </c:pt>
                <c:pt idx="71">
                  <c:v>66.665696659999995</c:v>
                </c:pt>
                <c:pt idx="72">
                  <c:v>64.748996129999995</c:v>
                </c:pt>
                <c:pt idx="73">
                  <c:v>56.397725090000002</c:v>
                </c:pt>
                <c:pt idx="74">
                  <c:v>34.117931239999997</c:v>
                </c:pt>
                <c:pt idx="75">
                  <c:v>22.762077479999999</c:v>
                </c:pt>
                <c:pt idx="76">
                  <c:v>32.618209720000003</c:v>
                </c:pt>
                <c:pt idx="77">
                  <c:v>41.673721129999997</c:v>
                </c:pt>
                <c:pt idx="78">
                  <c:v>43.773112679999997</c:v>
                </c:pt>
                <c:pt idx="79">
                  <c:v>44.399539480000001</c:v>
                </c:pt>
              </c:numCache>
            </c:numRef>
          </c:val>
          <c:smooth val="0"/>
          <c:extLst>
            <c:ext xmlns:c16="http://schemas.microsoft.com/office/drawing/2014/chart" uri="{C3380CC4-5D6E-409C-BE32-E72D297353CC}">
              <c16:uniqueId val="{00000002-C51F-40A1-8483-3373222549B7}"/>
            </c:ext>
          </c:extLst>
        </c:ser>
        <c:ser>
          <c:idx val="3"/>
          <c:order val="3"/>
          <c:spPr>
            <a:ln w="28575" cap="rnd">
              <a:noFill/>
              <a:round/>
            </a:ln>
            <a:effectLst/>
          </c:spPr>
          <c:marker>
            <c:symbol val="square"/>
            <c:size val="3"/>
            <c:spPr>
              <a:solidFill>
                <a:schemeClr val="bg1"/>
              </a:solidFill>
              <a:ln w="9525">
                <a:noFill/>
              </a:ln>
              <a:effectLst/>
            </c:spPr>
          </c:marker>
          <c:dPt>
            <c:idx val="0"/>
            <c:marker>
              <c:symbol val="square"/>
              <c:size val="4"/>
            </c:marker>
            <c:bubble3D val="0"/>
            <c:extLst>
              <c:ext xmlns:c16="http://schemas.microsoft.com/office/drawing/2014/chart" uri="{C3380CC4-5D6E-409C-BE32-E72D297353CC}">
                <c16:uniqueId val="{00000003-C51F-40A1-8483-3373222549B7}"/>
              </c:ext>
            </c:extLst>
          </c:dPt>
          <c:dPt>
            <c:idx val="12"/>
            <c:marker>
              <c:symbol val="square"/>
              <c:size val="2"/>
            </c:marker>
            <c:bubble3D val="0"/>
            <c:extLst>
              <c:ext xmlns:c16="http://schemas.microsoft.com/office/drawing/2014/chart" uri="{C3380CC4-5D6E-409C-BE32-E72D297353CC}">
                <c16:uniqueId val="{00000004-C51F-40A1-8483-3373222549B7}"/>
              </c:ext>
            </c:extLst>
          </c:dPt>
          <c:dPt>
            <c:idx val="24"/>
            <c:marker>
              <c:symbol val="square"/>
              <c:size val="2"/>
            </c:marker>
            <c:bubble3D val="0"/>
            <c:extLst>
              <c:ext xmlns:c16="http://schemas.microsoft.com/office/drawing/2014/chart" uri="{C3380CC4-5D6E-409C-BE32-E72D297353CC}">
                <c16:uniqueId val="{00000005-C51F-40A1-8483-3373222549B7}"/>
              </c:ext>
            </c:extLst>
          </c:dPt>
          <c:dPt>
            <c:idx val="36"/>
            <c:marker>
              <c:symbol val="square"/>
              <c:size val="2"/>
            </c:marker>
            <c:bubble3D val="0"/>
            <c:extLst>
              <c:ext xmlns:c16="http://schemas.microsoft.com/office/drawing/2014/chart" uri="{C3380CC4-5D6E-409C-BE32-E72D297353CC}">
                <c16:uniqueId val="{00000006-C51F-40A1-8483-3373222549B7}"/>
              </c:ext>
            </c:extLst>
          </c:dPt>
          <c:dPt>
            <c:idx val="48"/>
            <c:marker>
              <c:symbol val="square"/>
              <c:size val="2"/>
            </c:marker>
            <c:bubble3D val="0"/>
            <c:extLst>
              <c:ext xmlns:c16="http://schemas.microsoft.com/office/drawing/2014/chart" uri="{C3380CC4-5D6E-409C-BE32-E72D297353CC}">
                <c16:uniqueId val="{00000007-C51F-40A1-8483-3373222549B7}"/>
              </c:ext>
            </c:extLst>
          </c:dPt>
          <c:dPt>
            <c:idx val="60"/>
            <c:marker>
              <c:symbol val="square"/>
              <c:size val="2"/>
            </c:marker>
            <c:bubble3D val="0"/>
            <c:extLst>
              <c:ext xmlns:c16="http://schemas.microsoft.com/office/drawing/2014/chart" uri="{C3380CC4-5D6E-409C-BE32-E72D297353CC}">
                <c16:uniqueId val="{00000008-C51F-40A1-8483-3373222549B7}"/>
              </c:ext>
            </c:extLst>
          </c:dPt>
          <c:dLbls>
            <c:dLbl>
              <c:idx val="0"/>
              <c:layout>
                <c:manualLayout>
                  <c:x val="-3.6010326248805593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51F-40A1-8483-3373222549B7}"/>
                </c:ext>
              </c:extLst>
            </c:dLbl>
            <c:dLbl>
              <c:idx val="12"/>
              <c:layout>
                <c:manualLayout>
                  <c:x val="1.0139893997000054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51F-40A1-8483-3373222549B7}"/>
                </c:ext>
              </c:extLst>
            </c:dLbl>
            <c:dLbl>
              <c:idx val="24"/>
              <c:layout>
                <c:manualLayout>
                  <c:x val="1.6443071346485723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51F-40A1-8483-3373222549B7}"/>
                </c:ext>
              </c:extLst>
            </c:dLbl>
            <c:dLbl>
              <c:idx val="36"/>
              <c:layout>
                <c:manualLayout>
                  <c:x val="-2.4000023300993498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51F-40A1-8483-3373222549B7}"/>
                </c:ext>
              </c:extLst>
            </c:dLbl>
            <c:dLbl>
              <c:idx val="48"/>
              <c:layout>
                <c:manualLayout>
                  <c:x val="2.2611050109346423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51F-40A1-8483-3373222549B7}"/>
                </c:ext>
              </c:extLst>
            </c:dLbl>
            <c:dLbl>
              <c:idx val="60"/>
              <c:layout>
                <c:manualLayout>
                  <c:x val="-3.9463371231569476E-3"/>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51F-40A1-8483-3373222549B7}"/>
                </c:ext>
              </c:extLst>
            </c:dLbl>
            <c:dLbl>
              <c:idx val="72"/>
              <c:layout>
                <c:manualLayout>
                  <c:x val="-4.6572860750350243E-3"/>
                  <c:y val="2.5425425425425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51F-40A1-8483-3373222549B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en-US"/>
              </a:p>
            </c:txPr>
            <c:dLblPos val="r"/>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Commodities!$T$8:$T$87</c:f>
              <c:strCache>
                <c:ptCount val="73"/>
                <c:pt idx="0">
                  <c:v>2014</c:v>
                </c:pt>
                <c:pt idx="12">
                  <c:v>2015</c:v>
                </c:pt>
                <c:pt idx="24">
                  <c:v>2016</c:v>
                </c:pt>
                <c:pt idx="36">
                  <c:v>2017</c:v>
                </c:pt>
                <c:pt idx="48">
                  <c:v>2018</c:v>
                </c:pt>
                <c:pt idx="60">
                  <c:v>2019</c:v>
                </c:pt>
                <c:pt idx="72">
                  <c:v>2020</c:v>
                </c:pt>
              </c:strCache>
            </c:strRef>
          </c:cat>
          <c:val>
            <c:numRef>
              <c:f>Commodities!$S$8:$S$87</c:f>
              <c:numCache>
                <c:formatCode>General</c:formatCode>
                <c:ptCount val="80"/>
                <c:pt idx="0">
                  <c:v>20</c:v>
                </c:pt>
                <c:pt idx="1">
                  <c:v>0</c:v>
                </c:pt>
                <c:pt idx="2">
                  <c:v>0</c:v>
                </c:pt>
                <c:pt idx="3">
                  <c:v>0</c:v>
                </c:pt>
                <c:pt idx="4">
                  <c:v>0</c:v>
                </c:pt>
                <c:pt idx="5">
                  <c:v>0</c:v>
                </c:pt>
                <c:pt idx="6">
                  <c:v>0</c:v>
                </c:pt>
                <c:pt idx="7">
                  <c:v>0</c:v>
                </c:pt>
                <c:pt idx="8">
                  <c:v>0</c:v>
                </c:pt>
                <c:pt idx="9">
                  <c:v>0</c:v>
                </c:pt>
                <c:pt idx="10">
                  <c:v>0</c:v>
                </c:pt>
                <c:pt idx="11">
                  <c:v>0</c:v>
                </c:pt>
                <c:pt idx="12">
                  <c:v>20</c:v>
                </c:pt>
                <c:pt idx="13">
                  <c:v>0</c:v>
                </c:pt>
                <c:pt idx="14">
                  <c:v>0</c:v>
                </c:pt>
                <c:pt idx="15">
                  <c:v>0</c:v>
                </c:pt>
                <c:pt idx="16">
                  <c:v>0</c:v>
                </c:pt>
                <c:pt idx="17">
                  <c:v>0</c:v>
                </c:pt>
                <c:pt idx="18">
                  <c:v>0</c:v>
                </c:pt>
                <c:pt idx="19">
                  <c:v>0</c:v>
                </c:pt>
                <c:pt idx="20">
                  <c:v>0</c:v>
                </c:pt>
                <c:pt idx="21">
                  <c:v>0</c:v>
                </c:pt>
                <c:pt idx="22">
                  <c:v>0</c:v>
                </c:pt>
                <c:pt idx="23">
                  <c:v>0</c:v>
                </c:pt>
                <c:pt idx="24">
                  <c:v>20</c:v>
                </c:pt>
                <c:pt idx="25">
                  <c:v>0</c:v>
                </c:pt>
                <c:pt idx="26">
                  <c:v>0</c:v>
                </c:pt>
                <c:pt idx="27">
                  <c:v>0</c:v>
                </c:pt>
                <c:pt idx="28">
                  <c:v>0</c:v>
                </c:pt>
                <c:pt idx="29">
                  <c:v>0</c:v>
                </c:pt>
                <c:pt idx="30">
                  <c:v>0</c:v>
                </c:pt>
                <c:pt idx="31">
                  <c:v>0</c:v>
                </c:pt>
                <c:pt idx="32">
                  <c:v>0</c:v>
                </c:pt>
                <c:pt idx="33">
                  <c:v>0</c:v>
                </c:pt>
                <c:pt idx="34">
                  <c:v>0</c:v>
                </c:pt>
                <c:pt idx="35">
                  <c:v>0</c:v>
                </c:pt>
                <c:pt idx="36">
                  <c:v>20</c:v>
                </c:pt>
                <c:pt idx="37">
                  <c:v>0</c:v>
                </c:pt>
                <c:pt idx="38">
                  <c:v>0</c:v>
                </c:pt>
                <c:pt idx="39">
                  <c:v>0</c:v>
                </c:pt>
                <c:pt idx="40">
                  <c:v>0</c:v>
                </c:pt>
                <c:pt idx="41">
                  <c:v>0</c:v>
                </c:pt>
                <c:pt idx="42">
                  <c:v>0</c:v>
                </c:pt>
                <c:pt idx="43">
                  <c:v>0</c:v>
                </c:pt>
                <c:pt idx="44">
                  <c:v>0</c:v>
                </c:pt>
                <c:pt idx="45">
                  <c:v>0</c:v>
                </c:pt>
                <c:pt idx="46">
                  <c:v>0</c:v>
                </c:pt>
                <c:pt idx="47">
                  <c:v>0</c:v>
                </c:pt>
                <c:pt idx="48">
                  <c:v>20</c:v>
                </c:pt>
                <c:pt idx="49">
                  <c:v>0</c:v>
                </c:pt>
                <c:pt idx="50">
                  <c:v>0</c:v>
                </c:pt>
                <c:pt idx="51">
                  <c:v>0</c:v>
                </c:pt>
                <c:pt idx="52">
                  <c:v>0</c:v>
                </c:pt>
                <c:pt idx="53">
                  <c:v>0</c:v>
                </c:pt>
                <c:pt idx="54">
                  <c:v>0</c:v>
                </c:pt>
                <c:pt idx="55">
                  <c:v>0</c:v>
                </c:pt>
                <c:pt idx="56">
                  <c:v>0</c:v>
                </c:pt>
                <c:pt idx="57">
                  <c:v>0</c:v>
                </c:pt>
                <c:pt idx="58">
                  <c:v>0</c:v>
                </c:pt>
                <c:pt idx="59">
                  <c:v>0</c:v>
                </c:pt>
                <c:pt idx="60">
                  <c:v>20</c:v>
                </c:pt>
                <c:pt idx="61">
                  <c:v>0</c:v>
                </c:pt>
                <c:pt idx="62">
                  <c:v>0</c:v>
                </c:pt>
                <c:pt idx="63">
                  <c:v>0</c:v>
                </c:pt>
                <c:pt idx="64">
                  <c:v>0</c:v>
                </c:pt>
                <c:pt idx="65">
                  <c:v>0</c:v>
                </c:pt>
                <c:pt idx="66">
                  <c:v>0</c:v>
                </c:pt>
                <c:pt idx="67">
                  <c:v>0</c:v>
                </c:pt>
                <c:pt idx="68">
                  <c:v>0</c:v>
                </c:pt>
                <c:pt idx="69">
                  <c:v>0</c:v>
                </c:pt>
                <c:pt idx="70">
                  <c:v>0</c:v>
                </c:pt>
                <c:pt idx="71">
                  <c:v>0</c:v>
                </c:pt>
                <c:pt idx="72">
                  <c:v>20</c:v>
                </c:pt>
                <c:pt idx="73">
                  <c:v>0</c:v>
                </c:pt>
                <c:pt idx="74">
                  <c:v>0</c:v>
                </c:pt>
                <c:pt idx="75">
                  <c:v>0</c:v>
                </c:pt>
                <c:pt idx="76">
                  <c:v>0</c:v>
                </c:pt>
                <c:pt idx="77">
                  <c:v>0</c:v>
                </c:pt>
                <c:pt idx="78">
                  <c:v>0</c:v>
                </c:pt>
                <c:pt idx="79">
                  <c:v>0</c:v>
                </c:pt>
              </c:numCache>
            </c:numRef>
          </c:val>
          <c:smooth val="0"/>
          <c:extLst>
            <c:ext xmlns:c16="http://schemas.microsoft.com/office/drawing/2014/chart" uri="{C3380CC4-5D6E-409C-BE32-E72D297353CC}">
              <c16:uniqueId val="{0000000A-C51F-40A1-8483-3373222549B7}"/>
            </c:ext>
          </c:extLst>
        </c:ser>
        <c:ser>
          <c:idx val="4"/>
          <c:order val="4"/>
          <c:tx>
            <c:strRef>
              <c:f>Commodities!$R$6</c:f>
              <c:strCache>
                <c:ptCount val="1"/>
                <c:pt idx="0">
                  <c:v>100</c:v>
                </c:pt>
              </c:strCache>
            </c:strRef>
          </c:tx>
          <c:spPr>
            <a:ln w="6350" cap="rnd">
              <a:solidFill>
                <a:srgbClr val="898989"/>
              </a:solidFill>
              <a:round/>
            </a:ln>
            <a:effectLst/>
          </c:spPr>
          <c:marker>
            <c:symbol val="none"/>
          </c:marker>
          <c:cat>
            <c:strRef>
              <c:f>Commodities!$T$8:$T$87</c:f>
              <c:strCache>
                <c:ptCount val="73"/>
                <c:pt idx="0">
                  <c:v>2014</c:v>
                </c:pt>
                <c:pt idx="12">
                  <c:v>2015</c:v>
                </c:pt>
                <c:pt idx="24">
                  <c:v>2016</c:v>
                </c:pt>
                <c:pt idx="36">
                  <c:v>2017</c:v>
                </c:pt>
                <c:pt idx="48">
                  <c:v>2018</c:v>
                </c:pt>
                <c:pt idx="60">
                  <c:v>2019</c:v>
                </c:pt>
                <c:pt idx="72">
                  <c:v>2020</c:v>
                </c:pt>
              </c:strCache>
            </c:strRef>
          </c:cat>
          <c:val>
            <c:numRef>
              <c:f>Commodities!$R$8:$R$87</c:f>
              <c:numCache>
                <c:formatCode>General</c:formatCode>
                <c:ptCount val="80"/>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pt idx="17">
                  <c:v>100</c:v>
                </c:pt>
                <c:pt idx="18">
                  <c:v>100</c:v>
                </c:pt>
                <c:pt idx="19">
                  <c:v>100</c:v>
                </c:pt>
                <c:pt idx="20">
                  <c:v>100</c:v>
                </c:pt>
                <c:pt idx="21">
                  <c:v>100</c:v>
                </c:pt>
                <c:pt idx="22">
                  <c:v>100</c:v>
                </c:pt>
                <c:pt idx="23">
                  <c:v>100</c:v>
                </c:pt>
                <c:pt idx="24">
                  <c:v>100</c:v>
                </c:pt>
                <c:pt idx="25">
                  <c:v>100</c:v>
                </c:pt>
                <c:pt idx="26">
                  <c:v>100</c:v>
                </c:pt>
                <c:pt idx="27">
                  <c:v>100</c:v>
                </c:pt>
                <c:pt idx="28">
                  <c:v>100</c:v>
                </c:pt>
                <c:pt idx="29">
                  <c:v>100</c:v>
                </c:pt>
                <c:pt idx="30">
                  <c:v>100</c:v>
                </c:pt>
                <c:pt idx="31">
                  <c:v>100</c:v>
                </c:pt>
                <c:pt idx="32">
                  <c:v>100</c:v>
                </c:pt>
                <c:pt idx="33">
                  <c:v>100</c:v>
                </c:pt>
                <c:pt idx="34">
                  <c:v>100</c:v>
                </c:pt>
                <c:pt idx="35">
                  <c:v>100</c:v>
                </c:pt>
                <c:pt idx="36">
                  <c:v>100</c:v>
                </c:pt>
                <c:pt idx="37">
                  <c:v>100</c:v>
                </c:pt>
                <c:pt idx="38">
                  <c:v>100</c:v>
                </c:pt>
                <c:pt idx="39">
                  <c:v>100</c:v>
                </c:pt>
                <c:pt idx="40">
                  <c:v>100</c:v>
                </c:pt>
                <c:pt idx="41">
                  <c:v>100</c:v>
                </c:pt>
                <c:pt idx="42">
                  <c:v>100</c:v>
                </c:pt>
                <c:pt idx="43">
                  <c:v>100</c:v>
                </c:pt>
                <c:pt idx="44">
                  <c:v>100</c:v>
                </c:pt>
                <c:pt idx="45">
                  <c:v>100</c:v>
                </c:pt>
                <c:pt idx="46">
                  <c:v>100</c:v>
                </c:pt>
                <c:pt idx="47">
                  <c:v>100</c:v>
                </c:pt>
                <c:pt idx="48">
                  <c:v>100</c:v>
                </c:pt>
                <c:pt idx="49">
                  <c:v>100</c:v>
                </c:pt>
                <c:pt idx="50">
                  <c:v>100</c:v>
                </c:pt>
                <c:pt idx="51">
                  <c:v>100</c:v>
                </c:pt>
                <c:pt idx="52">
                  <c:v>100</c:v>
                </c:pt>
                <c:pt idx="53">
                  <c:v>100</c:v>
                </c:pt>
                <c:pt idx="54">
                  <c:v>100</c:v>
                </c:pt>
                <c:pt idx="55">
                  <c:v>100</c:v>
                </c:pt>
                <c:pt idx="56">
                  <c:v>100</c:v>
                </c:pt>
                <c:pt idx="57">
                  <c:v>100</c:v>
                </c:pt>
                <c:pt idx="58">
                  <c:v>100</c:v>
                </c:pt>
                <c:pt idx="59">
                  <c:v>100</c:v>
                </c:pt>
                <c:pt idx="60">
                  <c:v>100</c:v>
                </c:pt>
                <c:pt idx="61">
                  <c:v>100</c:v>
                </c:pt>
                <c:pt idx="62">
                  <c:v>100</c:v>
                </c:pt>
                <c:pt idx="63">
                  <c:v>100</c:v>
                </c:pt>
                <c:pt idx="64">
                  <c:v>100</c:v>
                </c:pt>
                <c:pt idx="65">
                  <c:v>100</c:v>
                </c:pt>
                <c:pt idx="66">
                  <c:v>100</c:v>
                </c:pt>
                <c:pt idx="67">
                  <c:v>100</c:v>
                </c:pt>
                <c:pt idx="68">
                  <c:v>100</c:v>
                </c:pt>
                <c:pt idx="69">
                  <c:v>100</c:v>
                </c:pt>
                <c:pt idx="70">
                  <c:v>100</c:v>
                </c:pt>
                <c:pt idx="71">
                  <c:v>100</c:v>
                </c:pt>
                <c:pt idx="72">
                  <c:v>100</c:v>
                </c:pt>
                <c:pt idx="73">
                  <c:v>100</c:v>
                </c:pt>
                <c:pt idx="74">
                  <c:v>100</c:v>
                </c:pt>
                <c:pt idx="75">
                  <c:v>100</c:v>
                </c:pt>
                <c:pt idx="76">
                  <c:v>100</c:v>
                </c:pt>
                <c:pt idx="77">
                  <c:v>100</c:v>
                </c:pt>
                <c:pt idx="78">
                  <c:v>100</c:v>
                </c:pt>
                <c:pt idx="79">
                  <c:v>100</c:v>
                </c:pt>
              </c:numCache>
            </c:numRef>
          </c:val>
          <c:smooth val="0"/>
          <c:extLst>
            <c:ext xmlns:c16="http://schemas.microsoft.com/office/drawing/2014/chart" uri="{C3380CC4-5D6E-409C-BE32-E72D297353CC}">
              <c16:uniqueId val="{0000000B-C51F-40A1-8483-3373222549B7}"/>
            </c:ext>
          </c:extLst>
        </c:ser>
        <c:dLbls>
          <c:showLegendKey val="0"/>
          <c:showVal val="0"/>
          <c:showCatName val="0"/>
          <c:showSerName val="0"/>
          <c:showPercent val="0"/>
          <c:showBubbleSize val="0"/>
        </c:dLbls>
        <c:smooth val="0"/>
        <c:axId val="335965280"/>
        <c:axId val="335939712"/>
      </c:lineChart>
      <c:catAx>
        <c:axId val="33596528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939712"/>
        <c:crosses val="autoZero"/>
        <c:auto val="1"/>
        <c:lblAlgn val="ctr"/>
        <c:lblOffset val="100"/>
        <c:tickLblSkip val="12"/>
        <c:tickMarkSkip val="1"/>
        <c:noMultiLvlLbl val="0"/>
      </c:catAx>
      <c:valAx>
        <c:axId val="335939712"/>
        <c:scaling>
          <c:orientation val="minMax"/>
          <c:max val="120"/>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965280"/>
        <c:crosses val="autoZero"/>
        <c:crossBetween val="between"/>
        <c:majorUnit val="20"/>
      </c:valAx>
      <c:spPr>
        <a:noFill/>
        <a:ln>
          <a:noFill/>
        </a:ln>
        <a:effectLst/>
      </c:spPr>
    </c:plotArea>
    <c:legend>
      <c:legendPos val="b"/>
      <c:legendEntry>
        <c:idx val="3"/>
        <c:delete val="1"/>
      </c:legendEntry>
      <c:legendEntry>
        <c:idx val="4"/>
        <c:delete val="1"/>
      </c:legendEntry>
      <c:layout>
        <c:manualLayout>
          <c:xMode val="edge"/>
          <c:yMode val="edge"/>
          <c:x val="5.9259259259259262E-2"/>
          <c:y val="0.90425125125125116"/>
          <c:w val="0.89999992693631548"/>
          <c:h val="9.574874874874875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9410569105691"/>
          <c:y val="5.8005314731772131E-2"/>
          <c:w val="0.83454945799457991"/>
          <c:h val="0.75134444444444448"/>
        </c:manualLayout>
      </c:layout>
      <c:lineChart>
        <c:grouping val="standard"/>
        <c:varyColors val="0"/>
        <c:ser>
          <c:idx val="0"/>
          <c:order val="0"/>
          <c:tx>
            <c:strRef>
              <c:f>'Commodities 2'!$N$89</c:f>
              <c:strCache>
                <c:ptCount val="1"/>
                <c:pt idx="0">
                  <c:v>Храна</c:v>
                </c:pt>
              </c:strCache>
            </c:strRef>
          </c:tx>
          <c:spPr>
            <a:ln w="22225" cap="rnd">
              <a:solidFill>
                <a:srgbClr val="00A651"/>
              </a:solidFill>
              <a:round/>
            </a:ln>
            <a:effectLst/>
          </c:spPr>
          <c:marker>
            <c:symbol val="none"/>
          </c:marker>
          <c:cat>
            <c:numRef>
              <c:f>'Commodities 2'!$J$130:$J$134</c:f>
              <c:numCache>
                <c:formatCode>General</c:formatCode>
                <c:ptCount val="5"/>
                <c:pt idx="0">
                  <c:v>2019</c:v>
                </c:pt>
                <c:pt idx="1">
                  <c:v>2020</c:v>
                </c:pt>
                <c:pt idx="2">
                  <c:v>2021</c:v>
                </c:pt>
                <c:pt idx="3">
                  <c:v>2022</c:v>
                </c:pt>
                <c:pt idx="4">
                  <c:v>2023</c:v>
                </c:pt>
              </c:numCache>
            </c:numRef>
          </c:cat>
          <c:val>
            <c:numRef>
              <c:f>'Commodities 2'!$N$130:$N$134</c:f>
              <c:numCache>
                <c:formatCode>0.0</c:formatCode>
                <c:ptCount val="5"/>
                <c:pt idx="0">
                  <c:v>100</c:v>
                </c:pt>
                <c:pt idx="1">
                  <c:v>100.44197003865978</c:v>
                </c:pt>
                <c:pt idx="2">
                  <c:v>104.71568943298968</c:v>
                </c:pt>
                <c:pt idx="3">
                  <c:v>104.92106958762886</c:v>
                </c:pt>
                <c:pt idx="4">
                  <c:v>105.07510470360823</c:v>
                </c:pt>
              </c:numCache>
            </c:numRef>
          </c:val>
          <c:smooth val="0"/>
          <c:extLst>
            <c:ext xmlns:c16="http://schemas.microsoft.com/office/drawing/2014/chart" uri="{C3380CC4-5D6E-409C-BE32-E72D297353CC}">
              <c16:uniqueId val="{00000000-C944-45C7-96DE-EF641836A3E0}"/>
            </c:ext>
          </c:extLst>
        </c:ser>
        <c:ser>
          <c:idx val="1"/>
          <c:order val="1"/>
          <c:tx>
            <c:strRef>
              <c:f>'Commodities 2'!$O$89</c:f>
              <c:strCache>
                <c:ptCount val="1"/>
                <c:pt idx="0">
                  <c:v>Метали</c:v>
                </c:pt>
              </c:strCache>
            </c:strRef>
          </c:tx>
          <c:spPr>
            <a:ln w="22225" cap="rnd">
              <a:solidFill>
                <a:srgbClr val="EC008C"/>
              </a:solidFill>
              <a:round/>
            </a:ln>
            <a:effectLst/>
          </c:spPr>
          <c:marker>
            <c:symbol val="none"/>
          </c:marker>
          <c:cat>
            <c:numRef>
              <c:f>'Commodities 2'!$J$130:$J$134</c:f>
              <c:numCache>
                <c:formatCode>General</c:formatCode>
                <c:ptCount val="5"/>
                <c:pt idx="0">
                  <c:v>2019</c:v>
                </c:pt>
                <c:pt idx="1">
                  <c:v>2020</c:v>
                </c:pt>
                <c:pt idx="2">
                  <c:v>2021</c:v>
                </c:pt>
                <c:pt idx="3">
                  <c:v>2022</c:v>
                </c:pt>
                <c:pt idx="4">
                  <c:v>2023</c:v>
                </c:pt>
              </c:numCache>
            </c:numRef>
          </c:cat>
          <c:val>
            <c:numRef>
              <c:f>'Commodities 2'!$O$130:$O$134</c:f>
              <c:numCache>
                <c:formatCode>0.0</c:formatCode>
                <c:ptCount val="5"/>
                <c:pt idx="0">
                  <c:v>100</c:v>
                </c:pt>
                <c:pt idx="1">
                  <c:v>100.75788414142237</c:v>
                </c:pt>
                <c:pt idx="2">
                  <c:v>103.79238119203926</c:v>
                </c:pt>
                <c:pt idx="3">
                  <c:v>104.43776690621924</c:v>
                </c:pt>
                <c:pt idx="4">
                  <c:v>105.1556845011213</c:v>
                </c:pt>
              </c:numCache>
            </c:numRef>
          </c:val>
          <c:smooth val="0"/>
          <c:extLst>
            <c:ext xmlns:c16="http://schemas.microsoft.com/office/drawing/2014/chart" uri="{C3380CC4-5D6E-409C-BE32-E72D297353CC}">
              <c16:uniqueId val="{00000001-C944-45C7-96DE-EF641836A3E0}"/>
            </c:ext>
          </c:extLst>
        </c:ser>
        <c:ser>
          <c:idx val="2"/>
          <c:order val="2"/>
          <c:tx>
            <c:strRef>
              <c:f>'Commodities 2'!$P$89</c:f>
              <c:strCache>
                <c:ptCount val="1"/>
                <c:pt idx="0">
                  <c:v>Просечна цена нафте</c:v>
                </c:pt>
              </c:strCache>
            </c:strRef>
          </c:tx>
          <c:spPr>
            <a:ln w="22225" cap="rnd">
              <a:solidFill>
                <a:srgbClr val="003891"/>
              </a:solidFill>
              <a:round/>
            </a:ln>
            <a:effectLst/>
          </c:spPr>
          <c:marker>
            <c:symbol val="none"/>
          </c:marker>
          <c:cat>
            <c:numRef>
              <c:f>'Commodities 2'!$J$130:$J$134</c:f>
              <c:numCache>
                <c:formatCode>General</c:formatCode>
                <c:ptCount val="5"/>
                <c:pt idx="0">
                  <c:v>2019</c:v>
                </c:pt>
                <c:pt idx="1">
                  <c:v>2020</c:v>
                </c:pt>
                <c:pt idx="2">
                  <c:v>2021</c:v>
                </c:pt>
                <c:pt idx="3">
                  <c:v>2022</c:v>
                </c:pt>
                <c:pt idx="4">
                  <c:v>2023</c:v>
                </c:pt>
              </c:numCache>
            </c:numRef>
          </c:cat>
          <c:val>
            <c:numRef>
              <c:f>'Commodities 2'!$P$130:$P$134</c:f>
              <c:numCache>
                <c:formatCode>0.0</c:formatCode>
                <c:ptCount val="5"/>
                <c:pt idx="0">
                  <c:v>100</c:v>
                </c:pt>
                <c:pt idx="1">
                  <c:v>67.909126397680069</c:v>
                </c:pt>
                <c:pt idx="2">
                  <c:v>76.063770459805369</c:v>
                </c:pt>
                <c:pt idx="3">
                  <c:v>78.321668572065917</c:v>
                </c:pt>
                <c:pt idx="4">
                  <c:v>80.148063463737003</c:v>
                </c:pt>
              </c:numCache>
            </c:numRef>
          </c:val>
          <c:smooth val="0"/>
          <c:extLst>
            <c:ext xmlns:c16="http://schemas.microsoft.com/office/drawing/2014/chart" uri="{C3380CC4-5D6E-409C-BE32-E72D297353CC}">
              <c16:uniqueId val="{00000002-C944-45C7-96DE-EF641836A3E0}"/>
            </c:ext>
          </c:extLst>
        </c:ser>
        <c:ser>
          <c:idx val="3"/>
          <c:order val="3"/>
          <c:spPr>
            <a:ln w="28575" cap="rnd">
              <a:noFill/>
              <a:round/>
            </a:ln>
            <a:effectLst/>
          </c:spPr>
          <c:marker>
            <c:symbol val="square"/>
            <c:size val="2"/>
            <c:spPr>
              <a:solidFill>
                <a:schemeClr val="bg1"/>
              </a:solidFill>
              <a:ln w="9525">
                <a:noFill/>
              </a:ln>
              <a:effectLst/>
            </c:spPr>
          </c:marker>
          <c:cat>
            <c:numRef>
              <c:f>'Commodities 2'!$J$130:$J$134</c:f>
              <c:numCache>
                <c:formatCode>General</c:formatCode>
                <c:ptCount val="5"/>
                <c:pt idx="0">
                  <c:v>2019</c:v>
                </c:pt>
                <c:pt idx="1">
                  <c:v>2020</c:v>
                </c:pt>
                <c:pt idx="2">
                  <c:v>2021</c:v>
                </c:pt>
                <c:pt idx="3">
                  <c:v>2022</c:v>
                </c:pt>
                <c:pt idx="4">
                  <c:v>2023</c:v>
                </c:pt>
              </c:numCache>
            </c:numRef>
          </c:cat>
          <c:val>
            <c:numRef>
              <c:f>'Commodities 2'!$Q$130:$Q$134</c:f>
              <c:numCache>
                <c:formatCode>General</c:formatCode>
                <c:ptCount val="5"/>
                <c:pt idx="0">
                  <c:v>65</c:v>
                </c:pt>
                <c:pt idx="1">
                  <c:v>65</c:v>
                </c:pt>
                <c:pt idx="2">
                  <c:v>65</c:v>
                </c:pt>
                <c:pt idx="3">
                  <c:v>65</c:v>
                </c:pt>
                <c:pt idx="4">
                  <c:v>65</c:v>
                </c:pt>
              </c:numCache>
            </c:numRef>
          </c:val>
          <c:smooth val="0"/>
          <c:extLst>
            <c:ext xmlns:c16="http://schemas.microsoft.com/office/drawing/2014/chart" uri="{C3380CC4-5D6E-409C-BE32-E72D297353CC}">
              <c16:uniqueId val="{00000003-C944-45C7-96DE-EF641836A3E0}"/>
            </c:ext>
          </c:extLst>
        </c:ser>
        <c:dLbls>
          <c:showLegendKey val="0"/>
          <c:showVal val="0"/>
          <c:showCatName val="0"/>
          <c:showSerName val="0"/>
          <c:showPercent val="0"/>
          <c:showBubbleSize val="0"/>
        </c:dLbls>
        <c:smooth val="0"/>
        <c:axId val="335952768"/>
        <c:axId val="335941344"/>
      </c:lineChart>
      <c:catAx>
        <c:axId val="335952768"/>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41344"/>
        <c:crosses val="autoZero"/>
        <c:auto val="1"/>
        <c:lblAlgn val="ctr"/>
        <c:lblOffset val="100"/>
        <c:noMultiLvlLbl val="0"/>
      </c:catAx>
      <c:valAx>
        <c:axId val="335941344"/>
        <c:scaling>
          <c:orientation val="minMax"/>
          <c:max val="106"/>
          <c:min val="6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52768"/>
        <c:crosses val="autoZero"/>
        <c:crossBetween val="midCat"/>
        <c:majorUnit val="5"/>
      </c:valAx>
      <c:spPr>
        <a:noFill/>
        <a:ln>
          <a:noFill/>
        </a:ln>
        <a:effectLst/>
      </c:spPr>
    </c:plotArea>
    <c:legend>
      <c:legendPos val="b"/>
      <c:legendEntry>
        <c:idx val="3"/>
        <c:delete val="1"/>
      </c:legendEntry>
      <c:layout>
        <c:manualLayout>
          <c:xMode val="edge"/>
          <c:yMode val="edge"/>
          <c:x val="5.000000000000001E-2"/>
          <c:y val="0.91002076067098492"/>
          <c:w val="0.9"/>
          <c:h val="7.9432818468692906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577302837145363E-2"/>
          <c:y val="4.0935672514619881E-2"/>
          <c:w val="0.92754968128983895"/>
          <c:h val="0.72438277777777782"/>
        </c:manualLayout>
      </c:layout>
      <c:lineChart>
        <c:grouping val="standard"/>
        <c:varyColors val="0"/>
        <c:ser>
          <c:idx val="0"/>
          <c:order val="0"/>
          <c:tx>
            <c:strRef>
              <c:f>FED!$K$7</c:f>
              <c:strCache>
                <c:ptCount val="1"/>
                <c:pt idx="0">
                  <c:v>21.3.2019.</c:v>
                </c:pt>
              </c:strCache>
            </c:strRef>
          </c:tx>
          <c:spPr>
            <a:ln w="25400" cap="rnd">
              <a:solidFill>
                <a:srgbClr val="00A651"/>
              </a:solidFill>
              <a:round/>
            </a:ln>
            <a:effectLst/>
          </c:spPr>
          <c:marker>
            <c:symbol val="none"/>
          </c:marker>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FED!$K$9:$K$65</c:f>
              <c:numCache>
                <c:formatCode>General</c:formatCode>
                <c:ptCount val="57"/>
                <c:pt idx="2" formatCode="0.00">
                  <c:v>2.4</c:v>
                </c:pt>
                <c:pt idx="3" formatCode="0.00">
                  <c:v>2.41</c:v>
                </c:pt>
                <c:pt idx="4" formatCode="0.00">
                  <c:v>2.41</c:v>
                </c:pt>
                <c:pt idx="5" formatCode="0.00">
                  <c:v>2.41</c:v>
                </c:pt>
                <c:pt idx="6" formatCode="0.00">
                  <c:v>2.4</c:v>
                </c:pt>
                <c:pt idx="7" formatCode="0.00">
                  <c:v>2.39</c:v>
                </c:pt>
                <c:pt idx="8" formatCode="0.00">
                  <c:v>2.37</c:v>
                </c:pt>
                <c:pt idx="9" formatCode="0.00">
                  <c:v>2.36</c:v>
                </c:pt>
                <c:pt idx="10" formatCode="0.00">
                  <c:v>2.34</c:v>
                </c:pt>
                <c:pt idx="11" formatCode="0.00">
                  <c:v>2.33</c:v>
                </c:pt>
                <c:pt idx="12" formatCode="0.00">
                  <c:v>2.31</c:v>
                </c:pt>
                <c:pt idx="13" formatCode="0.00">
                  <c:v>2.29</c:v>
                </c:pt>
                <c:pt idx="14" formatCode="0.00">
                  <c:v>2.2599999999999998</c:v>
                </c:pt>
                <c:pt idx="15" formatCode="0.00">
                  <c:v>2.25</c:v>
                </c:pt>
                <c:pt idx="16" formatCode="0.00">
                  <c:v>2.23</c:v>
                </c:pt>
                <c:pt idx="17" formatCode="0.00">
                  <c:v>2.2000000000000002</c:v>
                </c:pt>
                <c:pt idx="18" formatCode="0.00">
                  <c:v>2.1800000000000002</c:v>
                </c:pt>
                <c:pt idx="19" formatCode="0.00">
                  <c:v>2.15</c:v>
                </c:pt>
                <c:pt idx="20" formatCode="0.00">
                  <c:v>2.12</c:v>
                </c:pt>
                <c:pt idx="21" formatCode="0.00">
                  <c:v>2.1</c:v>
                </c:pt>
                <c:pt idx="22" formatCode="0.00">
                  <c:v>2.08</c:v>
                </c:pt>
                <c:pt idx="23" formatCode="0.00">
                  <c:v>2.06</c:v>
                </c:pt>
                <c:pt idx="24" formatCode="0.00">
                  <c:v>2.04</c:v>
                </c:pt>
                <c:pt idx="25" formatCode="0.00">
                  <c:v>2.0299999999999998</c:v>
                </c:pt>
                <c:pt idx="26" formatCode="0.00">
                  <c:v>2.02</c:v>
                </c:pt>
                <c:pt idx="27" formatCode="0.00">
                  <c:v>2.02</c:v>
                </c:pt>
                <c:pt idx="28" formatCode="0.00">
                  <c:v>2.0099999999999998</c:v>
                </c:pt>
                <c:pt idx="29" formatCode="0.00">
                  <c:v>2.0099999999999998</c:v>
                </c:pt>
                <c:pt idx="30" formatCode="0.00">
                  <c:v>2</c:v>
                </c:pt>
                <c:pt idx="31" formatCode="0.00">
                  <c:v>2</c:v>
                </c:pt>
                <c:pt idx="32" formatCode="0.00">
                  <c:v>2</c:v>
                </c:pt>
                <c:pt idx="33" formatCode="0.00">
                  <c:v>2</c:v>
                </c:pt>
                <c:pt idx="34" formatCode="0.00">
                  <c:v>2</c:v>
                </c:pt>
                <c:pt idx="35" formatCode="0.00">
                  <c:v>2</c:v>
                </c:pt>
                <c:pt idx="36" formatCode="0.00">
                  <c:v>2</c:v>
                </c:pt>
                <c:pt idx="37" formatCode="0.00">
                  <c:v>2</c:v>
                </c:pt>
                <c:pt idx="38" formatCode="0.00">
                  <c:v>2</c:v>
                </c:pt>
              </c:numCache>
            </c:numRef>
          </c:val>
          <c:smooth val="0"/>
          <c:extLst>
            <c:ext xmlns:c16="http://schemas.microsoft.com/office/drawing/2014/chart" uri="{C3380CC4-5D6E-409C-BE32-E72D297353CC}">
              <c16:uniqueId val="{00000000-E9D0-4D87-ACD9-23BD13138FE1}"/>
            </c:ext>
          </c:extLst>
        </c:ser>
        <c:ser>
          <c:idx val="1"/>
          <c:order val="1"/>
          <c:tx>
            <c:strRef>
              <c:f>FED!$L$7</c:f>
              <c:strCache>
                <c:ptCount val="1"/>
                <c:pt idx="0">
                  <c:v>30.9.2019.</c:v>
                </c:pt>
              </c:strCache>
            </c:strRef>
          </c:tx>
          <c:spPr>
            <a:ln w="25400" cap="rnd">
              <a:solidFill>
                <a:srgbClr val="7F3F98"/>
              </a:solidFill>
              <a:round/>
            </a:ln>
            <a:effectLst/>
          </c:spPr>
          <c:marker>
            <c:symbol val="none"/>
          </c:marker>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FED!$L$9:$L$65</c:f>
              <c:numCache>
                <c:formatCode>General</c:formatCode>
                <c:ptCount val="57"/>
                <c:pt idx="8" formatCode="0.00">
                  <c:v>1.85</c:v>
                </c:pt>
                <c:pt idx="9" formatCode="0.00">
                  <c:v>1.85</c:v>
                </c:pt>
                <c:pt idx="10" formatCode="0.00">
                  <c:v>1.85</c:v>
                </c:pt>
                <c:pt idx="11" formatCode="0.00">
                  <c:v>1.76</c:v>
                </c:pt>
                <c:pt idx="12" formatCode="0.00">
                  <c:v>1.68</c:v>
                </c:pt>
                <c:pt idx="13" formatCode="0.00">
                  <c:v>1.59</c:v>
                </c:pt>
                <c:pt idx="14" formatCode="0.00">
                  <c:v>1.51</c:v>
                </c:pt>
                <c:pt idx="15" formatCode="0.00">
                  <c:v>1.49</c:v>
                </c:pt>
                <c:pt idx="16" formatCode="0.00">
                  <c:v>1.44</c:v>
                </c:pt>
                <c:pt idx="17" formatCode="0.00">
                  <c:v>1.4</c:v>
                </c:pt>
                <c:pt idx="18" formatCode="0.00">
                  <c:v>1.37</c:v>
                </c:pt>
                <c:pt idx="19" formatCode="0.00">
                  <c:v>1.34</c:v>
                </c:pt>
                <c:pt idx="20" formatCode="0.00">
                  <c:v>1.31</c:v>
                </c:pt>
                <c:pt idx="21" formatCode="0.00">
                  <c:v>1.3</c:v>
                </c:pt>
                <c:pt idx="22" formatCode="0.00">
                  <c:v>1.27</c:v>
                </c:pt>
                <c:pt idx="23" formatCode="0.00">
                  <c:v>1.24</c:v>
                </c:pt>
                <c:pt idx="24" formatCode="0.00">
                  <c:v>1.22</c:v>
                </c:pt>
                <c:pt idx="25" formatCode="0.00">
                  <c:v>1.2</c:v>
                </c:pt>
                <c:pt idx="26" formatCode="0.00">
                  <c:v>1.17</c:v>
                </c:pt>
                <c:pt idx="27" formatCode="0.00">
                  <c:v>1.17</c:v>
                </c:pt>
                <c:pt idx="28" formatCode="0.00">
                  <c:v>1.17</c:v>
                </c:pt>
                <c:pt idx="29" formatCode="0.00">
                  <c:v>1.17</c:v>
                </c:pt>
                <c:pt idx="30" formatCode="0.00">
                  <c:v>1.18</c:v>
                </c:pt>
                <c:pt idx="31" formatCode="0.00">
                  <c:v>1.1499999999999999</c:v>
                </c:pt>
                <c:pt idx="32" formatCode="0.00">
                  <c:v>1.1499999999999999</c:v>
                </c:pt>
                <c:pt idx="33" formatCode="0.00">
                  <c:v>1.1599999999999999</c:v>
                </c:pt>
                <c:pt idx="34" formatCode="0.00">
                  <c:v>1.1499999999999999</c:v>
                </c:pt>
                <c:pt idx="35" formatCode="0.00">
                  <c:v>1.1499999999999999</c:v>
                </c:pt>
                <c:pt idx="36" formatCode="0.00">
                  <c:v>1.1499999999999999</c:v>
                </c:pt>
                <c:pt idx="37" formatCode="0.00">
                  <c:v>1.1499999999999999</c:v>
                </c:pt>
                <c:pt idx="38" formatCode="0.00">
                  <c:v>1.1499999999999999</c:v>
                </c:pt>
                <c:pt idx="39" formatCode="0.00">
                  <c:v>1.1499999999999999</c:v>
                </c:pt>
                <c:pt idx="40" formatCode="0.00">
                  <c:v>1.1499999999999999</c:v>
                </c:pt>
                <c:pt idx="41" formatCode="0.00">
                  <c:v>1.1499999999999999</c:v>
                </c:pt>
                <c:pt idx="42" formatCode="0.00">
                  <c:v>1.1499999999999999</c:v>
                </c:pt>
                <c:pt idx="43" formatCode="0.00">
                  <c:v>1.17</c:v>
                </c:pt>
                <c:pt idx="44" formatCode="0.00">
                  <c:v>1.17</c:v>
                </c:pt>
              </c:numCache>
            </c:numRef>
          </c:val>
          <c:smooth val="0"/>
          <c:extLst>
            <c:ext xmlns:c16="http://schemas.microsoft.com/office/drawing/2014/chart" uri="{C3380CC4-5D6E-409C-BE32-E72D297353CC}">
              <c16:uniqueId val="{00000001-E9D0-4D87-ACD9-23BD13138FE1}"/>
            </c:ext>
          </c:extLst>
        </c:ser>
        <c:ser>
          <c:idx val="2"/>
          <c:order val="2"/>
          <c:tx>
            <c:strRef>
              <c:f>FED!$M$7</c:f>
              <c:strCache>
                <c:ptCount val="1"/>
                <c:pt idx="0">
                  <c:v>25.3.2020.</c:v>
                </c:pt>
              </c:strCache>
            </c:strRef>
          </c:tx>
          <c:spPr>
            <a:ln w="25400" cap="rnd">
              <a:solidFill>
                <a:srgbClr val="EC008C"/>
              </a:solidFill>
              <a:round/>
            </a:ln>
            <a:effectLst/>
          </c:spPr>
          <c:marker>
            <c:symbol val="none"/>
          </c:marker>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FED!$M$9:$M$65</c:f>
              <c:numCache>
                <c:formatCode>General</c:formatCode>
                <c:ptCount val="57"/>
                <c:pt idx="14">
                  <c:v>0.1</c:v>
                </c:pt>
                <c:pt idx="15">
                  <c:v>0.1</c:v>
                </c:pt>
                <c:pt idx="16">
                  <c:v>0.1</c:v>
                </c:pt>
                <c:pt idx="17">
                  <c:v>0.1</c:v>
                </c:pt>
                <c:pt idx="18">
                  <c:v>0.09</c:v>
                </c:pt>
                <c:pt idx="19">
                  <c:v>0.08</c:v>
                </c:pt>
                <c:pt idx="20">
                  <c:v>7.0000000000000007E-2</c:v>
                </c:pt>
                <c:pt idx="21">
                  <c:v>7.0000000000000007E-2</c:v>
                </c:pt>
                <c:pt idx="22">
                  <c:v>0.06</c:v>
                </c:pt>
                <c:pt idx="23">
                  <c:v>0.06</c:v>
                </c:pt>
                <c:pt idx="24">
                  <c:v>7.0000000000000007E-2</c:v>
                </c:pt>
                <c:pt idx="25">
                  <c:v>0.08</c:v>
                </c:pt>
                <c:pt idx="26">
                  <c:v>0.09</c:v>
                </c:pt>
                <c:pt idx="27">
                  <c:v>0.1</c:v>
                </c:pt>
                <c:pt idx="28">
                  <c:v>0.12</c:v>
                </c:pt>
                <c:pt idx="29">
                  <c:v>0.13</c:v>
                </c:pt>
                <c:pt idx="30">
                  <c:v>0.13</c:v>
                </c:pt>
                <c:pt idx="31">
                  <c:v>0.14000000000000001</c:v>
                </c:pt>
                <c:pt idx="32">
                  <c:v>0.15</c:v>
                </c:pt>
                <c:pt idx="33">
                  <c:v>0.15</c:v>
                </c:pt>
                <c:pt idx="34">
                  <c:v>0.16</c:v>
                </c:pt>
                <c:pt idx="35">
                  <c:v>0.17</c:v>
                </c:pt>
                <c:pt idx="36">
                  <c:v>0.17</c:v>
                </c:pt>
                <c:pt idx="37">
                  <c:v>0.16</c:v>
                </c:pt>
                <c:pt idx="38">
                  <c:v>0.16</c:v>
                </c:pt>
                <c:pt idx="39">
                  <c:v>0.16</c:v>
                </c:pt>
                <c:pt idx="40">
                  <c:v>0.22</c:v>
                </c:pt>
                <c:pt idx="41">
                  <c:v>0.22</c:v>
                </c:pt>
                <c:pt idx="42">
                  <c:v>0.22</c:v>
                </c:pt>
                <c:pt idx="43">
                  <c:v>0.28999999999999998</c:v>
                </c:pt>
                <c:pt idx="44">
                  <c:v>0.28999999999999998</c:v>
                </c:pt>
                <c:pt idx="45">
                  <c:v>0.28999999999999998</c:v>
                </c:pt>
                <c:pt idx="46">
                  <c:v>0.28999999999999998</c:v>
                </c:pt>
                <c:pt idx="47">
                  <c:v>0.28999999999999998</c:v>
                </c:pt>
                <c:pt idx="48">
                  <c:v>0.28999999999999998</c:v>
                </c:pt>
                <c:pt idx="49">
                  <c:v>0.28999999999999998</c:v>
                </c:pt>
                <c:pt idx="50">
                  <c:v>0.28999999999999998</c:v>
                </c:pt>
              </c:numCache>
            </c:numRef>
          </c:val>
          <c:smooth val="0"/>
          <c:extLst>
            <c:ext xmlns:c16="http://schemas.microsoft.com/office/drawing/2014/chart" uri="{C3380CC4-5D6E-409C-BE32-E72D297353CC}">
              <c16:uniqueId val="{00000002-E9D0-4D87-ACD9-23BD13138FE1}"/>
            </c:ext>
          </c:extLst>
        </c:ser>
        <c:ser>
          <c:idx val="3"/>
          <c:order val="3"/>
          <c:tx>
            <c:strRef>
              <c:f>FED!$N$7</c:f>
              <c:strCache>
                <c:ptCount val="1"/>
                <c:pt idx="0">
                  <c:v>23.9.2020.</c:v>
                </c:pt>
              </c:strCache>
            </c:strRef>
          </c:tx>
          <c:spPr>
            <a:ln w="25400" cap="rnd">
              <a:solidFill>
                <a:srgbClr val="51BBE7"/>
              </a:solidFill>
              <a:round/>
            </a:ln>
            <a:effectLst/>
          </c:spPr>
          <c:marker>
            <c:symbol val="none"/>
          </c:marker>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FED!$N$9:$N$65</c:f>
              <c:numCache>
                <c:formatCode>General</c:formatCode>
                <c:ptCount val="57"/>
                <c:pt idx="20">
                  <c:v>0.08</c:v>
                </c:pt>
                <c:pt idx="21">
                  <c:v>0.09</c:v>
                </c:pt>
                <c:pt idx="22">
                  <c:v>0.08</c:v>
                </c:pt>
                <c:pt idx="23">
                  <c:v>0.08</c:v>
                </c:pt>
                <c:pt idx="24">
                  <c:v>7.0000000000000007E-2</c:v>
                </c:pt>
                <c:pt idx="25">
                  <c:v>7.0000000000000007E-2</c:v>
                </c:pt>
                <c:pt idx="26">
                  <c:v>0.06</c:v>
                </c:pt>
                <c:pt idx="27">
                  <c:v>0.06</c:v>
                </c:pt>
                <c:pt idx="28">
                  <c:v>0.05</c:v>
                </c:pt>
                <c:pt idx="29">
                  <c:v>0.05</c:v>
                </c:pt>
                <c:pt idx="30">
                  <c:v>0.05</c:v>
                </c:pt>
                <c:pt idx="31">
                  <c:v>0.05</c:v>
                </c:pt>
                <c:pt idx="32">
                  <c:v>0.04</c:v>
                </c:pt>
                <c:pt idx="33">
                  <c:v>0.04</c:v>
                </c:pt>
                <c:pt idx="34">
                  <c:v>0.04</c:v>
                </c:pt>
                <c:pt idx="35">
                  <c:v>0.03</c:v>
                </c:pt>
                <c:pt idx="36">
                  <c:v>0.03</c:v>
                </c:pt>
                <c:pt idx="37">
                  <c:v>0.03</c:v>
                </c:pt>
                <c:pt idx="38">
                  <c:v>0.02</c:v>
                </c:pt>
                <c:pt idx="39">
                  <c:v>0.02</c:v>
                </c:pt>
                <c:pt idx="40">
                  <c:v>0.01</c:v>
                </c:pt>
                <c:pt idx="41">
                  <c:v>0.01</c:v>
                </c:pt>
                <c:pt idx="42">
                  <c:v>0.01</c:v>
                </c:pt>
                <c:pt idx="43">
                  <c:v>0.01</c:v>
                </c:pt>
                <c:pt idx="44">
                  <c:v>0.01</c:v>
                </c:pt>
                <c:pt idx="45">
                  <c:v>0.01</c:v>
                </c:pt>
                <c:pt idx="46">
                  <c:v>0.01</c:v>
                </c:pt>
                <c:pt idx="47">
                  <c:v>0</c:v>
                </c:pt>
                <c:pt idx="48">
                  <c:v>0.02</c:v>
                </c:pt>
                <c:pt idx="49">
                  <c:v>0.02</c:v>
                </c:pt>
                <c:pt idx="50">
                  <c:v>0.02</c:v>
                </c:pt>
                <c:pt idx="51">
                  <c:v>0.02</c:v>
                </c:pt>
                <c:pt idx="52">
                  <c:v>0.02</c:v>
                </c:pt>
                <c:pt idx="53">
                  <c:v>0.02</c:v>
                </c:pt>
                <c:pt idx="54">
                  <c:v>0.02</c:v>
                </c:pt>
                <c:pt idx="55">
                  <c:v>0.02</c:v>
                </c:pt>
                <c:pt idx="56">
                  <c:v>0.02</c:v>
                </c:pt>
              </c:numCache>
            </c:numRef>
          </c:val>
          <c:smooth val="0"/>
          <c:extLst>
            <c:ext xmlns:c16="http://schemas.microsoft.com/office/drawing/2014/chart" uri="{C3380CC4-5D6E-409C-BE32-E72D297353CC}">
              <c16:uniqueId val="{00000003-E9D0-4D87-ACD9-23BD13138FE1}"/>
            </c:ext>
          </c:extLst>
        </c:ser>
        <c:ser>
          <c:idx val="4"/>
          <c:order val="4"/>
          <c:spPr>
            <a:ln w="28575" cap="rnd">
              <a:solidFill>
                <a:schemeClr val="tx2"/>
              </a:solidFill>
              <a:round/>
            </a:ln>
            <a:effectLst/>
          </c:spPr>
          <c:marker>
            <c:symbol val="square"/>
            <c:size val="2"/>
            <c:spPr>
              <a:solidFill>
                <a:schemeClr val="bg1"/>
              </a:solidFill>
              <a:ln w="9525">
                <a:noFill/>
              </a:ln>
              <a:effectLst/>
            </c:spPr>
          </c:marker>
          <c:dLbls>
            <c:dLbl>
              <c:idx val="0"/>
              <c:layout>
                <c:manualLayout>
                  <c:x val="3.1680952794796068E-2"/>
                  <c:y val="3.55411324786324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9D0-4D87-ACD9-23BD13138FE1}"/>
                </c:ext>
              </c:extLst>
            </c:dLbl>
            <c:dLbl>
              <c:idx val="12"/>
              <c:layout>
                <c:manualLayout>
                  <c:x val="2.7043468925571627E-2"/>
                  <c:y val="3.55411324786324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9D0-4D87-ACD9-23BD13138FE1}"/>
                </c:ext>
              </c:extLst>
            </c:dLbl>
            <c:dLbl>
              <c:idx val="24"/>
              <c:layout>
                <c:manualLayout>
                  <c:x val="3.1680952794796088E-2"/>
                  <c:y val="3.55411324786324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9D0-4D87-ACD9-23BD13138FE1}"/>
                </c:ext>
              </c:extLst>
            </c:dLbl>
            <c:dLbl>
              <c:idx val="36"/>
              <c:layout>
                <c:manualLayout>
                  <c:x val="3.5996003730435759E-2"/>
                  <c:y val="3.55411324786324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9D0-4D87-ACD9-23BD13138FE1}"/>
                </c:ext>
              </c:extLst>
            </c:dLbl>
            <c:dLbl>
              <c:idx val="48"/>
              <c:layout>
                <c:manualLayout>
                  <c:x val="1.4069468778048562E-3"/>
                  <c:y val="3.55411324786324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9D0-4D87-ACD9-23BD13138FE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FED!$P$9:$P$65</c:f>
              <c:numCache>
                <c:formatCode>General</c:formatCode>
                <c:ptCount val="57"/>
                <c:pt idx="0">
                  <c:v>-0.5</c:v>
                </c:pt>
                <c:pt idx="12">
                  <c:v>-0.5</c:v>
                </c:pt>
                <c:pt idx="24">
                  <c:v>-0.5</c:v>
                </c:pt>
                <c:pt idx="36">
                  <c:v>-0.5</c:v>
                </c:pt>
                <c:pt idx="48">
                  <c:v>-0.5</c:v>
                </c:pt>
              </c:numCache>
            </c:numRef>
          </c:val>
          <c:smooth val="0"/>
          <c:extLst>
            <c:ext xmlns:c16="http://schemas.microsoft.com/office/drawing/2014/chart" uri="{C3380CC4-5D6E-409C-BE32-E72D297353CC}">
              <c16:uniqueId val="{00000009-E9D0-4D87-ACD9-23BD13138FE1}"/>
            </c:ext>
          </c:extLst>
        </c:ser>
        <c:ser>
          <c:idx val="5"/>
          <c:order val="5"/>
          <c:spPr>
            <a:ln w="6350" cap="rnd">
              <a:solidFill>
                <a:srgbClr val="898989"/>
              </a:solidFill>
              <a:round/>
            </a:ln>
            <a:effectLst/>
          </c:spPr>
          <c:marker>
            <c:symbol val="none"/>
          </c:marker>
          <c:cat>
            <c:numRef>
              <c:f>FED!$O$9:$O$65</c:f>
              <c:numCache>
                <c:formatCode>yyyy</c:formatCode>
                <c:ptCount val="57"/>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pt idx="21">
                  <c:v>44105</c:v>
                </c:pt>
                <c:pt idx="22">
                  <c:v>44136</c:v>
                </c:pt>
                <c:pt idx="23">
                  <c:v>44166</c:v>
                </c:pt>
                <c:pt idx="24">
                  <c:v>44197</c:v>
                </c:pt>
                <c:pt idx="25">
                  <c:v>44228</c:v>
                </c:pt>
                <c:pt idx="26">
                  <c:v>44256</c:v>
                </c:pt>
                <c:pt idx="27">
                  <c:v>44287</c:v>
                </c:pt>
                <c:pt idx="28">
                  <c:v>44317</c:v>
                </c:pt>
                <c:pt idx="29">
                  <c:v>44348</c:v>
                </c:pt>
                <c:pt idx="30">
                  <c:v>44378</c:v>
                </c:pt>
                <c:pt idx="31">
                  <c:v>44409</c:v>
                </c:pt>
                <c:pt idx="32">
                  <c:v>44440</c:v>
                </c:pt>
                <c:pt idx="33">
                  <c:v>44470</c:v>
                </c:pt>
                <c:pt idx="34">
                  <c:v>44501</c:v>
                </c:pt>
                <c:pt idx="35">
                  <c:v>44531</c:v>
                </c:pt>
                <c:pt idx="36">
                  <c:v>44562</c:v>
                </c:pt>
                <c:pt idx="37">
                  <c:v>44593</c:v>
                </c:pt>
                <c:pt idx="38">
                  <c:v>44621</c:v>
                </c:pt>
                <c:pt idx="39">
                  <c:v>44652</c:v>
                </c:pt>
                <c:pt idx="40">
                  <c:v>44682</c:v>
                </c:pt>
                <c:pt idx="41">
                  <c:v>44713</c:v>
                </c:pt>
                <c:pt idx="42">
                  <c:v>44743</c:v>
                </c:pt>
                <c:pt idx="43">
                  <c:v>44774</c:v>
                </c:pt>
                <c:pt idx="44">
                  <c:v>44805</c:v>
                </c:pt>
                <c:pt idx="45">
                  <c:v>44835</c:v>
                </c:pt>
                <c:pt idx="46">
                  <c:v>44866</c:v>
                </c:pt>
                <c:pt idx="47">
                  <c:v>44896</c:v>
                </c:pt>
                <c:pt idx="48">
                  <c:v>44927</c:v>
                </c:pt>
                <c:pt idx="49">
                  <c:v>44958</c:v>
                </c:pt>
                <c:pt idx="50">
                  <c:v>44986</c:v>
                </c:pt>
                <c:pt idx="51">
                  <c:v>45017</c:v>
                </c:pt>
                <c:pt idx="52">
                  <c:v>45047</c:v>
                </c:pt>
                <c:pt idx="53">
                  <c:v>45078</c:v>
                </c:pt>
                <c:pt idx="54">
                  <c:v>45108</c:v>
                </c:pt>
                <c:pt idx="55">
                  <c:v>45139</c:v>
                </c:pt>
                <c:pt idx="56">
                  <c:v>45170</c:v>
                </c:pt>
              </c:numCache>
            </c:numRef>
          </c:cat>
          <c:val>
            <c:numRef>
              <c:f>FED!$Q$9:$Q$65</c:f>
              <c:numCache>
                <c:formatCode>General</c:formatCode>
                <c:ptCount val="5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numCache>
            </c:numRef>
          </c:val>
          <c:smooth val="0"/>
          <c:extLst>
            <c:ext xmlns:c16="http://schemas.microsoft.com/office/drawing/2014/chart" uri="{C3380CC4-5D6E-409C-BE32-E72D297353CC}">
              <c16:uniqueId val="{0000000A-E9D0-4D87-ACD9-23BD13138FE1}"/>
            </c:ext>
          </c:extLst>
        </c:ser>
        <c:dLbls>
          <c:showLegendKey val="0"/>
          <c:showVal val="0"/>
          <c:showCatName val="0"/>
          <c:showSerName val="0"/>
          <c:showPercent val="0"/>
          <c:showBubbleSize val="0"/>
        </c:dLbls>
        <c:smooth val="0"/>
        <c:axId val="335955488"/>
        <c:axId val="335959840"/>
      </c:lineChart>
      <c:dateAx>
        <c:axId val="3359554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59840"/>
        <c:crossesAt val="-0.5"/>
        <c:auto val="1"/>
        <c:lblOffset val="100"/>
        <c:baseTimeUnit val="months"/>
        <c:majorUnit val="1"/>
        <c:majorTimeUnit val="years"/>
      </c:dateAx>
      <c:valAx>
        <c:axId val="335959840"/>
        <c:scaling>
          <c:orientation val="minMax"/>
          <c:max val="2.5"/>
          <c:min val="-0.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55488"/>
        <c:crosses val="autoZero"/>
        <c:crossBetween val="midCat"/>
        <c:majorUnit val="0.5"/>
      </c:valAx>
      <c:spPr>
        <a:noFill/>
        <a:ln>
          <a:noFill/>
        </a:ln>
        <a:effectLst/>
      </c:spPr>
    </c:plotArea>
    <c:legend>
      <c:legendPos val="b"/>
      <c:legendEntry>
        <c:idx val="4"/>
        <c:delete val="1"/>
      </c:legendEntry>
      <c:legendEntry>
        <c:idx val="5"/>
        <c:delete val="1"/>
      </c:legendEntry>
      <c:layout>
        <c:manualLayout>
          <c:xMode val="edge"/>
          <c:yMode val="edge"/>
          <c:x val="0.22295449069033052"/>
          <c:y val="0.85889797008546998"/>
          <c:w val="0.56865059162646092"/>
          <c:h val="0.1411020299145299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agregati'!$B$5</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6246-41BE-A483-64B232BC5A9B}"/>
              </c:ext>
            </c:extLst>
          </c:dPt>
          <c:dPt>
            <c:idx val="1"/>
            <c:invertIfNegative val="0"/>
            <c:bubble3D val="0"/>
            <c:spPr>
              <a:solidFill>
                <a:srgbClr val="ED1C24"/>
              </a:solidFill>
              <a:ln>
                <a:noFill/>
              </a:ln>
              <a:effectLst/>
            </c:spPr>
            <c:extLst>
              <c:ext xmlns:c16="http://schemas.microsoft.com/office/drawing/2014/chart" uri="{C3380CC4-5D6E-409C-BE32-E72D297353CC}">
                <c16:uniqueId val="{00000003-6246-41BE-A483-64B232BC5A9B}"/>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6246-41BE-A483-64B232BC5A9B}"/>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3-6246-41BE-A483-64B232BC5A9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agregati'!$C$5,'Osn. makroekon. agregati'!$D$5)</c:f>
              <c:numCache>
                <c:formatCode>0.0</c:formatCode>
                <c:ptCount val="2"/>
                <c:pt idx="0">
                  <c:v>4</c:v>
                </c:pt>
                <c:pt idx="1">
                  <c:v>-1</c:v>
                </c:pt>
              </c:numCache>
            </c:numRef>
          </c:val>
          <c:extLst>
            <c:ext xmlns:c16="http://schemas.microsoft.com/office/drawing/2014/chart" uri="{C3380CC4-5D6E-409C-BE32-E72D297353CC}">
              <c16:uniqueId val="{00000004-6246-41BE-A483-64B232BC5A9B}"/>
            </c:ext>
          </c:extLst>
        </c:ser>
        <c:dLbls>
          <c:showLegendKey val="0"/>
          <c:showVal val="0"/>
          <c:showCatName val="0"/>
          <c:showSerName val="0"/>
          <c:showPercent val="0"/>
          <c:showBubbleSize val="0"/>
        </c:dLbls>
        <c:gapWidth val="15"/>
        <c:axId val="335953312"/>
        <c:axId val="335960928"/>
      </c:barChart>
      <c:catAx>
        <c:axId val="33595331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2020</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60928"/>
        <c:crossesAt val="0"/>
        <c:auto val="1"/>
        <c:lblAlgn val="ctr"/>
        <c:lblOffset val="100"/>
        <c:noMultiLvlLbl val="0"/>
      </c:catAx>
      <c:valAx>
        <c:axId val="335960928"/>
        <c:scaling>
          <c:orientation val="minMax"/>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53312"/>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3303303303303291"/>
        </c:manualLayout>
      </c:layout>
      <c:barChart>
        <c:barDir val="col"/>
        <c:grouping val="clustered"/>
        <c:varyColors val="0"/>
        <c:ser>
          <c:idx val="0"/>
          <c:order val="0"/>
          <c:tx>
            <c:strRef>
              <c:f>'Osn. makroekon. agregati'!$B$5</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2B76-4842-9542-F90608487102}"/>
              </c:ext>
            </c:extLst>
          </c:dPt>
          <c:dPt>
            <c:idx val="1"/>
            <c:invertIfNegative val="0"/>
            <c:bubble3D val="0"/>
            <c:spPr>
              <a:solidFill>
                <a:srgbClr val="ED1C24"/>
              </a:solidFill>
              <a:ln>
                <a:noFill/>
              </a:ln>
              <a:effectLst/>
            </c:spPr>
            <c:extLst>
              <c:ext xmlns:c16="http://schemas.microsoft.com/office/drawing/2014/chart" uri="{C3380CC4-5D6E-409C-BE32-E72D297353CC}">
                <c16:uniqueId val="{00000003-2B76-4842-9542-F90608487102}"/>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B76-4842-9542-F90608487102}"/>
                </c:ext>
              </c:extLst>
            </c:dLbl>
            <c:dLbl>
              <c:idx val="1"/>
              <c:layout>
                <c:manualLayout>
                  <c:x val="-8.7398890260461573E-17"/>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B76-4842-9542-F9060848710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agregati'!$E$5,'Osn. makroekon. agregati'!$F$5)</c:f>
              <c:numCache>
                <c:formatCode>0.0</c:formatCode>
                <c:ptCount val="2"/>
                <c:pt idx="0">
                  <c:v>4</c:v>
                </c:pt>
                <c:pt idx="1">
                  <c:v>6</c:v>
                </c:pt>
              </c:numCache>
            </c:numRef>
          </c:val>
          <c:extLst>
            <c:ext xmlns:c16="http://schemas.microsoft.com/office/drawing/2014/chart" uri="{C3380CC4-5D6E-409C-BE32-E72D297353CC}">
              <c16:uniqueId val="{00000004-2B76-4842-9542-F90608487102}"/>
            </c:ext>
          </c:extLst>
        </c:ser>
        <c:dLbls>
          <c:showLegendKey val="0"/>
          <c:showVal val="0"/>
          <c:showCatName val="0"/>
          <c:showSerName val="0"/>
          <c:showPercent val="0"/>
          <c:showBubbleSize val="0"/>
        </c:dLbls>
        <c:gapWidth val="15"/>
        <c:axId val="335944608"/>
        <c:axId val="335949504"/>
      </c:barChart>
      <c:catAx>
        <c:axId val="33594460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GB" b="1"/>
                  <a:t>2021</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49504"/>
        <c:crossesAt val="0"/>
        <c:auto val="1"/>
        <c:lblAlgn val="ctr"/>
        <c:lblOffset val="100"/>
        <c:noMultiLvlLbl val="0"/>
      </c:catAx>
      <c:valAx>
        <c:axId val="335949504"/>
        <c:scaling>
          <c:orientation val="minMax"/>
          <c:max val="6"/>
          <c:min val="-2"/>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44608"/>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agregati'!$B$6</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851-4E11-89B2-798EA7B097B6}"/>
              </c:ext>
            </c:extLst>
          </c:dPt>
          <c:dPt>
            <c:idx val="1"/>
            <c:invertIfNegative val="0"/>
            <c:bubble3D val="0"/>
            <c:spPr>
              <a:solidFill>
                <a:srgbClr val="ED1C24"/>
              </a:solidFill>
              <a:ln>
                <a:noFill/>
              </a:ln>
              <a:effectLst/>
            </c:spPr>
            <c:extLst>
              <c:ext xmlns:c16="http://schemas.microsoft.com/office/drawing/2014/chart" uri="{C3380CC4-5D6E-409C-BE32-E72D297353CC}">
                <c16:uniqueId val="{00000003-7851-4E11-89B2-798EA7B097B6}"/>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851-4E11-89B2-798EA7B097B6}"/>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851-4E11-89B2-798EA7B097B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-5.3</c:v>
                </c:pt>
                <c:pt idx="1">
                  <c:v>-5.6</c:v>
                </c:pt>
              </c:numCache>
            </c:numRef>
          </c:val>
          <c:extLst>
            <c:ext xmlns:c16="http://schemas.microsoft.com/office/drawing/2014/chart" uri="{C3380CC4-5D6E-409C-BE32-E72D297353CC}">
              <c16:uniqueId val="{00000004-7851-4E11-89B2-798EA7B097B6}"/>
            </c:ext>
          </c:extLst>
        </c:ser>
        <c:dLbls>
          <c:showLegendKey val="0"/>
          <c:showVal val="0"/>
          <c:showCatName val="0"/>
          <c:showSerName val="0"/>
          <c:showPercent val="0"/>
          <c:showBubbleSize val="0"/>
        </c:dLbls>
        <c:gapWidth val="15"/>
        <c:axId val="335950048"/>
        <c:axId val="335962560"/>
      </c:barChart>
      <c:catAx>
        <c:axId val="33595004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2020</a:t>
                </a:r>
              </a:p>
            </c:rich>
          </c:tx>
          <c:layout>
            <c:manualLayout>
              <c:xMode val="edge"/>
              <c:yMode val="edge"/>
              <c:x val="0.37948348348348349"/>
              <c:y val="7.3190476190476209E-3"/>
            </c:manualLayout>
          </c:layout>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62560"/>
        <c:crossesAt val="0"/>
        <c:auto val="1"/>
        <c:lblAlgn val="ctr"/>
        <c:lblOffset val="100"/>
        <c:noMultiLvlLbl val="0"/>
      </c:catAx>
      <c:valAx>
        <c:axId val="335962560"/>
        <c:scaling>
          <c:orientation val="minMax"/>
          <c:max val="0"/>
          <c:min val="-7"/>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50048"/>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agregati'!$B$6</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1259-421D-9B5B-A906217ACB37}"/>
              </c:ext>
            </c:extLst>
          </c:dPt>
          <c:dPt>
            <c:idx val="1"/>
            <c:invertIfNegative val="0"/>
            <c:bubble3D val="0"/>
            <c:spPr>
              <a:solidFill>
                <a:srgbClr val="ED1C24"/>
              </a:solidFill>
              <a:ln>
                <a:noFill/>
              </a:ln>
              <a:effectLst/>
            </c:spPr>
            <c:extLst>
              <c:ext xmlns:c16="http://schemas.microsoft.com/office/drawing/2014/chart" uri="{C3380CC4-5D6E-409C-BE32-E72D297353CC}">
                <c16:uniqueId val="{00000003-1259-421D-9B5B-A906217ACB37}"/>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259-421D-9B5B-A906217ACB37}"/>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259-421D-9B5B-A906217ACB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-5.2</c:v>
                </c:pt>
                <c:pt idx="1">
                  <c:v>-5.9</c:v>
                </c:pt>
              </c:numCache>
            </c:numRef>
          </c:val>
          <c:extLst>
            <c:ext xmlns:c16="http://schemas.microsoft.com/office/drawing/2014/chart" uri="{C3380CC4-5D6E-409C-BE32-E72D297353CC}">
              <c16:uniqueId val="{00000004-1259-421D-9B5B-A906217ACB37}"/>
            </c:ext>
          </c:extLst>
        </c:ser>
        <c:dLbls>
          <c:showLegendKey val="0"/>
          <c:showVal val="0"/>
          <c:showCatName val="0"/>
          <c:showSerName val="0"/>
          <c:showPercent val="0"/>
          <c:showBubbleSize val="0"/>
        </c:dLbls>
        <c:gapWidth val="15"/>
        <c:axId val="335964192"/>
        <c:axId val="335964736"/>
      </c:barChart>
      <c:catAx>
        <c:axId val="33596419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2021</a:t>
                </a:r>
              </a:p>
            </c:rich>
          </c:tx>
          <c:layout>
            <c:manualLayout>
              <c:xMode val="edge"/>
              <c:yMode val="edge"/>
              <c:x val="0.37948348348348349"/>
              <c:y val="7.3190476190476209E-3"/>
            </c:manualLayout>
          </c:layout>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64736"/>
        <c:crossesAt val="0"/>
        <c:auto val="1"/>
        <c:lblAlgn val="ctr"/>
        <c:lblOffset val="100"/>
        <c:noMultiLvlLbl val="0"/>
      </c:catAx>
      <c:valAx>
        <c:axId val="335964736"/>
        <c:scaling>
          <c:orientation val="minMax"/>
          <c:max val="0"/>
          <c:min val="-7"/>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964192"/>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agregati'!$B$7</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9699-453F-BE23-448641776FEC}"/>
              </c:ext>
            </c:extLst>
          </c:dPt>
          <c:dPt>
            <c:idx val="1"/>
            <c:invertIfNegative val="0"/>
            <c:bubble3D val="0"/>
            <c:spPr>
              <a:solidFill>
                <a:srgbClr val="ED1C24"/>
              </a:solidFill>
              <a:ln>
                <a:noFill/>
              </a:ln>
              <a:effectLst/>
            </c:spPr>
            <c:extLst>
              <c:ext xmlns:c16="http://schemas.microsoft.com/office/drawing/2014/chart" uri="{C3380CC4-5D6E-409C-BE32-E72D297353CC}">
                <c16:uniqueId val="{00000003-9699-453F-BE23-448641776FEC}"/>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9699-453F-BE23-448641776FEC}"/>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3-9699-453F-BE23-448641776FE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2</c:v>
                </c:pt>
                <c:pt idx="1">
                  <c:v>1.5</c:v>
                </c:pt>
              </c:numCache>
            </c:numRef>
          </c:val>
          <c:extLst>
            <c:ext xmlns:c16="http://schemas.microsoft.com/office/drawing/2014/chart" uri="{C3380CC4-5D6E-409C-BE32-E72D297353CC}">
              <c16:uniqueId val="{00000004-9699-453F-BE23-448641776FEC}"/>
            </c:ext>
          </c:extLst>
        </c:ser>
        <c:dLbls>
          <c:showLegendKey val="0"/>
          <c:showVal val="0"/>
          <c:showCatName val="0"/>
          <c:showSerName val="0"/>
          <c:showPercent val="0"/>
          <c:showBubbleSize val="0"/>
        </c:dLbls>
        <c:gapWidth val="15"/>
        <c:axId val="335837440"/>
        <c:axId val="335856480"/>
      </c:barChart>
      <c:catAx>
        <c:axId val="33583744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2020</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56480"/>
        <c:crossesAt val="0"/>
        <c:auto val="1"/>
        <c:lblAlgn val="ctr"/>
        <c:lblOffset val="100"/>
        <c:noMultiLvlLbl val="0"/>
      </c:catAx>
      <c:valAx>
        <c:axId val="335856480"/>
        <c:scaling>
          <c:orientation val="minMax"/>
          <c:max val="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3744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agregati'!$B$7</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4058-48FD-8523-0EFD195F09C3}"/>
              </c:ext>
            </c:extLst>
          </c:dPt>
          <c:dPt>
            <c:idx val="1"/>
            <c:invertIfNegative val="0"/>
            <c:bubble3D val="0"/>
            <c:spPr>
              <a:solidFill>
                <a:srgbClr val="ED1C24"/>
              </a:solidFill>
              <a:ln>
                <a:noFill/>
              </a:ln>
              <a:effectLst/>
            </c:spPr>
            <c:extLst>
              <c:ext xmlns:c16="http://schemas.microsoft.com/office/drawing/2014/chart" uri="{C3380CC4-5D6E-409C-BE32-E72D297353CC}">
                <c16:uniqueId val="{00000003-4058-48FD-8523-0EFD195F09C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4058-48FD-8523-0EFD195F09C3}"/>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3-4058-48FD-8523-0EFD195F09C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2.2000000000000002</c:v>
                </c:pt>
                <c:pt idx="1">
                  <c:v>2</c:v>
                </c:pt>
              </c:numCache>
            </c:numRef>
          </c:val>
          <c:extLst>
            <c:ext xmlns:c16="http://schemas.microsoft.com/office/drawing/2014/chart" uri="{C3380CC4-5D6E-409C-BE32-E72D297353CC}">
              <c16:uniqueId val="{00000004-4058-48FD-8523-0EFD195F09C3}"/>
            </c:ext>
          </c:extLst>
        </c:ser>
        <c:dLbls>
          <c:showLegendKey val="0"/>
          <c:showVal val="0"/>
          <c:showCatName val="0"/>
          <c:showSerName val="0"/>
          <c:showPercent val="0"/>
          <c:showBubbleSize val="0"/>
        </c:dLbls>
        <c:gapWidth val="15"/>
        <c:axId val="335864640"/>
        <c:axId val="335850496"/>
      </c:barChart>
      <c:catAx>
        <c:axId val="33586464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2021</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50496"/>
        <c:crossesAt val="0"/>
        <c:auto val="1"/>
        <c:lblAlgn val="ctr"/>
        <c:lblOffset val="100"/>
        <c:noMultiLvlLbl val="0"/>
      </c:catAx>
      <c:valAx>
        <c:axId val="335850496"/>
        <c:scaling>
          <c:orientation val="minMax"/>
          <c:max val="4"/>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6464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68198292805511407"/>
        </c:manualLayout>
      </c:layout>
      <c:barChart>
        <c:barDir val="col"/>
        <c:grouping val="clustered"/>
        <c:varyColors val="0"/>
        <c:ser>
          <c:idx val="0"/>
          <c:order val="0"/>
          <c:tx>
            <c:strRef>
              <c:f>'Osn. makroekon. agregati'!$B$8</c:f>
              <c:strCache>
                <c:ptCount val="1"/>
                <c:pt idx="0">
                  <c:v>Фискални резултат,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1554-4CAA-93F8-BE9E4B26A78D}"/>
              </c:ext>
            </c:extLst>
          </c:dPt>
          <c:dPt>
            <c:idx val="1"/>
            <c:invertIfNegative val="0"/>
            <c:bubble3D val="0"/>
            <c:spPr>
              <a:solidFill>
                <a:srgbClr val="ED1C24"/>
              </a:solidFill>
              <a:ln>
                <a:noFill/>
              </a:ln>
              <a:effectLst/>
            </c:spPr>
            <c:extLst>
              <c:ext xmlns:c16="http://schemas.microsoft.com/office/drawing/2014/chart" uri="{C3380CC4-5D6E-409C-BE32-E72D297353CC}">
                <c16:uniqueId val="{00000003-1554-4CAA-93F8-BE9E4B26A78D}"/>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1554-4CAA-93F8-BE9E4B26A78D}"/>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3-1554-4CAA-93F8-BE9E4B26A78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-0.5</c:v>
                </c:pt>
                <c:pt idx="1">
                  <c:v>-8.9</c:v>
                </c:pt>
              </c:numCache>
            </c:numRef>
          </c:val>
          <c:extLst>
            <c:ext xmlns:c16="http://schemas.microsoft.com/office/drawing/2014/chart" uri="{C3380CC4-5D6E-409C-BE32-E72D297353CC}">
              <c16:uniqueId val="{00000004-1554-4CAA-93F8-BE9E4B26A78D}"/>
            </c:ext>
          </c:extLst>
        </c:ser>
        <c:dLbls>
          <c:showLegendKey val="0"/>
          <c:showVal val="0"/>
          <c:showCatName val="0"/>
          <c:showSerName val="0"/>
          <c:showPercent val="0"/>
          <c:showBubbleSize val="0"/>
        </c:dLbls>
        <c:gapWidth val="15"/>
        <c:axId val="335861920"/>
        <c:axId val="335844512"/>
      </c:barChart>
      <c:catAx>
        <c:axId val="33586192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2020</a:t>
                </a:r>
              </a:p>
            </c:rich>
          </c:tx>
          <c:layout>
            <c:manualLayout>
              <c:xMode val="edge"/>
              <c:yMode val="edge"/>
              <c:x val="0.37948348348348349"/>
              <c:y val="7.3190476190476209E-3"/>
            </c:manualLayout>
          </c:layout>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44512"/>
        <c:crossesAt val="0"/>
        <c:auto val="1"/>
        <c:lblAlgn val="ctr"/>
        <c:lblOffset val="100"/>
        <c:noMultiLvlLbl val="0"/>
      </c:catAx>
      <c:valAx>
        <c:axId val="335844512"/>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6192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68198292805511407"/>
        </c:manualLayout>
      </c:layout>
      <c:barChart>
        <c:barDir val="col"/>
        <c:grouping val="clustered"/>
        <c:varyColors val="0"/>
        <c:ser>
          <c:idx val="0"/>
          <c:order val="0"/>
          <c:tx>
            <c:strRef>
              <c:f>'Osn. makroekon. agregati'!$B$8</c:f>
              <c:strCache>
                <c:ptCount val="1"/>
                <c:pt idx="0">
                  <c:v>Фискални резултат,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763E-41FA-B796-0DFCC453E4F6}"/>
              </c:ext>
            </c:extLst>
          </c:dPt>
          <c:dPt>
            <c:idx val="1"/>
            <c:invertIfNegative val="0"/>
            <c:bubble3D val="0"/>
            <c:spPr>
              <a:solidFill>
                <a:srgbClr val="ED1C24"/>
              </a:solidFill>
              <a:ln>
                <a:noFill/>
              </a:ln>
              <a:effectLst/>
            </c:spPr>
            <c:extLst>
              <c:ext xmlns:c16="http://schemas.microsoft.com/office/drawing/2014/chart" uri="{C3380CC4-5D6E-409C-BE32-E72D297353CC}">
                <c16:uniqueId val="{00000003-763E-41FA-B796-0DFCC453E4F6}"/>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763E-41FA-B796-0DFCC453E4F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-0.5</c:v>
                </c:pt>
                <c:pt idx="1">
                  <c:v>-3</c:v>
                </c:pt>
              </c:numCache>
            </c:numRef>
          </c:val>
          <c:extLst>
            <c:ext xmlns:c16="http://schemas.microsoft.com/office/drawing/2014/chart" uri="{C3380CC4-5D6E-409C-BE32-E72D297353CC}">
              <c16:uniqueId val="{00000004-763E-41FA-B796-0DFCC453E4F6}"/>
            </c:ext>
          </c:extLst>
        </c:ser>
        <c:dLbls>
          <c:showLegendKey val="0"/>
          <c:showVal val="0"/>
          <c:showCatName val="0"/>
          <c:showSerName val="0"/>
          <c:showPercent val="0"/>
          <c:showBubbleSize val="0"/>
        </c:dLbls>
        <c:gapWidth val="15"/>
        <c:axId val="335846144"/>
        <c:axId val="335858112"/>
      </c:barChart>
      <c:catAx>
        <c:axId val="33584614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2021</a:t>
                </a:r>
              </a:p>
            </c:rich>
          </c:tx>
          <c:layout>
            <c:manualLayout>
              <c:xMode val="edge"/>
              <c:yMode val="edge"/>
              <c:x val="0.37948348348348349"/>
              <c:y val="7.3190476190476209E-3"/>
            </c:manualLayout>
          </c:layout>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58112"/>
        <c:crossesAt val="0"/>
        <c:auto val="1"/>
        <c:lblAlgn val="ctr"/>
        <c:lblOffset val="100"/>
        <c:noMultiLvlLbl val="0"/>
      </c:catAx>
      <c:valAx>
        <c:axId val="335858112"/>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4614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agregati'!$B$9</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1CEB-47C7-8964-EFB5682A10B7}"/>
              </c:ext>
            </c:extLst>
          </c:dPt>
          <c:dPt>
            <c:idx val="1"/>
            <c:invertIfNegative val="0"/>
            <c:bubble3D val="0"/>
            <c:spPr>
              <a:solidFill>
                <a:srgbClr val="ED1C24"/>
              </a:solidFill>
              <a:ln>
                <a:noFill/>
              </a:ln>
              <a:effectLst/>
            </c:spPr>
            <c:extLst>
              <c:ext xmlns:c16="http://schemas.microsoft.com/office/drawing/2014/chart" uri="{C3380CC4-5D6E-409C-BE32-E72D297353CC}">
                <c16:uniqueId val="{00000003-1CEB-47C7-8964-EFB5682A10B7}"/>
              </c:ext>
            </c:extLst>
          </c:dPt>
          <c:dLbls>
            <c:dLbl>
              <c:idx val="0"/>
              <c:spPr>
                <a:noFill/>
                <a:ln>
                  <a:noFill/>
                </a:ln>
                <a:effectLst/>
              </c:spPr>
              <c:txPr>
                <a:bodyPr rot="0" spcFirstLastPara="1" vertOverflow="ellipsis" horzOverflow="clip"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1CEB-47C7-8964-EFB5682A10B7}"/>
                </c:ext>
              </c:extLst>
            </c:dLbl>
            <c:dLbl>
              <c:idx val="1"/>
              <c:spPr>
                <a:noFill/>
                <a:ln>
                  <a:noFill/>
                </a:ln>
                <a:effectLst/>
              </c:spPr>
              <c:txPr>
                <a:bodyPr rot="0" spcFirstLastPara="1" vertOverflow="ellipsis" horzOverflow="clip"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1CEB-47C7-8964-EFB5682A10B7}"/>
                </c:ext>
              </c:extLst>
            </c:dLbl>
            <c:spPr>
              <a:noFill/>
              <a:ln>
                <a:noFill/>
              </a:ln>
              <a:effectLst/>
            </c:spPr>
            <c:txPr>
              <a:bodyPr rot="0" spcFirstLastPara="1" vertOverflow="ellipsis" horzOverflow="clip"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51.4</c:v>
                </c:pt>
                <c:pt idx="1">
                  <c:v>59</c:v>
                </c:pt>
              </c:numCache>
            </c:numRef>
          </c:val>
          <c:extLst>
            <c:ext xmlns:c16="http://schemas.microsoft.com/office/drawing/2014/chart" uri="{C3380CC4-5D6E-409C-BE32-E72D297353CC}">
              <c16:uniqueId val="{00000004-1CEB-47C7-8964-EFB5682A10B7}"/>
            </c:ext>
          </c:extLst>
        </c:ser>
        <c:dLbls>
          <c:showLegendKey val="0"/>
          <c:showVal val="0"/>
          <c:showCatName val="0"/>
          <c:showSerName val="0"/>
          <c:showPercent val="0"/>
          <c:showBubbleSize val="0"/>
        </c:dLbls>
        <c:gapWidth val="15"/>
        <c:axId val="335848864"/>
        <c:axId val="335867904"/>
      </c:barChart>
      <c:catAx>
        <c:axId val="33584886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2020</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67904"/>
        <c:crossesAt val="0"/>
        <c:auto val="1"/>
        <c:lblAlgn val="ctr"/>
        <c:lblOffset val="100"/>
        <c:noMultiLvlLbl val="0"/>
      </c:catAx>
      <c:valAx>
        <c:axId val="335867904"/>
        <c:scaling>
          <c:orientation val="minMax"/>
          <c:max val="65"/>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4886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agregati'!$B$9</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D4B-40DF-AC46-B505BFD5FA7C}"/>
              </c:ext>
            </c:extLst>
          </c:dPt>
          <c:dPt>
            <c:idx val="1"/>
            <c:invertIfNegative val="0"/>
            <c:bubble3D val="0"/>
            <c:spPr>
              <a:solidFill>
                <a:srgbClr val="ED1C24"/>
              </a:solidFill>
              <a:ln>
                <a:noFill/>
              </a:ln>
              <a:effectLst/>
            </c:spPr>
            <c:extLst>
              <c:ext xmlns:c16="http://schemas.microsoft.com/office/drawing/2014/chart" uri="{C3380CC4-5D6E-409C-BE32-E72D297353CC}">
                <c16:uniqueId val="{00000003-5D4B-40DF-AC46-B505BFD5FA7C}"/>
              </c:ext>
            </c:extLst>
          </c:dPt>
          <c:dLbls>
            <c:dLbl>
              <c:idx val="0"/>
              <c:spPr>
                <a:noFill/>
                <a:ln>
                  <a:noFill/>
                </a:ln>
                <a:effectLst/>
              </c:spPr>
              <c:txPr>
                <a:bodyPr rot="0" spcFirstLastPara="1" vertOverflow="ellipsis" horzOverflow="clip"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5D4B-40DF-AC46-B505BFD5FA7C}"/>
                </c:ext>
              </c:extLst>
            </c:dLbl>
            <c:spPr>
              <a:noFill/>
              <a:ln>
                <a:noFill/>
              </a:ln>
              <a:effectLst/>
            </c:spPr>
            <c:txPr>
              <a:bodyPr rot="0" spcFirstLastPara="1" vertOverflow="ellipsis" horzOverflow="clip"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50.1</c:v>
                </c:pt>
                <c:pt idx="1">
                  <c:v>58.7</c:v>
                </c:pt>
              </c:numCache>
            </c:numRef>
          </c:val>
          <c:extLst>
            <c:ext xmlns:c16="http://schemas.microsoft.com/office/drawing/2014/chart" uri="{C3380CC4-5D6E-409C-BE32-E72D297353CC}">
              <c16:uniqueId val="{00000004-5D4B-40DF-AC46-B505BFD5FA7C}"/>
            </c:ext>
          </c:extLst>
        </c:ser>
        <c:dLbls>
          <c:showLegendKey val="0"/>
          <c:showVal val="0"/>
          <c:showCatName val="0"/>
          <c:showSerName val="0"/>
          <c:showPercent val="0"/>
          <c:showBubbleSize val="0"/>
        </c:dLbls>
        <c:gapWidth val="15"/>
        <c:axId val="335857568"/>
        <c:axId val="335859744"/>
      </c:barChart>
      <c:catAx>
        <c:axId val="33585756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2021</a:t>
                </a:r>
              </a:p>
            </c:rich>
          </c:tx>
          <c:overlay val="0"/>
          <c:spPr>
            <a:noFill/>
            <a:ln>
              <a:noFill/>
            </a:ln>
            <a:effectLst/>
          </c:sp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59744"/>
        <c:crossesAt val="0"/>
        <c:auto val="1"/>
        <c:lblAlgn val="ctr"/>
        <c:lblOffset val="100"/>
        <c:noMultiLvlLbl val="0"/>
      </c:catAx>
      <c:valAx>
        <c:axId val="335859744"/>
        <c:scaling>
          <c:orientation val="minMax"/>
          <c:max val="65"/>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5857568"/>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5459160052910048"/>
        </c:manualLayout>
      </c:layout>
      <c:barChart>
        <c:barDir val="col"/>
        <c:grouping val="stacked"/>
        <c:varyColors val="0"/>
        <c:ser>
          <c:idx val="0"/>
          <c:order val="1"/>
          <c:tx>
            <c:strRef>
              <c:f>IPAS_doprinosi!$D$11</c:f>
              <c:strCache>
                <c:ptCount val="1"/>
                <c:pt idx="0">
                  <c:v>Пољопривреда</c:v>
                </c:pt>
              </c:strCache>
            </c:strRef>
          </c:tx>
          <c:spPr>
            <a:solidFill>
              <a:srgbClr val="10103C"/>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IPAS_doprinosi!$D$20:$D$32</c:f>
              <c:numCache>
                <c:formatCode>0.0</c:formatCode>
                <c:ptCount val="13"/>
                <c:pt idx="0">
                  <c:v>-6.2210129729457816E-2</c:v>
                </c:pt>
                <c:pt idx="1">
                  <c:v>-3.4548478794129645E-2</c:v>
                </c:pt>
                <c:pt idx="2">
                  <c:v>-9.0913921976731806E-4</c:v>
                </c:pt>
                <c:pt idx="3">
                  <c:v>3.8487064866925852E-2</c:v>
                </c:pt>
                <c:pt idx="4">
                  <c:v>2.4015691885589892E-2</c:v>
                </c:pt>
                <c:pt idx="5">
                  <c:v>5.1650260210390576E-2</c:v>
                </c:pt>
                <c:pt idx="6">
                  <c:v>0.15862091648411508</c:v>
                </c:pt>
                <c:pt idx="7">
                  <c:v>3.6899848317950484E-2</c:v>
                </c:pt>
                <c:pt idx="8">
                  <c:v>0.11680038293244763</c:v>
                </c:pt>
                <c:pt idx="9">
                  <c:v>0.18182492875711098</c:v>
                </c:pt>
                <c:pt idx="10">
                  <c:v>0.34891846132217941</c:v>
                </c:pt>
                <c:pt idx="11">
                  <c:v>0.3628615146291283</c:v>
                </c:pt>
                <c:pt idx="12">
                  <c:v>0.32792808986608152</c:v>
                </c:pt>
              </c:numCache>
            </c:numRef>
          </c:val>
          <c:extLst>
            <c:ext xmlns:c16="http://schemas.microsoft.com/office/drawing/2014/chart" uri="{C3380CC4-5D6E-409C-BE32-E72D297353CC}">
              <c16:uniqueId val="{00000000-C229-4F14-AA89-7D2B49BCB471}"/>
            </c:ext>
          </c:extLst>
        </c:ser>
        <c:ser>
          <c:idx val="1"/>
          <c:order val="2"/>
          <c:tx>
            <c:strRef>
              <c:f>IPAS_doprinosi!$E$11</c:f>
              <c:strCache>
                <c:ptCount val="1"/>
                <c:pt idx="0">
                  <c:v>Индустрија</c:v>
                </c:pt>
              </c:strCache>
            </c:strRef>
          </c:tx>
          <c:spPr>
            <a:solidFill>
              <a:srgbClr val="2183C4"/>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IPAS_doprinosi!$E$20:$E$32</c:f>
              <c:numCache>
                <c:formatCode>0.0</c:formatCode>
                <c:ptCount val="13"/>
                <c:pt idx="0">
                  <c:v>0.25804091008176139</c:v>
                </c:pt>
                <c:pt idx="1">
                  <c:v>3.1497755517174583E-2</c:v>
                </c:pt>
                <c:pt idx="2">
                  <c:v>0.3581196969077875</c:v>
                </c:pt>
                <c:pt idx="3">
                  <c:v>1.5653181393774571</c:v>
                </c:pt>
                <c:pt idx="4">
                  <c:v>1.2291090598310994</c:v>
                </c:pt>
                <c:pt idx="5">
                  <c:v>1.4117283451672427</c:v>
                </c:pt>
                <c:pt idx="6">
                  <c:v>0.11647008722818913</c:v>
                </c:pt>
                <c:pt idx="7">
                  <c:v>-3.768599691300524</c:v>
                </c:pt>
                <c:pt idx="8">
                  <c:v>-1.4724487116599392</c:v>
                </c:pt>
                <c:pt idx="9">
                  <c:v>0.52828406811965978</c:v>
                </c:pt>
                <c:pt idx="10">
                  <c:v>7.6496707497534094E-2</c:v>
                </c:pt>
                <c:pt idx="11">
                  <c:v>0.85473395721170542</c:v>
                </c:pt>
                <c:pt idx="12">
                  <c:v>0.88052411286033594</c:v>
                </c:pt>
              </c:numCache>
            </c:numRef>
          </c:val>
          <c:extLst>
            <c:ext xmlns:c16="http://schemas.microsoft.com/office/drawing/2014/chart" uri="{C3380CC4-5D6E-409C-BE32-E72D297353CC}">
              <c16:uniqueId val="{00000001-C229-4F14-AA89-7D2B49BCB471}"/>
            </c:ext>
          </c:extLst>
        </c:ser>
        <c:ser>
          <c:idx val="2"/>
          <c:order val="3"/>
          <c:tx>
            <c:strRef>
              <c:f>IPAS_doprinosi!$F$11</c:f>
              <c:strCache>
                <c:ptCount val="1"/>
                <c:pt idx="0">
                  <c:v>Грађевинарство</c:v>
                </c:pt>
              </c:strCache>
            </c:strRef>
          </c:tx>
          <c:spPr>
            <a:solidFill>
              <a:srgbClr val="51BBE7"/>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IPAS_doprinosi!$F$20:$F$32</c:f>
              <c:numCache>
                <c:formatCode>0.0</c:formatCode>
                <c:ptCount val="13"/>
                <c:pt idx="0">
                  <c:v>2.2949629167263783</c:v>
                </c:pt>
                <c:pt idx="1">
                  <c:v>1.6476439854137583</c:v>
                </c:pt>
                <c:pt idx="2">
                  <c:v>2.5163321608866949</c:v>
                </c:pt>
                <c:pt idx="3">
                  <c:v>3.1133311516607707</c:v>
                </c:pt>
                <c:pt idx="4">
                  <c:v>1.3762466617882838</c:v>
                </c:pt>
                <c:pt idx="5">
                  <c:v>0.6977981055086917</c:v>
                </c:pt>
                <c:pt idx="6">
                  <c:v>0.10610259332981489</c:v>
                </c:pt>
                <c:pt idx="7">
                  <c:v>-0.58948734468684094</c:v>
                </c:pt>
                <c:pt idx="8">
                  <c:v>-0.15069993332709961</c:v>
                </c:pt>
                <c:pt idx="9">
                  <c:v>0.6936269714989356</c:v>
                </c:pt>
                <c:pt idx="10">
                  <c:v>-0.94796521309635484</c:v>
                </c:pt>
                <c:pt idx="11">
                  <c:v>-1.30124128744435</c:v>
                </c:pt>
                <c:pt idx="12">
                  <c:v>-1.1516284538099093</c:v>
                </c:pt>
              </c:numCache>
            </c:numRef>
          </c:val>
          <c:extLst>
            <c:ext xmlns:c16="http://schemas.microsoft.com/office/drawing/2014/chart" uri="{C3380CC4-5D6E-409C-BE32-E72D297353CC}">
              <c16:uniqueId val="{00000002-C229-4F14-AA89-7D2B49BCB471}"/>
            </c:ext>
          </c:extLst>
        </c:ser>
        <c:ser>
          <c:idx val="3"/>
          <c:order val="4"/>
          <c:tx>
            <c:strRef>
              <c:f>IPAS_doprinosi!$G$11</c:f>
              <c:strCache>
                <c:ptCount val="1"/>
                <c:pt idx="0">
                  <c:v>Услуге</c:v>
                </c:pt>
              </c:strCache>
            </c:strRef>
          </c:tx>
          <c:spPr>
            <a:solidFill>
              <a:srgbClr val="90CAE2"/>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IPAS_doprinosi!$G$20:$G$32</c:f>
              <c:numCache>
                <c:formatCode>0.0</c:formatCode>
                <c:ptCount val="13"/>
                <c:pt idx="0">
                  <c:v>2.5195151162514611</c:v>
                </c:pt>
                <c:pt idx="1">
                  <c:v>1.8503681067675433</c:v>
                </c:pt>
                <c:pt idx="2">
                  <c:v>3.2308456485965733</c:v>
                </c:pt>
                <c:pt idx="3">
                  <c:v>2.6284866952381156</c:v>
                </c:pt>
                <c:pt idx="4">
                  <c:v>3.5496736512347873</c:v>
                </c:pt>
                <c:pt idx="5">
                  <c:v>1.9377642167329381</c:v>
                </c:pt>
                <c:pt idx="6">
                  <c:v>2.272560174208011</c:v>
                </c:pt>
                <c:pt idx="7">
                  <c:v>-6.7234441476508833</c:v>
                </c:pt>
                <c:pt idx="8">
                  <c:v>-3.6537009993675778</c:v>
                </c:pt>
                <c:pt idx="9">
                  <c:v>-1.1155919658884121</c:v>
                </c:pt>
                <c:pt idx="10">
                  <c:v>-1.5402750949281721</c:v>
                </c:pt>
                <c:pt idx="11">
                  <c:v>-0.76271068555159438</c:v>
                </c:pt>
                <c:pt idx="12">
                  <c:v>-0.42949749001685233</c:v>
                </c:pt>
              </c:numCache>
            </c:numRef>
          </c:val>
          <c:extLst>
            <c:ext xmlns:c16="http://schemas.microsoft.com/office/drawing/2014/chart" uri="{C3380CC4-5D6E-409C-BE32-E72D297353CC}">
              <c16:uniqueId val="{00000003-C229-4F14-AA89-7D2B49BCB471}"/>
            </c:ext>
          </c:extLst>
        </c:ser>
        <c:ser>
          <c:idx val="4"/>
          <c:order val="5"/>
          <c:tx>
            <c:strRef>
              <c:f>IPAS_doprinosi!$H$11</c:f>
              <c:strCache>
                <c:ptCount val="1"/>
                <c:pt idx="0">
                  <c:v>Нето порези</c:v>
                </c:pt>
              </c:strCache>
            </c:strRef>
          </c:tx>
          <c:spPr>
            <a:solidFill>
              <a:srgbClr val="C9E4EB"/>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IPAS_doprinosi!$H$20:$H$32</c:f>
              <c:numCache>
                <c:formatCode>0.0</c:formatCode>
                <c:ptCount val="13"/>
                <c:pt idx="0">
                  <c:v>0.57533695682356412</c:v>
                </c:pt>
                <c:pt idx="1">
                  <c:v>0.55858291114493119</c:v>
                </c:pt>
                <c:pt idx="2">
                  <c:v>0.59222460408952715</c:v>
                </c:pt>
                <c:pt idx="3">
                  <c:v>0.59899610944790493</c:v>
                </c:pt>
                <c:pt idx="4">
                  <c:v>0.80534718349981271</c:v>
                </c:pt>
                <c:pt idx="5">
                  <c:v>0.75132038193923301</c:v>
                </c:pt>
                <c:pt idx="6">
                  <c:v>0.78599482395020259</c:v>
                </c:pt>
                <c:pt idx="7">
                  <c:v>-2.3237659361965592</c:v>
                </c:pt>
                <c:pt idx="8">
                  <c:v>-0.95692368046023446</c:v>
                </c:pt>
                <c:pt idx="9">
                  <c:v>-0.2014802063383557</c:v>
                </c:pt>
                <c:pt idx="10">
                  <c:v>-0.16365980923673382</c:v>
                </c:pt>
                <c:pt idx="11">
                  <c:v>-0.24876319331864974</c:v>
                </c:pt>
                <c:pt idx="12">
                  <c:v>-0.18632895610772371</c:v>
                </c:pt>
              </c:numCache>
            </c:numRef>
          </c:val>
          <c:extLst>
            <c:ext xmlns:c16="http://schemas.microsoft.com/office/drawing/2014/chart" uri="{C3380CC4-5D6E-409C-BE32-E72D297353CC}">
              <c16:uniqueId val="{00000004-C229-4F14-AA89-7D2B49BCB471}"/>
            </c:ext>
          </c:extLst>
        </c:ser>
        <c:dLbls>
          <c:showLegendKey val="0"/>
          <c:showVal val="0"/>
          <c:showCatName val="0"/>
          <c:showSerName val="0"/>
          <c:showPercent val="0"/>
          <c:showBubbleSize val="0"/>
        </c:dLbls>
        <c:gapWidth val="60"/>
        <c:overlap val="100"/>
        <c:axId val="335855936"/>
        <c:axId val="335868992"/>
      </c:barChart>
      <c:lineChart>
        <c:grouping val="standard"/>
        <c:varyColors val="0"/>
        <c:ser>
          <c:idx val="5"/>
          <c:order val="0"/>
          <c:tx>
            <c:strRef>
              <c:f>IPAS_doprinosi!$C$11</c:f>
              <c:strCache>
                <c:ptCount val="1"/>
                <c:pt idx="0">
                  <c:v>БДП</c:v>
                </c:pt>
              </c:strCache>
            </c:strRef>
          </c:tx>
          <c:spPr>
            <a:ln w="22225" cap="rnd">
              <a:solidFill>
                <a:srgbClr val="FF0000"/>
              </a:solidFill>
              <a:round/>
            </a:ln>
            <a:effectLst/>
          </c:spPr>
          <c:marker>
            <c:symbol val="none"/>
          </c:marker>
          <c:dLbls>
            <c:dLbl>
              <c:idx val="7"/>
              <c:layout>
                <c:manualLayout>
                  <c:x val="-1.3949432027456583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229-4F14-AA89-7D2B49BCB471}"/>
                </c:ext>
              </c:extLst>
            </c:dLbl>
            <c:dLbl>
              <c:idx val="8"/>
              <c:layout>
                <c:manualLayout>
                  <c:x val="-1.3949432027456583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229-4F14-AA89-7D2B49BCB471}"/>
                </c:ext>
              </c:extLst>
            </c:dLbl>
            <c:dLbl>
              <c:idx val="10"/>
              <c:layout>
                <c:manualLayout>
                  <c:x val="-6.7189778361038371E-2"/>
                  <c:y val="4.88808137052282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229-4F14-AA89-7D2B49BCB471}"/>
                </c:ext>
              </c:extLst>
            </c:dLbl>
            <c:dLbl>
              <c:idx val="11"/>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229-4F14-AA89-7D2B49BCB471}"/>
                </c:ext>
              </c:extLst>
            </c:dLbl>
            <c:dLbl>
              <c:idx val="12"/>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229-4F14-AA89-7D2B49BCB471}"/>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IPAS_doprinosi!$C$20:$C$32</c:f>
              <c:numCache>
                <c:formatCode>0.0</c:formatCode>
                <c:ptCount val="13"/>
                <c:pt idx="0">
                  <c:v>5.5856457754063049</c:v>
                </c:pt>
                <c:pt idx="1">
                  <c:v>4.0535443422377053</c:v>
                </c:pt>
                <c:pt idx="2">
                  <c:v>6.6966130293914388</c:v>
                </c:pt>
                <c:pt idx="3">
                  <c:v>7.9446192690711266</c:v>
                </c:pt>
                <c:pt idx="4">
                  <c:v>7.6741119180407766</c:v>
                </c:pt>
                <c:pt idx="5">
                  <c:v>4.8502613193545354</c:v>
                </c:pt>
                <c:pt idx="6">
                  <c:v>2.7830022554168345</c:v>
                </c:pt>
                <c:pt idx="7">
                  <c:v>-13.36839723094144</c:v>
                </c:pt>
                <c:pt idx="8">
                  <c:v>-6.116972973674943</c:v>
                </c:pt>
                <c:pt idx="9">
                  <c:v>8.6663847378612727E-2</c:v>
                </c:pt>
                <c:pt idx="10">
                  <c:v>-2.2264849535467954</c:v>
                </c:pt>
                <c:pt idx="11">
                  <c:v>-1.0951196207893235</c:v>
                </c:pt>
                <c:pt idx="12">
                  <c:v>-0.55900268768015327</c:v>
                </c:pt>
              </c:numCache>
            </c:numRef>
          </c:val>
          <c:smooth val="0"/>
          <c:extLst>
            <c:ext xmlns:c16="http://schemas.microsoft.com/office/drawing/2014/chart" uri="{C3380CC4-5D6E-409C-BE32-E72D297353CC}">
              <c16:uniqueId val="{0000000A-C229-4F14-AA89-7D2B49BCB471}"/>
            </c:ext>
          </c:extLst>
        </c:ser>
        <c:dLbls>
          <c:showLegendKey val="0"/>
          <c:showVal val="0"/>
          <c:showCatName val="0"/>
          <c:showSerName val="0"/>
          <c:showPercent val="0"/>
          <c:showBubbleSize val="0"/>
        </c:dLbls>
        <c:marker val="1"/>
        <c:smooth val="0"/>
        <c:axId val="335855936"/>
        <c:axId val="335868992"/>
      </c:lineChart>
      <c:catAx>
        <c:axId val="33585593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68992"/>
        <c:crosses val="autoZero"/>
        <c:auto val="1"/>
        <c:lblAlgn val="ctr"/>
        <c:lblOffset val="0"/>
        <c:noMultiLvlLbl val="0"/>
      </c:catAx>
      <c:valAx>
        <c:axId val="335868992"/>
        <c:scaling>
          <c:orientation val="minMax"/>
          <c:min val="-1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55936"/>
        <c:crosses val="autoZero"/>
        <c:crossBetween val="between"/>
        <c:majorUnit val="2"/>
        <c:minorUnit val="0.4"/>
      </c:valAx>
      <c:spPr>
        <a:noFill/>
        <a:ln>
          <a:noFill/>
        </a:ln>
        <a:effectLst/>
      </c:spPr>
    </c:plotArea>
    <c:legend>
      <c:legendPos val="b"/>
      <c:layout>
        <c:manualLayout>
          <c:xMode val="edge"/>
          <c:yMode val="edge"/>
          <c:x val="7.1965223097112854E-2"/>
          <c:y val="0.84188729654707517"/>
          <c:w val="0.88171770195392241"/>
          <c:h val="0.15250475684372333"/>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7F3F98"/>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graf'!$AP$32:$AP$64</c:f>
              <c:numCache>
                <c:formatCode>0.0</c:formatCode>
                <c:ptCount val="21"/>
                <c:pt idx="0">
                  <c:v>82.012451887316601</c:v>
                </c:pt>
                <c:pt idx="1">
                  <c:v>88.571297576790599</c:v>
                </c:pt>
                <c:pt idx="2">
                  <c:v>95.318641410491594</c:v>
                </c:pt>
                <c:pt idx="3">
                  <c:v>93.797278324911304</c:v>
                </c:pt>
                <c:pt idx="4">
                  <c:v>102.9717125451662</c:v>
                </c:pt>
                <c:pt idx="5">
                  <c:v>99.710312099861099</c:v>
                </c:pt>
                <c:pt idx="6">
                  <c:v>105.9577419615589</c:v>
                </c:pt>
                <c:pt idx="7">
                  <c:v>96.4205822632006</c:v>
                </c:pt>
                <c:pt idx="8">
                  <c:v>107.5638306375245</c:v>
                </c:pt>
                <c:pt idx="9">
                  <c:v>115.2287063676502</c:v>
                </c:pt>
                <c:pt idx="10">
                  <c:v>109.564364008192</c:v>
                </c:pt>
                <c:pt idx="11">
                  <c:v>102.8830809173363</c:v>
                </c:pt>
                <c:pt idx="12">
                  <c:v>87.990750000000006</c:v>
                </c:pt>
                <c:pt idx="13">
                  <c:v>96.274209999999997</c:v>
                </c:pt>
                <c:pt idx="14">
                  <c:v>98.2</c:v>
                </c:pt>
                <c:pt idx="15">
                  <c:v>75.099999999999994</c:v>
                </c:pt>
                <c:pt idx="16">
                  <c:v>93.3</c:v>
                </c:pt>
                <c:pt idx="17">
                  <c:v>104.1</c:v>
                </c:pt>
                <c:pt idx="18">
                  <c:v>105.2</c:v>
                </c:pt>
                <c:pt idx="19">
                  <c:v>99.4</c:v>
                </c:pt>
                <c:pt idx="20">
                  <c:v>111.9</c:v>
                </c:pt>
              </c:numCache>
              <c:extLst/>
            </c:numRef>
          </c:val>
          <c:smooth val="0"/>
          <c:extLst>
            <c:ext xmlns:c16="http://schemas.microsoft.com/office/drawing/2014/chart" uri="{C3380CC4-5D6E-409C-BE32-E72D297353CC}">
              <c16:uniqueId val="{00000000-A2A0-4BD8-A4C6-8B80F30EA212}"/>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graf'!$AQ$32:$AQ$64</c:f>
              <c:numCache>
                <c:formatCode>0.0</c:formatCode>
                <c:ptCount val="21"/>
                <c:pt idx="0">
                  <c:v>98.634864328572689</c:v>
                </c:pt>
                <c:pt idx="1">
                  <c:v>100.11140742681025</c:v>
                </c:pt>
                <c:pt idx="2">
                  <c:v>95.832729050845401</c:v>
                </c:pt>
                <c:pt idx="3">
                  <c:v>98.980785092080907</c:v>
                </c:pt>
                <c:pt idx="4">
                  <c:v>100.84399703288798</c:v>
                </c:pt>
                <c:pt idx="5">
                  <c:v>96.764689660417972</c:v>
                </c:pt>
                <c:pt idx="6">
                  <c:v>102.78432964480794</c:v>
                </c:pt>
                <c:pt idx="7">
                  <c:v>99.246854304976921</c:v>
                </c:pt>
                <c:pt idx="8">
                  <c:v>100.83815670225566</c:v>
                </c:pt>
                <c:pt idx="9">
                  <c:v>102.1474161867427</c:v>
                </c:pt>
                <c:pt idx="10">
                  <c:v>102.65738498970711</c:v>
                </c:pt>
                <c:pt idx="11">
                  <c:v>101.67544047087202</c:v>
                </c:pt>
                <c:pt idx="12">
                  <c:v>105.39414569487568</c:v>
                </c:pt>
                <c:pt idx="13">
                  <c:v>100.98013043674025</c:v>
                </c:pt>
                <c:pt idx="14">
                  <c:v>98.056182426106744</c:v>
                </c:pt>
                <c:pt idx="15">
                  <c:v>80.105107397511901</c:v>
                </c:pt>
                <c:pt idx="16">
                  <c:v>92.905189201129687</c:v>
                </c:pt>
                <c:pt idx="17">
                  <c:v>98.783852462589024</c:v>
                </c:pt>
                <c:pt idx="18">
                  <c:v>101.66597639577242</c:v>
                </c:pt>
                <c:pt idx="19">
                  <c:v>103.41119793239565</c:v>
                </c:pt>
                <c:pt idx="20">
                  <c:v>103.17282307307786</c:v>
                </c:pt>
              </c:numCache>
              <c:extLst/>
            </c:numRef>
          </c:val>
          <c:smooth val="0"/>
          <c:extLst>
            <c:ext xmlns:c16="http://schemas.microsoft.com/office/drawing/2014/chart" uri="{C3380CC4-5D6E-409C-BE32-E72D297353CC}">
              <c16:uniqueId val="{00000001-A2A0-4BD8-A4C6-8B80F30EA212}"/>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graf'!$AR$32:$AR$64</c:f>
              <c:numCache>
                <c:formatCode>0.0</c:formatCode>
                <c:ptCount val="21"/>
                <c:pt idx="0">
                  <c:v>97.8484414865936</c:v>
                </c:pt>
                <c:pt idx="1">
                  <c:v>97.999807508867136</c:v>
                </c:pt>
                <c:pt idx="2">
                  <c:v>98.512594065073472</c:v>
                </c:pt>
                <c:pt idx="3">
                  <c:v>99.128872043787894</c:v>
                </c:pt>
                <c:pt idx="4">
                  <c:v>99.638426108398761</c:v>
                </c:pt>
                <c:pt idx="5">
                  <c:v>100.04742820673708</c:v>
                </c:pt>
                <c:pt idx="6">
                  <c:v>100.49442323396276</c:v>
                </c:pt>
                <c:pt idx="7">
                  <c:v>100.99037153026897</c:v>
                </c:pt>
                <c:pt idx="8">
                  <c:v>101.4205197135647</c:v>
                </c:pt>
                <c:pt idx="9">
                  <c:v>101.7188752138098</c:v>
                </c:pt>
                <c:pt idx="10">
                  <c:v>101.83703177773641</c:v>
                </c:pt>
                <c:pt idx="11">
                  <c:v>101.53021176490306</c:v>
                </c:pt>
                <c:pt idx="12">
                  <c:v>100.69386761748557</c:v>
                </c:pt>
                <c:pt idx="13">
                  <c:v>99.5307561550093</c:v>
                </c:pt>
                <c:pt idx="14">
                  <c:v>98.420696380099429</c:v>
                </c:pt>
                <c:pt idx="15">
                  <c:v>97.902924093239676</c:v>
                </c:pt>
                <c:pt idx="16">
                  <c:v>98.190181452862888</c:v>
                </c:pt>
                <c:pt idx="17">
                  <c:v>99.184106822499288</c:v>
                </c:pt>
                <c:pt idx="18">
                  <c:v>100.59545820011253</c:v>
                </c:pt>
                <c:pt idx="19">
                  <c:v>102.05878470303909</c:v>
                </c:pt>
                <c:pt idx="20">
                  <c:v>103.18143102116871</c:v>
                </c:pt>
              </c:numCache>
              <c:extLst/>
            </c:numRef>
          </c:val>
          <c:smooth val="0"/>
          <c:extLst>
            <c:ext xmlns:c16="http://schemas.microsoft.com/office/drawing/2014/chart" uri="{C3380CC4-5D6E-409C-BE32-E72D297353CC}">
              <c16:uniqueId val="{00000002-A2A0-4BD8-A4C6-8B80F30EA212}"/>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22283447533764"/>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2A0-4BD8-A4C6-8B80F30EA212}"/>
                </c:ext>
              </c:extLst>
            </c:dLbl>
            <c:dLbl>
              <c:idx val="12"/>
              <c:layout>
                <c:manualLayout>
                  <c:x val="0.11280593624298087"/>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2A0-4BD8-A4C6-8B80F30EA21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graf'!$AD$32:$AD$64</c:f>
              <c:numCache>
                <c:formatCode>General</c:formatCode>
                <c:ptCount val="21"/>
                <c:pt idx="0">
                  <c:v>60</c:v>
                </c:pt>
                <c:pt idx="12">
                  <c:v>60</c:v>
                </c:pt>
              </c:numCache>
              <c:extLst/>
            </c:numRef>
          </c:val>
          <c:smooth val="0"/>
          <c:extLst>
            <c:ext xmlns:c16="http://schemas.microsoft.com/office/drawing/2014/chart" uri="{C3380CC4-5D6E-409C-BE32-E72D297353CC}">
              <c16:uniqueId val="{00000005-A2A0-4BD8-A4C6-8B80F30EA212}"/>
            </c:ext>
          </c:extLst>
        </c:ser>
        <c:dLbls>
          <c:showLegendKey val="0"/>
          <c:showVal val="0"/>
          <c:showCatName val="0"/>
          <c:showSerName val="0"/>
          <c:showPercent val="0"/>
          <c:showBubbleSize val="0"/>
        </c:dLbls>
        <c:marker val="1"/>
        <c:smooth val="0"/>
        <c:axId val="335846688"/>
        <c:axId val="33586083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graf'!$AE$32:$AE$64</c:f>
              <c:numCache>
                <c:formatCode>General</c:formatCode>
                <c:ptCount val="21"/>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numCache>
              <c:extLst/>
            </c:numRef>
          </c:val>
          <c:smooth val="0"/>
          <c:extLst>
            <c:ext xmlns:c16="http://schemas.microsoft.com/office/drawing/2014/chart" uri="{C3380CC4-5D6E-409C-BE32-E72D297353CC}">
              <c16:uniqueId val="{00000006-A2A0-4BD8-A4C6-8B80F30EA212}"/>
            </c:ext>
          </c:extLst>
        </c:ser>
        <c:dLbls>
          <c:showLegendKey val="0"/>
          <c:showVal val="0"/>
          <c:showCatName val="0"/>
          <c:showSerName val="0"/>
          <c:showPercent val="0"/>
          <c:showBubbleSize val="0"/>
        </c:dLbls>
        <c:marker val="1"/>
        <c:smooth val="0"/>
        <c:axId val="335842336"/>
        <c:axId val="335849952"/>
      </c:lineChart>
      <c:dateAx>
        <c:axId val="33584668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60832"/>
        <c:crosses val="autoZero"/>
        <c:auto val="1"/>
        <c:lblOffset val="0"/>
        <c:baseTimeUnit val="months"/>
        <c:majorUnit val="12"/>
        <c:majorTimeUnit val="months"/>
      </c:dateAx>
      <c:valAx>
        <c:axId val="335860832"/>
        <c:scaling>
          <c:orientation val="minMax"/>
          <c:max val="12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6688"/>
        <c:crosses val="autoZero"/>
        <c:crossBetween val="midCat"/>
      </c:valAx>
      <c:valAx>
        <c:axId val="335849952"/>
        <c:scaling>
          <c:orientation val="minMax"/>
          <c:max val="12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2336"/>
        <c:crosses val="max"/>
        <c:crossBetween val="midCat"/>
        <c:majorUnit val="10"/>
      </c:valAx>
      <c:catAx>
        <c:axId val="33584233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9952"/>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graf'!$Q$32:$Q$64</c:f>
              <c:numCache>
                <c:formatCode>0.0</c:formatCode>
                <c:ptCount val="21"/>
                <c:pt idx="0">
                  <c:v>81.466295984012106</c:v>
                </c:pt>
                <c:pt idx="1">
                  <c:v>88.393507574985506</c:v>
                </c:pt>
                <c:pt idx="2">
                  <c:v>100.9621411244658</c:v>
                </c:pt>
                <c:pt idx="3">
                  <c:v>100.1022720659092</c:v>
                </c:pt>
                <c:pt idx="4">
                  <c:v>97.931984574987197</c:v>
                </c:pt>
                <c:pt idx="5">
                  <c:v>95.341144934787295</c:v>
                </c:pt>
                <c:pt idx="6">
                  <c:v>96.850113997696596</c:v>
                </c:pt>
                <c:pt idx="7">
                  <c:v>95.406508910996905</c:v>
                </c:pt>
                <c:pt idx="8">
                  <c:v>108.2863165295681</c:v>
                </c:pt>
                <c:pt idx="9">
                  <c:v>122.91984171911341</c:v>
                </c:pt>
                <c:pt idx="10">
                  <c:v>110.12943653690949</c:v>
                </c:pt>
                <c:pt idx="11">
                  <c:v>102.21043604656801</c:v>
                </c:pt>
                <c:pt idx="12">
                  <c:v>86.998974086172396</c:v>
                </c:pt>
                <c:pt idx="13">
                  <c:v>93.268532973086295</c:v>
                </c:pt>
                <c:pt idx="14">
                  <c:v>101.8</c:v>
                </c:pt>
                <c:pt idx="15">
                  <c:v>89.5</c:v>
                </c:pt>
                <c:pt idx="16">
                  <c:v>97.6</c:v>
                </c:pt>
                <c:pt idx="17">
                  <c:v>101.3</c:v>
                </c:pt>
                <c:pt idx="18">
                  <c:v>99.4</c:v>
                </c:pt>
                <c:pt idx="19">
                  <c:v>95.1</c:v>
                </c:pt>
                <c:pt idx="20">
                  <c:v>116</c:v>
                </c:pt>
              </c:numCache>
              <c:extLst/>
            </c:numRef>
          </c:val>
          <c:smooth val="0"/>
          <c:extLst>
            <c:ext xmlns:c16="http://schemas.microsoft.com/office/drawing/2014/chart" uri="{C3380CC4-5D6E-409C-BE32-E72D297353CC}">
              <c16:uniqueId val="{00000000-968A-4D24-9018-E6E66D8765B2}"/>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graf'!$R$32:$R$64</c:f>
              <c:numCache>
                <c:formatCode>0.0</c:formatCode>
                <c:ptCount val="21"/>
                <c:pt idx="0">
                  <c:v>102.92594168313443</c:v>
                </c:pt>
                <c:pt idx="1">
                  <c:v>106.93129807083362</c:v>
                </c:pt>
                <c:pt idx="2">
                  <c:v>103.89641031531063</c:v>
                </c:pt>
                <c:pt idx="3">
                  <c:v>104.94521988687421</c:v>
                </c:pt>
                <c:pt idx="4">
                  <c:v>99.971410972052226</c:v>
                </c:pt>
                <c:pt idx="5">
                  <c:v>96.536784449903351</c:v>
                </c:pt>
                <c:pt idx="6">
                  <c:v>100.99011448514817</c:v>
                </c:pt>
                <c:pt idx="7">
                  <c:v>100.53567200081024</c:v>
                </c:pt>
                <c:pt idx="8">
                  <c:v>96.622529583449193</c:v>
                </c:pt>
                <c:pt idx="9">
                  <c:v>97.885065865924403</c:v>
                </c:pt>
                <c:pt idx="10">
                  <c:v>97.402077085264025</c:v>
                </c:pt>
                <c:pt idx="11">
                  <c:v>98.054278741224365</c:v>
                </c:pt>
                <c:pt idx="12">
                  <c:v>109.24976473973797</c:v>
                </c:pt>
                <c:pt idx="13">
                  <c:v>104.98040351466459</c:v>
                </c:pt>
                <c:pt idx="14">
                  <c:v>102.29632133924463</c:v>
                </c:pt>
                <c:pt idx="15">
                  <c:v>93.835389941764674</c:v>
                </c:pt>
                <c:pt idx="16">
                  <c:v>101.1306313679756</c:v>
                </c:pt>
                <c:pt idx="17">
                  <c:v>99.573479601421923</c:v>
                </c:pt>
                <c:pt idx="18">
                  <c:v>103.16222143164725</c:v>
                </c:pt>
                <c:pt idx="19">
                  <c:v>101.61617587392253</c:v>
                </c:pt>
                <c:pt idx="20">
                  <c:v>102.47734648837489</c:v>
                </c:pt>
              </c:numCache>
              <c:extLst/>
            </c:numRef>
          </c:val>
          <c:smooth val="0"/>
          <c:extLst>
            <c:ext xmlns:c16="http://schemas.microsoft.com/office/drawing/2014/chart" uri="{C3380CC4-5D6E-409C-BE32-E72D297353CC}">
              <c16:uniqueId val="{00000001-968A-4D24-9018-E6E66D8765B2}"/>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graf'!$S$32:$S$64</c:f>
              <c:numCache>
                <c:formatCode>0.0</c:formatCode>
                <c:ptCount val="21"/>
                <c:pt idx="0">
                  <c:v>102.30928282429328</c:v>
                </c:pt>
                <c:pt idx="1">
                  <c:v>102.65804159127106</c:v>
                </c:pt>
                <c:pt idx="2">
                  <c:v>102.89491740466531</c:v>
                </c:pt>
                <c:pt idx="3">
                  <c:v>102.74324222322693</c:v>
                </c:pt>
                <c:pt idx="4">
                  <c:v>102.09514201900744</c:v>
                </c:pt>
                <c:pt idx="5">
                  <c:v>101.08138615671774</c:v>
                </c:pt>
                <c:pt idx="6">
                  <c:v>99.973888617793861</c:v>
                </c:pt>
                <c:pt idx="7">
                  <c:v>98.943892209198708</c:v>
                </c:pt>
                <c:pt idx="8">
                  <c:v>98.188185209804601</c:v>
                </c:pt>
                <c:pt idx="9">
                  <c:v>97.93513517751822</c:v>
                </c:pt>
                <c:pt idx="10">
                  <c:v>98.23242980956789</c:v>
                </c:pt>
                <c:pt idx="11">
                  <c:v>99.019946658774899</c:v>
                </c:pt>
                <c:pt idx="12">
                  <c:v>100.03635721224042</c:v>
                </c:pt>
                <c:pt idx="13">
                  <c:v>100.91361618212842</c:v>
                </c:pt>
                <c:pt idx="14">
                  <c:v>101.39037237544078</c:v>
                </c:pt>
                <c:pt idx="15">
                  <c:v>101.48452864125188</c:v>
                </c:pt>
                <c:pt idx="16">
                  <c:v>101.41232390562419</c:v>
                </c:pt>
                <c:pt idx="17">
                  <c:v>101.36644600248394</c:v>
                </c:pt>
                <c:pt idx="18">
                  <c:v>101.51515681791709</c:v>
                </c:pt>
                <c:pt idx="19">
                  <c:v>101.90222638603449</c:v>
                </c:pt>
                <c:pt idx="20">
                  <c:v>102.41410126337314</c:v>
                </c:pt>
              </c:numCache>
              <c:extLst/>
            </c:numRef>
          </c:val>
          <c:smooth val="0"/>
          <c:extLst>
            <c:ext xmlns:c16="http://schemas.microsoft.com/office/drawing/2014/chart" uri="{C3380CC4-5D6E-409C-BE32-E72D297353CC}">
              <c16:uniqueId val="{00000002-968A-4D24-9018-E6E66D8765B2}"/>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707395833333335"/>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68A-4D24-9018-E6E66D8765B2}"/>
                </c:ext>
              </c:extLst>
            </c:dLbl>
            <c:dLbl>
              <c:idx val="12"/>
              <c:layout>
                <c:manualLayout>
                  <c:x val="0.11179870229475478"/>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68A-4D24-9018-E6E66D8765B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graf'!$B$32:$B$64</c:f>
              <c:numCache>
                <c:formatCode>General</c:formatCode>
                <c:ptCount val="21"/>
                <c:pt idx="0">
                  <c:v>70</c:v>
                </c:pt>
                <c:pt idx="12">
                  <c:v>70</c:v>
                </c:pt>
              </c:numCache>
              <c:extLst/>
            </c:numRef>
          </c:val>
          <c:smooth val="0"/>
          <c:extLst>
            <c:ext xmlns:c16="http://schemas.microsoft.com/office/drawing/2014/chart" uri="{C3380CC4-5D6E-409C-BE32-E72D297353CC}">
              <c16:uniqueId val="{00000005-968A-4D24-9018-E6E66D8765B2}"/>
            </c:ext>
          </c:extLst>
        </c:ser>
        <c:dLbls>
          <c:showLegendKey val="0"/>
          <c:showVal val="0"/>
          <c:showCatName val="0"/>
          <c:showSerName val="0"/>
          <c:showPercent val="0"/>
          <c:showBubbleSize val="0"/>
        </c:dLbls>
        <c:marker val="1"/>
        <c:smooth val="0"/>
        <c:axId val="335843968"/>
        <c:axId val="335853760"/>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graf'!$C$32:$C$64</c:f>
              <c:numCache>
                <c:formatCode>General</c:formatCode>
                <c:ptCount val="21"/>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numCache>
              <c:extLst/>
            </c:numRef>
          </c:val>
          <c:smooth val="0"/>
          <c:extLst>
            <c:ext xmlns:c16="http://schemas.microsoft.com/office/drawing/2014/chart" uri="{C3380CC4-5D6E-409C-BE32-E72D297353CC}">
              <c16:uniqueId val="{00000006-968A-4D24-9018-E6E66D8765B2}"/>
            </c:ext>
          </c:extLst>
        </c:ser>
        <c:dLbls>
          <c:showLegendKey val="0"/>
          <c:showVal val="0"/>
          <c:showCatName val="0"/>
          <c:showSerName val="0"/>
          <c:showPercent val="0"/>
          <c:showBubbleSize val="0"/>
        </c:dLbls>
        <c:marker val="1"/>
        <c:smooth val="0"/>
        <c:axId val="335836896"/>
        <c:axId val="335862464"/>
      </c:lineChart>
      <c:dateAx>
        <c:axId val="33584396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53760"/>
        <c:crosses val="autoZero"/>
        <c:auto val="1"/>
        <c:lblOffset val="0"/>
        <c:baseTimeUnit val="months"/>
        <c:majorUnit val="12"/>
        <c:majorTimeUnit val="months"/>
      </c:dateAx>
      <c:valAx>
        <c:axId val="335853760"/>
        <c:scaling>
          <c:orientation val="minMax"/>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3968"/>
        <c:crosses val="autoZero"/>
        <c:crossBetween val="midCat"/>
      </c:valAx>
      <c:valAx>
        <c:axId val="335862464"/>
        <c:scaling>
          <c:orientation val="minMax"/>
          <c:max val="13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36896"/>
        <c:crosses val="max"/>
        <c:crossBetween val="midCat"/>
        <c:majorUnit val="20"/>
      </c:valAx>
      <c:catAx>
        <c:axId val="33583689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62464"/>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graf'!$AH$7</c:f>
              <c:strCache>
                <c:ptCount val="1"/>
                <c:pt idx="0">
                  <c:v>y</c:v>
                </c:pt>
              </c:strCache>
            </c:strRef>
          </c:tx>
          <c:spPr>
            <a:ln w="12700" cap="rnd">
              <a:solidFill>
                <a:srgbClr val="92278F"/>
              </a:solidFill>
              <a:prstDash val="sysDash"/>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graf'!$S$32:$S$64</c:f>
              <c:numCache>
                <c:formatCode>0.0</c:formatCode>
                <c:ptCount val="21"/>
                <c:pt idx="0">
                  <c:v>109.14712651391049</c:v>
                </c:pt>
                <c:pt idx="1">
                  <c:v>99.002727690014197</c:v>
                </c:pt>
                <c:pt idx="2">
                  <c:v>10.5886137710174</c:v>
                </c:pt>
                <c:pt idx="3">
                  <c:v>36.575076747248801</c:v>
                </c:pt>
                <c:pt idx="4">
                  <c:v>101.68083000111319</c:v>
                </c:pt>
                <c:pt idx="5">
                  <c:v>79.905869411645696</c:v>
                </c:pt>
                <c:pt idx="6">
                  <c:v>132.31411006814579</c:v>
                </c:pt>
                <c:pt idx="7">
                  <c:v>127.2730521096818</c:v>
                </c:pt>
                <c:pt idx="8">
                  <c:v>132.2762620522611</c:v>
                </c:pt>
                <c:pt idx="9">
                  <c:v>127.9636688797294</c:v>
                </c:pt>
                <c:pt idx="10">
                  <c:v>128.07419723885201</c:v>
                </c:pt>
                <c:pt idx="11">
                  <c:v>115.1984655163799</c:v>
                </c:pt>
                <c:pt idx="12">
                  <c:v>105.3289308871513</c:v>
                </c:pt>
                <c:pt idx="13">
                  <c:v>97.568210492077498</c:v>
                </c:pt>
                <c:pt idx="14">
                  <c:v>109.1</c:v>
                </c:pt>
                <c:pt idx="15">
                  <c:v>68.7</c:v>
                </c:pt>
                <c:pt idx="16">
                  <c:v>87.4</c:v>
                </c:pt>
                <c:pt idx="17">
                  <c:v>115.2</c:v>
                </c:pt>
                <c:pt idx="18">
                  <c:v>118</c:v>
                </c:pt>
                <c:pt idx="19">
                  <c:v>110.7</c:v>
                </c:pt>
                <c:pt idx="20">
                  <c:v>122.1</c:v>
                </c:pt>
              </c:numCache>
              <c:extLst/>
            </c:numRef>
          </c:val>
          <c:smooth val="0"/>
          <c:extLst>
            <c:ext xmlns:c16="http://schemas.microsoft.com/office/drawing/2014/chart" uri="{C3380CC4-5D6E-409C-BE32-E72D297353CC}">
              <c16:uniqueId val="{00000000-F10B-4BAD-B6C5-B32F49E3F10B}"/>
            </c:ext>
          </c:extLst>
        </c:ser>
        <c:ser>
          <c:idx val="1"/>
          <c:order val="1"/>
          <c:tx>
            <c:strRef>
              <c:f>'Prerađivačka_6 graf'!$AI$7</c:f>
              <c:strCache>
                <c:ptCount val="1"/>
                <c:pt idx="0">
                  <c:v>sa</c:v>
                </c:pt>
              </c:strCache>
            </c:strRef>
          </c:tx>
          <c:spPr>
            <a:ln w="22225" cap="rnd">
              <a:solidFill>
                <a:srgbClr val="25AAE1"/>
              </a:solidFill>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graf'!$T$32:$T$64</c:f>
              <c:numCache>
                <c:formatCode>0.0</c:formatCode>
                <c:ptCount val="21"/>
                <c:pt idx="0">
                  <c:v>120.00204825881815</c:v>
                </c:pt>
                <c:pt idx="1">
                  <c:v>123.96454747708049</c:v>
                </c:pt>
                <c:pt idx="2">
                  <c:v>11.724009426334634</c:v>
                </c:pt>
                <c:pt idx="3">
                  <c:v>40.295640201299676</c:v>
                </c:pt>
                <c:pt idx="4">
                  <c:v>101.80607784751354</c:v>
                </c:pt>
                <c:pt idx="5">
                  <c:v>79.467685060646929</c:v>
                </c:pt>
                <c:pt idx="6">
                  <c:v>119.93562658174318</c:v>
                </c:pt>
                <c:pt idx="7">
                  <c:v>117.67220380337083</c:v>
                </c:pt>
                <c:pt idx="8">
                  <c:v>117.85505368522085</c:v>
                </c:pt>
                <c:pt idx="9">
                  <c:v>117.61140073386125</c:v>
                </c:pt>
                <c:pt idx="10">
                  <c:v>117.55619389604189</c:v>
                </c:pt>
                <c:pt idx="11">
                  <c:v>117.27446701754904</c:v>
                </c:pt>
                <c:pt idx="12">
                  <c:v>115.25096649669226</c:v>
                </c:pt>
                <c:pt idx="13">
                  <c:v>114.85390776685198</c:v>
                </c:pt>
                <c:pt idx="14">
                  <c:v>120.68203542821153</c:v>
                </c:pt>
                <c:pt idx="15">
                  <c:v>75.927634610340121</c:v>
                </c:pt>
                <c:pt idx="16">
                  <c:v>88.81725231412878</c:v>
                </c:pt>
                <c:pt idx="17">
                  <c:v>114.853831317211</c:v>
                </c:pt>
                <c:pt idx="18">
                  <c:v>106.2619614132212</c:v>
                </c:pt>
                <c:pt idx="19">
                  <c:v>102.48772140864665</c:v>
                </c:pt>
                <c:pt idx="20">
                  <c:v>107.69615140452609</c:v>
                </c:pt>
              </c:numCache>
              <c:extLst/>
            </c:numRef>
          </c:val>
          <c:smooth val="0"/>
          <c:extLst>
            <c:ext xmlns:c16="http://schemas.microsoft.com/office/drawing/2014/chart" uri="{C3380CC4-5D6E-409C-BE32-E72D297353CC}">
              <c16:uniqueId val="{00000001-F10B-4BAD-B6C5-B32F49E3F10B}"/>
            </c:ext>
          </c:extLst>
        </c:ser>
        <c:ser>
          <c:idx val="2"/>
          <c:order val="2"/>
          <c:tx>
            <c:strRef>
              <c:f>'Prerađivačka_6 graf'!$AJ$7</c:f>
              <c:strCache>
                <c:ptCount val="1"/>
                <c:pt idx="0">
                  <c:v>t</c:v>
                </c:pt>
              </c:strCache>
            </c:strRef>
          </c:tx>
          <c:spPr>
            <a:ln w="25400" cap="rnd">
              <a:solidFill>
                <a:srgbClr val="FF0000"/>
              </a:solidFill>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graf'!$U$32:$U$64</c:f>
              <c:numCache>
                <c:formatCode>0.0</c:formatCode>
                <c:ptCount val="21"/>
                <c:pt idx="0">
                  <c:v>120.30950128272275</c:v>
                </c:pt>
                <c:pt idx="1">
                  <c:v>122.76212430937048</c:v>
                </c:pt>
                <c:pt idx="2">
                  <c:v>125.57687706762732</c:v>
                </c:pt>
                <c:pt idx="3">
                  <c:v>127.99952621286964</c:v>
                </c:pt>
                <c:pt idx="4">
                  <c:v>129.5781355526523</c:v>
                </c:pt>
                <c:pt idx="5">
                  <c:v>130.03902312048317</c:v>
                </c:pt>
                <c:pt idx="6">
                  <c:v>129.30318747448848</c:v>
                </c:pt>
                <c:pt idx="7">
                  <c:v>127.71049356752144</c:v>
                </c:pt>
                <c:pt idx="8">
                  <c:v>125.67128131820607</c:v>
                </c:pt>
                <c:pt idx="9">
                  <c:v>123.46014160505705</c:v>
                </c:pt>
                <c:pt idx="10">
                  <c:v>121.19147884817389</c:v>
                </c:pt>
                <c:pt idx="11">
                  <c:v>118.70549603260336</c:v>
                </c:pt>
                <c:pt idx="12">
                  <c:v>115.79736433761742</c:v>
                </c:pt>
                <c:pt idx="13">
                  <c:v>112.43623685900741</c:v>
                </c:pt>
                <c:pt idx="14">
                  <c:v>108.8195003191757</c:v>
                </c:pt>
                <c:pt idx="15">
                  <c:v>105.68495432832782</c:v>
                </c:pt>
                <c:pt idx="16">
                  <c:v>103.6499369395529</c:v>
                </c:pt>
                <c:pt idx="17">
                  <c:v>102.85944326810861</c:v>
                </c:pt>
                <c:pt idx="18">
                  <c:v>103.1998786511577</c:v>
                </c:pt>
                <c:pt idx="19">
                  <c:v>104.354082838268</c:v>
                </c:pt>
                <c:pt idx="20">
                  <c:v>105.86973880506351</c:v>
                </c:pt>
              </c:numCache>
              <c:extLst/>
            </c:numRef>
          </c:val>
          <c:smooth val="0"/>
          <c:extLst>
            <c:ext xmlns:c16="http://schemas.microsoft.com/office/drawing/2014/chart" uri="{C3380CC4-5D6E-409C-BE32-E72D297353CC}">
              <c16:uniqueId val="{00000002-F10B-4BAD-B6C5-B32F49E3F10B}"/>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687673611111108"/>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10B-4BAD-B6C5-B32F49E3F10B}"/>
                </c:ext>
              </c:extLst>
            </c:dLbl>
            <c:dLbl>
              <c:idx val="12"/>
              <c:layout>
                <c:manualLayout>
                  <c:x val="0.11174670686467635"/>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10B-4BAD-B6C5-B32F49E3F10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graf'!$Q$32:$Q$64</c:f>
              <c:numCache>
                <c:formatCode>General</c:formatCode>
                <c:ptCount val="21"/>
                <c:pt idx="0">
                  <c:v>40</c:v>
                </c:pt>
                <c:pt idx="12">
                  <c:v>40</c:v>
                </c:pt>
              </c:numCache>
              <c:extLst/>
            </c:numRef>
          </c:val>
          <c:smooth val="0"/>
          <c:extLst>
            <c:ext xmlns:c16="http://schemas.microsoft.com/office/drawing/2014/chart" uri="{C3380CC4-5D6E-409C-BE32-E72D297353CC}">
              <c16:uniqueId val="{00000005-F10B-4BAD-B6C5-B32F49E3F10B}"/>
            </c:ext>
          </c:extLst>
        </c:ser>
        <c:dLbls>
          <c:showLegendKey val="0"/>
          <c:showVal val="0"/>
          <c:showCatName val="0"/>
          <c:showSerName val="0"/>
          <c:showPercent val="0"/>
          <c:showBubbleSize val="0"/>
        </c:dLbls>
        <c:marker val="1"/>
        <c:smooth val="0"/>
        <c:axId val="335855392"/>
        <c:axId val="335863008"/>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graf'!$R$32:$R$64</c:f>
              <c:numCache>
                <c:formatCode>General</c:formatCode>
                <c:ptCount val="21"/>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numCache>
              <c:extLst/>
            </c:numRef>
          </c:val>
          <c:smooth val="0"/>
          <c:extLst>
            <c:ext xmlns:c16="http://schemas.microsoft.com/office/drawing/2014/chart" uri="{C3380CC4-5D6E-409C-BE32-E72D297353CC}">
              <c16:uniqueId val="{00000006-F10B-4BAD-B6C5-B32F49E3F10B}"/>
            </c:ext>
          </c:extLst>
        </c:ser>
        <c:dLbls>
          <c:showLegendKey val="0"/>
          <c:showVal val="0"/>
          <c:showCatName val="0"/>
          <c:showSerName val="0"/>
          <c:showPercent val="0"/>
          <c:showBubbleSize val="0"/>
        </c:dLbls>
        <c:marker val="1"/>
        <c:smooth val="0"/>
        <c:axId val="335863552"/>
        <c:axId val="335847232"/>
      </c:lineChart>
      <c:dateAx>
        <c:axId val="33585539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63008"/>
        <c:crosses val="autoZero"/>
        <c:auto val="1"/>
        <c:lblOffset val="0"/>
        <c:baseTimeUnit val="months"/>
        <c:majorUnit val="12"/>
        <c:majorTimeUnit val="months"/>
      </c:dateAx>
      <c:valAx>
        <c:axId val="335863008"/>
        <c:scaling>
          <c:orientation val="minMax"/>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55392"/>
        <c:crosses val="autoZero"/>
        <c:crossBetween val="midCat"/>
      </c:valAx>
      <c:valAx>
        <c:axId val="335847232"/>
        <c:scaling>
          <c:orientation val="minMax"/>
          <c:max val="120"/>
          <c:min val="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63552"/>
        <c:crosses val="max"/>
        <c:crossBetween val="midCat"/>
        <c:majorUnit val="20"/>
      </c:valAx>
      <c:catAx>
        <c:axId val="33586355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7232"/>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graf'!$AF$32:$AF$64</c:f>
              <c:numCache>
                <c:formatCode>0.0</c:formatCode>
                <c:ptCount val="21"/>
                <c:pt idx="0">
                  <c:v>86.947554013450301</c:v>
                </c:pt>
                <c:pt idx="1">
                  <c:v>91.645948880208294</c:v>
                </c:pt>
                <c:pt idx="2">
                  <c:v>106.3997729328869</c:v>
                </c:pt>
                <c:pt idx="3">
                  <c:v>80.705546618268102</c:v>
                </c:pt>
                <c:pt idx="4">
                  <c:v>85.654179253067696</c:v>
                </c:pt>
                <c:pt idx="5">
                  <c:v>103.71705137526889</c:v>
                </c:pt>
                <c:pt idx="6">
                  <c:v>114.74680862642781</c:v>
                </c:pt>
                <c:pt idx="7">
                  <c:v>101.6709487052277</c:v>
                </c:pt>
                <c:pt idx="8">
                  <c:v>102.40772252706989</c:v>
                </c:pt>
                <c:pt idx="9">
                  <c:v>119.36820951924619</c:v>
                </c:pt>
                <c:pt idx="10">
                  <c:v>109.60363813374229</c:v>
                </c:pt>
                <c:pt idx="11">
                  <c:v>97.132619415136205</c:v>
                </c:pt>
                <c:pt idx="12">
                  <c:v>97.380908694311401</c:v>
                </c:pt>
                <c:pt idx="13">
                  <c:v>94.545026857937998</c:v>
                </c:pt>
                <c:pt idx="14">
                  <c:v>105.5</c:v>
                </c:pt>
                <c:pt idx="15">
                  <c:v>98.1</c:v>
                </c:pt>
                <c:pt idx="16">
                  <c:v>94.7</c:v>
                </c:pt>
                <c:pt idx="17">
                  <c:v>113.7</c:v>
                </c:pt>
                <c:pt idx="18">
                  <c:v>118.6</c:v>
                </c:pt>
                <c:pt idx="19">
                  <c:v>115.3</c:v>
                </c:pt>
                <c:pt idx="20">
                  <c:v>102.3</c:v>
                </c:pt>
              </c:numCache>
              <c:extLst/>
            </c:numRef>
          </c:val>
          <c:smooth val="0"/>
          <c:extLst>
            <c:ext xmlns:c16="http://schemas.microsoft.com/office/drawing/2014/chart" uri="{C3380CC4-5D6E-409C-BE32-E72D297353CC}">
              <c16:uniqueId val="{00000000-D868-4AC9-8ED0-1C3537B02F97}"/>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graf'!$AG$32:$AG$64</c:f>
              <c:numCache>
                <c:formatCode>0.0</c:formatCode>
                <c:ptCount val="21"/>
                <c:pt idx="0">
                  <c:v>91.373391499459572</c:v>
                </c:pt>
                <c:pt idx="1">
                  <c:v>94.43132198613344</c:v>
                </c:pt>
                <c:pt idx="2">
                  <c:v>96.228197993840212</c:v>
                </c:pt>
                <c:pt idx="3">
                  <c:v>82.090925895026231</c:v>
                </c:pt>
                <c:pt idx="4">
                  <c:v>87.673524952584515</c:v>
                </c:pt>
                <c:pt idx="5">
                  <c:v>100.068829916986</c:v>
                </c:pt>
                <c:pt idx="6">
                  <c:v>112.79277332974958</c:v>
                </c:pt>
                <c:pt idx="7">
                  <c:v>102.15499106290333</c:v>
                </c:pt>
                <c:pt idx="8">
                  <c:v>105.11221571345045</c:v>
                </c:pt>
                <c:pt idx="9">
                  <c:v>113.19711870926737</c:v>
                </c:pt>
                <c:pt idx="10">
                  <c:v>111.20823119341566</c:v>
                </c:pt>
                <c:pt idx="11">
                  <c:v>99.062972540522892</c:v>
                </c:pt>
                <c:pt idx="12">
                  <c:v>103.27480224400202</c:v>
                </c:pt>
                <c:pt idx="13">
                  <c:v>97.464658713205907</c:v>
                </c:pt>
                <c:pt idx="14">
                  <c:v>96.580827722235682</c:v>
                </c:pt>
                <c:pt idx="15">
                  <c:v>100.7255988325262</c:v>
                </c:pt>
                <c:pt idx="16">
                  <c:v>98.647080162925946</c:v>
                </c:pt>
                <c:pt idx="17">
                  <c:v>108.81187782059601</c:v>
                </c:pt>
                <c:pt idx="18">
                  <c:v>114.99642090112522</c:v>
                </c:pt>
                <c:pt idx="19">
                  <c:v>115.37964212837193</c:v>
                </c:pt>
                <c:pt idx="20">
                  <c:v>104.18148673558822</c:v>
                </c:pt>
              </c:numCache>
              <c:extLst/>
            </c:numRef>
          </c:val>
          <c:smooth val="0"/>
          <c:extLst>
            <c:ext xmlns:c16="http://schemas.microsoft.com/office/drawing/2014/chart" uri="{C3380CC4-5D6E-409C-BE32-E72D297353CC}">
              <c16:uniqueId val="{00000001-D868-4AC9-8ED0-1C3537B02F97}"/>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graf'!$AH$32:$AH$64</c:f>
              <c:numCache>
                <c:formatCode>0.0</c:formatCode>
                <c:ptCount val="21"/>
                <c:pt idx="0">
                  <c:v>95.568480292793922</c:v>
                </c:pt>
                <c:pt idx="1">
                  <c:v>94.25162776240542</c:v>
                </c:pt>
                <c:pt idx="2">
                  <c:v>93.957250609076738</c:v>
                </c:pt>
                <c:pt idx="3">
                  <c:v>94.542399481755098</c:v>
                </c:pt>
                <c:pt idx="4">
                  <c:v>95.87155684296097</c:v>
                </c:pt>
                <c:pt idx="5">
                  <c:v>98.183754109156183</c:v>
                </c:pt>
                <c:pt idx="6">
                  <c:v>101.13009716647045</c:v>
                </c:pt>
                <c:pt idx="7">
                  <c:v>104.17403874219981</c:v>
                </c:pt>
                <c:pt idx="8">
                  <c:v>106.61312937540144</c:v>
                </c:pt>
                <c:pt idx="9">
                  <c:v>107.52581248333418</c:v>
                </c:pt>
                <c:pt idx="10">
                  <c:v>106.68629404057798</c:v>
                </c:pt>
                <c:pt idx="11">
                  <c:v>104.39867240869832</c:v>
                </c:pt>
                <c:pt idx="12">
                  <c:v>101.48595938366469</c:v>
                </c:pt>
                <c:pt idx="13">
                  <c:v>99.123380257119507</c:v>
                </c:pt>
                <c:pt idx="14">
                  <c:v>98.683654071763584</c:v>
                </c:pt>
                <c:pt idx="15">
                  <c:v>100.4560152116582</c:v>
                </c:pt>
                <c:pt idx="16">
                  <c:v>103.57496849969093</c:v>
                </c:pt>
                <c:pt idx="17">
                  <c:v>106.64783933313723</c:v>
                </c:pt>
                <c:pt idx="18">
                  <c:v>108.76373560541045</c:v>
                </c:pt>
                <c:pt idx="19">
                  <c:v>109.57788074859951</c:v>
                </c:pt>
                <c:pt idx="20">
                  <c:v>109.08249584164007</c:v>
                </c:pt>
              </c:numCache>
              <c:extLst/>
            </c:numRef>
          </c:val>
          <c:smooth val="0"/>
          <c:extLst>
            <c:ext xmlns:c16="http://schemas.microsoft.com/office/drawing/2014/chart" uri="{C3380CC4-5D6E-409C-BE32-E72D297353CC}">
              <c16:uniqueId val="{00000002-D868-4AC9-8ED0-1C3537B02F97}"/>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9125590277777776"/>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868-4AC9-8ED0-1C3537B02F97}"/>
                </c:ext>
              </c:extLst>
            </c:dLbl>
            <c:dLbl>
              <c:idx val="12"/>
              <c:layout>
                <c:manualLayout>
                  <c:x val="0.11174674553100906"/>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868-4AC9-8ED0-1C3537B02F9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graf'!$AD$32:$AD$64</c:f>
              <c:numCache>
                <c:formatCode>General</c:formatCode>
                <c:ptCount val="21"/>
                <c:pt idx="0">
                  <c:v>60</c:v>
                </c:pt>
                <c:pt idx="12">
                  <c:v>60</c:v>
                </c:pt>
              </c:numCache>
              <c:extLst/>
            </c:numRef>
          </c:val>
          <c:smooth val="0"/>
          <c:extLst>
            <c:ext xmlns:c16="http://schemas.microsoft.com/office/drawing/2014/chart" uri="{C3380CC4-5D6E-409C-BE32-E72D297353CC}">
              <c16:uniqueId val="{00000005-D868-4AC9-8ED0-1C3537B02F97}"/>
            </c:ext>
          </c:extLst>
        </c:ser>
        <c:dLbls>
          <c:showLegendKey val="0"/>
          <c:showVal val="0"/>
          <c:showCatName val="0"/>
          <c:showSerName val="0"/>
          <c:showPercent val="0"/>
          <c:showBubbleSize val="0"/>
        </c:dLbls>
        <c:marker val="1"/>
        <c:smooth val="0"/>
        <c:axId val="335865728"/>
        <c:axId val="335848320"/>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graf'!$AE$32:$AE$64</c:f>
              <c:numCache>
                <c:formatCode>General</c:formatCode>
                <c:ptCount val="21"/>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numCache>
              <c:extLst/>
            </c:numRef>
          </c:val>
          <c:smooth val="0"/>
          <c:extLst>
            <c:ext xmlns:c16="http://schemas.microsoft.com/office/drawing/2014/chart" uri="{C3380CC4-5D6E-409C-BE32-E72D297353CC}">
              <c16:uniqueId val="{00000006-D868-4AC9-8ED0-1C3537B02F97}"/>
            </c:ext>
          </c:extLst>
        </c:ser>
        <c:dLbls>
          <c:showLegendKey val="0"/>
          <c:showVal val="0"/>
          <c:showCatName val="0"/>
          <c:showSerName val="0"/>
          <c:showPercent val="0"/>
          <c:showBubbleSize val="0"/>
        </c:dLbls>
        <c:marker val="1"/>
        <c:smooth val="0"/>
        <c:axId val="335866272"/>
        <c:axId val="335837984"/>
      </c:lineChart>
      <c:dateAx>
        <c:axId val="33586572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48320"/>
        <c:crosses val="autoZero"/>
        <c:auto val="1"/>
        <c:lblOffset val="0"/>
        <c:baseTimeUnit val="months"/>
        <c:majorUnit val="12"/>
        <c:majorTimeUnit val="months"/>
      </c:dateAx>
      <c:valAx>
        <c:axId val="335848320"/>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65728"/>
        <c:crosses val="autoZero"/>
        <c:crossBetween val="midCat"/>
      </c:valAx>
      <c:valAx>
        <c:axId val="335837984"/>
        <c:scaling>
          <c:orientation val="minMax"/>
          <c:max val="12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66272"/>
        <c:crosses val="max"/>
        <c:crossBetween val="midCat"/>
        <c:majorUnit val="20"/>
      </c:valAx>
      <c:catAx>
        <c:axId val="33586627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37984"/>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7F3F98"/>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graf'!$L$32:$L$64</c:f>
              <c:numCache>
                <c:formatCode>0.0</c:formatCode>
                <c:ptCount val="21"/>
                <c:pt idx="0">
                  <c:v>81.051334010928301</c:v>
                </c:pt>
                <c:pt idx="1">
                  <c:v>84.150469973208104</c:v>
                </c:pt>
                <c:pt idx="2">
                  <c:v>94.152845168786101</c:v>
                </c:pt>
                <c:pt idx="3">
                  <c:v>98.776787198910995</c:v>
                </c:pt>
                <c:pt idx="4">
                  <c:v>108.9572887798039</c:v>
                </c:pt>
                <c:pt idx="5">
                  <c:v>98.639015446470594</c:v>
                </c:pt>
                <c:pt idx="6">
                  <c:v>106.9316591237335</c:v>
                </c:pt>
                <c:pt idx="7">
                  <c:v>78.467939020994606</c:v>
                </c:pt>
                <c:pt idx="8">
                  <c:v>96.768389958507697</c:v>
                </c:pt>
                <c:pt idx="9">
                  <c:v>115.9818348801896</c:v>
                </c:pt>
                <c:pt idx="10">
                  <c:v>115.91383480146899</c:v>
                </c:pt>
                <c:pt idx="11">
                  <c:v>120.208601636998</c:v>
                </c:pt>
                <c:pt idx="12">
                  <c:v>86.826988251875207</c:v>
                </c:pt>
                <c:pt idx="13">
                  <c:v>107.7786150695829</c:v>
                </c:pt>
                <c:pt idx="14">
                  <c:v>108.1</c:v>
                </c:pt>
                <c:pt idx="15">
                  <c:v>112.4</c:v>
                </c:pt>
                <c:pt idx="16">
                  <c:v>124.6</c:v>
                </c:pt>
                <c:pt idx="17">
                  <c:v>115.3</c:v>
                </c:pt>
                <c:pt idx="18">
                  <c:v>102.7</c:v>
                </c:pt>
                <c:pt idx="19">
                  <c:v>87.5</c:v>
                </c:pt>
                <c:pt idx="20">
                  <c:v>100.9</c:v>
                </c:pt>
              </c:numCache>
              <c:extLst/>
            </c:numRef>
          </c:val>
          <c:smooth val="0"/>
          <c:extLst>
            <c:ext xmlns:c16="http://schemas.microsoft.com/office/drawing/2014/chart" uri="{C3380CC4-5D6E-409C-BE32-E72D297353CC}">
              <c16:uniqueId val="{00000000-6DF8-4D5B-BAB0-073F46CF2341}"/>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graf'!$M$32:$M$64</c:f>
              <c:numCache>
                <c:formatCode>0.0</c:formatCode>
                <c:ptCount val="21"/>
                <c:pt idx="0">
                  <c:v>96.397023108655247</c:v>
                </c:pt>
                <c:pt idx="1">
                  <c:v>88.01345903420156</c:v>
                </c:pt>
                <c:pt idx="2">
                  <c:v>94.702348868641096</c:v>
                </c:pt>
                <c:pt idx="3">
                  <c:v>98.754167788266699</c:v>
                </c:pt>
                <c:pt idx="4">
                  <c:v>98.465887063402079</c:v>
                </c:pt>
                <c:pt idx="5">
                  <c:v>96.817750887540114</c:v>
                </c:pt>
                <c:pt idx="6">
                  <c:v>108.08970287215567</c:v>
                </c:pt>
                <c:pt idx="7">
                  <c:v>87.76911212312919</c:v>
                </c:pt>
                <c:pt idx="8">
                  <c:v>99.83915329719224</c:v>
                </c:pt>
                <c:pt idx="9">
                  <c:v>112.79437934041223</c:v>
                </c:pt>
                <c:pt idx="10">
                  <c:v>106.11881189421143</c:v>
                </c:pt>
                <c:pt idx="11">
                  <c:v>108.40997087181914</c:v>
                </c:pt>
                <c:pt idx="12">
                  <c:v>103.90166608183681</c:v>
                </c:pt>
                <c:pt idx="13">
                  <c:v>106.16660669236836</c:v>
                </c:pt>
                <c:pt idx="14">
                  <c:v>108.22974633708165</c:v>
                </c:pt>
                <c:pt idx="15">
                  <c:v>111.86904788765712</c:v>
                </c:pt>
                <c:pt idx="16">
                  <c:v>113.73497414164784</c:v>
                </c:pt>
                <c:pt idx="17">
                  <c:v>111.38778885815887</c:v>
                </c:pt>
                <c:pt idx="18">
                  <c:v>104.12678033873136</c:v>
                </c:pt>
                <c:pt idx="19">
                  <c:v>100.01505056208445</c:v>
                </c:pt>
                <c:pt idx="20">
                  <c:v>103.57667443255299</c:v>
                </c:pt>
              </c:numCache>
              <c:extLst/>
            </c:numRef>
          </c:val>
          <c:smooth val="0"/>
          <c:extLst>
            <c:ext xmlns:c16="http://schemas.microsoft.com/office/drawing/2014/chart" uri="{C3380CC4-5D6E-409C-BE32-E72D297353CC}">
              <c16:uniqueId val="{00000001-6DF8-4D5B-BAB0-073F46CF2341}"/>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graf'!$N$32:$N$64</c:f>
              <c:numCache>
                <c:formatCode>0.0</c:formatCode>
                <c:ptCount val="21"/>
                <c:pt idx="0">
                  <c:v>97.53268760660039</c:v>
                </c:pt>
                <c:pt idx="1">
                  <c:v>96.96686519138953</c:v>
                </c:pt>
                <c:pt idx="2">
                  <c:v>96.779311784069847</c:v>
                </c:pt>
                <c:pt idx="3">
                  <c:v>97.054168424780769</c:v>
                </c:pt>
                <c:pt idx="4">
                  <c:v>97.561248902640116</c:v>
                </c:pt>
                <c:pt idx="5">
                  <c:v>98.238280119362074</c:v>
                </c:pt>
                <c:pt idx="6">
                  <c:v>99.168784825834919</c:v>
                </c:pt>
                <c:pt idx="7">
                  <c:v>100.38072172977064</c:v>
                </c:pt>
                <c:pt idx="8">
                  <c:v>101.80420768525579</c:v>
                </c:pt>
                <c:pt idx="9">
                  <c:v>103.21058363424076</c:v>
                </c:pt>
                <c:pt idx="10">
                  <c:v>104.44883955394069</c:v>
                </c:pt>
                <c:pt idx="11">
                  <c:v>105.51473539798194</c:v>
                </c:pt>
                <c:pt idx="12">
                  <c:v>106.73777334822167</c:v>
                </c:pt>
                <c:pt idx="13">
                  <c:v>108.24487864061226</c:v>
                </c:pt>
                <c:pt idx="14">
                  <c:v>109.58508958223651</c:v>
                </c:pt>
                <c:pt idx="15">
                  <c:v>110.23904172933962</c:v>
                </c:pt>
                <c:pt idx="16">
                  <c:v>109.95958009894684</c:v>
                </c:pt>
                <c:pt idx="17">
                  <c:v>108.58521371189229</c:v>
                </c:pt>
                <c:pt idx="18">
                  <c:v>106.55030283251689</c:v>
                </c:pt>
                <c:pt idx="19">
                  <c:v>104.56165988804057</c:v>
                </c:pt>
                <c:pt idx="20">
                  <c:v>103.38763146102427</c:v>
                </c:pt>
              </c:numCache>
              <c:extLst/>
            </c:numRef>
          </c:val>
          <c:smooth val="0"/>
          <c:extLst>
            <c:ext xmlns:c16="http://schemas.microsoft.com/office/drawing/2014/chart" uri="{C3380CC4-5D6E-409C-BE32-E72D297353CC}">
              <c16:uniqueId val="{00000002-6DF8-4D5B-BAB0-073F46CF2341}"/>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668551770814518"/>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F8-4D5B-BAB0-073F46CF2341}"/>
                </c:ext>
              </c:extLst>
            </c:dLbl>
            <c:dLbl>
              <c:idx val="12"/>
              <c:layout>
                <c:manualLayout>
                  <c:x val="0.11176231632518169"/>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DF8-4D5B-BAB0-073F46CF234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graf'!$J$32:$J$64</c:f>
              <c:numCache>
                <c:formatCode>General</c:formatCode>
                <c:ptCount val="21"/>
                <c:pt idx="0">
                  <c:v>60</c:v>
                </c:pt>
                <c:pt idx="12">
                  <c:v>60</c:v>
                </c:pt>
              </c:numCache>
              <c:extLst/>
            </c:numRef>
          </c:val>
          <c:smooth val="0"/>
          <c:extLst>
            <c:ext xmlns:c16="http://schemas.microsoft.com/office/drawing/2014/chart" uri="{C3380CC4-5D6E-409C-BE32-E72D297353CC}">
              <c16:uniqueId val="{00000005-6DF8-4D5B-BAB0-073F46CF2341}"/>
            </c:ext>
          </c:extLst>
        </c:ser>
        <c:dLbls>
          <c:showLegendKey val="0"/>
          <c:showVal val="0"/>
          <c:showCatName val="0"/>
          <c:showSerName val="0"/>
          <c:showPercent val="0"/>
          <c:showBubbleSize val="0"/>
        </c:dLbls>
        <c:marker val="1"/>
        <c:smooth val="0"/>
        <c:axId val="335840704"/>
        <c:axId val="335839072"/>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graf'!$K$32:$K$64</c:f>
              <c:numCache>
                <c:formatCode>General</c:formatCode>
                <c:ptCount val="21"/>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numCache>
              <c:extLst/>
            </c:numRef>
          </c:val>
          <c:smooth val="0"/>
          <c:extLst>
            <c:ext xmlns:c16="http://schemas.microsoft.com/office/drawing/2014/chart" uri="{C3380CC4-5D6E-409C-BE32-E72D297353CC}">
              <c16:uniqueId val="{00000006-6DF8-4D5B-BAB0-073F46CF2341}"/>
            </c:ext>
          </c:extLst>
        </c:ser>
        <c:dLbls>
          <c:showLegendKey val="0"/>
          <c:showVal val="0"/>
          <c:showCatName val="0"/>
          <c:showSerName val="0"/>
          <c:showPercent val="0"/>
          <c:showBubbleSize val="0"/>
        </c:dLbls>
        <c:marker val="1"/>
        <c:smooth val="0"/>
        <c:axId val="335854848"/>
        <c:axId val="335866816"/>
      </c:lineChart>
      <c:dateAx>
        <c:axId val="33584070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39072"/>
        <c:crosses val="autoZero"/>
        <c:auto val="1"/>
        <c:lblOffset val="0"/>
        <c:baseTimeUnit val="months"/>
        <c:majorUnit val="12"/>
        <c:majorTimeUnit val="months"/>
      </c:dateAx>
      <c:valAx>
        <c:axId val="335839072"/>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0704"/>
        <c:crosses val="autoZero"/>
        <c:crossBetween val="midCat"/>
      </c:valAx>
      <c:valAx>
        <c:axId val="335866816"/>
        <c:scaling>
          <c:orientation val="minMax"/>
          <c:max val="13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54848"/>
        <c:crosses val="max"/>
        <c:crossBetween val="midCat"/>
        <c:majorUnit val="20"/>
      </c:valAx>
      <c:catAx>
        <c:axId val="335854848"/>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6681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graf'!$AH$7</c:f>
              <c:strCache>
                <c:ptCount val="1"/>
                <c:pt idx="0">
                  <c:v>y</c:v>
                </c:pt>
              </c:strCache>
            </c:strRef>
          </c:tx>
          <c:spPr>
            <a:ln w="12700" cap="rnd">
              <a:solidFill>
                <a:srgbClr val="7F3F98"/>
              </a:solidFill>
              <a:prstDash val="sysDash"/>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graf'!$AH$32:$AH$64</c:f>
              <c:numCache>
                <c:formatCode>0.0</c:formatCode>
                <c:ptCount val="21"/>
                <c:pt idx="0">
                  <c:v>80.615212453748796</c:v>
                </c:pt>
                <c:pt idx="1">
                  <c:v>94.891902011971595</c:v>
                </c:pt>
                <c:pt idx="2">
                  <c:v>108.33711132011931</c:v>
                </c:pt>
                <c:pt idx="3">
                  <c:v>100.37687166804631</c:v>
                </c:pt>
                <c:pt idx="4">
                  <c:v>106.7825858997259</c:v>
                </c:pt>
                <c:pt idx="5">
                  <c:v>101.96161239446501</c:v>
                </c:pt>
                <c:pt idx="6">
                  <c:v>109.2222530328081</c:v>
                </c:pt>
                <c:pt idx="7">
                  <c:v>96.339666614644898</c:v>
                </c:pt>
                <c:pt idx="8">
                  <c:v>106.8671404100141</c:v>
                </c:pt>
                <c:pt idx="9">
                  <c:v>108.67634730798611</c:v>
                </c:pt>
                <c:pt idx="10">
                  <c:v>100.8390336819779</c:v>
                </c:pt>
                <c:pt idx="11">
                  <c:v>85.090263204491905</c:v>
                </c:pt>
                <c:pt idx="12">
                  <c:v>85.274408748430304</c:v>
                </c:pt>
                <c:pt idx="13">
                  <c:v>104.2802689409795</c:v>
                </c:pt>
                <c:pt idx="14">
                  <c:v>100.9</c:v>
                </c:pt>
                <c:pt idx="15">
                  <c:v>48.1</c:v>
                </c:pt>
                <c:pt idx="16">
                  <c:v>80.900000000000006</c:v>
                </c:pt>
                <c:pt idx="17">
                  <c:v>92.3</c:v>
                </c:pt>
                <c:pt idx="18">
                  <c:v>99.4</c:v>
                </c:pt>
                <c:pt idx="19">
                  <c:v>96.3</c:v>
                </c:pt>
                <c:pt idx="20">
                  <c:v>111.5</c:v>
                </c:pt>
              </c:numCache>
              <c:extLst/>
            </c:numRef>
          </c:val>
          <c:smooth val="0"/>
          <c:extLst>
            <c:ext xmlns:c16="http://schemas.microsoft.com/office/drawing/2014/chart" uri="{C3380CC4-5D6E-409C-BE32-E72D297353CC}">
              <c16:uniqueId val="{00000000-C3A5-4008-A264-3E7AE5A4EAF9}"/>
            </c:ext>
          </c:extLst>
        </c:ser>
        <c:ser>
          <c:idx val="1"/>
          <c:order val="1"/>
          <c:tx>
            <c:strRef>
              <c:f>'Prerađivačka_6 graf'!$AI$7</c:f>
              <c:strCache>
                <c:ptCount val="1"/>
                <c:pt idx="0">
                  <c:v>sa</c:v>
                </c:pt>
              </c:strCache>
            </c:strRef>
          </c:tx>
          <c:spPr>
            <a:ln w="22225" cap="rnd">
              <a:solidFill>
                <a:srgbClr val="25AAE1"/>
              </a:solidFill>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graf'!$AI$32:$AI$64</c:f>
              <c:numCache>
                <c:formatCode>0.0</c:formatCode>
                <c:ptCount val="21"/>
                <c:pt idx="0">
                  <c:v>97.033606602162479</c:v>
                </c:pt>
                <c:pt idx="1">
                  <c:v>98.31070069494676</c:v>
                </c:pt>
                <c:pt idx="2">
                  <c:v>100.07811653746887</c:v>
                </c:pt>
                <c:pt idx="3">
                  <c:v>104.67493934287211</c:v>
                </c:pt>
                <c:pt idx="4">
                  <c:v>106.24184886691289</c:v>
                </c:pt>
                <c:pt idx="5">
                  <c:v>99.476163418509245</c:v>
                </c:pt>
                <c:pt idx="6">
                  <c:v>101.522638908375</c:v>
                </c:pt>
                <c:pt idx="7">
                  <c:v>97.1070506549908</c:v>
                </c:pt>
                <c:pt idx="8">
                  <c:v>98.293981898340249</c:v>
                </c:pt>
                <c:pt idx="9">
                  <c:v>99.031272784698302</c:v>
                </c:pt>
                <c:pt idx="10">
                  <c:v>101.4482523815405</c:v>
                </c:pt>
                <c:pt idx="11">
                  <c:v>97.164378324387087</c:v>
                </c:pt>
                <c:pt idx="12">
                  <c:v>102.40089820444098</c:v>
                </c:pt>
                <c:pt idx="13">
                  <c:v>100.77543892841419</c:v>
                </c:pt>
                <c:pt idx="14">
                  <c:v>92.164468996904688</c:v>
                </c:pt>
                <c:pt idx="15">
                  <c:v>50.67320223384921</c:v>
                </c:pt>
                <c:pt idx="16">
                  <c:v>82.491051748786404</c:v>
                </c:pt>
                <c:pt idx="17">
                  <c:v>88.440584757751992</c:v>
                </c:pt>
                <c:pt idx="18">
                  <c:v>92.246186990744746</c:v>
                </c:pt>
                <c:pt idx="19">
                  <c:v>97.824339038595667</c:v>
                </c:pt>
                <c:pt idx="20">
                  <c:v>100.10606267962652</c:v>
                </c:pt>
              </c:numCache>
              <c:extLst/>
            </c:numRef>
          </c:val>
          <c:smooth val="0"/>
          <c:extLst>
            <c:ext xmlns:c16="http://schemas.microsoft.com/office/drawing/2014/chart" uri="{C3380CC4-5D6E-409C-BE32-E72D297353CC}">
              <c16:uniqueId val="{00000001-C3A5-4008-A264-3E7AE5A4EAF9}"/>
            </c:ext>
          </c:extLst>
        </c:ser>
        <c:ser>
          <c:idx val="2"/>
          <c:order val="2"/>
          <c:tx>
            <c:strRef>
              <c:f>'Prerađivačka_6 graf'!$AJ$7</c:f>
              <c:strCache>
                <c:ptCount val="1"/>
                <c:pt idx="0">
                  <c:v>t</c:v>
                </c:pt>
              </c:strCache>
            </c:strRef>
          </c:tx>
          <c:spPr>
            <a:ln w="25400" cap="rnd">
              <a:solidFill>
                <a:srgbClr val="FF0000"/>
              </a:solidFill>
              <a:round/>
            </a:ln>
            <a:effectLst/>
          </c:spPr>
          <c:marker>
            <c:symbol val="none"/>
          </c:marker>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graf'!$AJ$32:$AJ$64</c:f>
              <c:numCache>
                <c:formatCode>0.0</c:formatCode>
                <c:ptCount val="21"/>
                <c:pt idx="0">
                  <c:v>97.11715082343494</c:v>
                </c:pt>
                <c:pt idx="1">
                  <c:v>99.011317261486568</c:v>
                </c:pt>
                <c:pt idx="2">
                  <c:v>100.96699499039136</c:v>
                </c:pt>
                <c:pt idx="3">
                  <c:v>102.29802429972339</c:v>
                </c:pt>
                <c:pt idx="4">
                  <c:v>102.58423053855891</c:v>
                </c:pt>
                <c:pt idx="5">
                  <c:v>101.91672015118928</c:v>
                </c:pt>
                <c:pt idx="6">
                  <c:v>100.83904321875556</c:v>
                </c:pt>
                <c:pt idx="7">
                  <c:v>99.923561384574199</c:v>
                </c:pt>
                <c:pt idx="8">
                  <c:v>99.320037600976576</c:v>
                </c:pt>
                <c:pt idx="9">
                  <c:v>98.912365487284632</c:v>
                </c:pt>
                <c:pt idx="10">
                  <c:v>98.248577873558219</c:v>
                </c:pt>
                <c:pt idx="11">
                  <c:v>96.694959157142449</c:v>
                </c:pt>
                <c:pt idx="12">
                  <c:v>94.107056314202225</c:v>
                </c:pt>
                <c:pt idx="13">
                  <c:v>90.97931969234692</c:v>
                </c:pt>
                <c:pt idx="14">
                  <c:v>88.133693884145345</c:v>
                </c:pt>
                <c:pt idx="15">
                  <c:v>86.661862185083493</c:v>
                </c:pt>
                <c:pt idx="16">
                  <c:v>87.073231853177617</c:v>
                </c:pt>
                <c:pt idx="17">
                  <c:v>89.15738287346035</c:v>
                </c:pt>
                <c:pt idx="18">
                  <c:v>92.11284251343406</c:v>
                </c:pt>
                <c:pt idx="19">
                  <c:v>95.100753787222487</c:v>
                </c:pt>
                <c:pt idx="20">
                  <c:v>97.463838978945347</c:v>
                </c:pt>
              </c:numCache>
              <c:extLst/>
            </c:numRef>
          </c:val>
          <c:smooth val="0"/>
          <c:extLst>
            <c:ext xmlns:c16="http://schemas.microsoft.com/office/drawing/2014/chart" uri="{C3380CC4-5D6E-409C-BE32-E72D297353CC}">
              <c16:uniqueId val="{00000002-C3A5-4008-A264-3E7AE5A4EAF9}"/>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7839436787599236"/>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3A5-4008-A264-3E7AE5A4EAF9}"/>
                </c:ext>
              </c:extLst>
            </c:dLbl>
            <c:dLbl>
              <c:idx val="12"/>
              <c:layout>
                <c:manualLayout>
                  <c:x val="0.1118049934581097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3A5-4008-A264-3E7AE5A4EAF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graf'!$C$32:$C$64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graf'!$AF$32:$AF$64</c:f>
              <c:numCache>
                <c:formatCode>General</c:formatCode>
                <c:ptCount val="21"/>
                <c:pt idx="0">
                  <c:v>50</c:v>
                </c:pt>
                <c:pt idx="12">
                  <c:v>50</c:v>
                </c:pt>
              </c:numCache>
              <c:extLst/>
            </c:numRef>
          </c:val>
          <c:smooth val="0"/>
          <c:extLst>
            <c:ext xmlns:c16="http://schemas.microsoft.com/office/drawing/2014/chart" uri="{C3380CC4-5D6E-409C-BE32-E72D297353CC}">
              <c16:uniqueId val="{00000005-C3A5-4008-A264-3E7AE5A4EAF9}"/>
            </c:ext>
          </c:extLst>
        </c:ser>
        <c:dLbls>
          <c:showLegendKey val="0"/>
          <c:showVal val="0"/>
          <c:showCatName val="0"/>
          <c:showSerName val="0"/>
          <c:showPercent val="0"/>
          <c:showBubbleSize val="0"/>
        </c:dLbls>
        <c:marker val="1"/>
        <c:smooth val="0"/>
        <c:axId val="335840160"/>
        <c:axId val="335841248"/>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graf'!$AG$32:$AG$64</c:f>
              <c:numCache>
                <c:formatCode>General</c:formatCode>
                <c:ptCount val="21"/>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numCache>
              <c:extLst/>
            </c:numRef>
          </c:val>
          <c:smooth val="0"/>
          <c:extLst>
            <c:ext xmlns:c16="http://schemas.microsoft.com/office/drawing/2014/chart" uri="{C3380CC4-5D6E-409C-BE32-E72D297353CC}">
              <c16:uniqueId val="{00000006-C3A5-4008-A264-3E7AE5A4EAF9}"/>
            </c:ext>
          </c:extLst>
        </c:ser>
        <c:dLbls>
          <c:showLegendKey val="0"/>
          <c:showVal val="0"/>
          <c:showCatName val="0"/>
          <c:showSerName val="0"/>
          <c:showPercent val="0"/>
          <c:showBubbleSize val="0"/>
        </c:dLbls>
        <c:marker val="1"/>
        <c:smooth val="0"/>
        <c:axId val="335885856"/>
        <c:axId val="335842880"/>
      </c:lineChart>
      <c:dateAx>
        <c:axId val="3358401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41248"/>
        <c:crosses val="autoZero"/>
        <c:auto val="1"/>
        <c:lblOffset val="0"/>
        <c:baseTimeUnit val="months"/>
        <c:majorUnit val="12"/>
        <c:majorTimeUnit val="months"/>
      </c:dateAx>
      <c:valAx>
        <c:axId val="335841248"/>
        <c:scaling>
          <c:orientation val="minMax"/>
          <c:max val="120"/>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0160"/>
        <c:crosses val="autoZero"/>
        <c:crossBetween val="midCat"/>
      </c:valAx>
      <c:valAx>
        <c:axId val="335842880"/>
        <c:scaling>
          <c:orientation val="minMax"/>
          <c:max val="120"/>
          <c:min val="5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5856"/>
        <c:crosses val="max"/>
        <c:crossBetween val="midCat"/>
        <c:majorUnit val="20"/>
      </c:valAx>
      <c:catAx>
        <c:axId val="33588585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42880"/>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graf'!$V$32:$V$64</c:f>
              <c:numCache>
                <c:formatCode>0.0</c:formatCode>
                <c:ptCount val="21"/>
                <c:pt idx="0">
                  <c:v>83.202905978924207</c:v>
                </c:pt>
                <c:pt idx="1">
                  <c:v>87.269643197990106</c:v>
                </c:pt>
                <c:pt idx="2">
                  <c:v>110.6428003675816</c:v>
                </c:pt>
                <c:pt idx="3">
                  <c:v>108.0941437955711</c:v>
                </c:pt>
                <c:pt idx="4">
                  <c:v>116.8183954095348</c:v>
                </c:pt>
                <c:pt idx="5">
                  <c:v>101.53874160899529</c:v>
                </c:pt>
                <c:pt idx="6">
                  <c:v>103.34295107123209</c:v>
                </c:pt>
                <c:pt idx="7">
                  <c:v>74.096442904255497</c:v>
                </c:pt>
                <c:pt idx="8">
                  <c:v>105.9621423651575</c:v>
                </c:pt>
                <c:pt idx="9">
                  <c:v>108.42042320377649</c:v>
                </c:pt>
                <c:pt idx="10">
                  <c:v>100.6407817194717</c:v>
                </c:pt>
                <c:pt idx="11">
                  <c:v>99.970628377509001</c:v>
                </c:pt>
                <c:pt idx="12">
                  <c:v>87.487164508711203</c:v>
                </c:pt>
                <c:pt idx="13">
                  <c:v>80.782715018452294</c:v>
                </c:pt>
                <c:pt idx="14">
                  <c:v>81.599999999999994</c:v>
                </c:pt>
                <c:pt idx="15">
                  <c:v>80.900000000000006</c:v>
                </c:pt>
                <c:pt idx="16">
                  <c:v>82.2</c:v>
                </c:pt>
                <c:pt idx="17">
                  <c:v>86.6</c:v>
                </c:pt>
                <c:pt idx="18">
                  <c:v>88.3</c:v>
                </c:pt>
                <c:pt idx="19">
                  <c:v>86</c:v>
                </c:pt>
                <c:pt idx="20">
                  <c:v>82.7</c:v>
                </c:pt>
              </c:numCache>
              <c:extLst/>
            </c:numRef>
          </c:val>
          <c:smooth val="0"/>
          <c:extLst>
            <c:ext xmlns:c16="http://schemas.microsoft.com/office/drawing/2014/chart" uri="{C3380CC4-5D6E-409C-BE32-E72D297353CC}">
              <c16:uniqueId val="{00000000-B390-4DB4-99E4-A2C8D92FF7AD}"/>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graf'!$W$32:$W$64</c:f>
              <c:numCache>
                <c:formatCode>0.0</c:formatCode>
                <c:ptCount val="21"/>
                <c:pt idx="0">
                  <c:v>94.303950509929265</c:v>
                </c:pt>
                <c:pt idx="1">
                  <c:v>95.633207442064716</c:v>
                </c:pt>
                <c:pt idx="2">
                  <c:v>110.47906892941262</c:v>
                </c:pt>
                <c:pt idx="3">
                  <c:v>104.4943554404695</c:v>
                </c:pt>
                <c:pt idx="4">
                  <c:v>109.34624149863158</c:v>
                </c:pt>
                <c:pt idx="5">
                  <c:v>101.72378739663108</c:v>
                </c:pt>
                <c:pt idx="6">
                  <c:v>98.05681474528042</c:v>
                </c:pt>
                <c:pt idx="7">
                  <c:v>73.223224816118133</c:v>
                </c:pt>
                <c:pt idx="8">
                  <c:v>111.06164588392826</c:v>
                </c:pt>
                <c:pt idx="9">
                  <c:v>101.72240647712495</c:v>
                </c:pt>
                <c:pt idx="10">
                  <c:v>101.57833022710625</c:v>
                </c:pt>
                <c:pt idx="11">
                  <c:v>98.163958808118068</c:v>
                </c:pt>
                <c:pt idx="12">
                  <c:v>98.155778386363068</c:v>
                </c:pt>
                <c:pt idx="13">
                  <c:v>87.640674166247848</c:v>
                </c:pt>
                <c:pt idx="14">
                  <c:v>79.523007158183233</c:v>
                </c:pt>
                <c:pt idx="15">
                  <c:v>78.87950687052809</c:v>
                </c:pt>
                <c:pt idx="16">
                  <c:v>78.693834475864321</c:v>
                </c:pt>
                <c:pt idx="17">
                  <c:v>82.936191146012021</c:v>
                </c:pt>
                <c:pt idx="18">
                  <c:v>84.401329752843239</c:v>
                </c:pt>
                <c:pt idx="19">
                  <c:v>86.603023304281791</c:v>
                </c:pt>
                <c:pt idx="20">
                  <c:v>83.954794891998148</c:v>
                </c:pt>
              </c:numCache>
              <c:extLst/>
            </c:numRef>
          </c:val>
          <c:smooth val="0"/>
          <c:extLst>
            <c:ext xmlns:c16="http://schemas.microsoft.com/office/drawing/2014/chart" uri="{C3380CC4-5D6E-409C-BE32-E72D297353CC}">
              <c16:uniqueId val="{00000001-B390-4DB4-99E4-A2C8D92FF7AD}"/>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graf'!$X$32:$X$64</c:f>
              <c:numCache>
                <c:formatCode>0.0</c:formatCode>
                <c:ptCount val="21"/>
                <c:pt idx="0">
                  <c:v>96.347332519744157</c:v>
                </c:pt>
                <c:pt idx="1">
                  <c:v>99.518964564246303</c:v>
                </c:pt>
                <c:pt idx="2">
                  <c:v>102.57458849996841</c:v>
                </c:pt>
                <c:pt idx="3">
                  <c:v>104.52638050443224</c:v>
                </c:pt>
                <c:pt idx="4">
                  <c:v>104.88944375485376</c:v>
                </c:pt>
                <c:pt idx="5">
                  <c:v>103.82146797312065</c:v>
                </c:pt>
                <c:pt idx="6">
                  <c:v>102.25797889084946</c:v>
                </c:pt>
                <c:pt idx="7">
                  <c:v>101.28288999212529</c:v>
                </c:pt>
                <c:pt idx="8">
                  <c:v>101.18117866442658</c:v>
                </c:pt>
                <c:pt idx="9">
                  <c:v>101.29258911853476</c:v>
                </c:pt>
                <c:pt idx="10">
                  <c:v>100.3525078710158</c:v>
                </c:pt>
                <c:pt idx="11">
                  <c:v>97.685806377398677</c:v>
                </c:pt>
                <c:pt idx="12">
                  <c:v>93.284703226419637</c:v>
                </c:pt>
                <c:pt idx="13">
                  <c:v>88.212349744306351</c:v>
                </c:pt>
                <c:pt idx="14">
                  <c:v>83.851469331942312</c:v>
                </c:pt>
                <c:pt idx="15">
                  <c:v>81.28837012270543</c:v>
                </c:pt>
                <c:pt idx="16">
                  <c:v>80.765323015276081</c:v>
                </c:pt>
                <c:pt idx="17">
                  <c:v>81.605735614012602</c:v>
                </c:pt>
                <c:pt idx="18">
                  <c:v>82.696595695815631</c:v>
                </c:pt>
                <c:pt idx="19">
                  <c:v>83.003781876993955</c:v>
                </c:pt>
                <c:pt idx="20">
                  <c:v>82.23897399228683</c:v>
                </c:pt>
              </c:numCache>
              <c:extLst/>
            </c:numRef>
          </c:val>
          <c:smooth val="0"/>
          <c:extLst>
            <c:ext xmlns:c16="http://schemas.microsoft.com/office/drawing/2014/chart" uri="{C3380CC4-5D6E-409C-BE32-E72D297353CC}">
              <c16:uniqueId val="{00000002-B390-4DB4-99E4-A2C8D92FF7AD}"/>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221323960407276"/>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390-4DB4-99E4-A2C8D92FF7AD}"/>
                </c:ext>
              </c:extLst>
            </c:dLbl>
            <c:dLbl>
              <c:idx val="12"/>
              <c:layout>
                <c:manualLayout>
                  <c:x val="0.11174674553100906"/>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390-4DB4-99E4-A2C8D92FF7A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graf'!$T$32:$T$64</c:f>
              <c:numCache>
                <c:formatCode>General</c:formatCode>
                <c:ptCount val="21"/>
                <c:pt idx="0">
                  <c:v>60</c:v>
                </c:pt>
                <c:pt idx="12">
                  <c:v>60</c:v>
                </c:pt>
              </c:numCache>
              <c:extLst/>
            </c:numRef>
          </c:val>
          <c:smooth val="0"/>
          <c:extLst>
            <c:ext xmlns:c16="http://schemas.microsoft.com/office/drawing/2014/chart" uri="{C3380CC4-5D6E-409C-BE32-E72D297353CC}">
              <c16:uniqueId val="{00000005-B390-4DB4-99E4-A2C8D92FF7AD}"/>
            </c:ext>
          </c:extLst>
        </c:ser>
        <c:dLbls>
          <c:showLegendKey val="0"/>
          <c:showVal val="0"/>
          <c:showCatName val="0"/>
          <c:showSerName val="0"/>
          <c:showPercent val="0"/>
          <c:showBubbleSize val="0"/>
        </c:dLbls>
        <c:marker val="1"/>
        <c:smooth val="0"/>
        <c:axId val="335876608"/>
        <c:axId val="335886944"/>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graf'!$U$32:$U$64</c:f>
              <c:numCache>
                <c:formatCode>General</c:formatCode>
                <c:ptCount val="21"/>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numCache>
              <c:extLst/>
            </c:numRef>
          </c:val>
          <c:smooth val="0"/>
          <c:extLst>
            <c:ext xmlns:c16="http://schemas.microsoft.com/office/drawing/2014/chart" uri="{C3380CC4-5D6E-409C-BE32-E72D297353CC}">
              <c16:uniqueId val="{00000006-B390-4DB4-99E4-A2C8D92FF7AD}"/>
            </c:ext>
          </c:extLst>
        </c:ser>
        <c:dLbls>
          <c:showLegendKey val="0"/>
          <c:showVal val="0"/>
          <c:showCatName val="0"/>
          <c:showSerName val="0"/>
          <c:showPercent val="0"/>
          <c:showBubbleSize val="0"/>
        </c:dLbls>
        <c:marker val="1"/>
        <c:smooth val="0"/>
        <c:axId val="335879872"/>
        <c:axId val="335899456"/>
      </c:lineChart>
      <c:dateAx>
        <c:axId val="3358766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86944"/>
        <c:crosses val="autoZero"/>
        <c:auto val="1"/>
        <c:lblOffset val="0"/>
        <c:baseTimeUnit val="months"/>
        <c:majorUnit val="12"/>
        <c:majorTimeUnit val="months"/>
      </c:dateAx>
      <c:valAx>
        <c:axId val="335886944"/>
        <c:scaling>
          <c:orientation val="minMax"/>
          <c:max val="12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6608"/>
        <c:crosses val="autoZero"/>
        <c:crossBetween val="midCat"/>
      </c:valAx>
      <c:valAx>
        <c:axId val="335899456"/>
        <c:scaling>
          <c:orientation val="minMax"/>
          <c:max val="12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9872"/>
        <c:crosses val="max"/>
        <c:crossBetween val="midCat"/>
        <c:majorUnit val="10"/>
      </c:valAx>
      <c:catAx>
        <c:axId val="33587987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945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7F3F98"/>
              </a:solidFill>
              <a:prstDash val="sysDash"/>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graf'!$AK$32:$AK$64</c:f>
              <c:numCache>
                <c:formatCode>0.0</c:formatCode>
                <c:ptCount val="21"/>
                <c:pt idx="0">
                  <c:v>95.251898068190897</c:v>
                </c:pt>
                <c:pt idx="1">
                  <c:v>108.53624065754001</c:v>
                </c:pt>
                <c:pt idx="2">
                  <c:v>110.905349574384</c:v>
                </c:pt>
                <c:pt idx="3">
                  <c:v>113.96234241135529</c:v>
                </c:pt>
                <c:pt idx="4">
                  <c:v>126.51447133511201</c:v>
                </c:pt>
                <c:pt idx="5">
                  <c:v>107.7636051418054</c:v>
                </c:pt>
                <c:pt idx="6">
                  <c:v>78.322110010333702</c:v>
                </c:pt>
                <c:pt idx="7">
                  <c:v>66.389808135319001</c:v>
                </c:pt>
                <c:pt idx="8">
                  <c:v>107.879840239016</c:v>
                </c:pt>
                <c:pt idx="9">
                  <c:v>110.98313725314929</c:v>
                </c:pt>
                <c:pt idx="10">
                  <c:v>98.685517257474402</c:v>
                </c:pt>
                <c:pt idx="11">
                  <c:v>74.805679916319804</c:v>
                </c:pt>
                <c:pt idx="12">
                  <c:v>95.017292168445294</c:v>
                </c:pt>
                <c:pt idx="13">
                  <c:v>102.8608649933296</c:v>
                </c:pt>
                <c:pt idx="14">
                  <c:v>82.6</c:v>
                </c:pt>
                <c:pt idx="15">
                  <c:v>18</c:v>
                </c:pt>
                <c:pt idx="16">
                  <c:v>36.200000000000003</c:v>
                </c:pt>
                <c:pt idx="17">
                  <c:v>57</c:v>
                </c:pt>
                <c:pt idx="18">
                  <c:v>77.099999999999994</c:v>
                </c:pt>
                <c:pt idx="19">
                  <c:v>62.4</c:v>
                </c:pt>
                <c:pt idx="20">
                  <c:v>105.4</c:v>
                </c:pt>
              </c:numCache>
              <c:extLst/>
            </c:numRef>
          </c:val>
          <c:smooth val="0"/>
          <c:extLst>
            <c:ext xmlns:c16="http://schemas.microsoft.com/office/drawing/2014/chart" uri="{C3380CC4-5D6E-409C-BE32-E72D297353CC}">
              <c16:uniqueId val="{00000000-714B-4DDB-A86B-B6902D744641}"/>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graf'!$AL$32:$AL$64</c:f>
              <c:numCache>
                <c:formatCode>0.0</c:formatCode>
                <c:ptCount val="21"/>
                <c:pt idx="0">
                  <c:v>93.11257102688954</c:v>
                </c:pt>
                <c:pt idx="1">
                  <c:v>93.116560599089283</c:v>
                </c:pt>
                <c:pt idx="2">
                  <c:v>97.268137923069162</c:v>
                </c:pt>
                <c:pt idx="3">
                  <c:v>106.63282406274253</c:v>
                </c:pt>
                <c:pt idx="4">
                  <c:v>115.07569607321331</c:v>
                </c:pt>
                <c:pt idx="5">
                  <c:v>111.17288206755137</c:v>
                </c:pt>
                <c:pt idx="6">
                  <c:v>98.517556104530726</c:v>
                </c:pt>
                <c:pt idx="7">
                  <c:v>91.815417911723586</c:v>
                </c:pt>
                <c:pt idx="8">
                  <c:v>94.303478939425005</c:v>
                </c:pt>
                <c:pt idx="9">
                  <c:v>100.76872228680649</c:v>
                </c:pt>
                <c:pt idx="10">
                  <c:v>102.20577182803079</c:v>
                </c:pt>
                <c:pt idx="11">
                  <c:v>93.209699257618951</c:v>
                </c:pt>
                <c:pt idx="12">
                  <c:v>91.986671794475129</c:v>
                </c:pt>
                <c:pt idx="13">
                  <c:v>83.626608161629278</c:v>
                </c:pt>
                <c:pt idx="14">
                  <c:v>69.681097236903426</c:v>
                </c:pt>
                <c:pt idx="15">
                  <c:v>17.466181799129824</c:v>
                </c:pt>
                <c:pt idx="16">
                  <c:v>35.282702460217656</c:v>
                </c:pt>
                <c:pt idx="17">
                  <c:v>54.666786761011274</c:v>
                </c:pt>
                <c:pt idx="18">
                  <c:v>96.532530472879685</c:v>
                </c:pt>
                <c:pt idx="19">
                  <c:v>88.938796305352653</c:v>
                </c:pt>
                <c:pt idx="20">
                  <c:v>86.788638226573454</c:v>
                </c:pt>
              </c:numCache>
              <c:extLst/>
            </c:numRef>
          </c:val>
          <c:smooth val="0"/>
          <c:extLst>
            <c:ext xmlns:c16="http://schemas.microsoft.com/office/drawing/2014/chart" uri="{C3380CC4-5D6E-409C-BE32-E72D297353CC}">
              <c16:uniqueId val="{00000001-714B-4DDB-A86B-B6902D744641}"/>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graf'!$AM$32:$AM$64</c:f>
              <c:numCache>
                <c:formatCode>0.0</c:formatCode>
                <c:ptCount val="21"/>
                <c:pt idx="0">
                  <c:v>93.965354202091618</c:v>
                </c:pt>
                <c:pt idx="1">
                  <c:v>96.887611737460688</c:v>
                </c:pt>
                <c:pt idx="2">
                  <c:v>101.13590118791564</c:v>
                </c:pt>
                <c:pt idx="3">
                  <c:v>104.68410684779839</c:v>
                </c:pt>
                <c:pt idx="4">
                  <c:v>106.05756007897025</c:v>
                </c:pt>
                <c:pt idx="5">
                  <c:v>105.24430365786026</c:v>
                </c:pt>
                <c:pt idx="6">
                  <c:v>102.82078362406283</c:v>
                </c:pt>
                <c:pt idx="7">
                  <c:v>100.13740151534117</c:v>
                </c:pt>
                <c:pt idx="8">
                  <c:v>98.347564430891296</c:v>
                </c:pt>
                <c:pt idx="9">
                  <c:v>97.670725448884525</c:v>
                </c:pt>
                <c:pt idx="10">
                  <c:v>96.863068517605683</c:v>
                </c:pt>
                <c:pt idx="11">
                  <c:v>94.218768155357452</c:v>
                </c:pt>
                <c:pt idx="12">
                  <c:v>88.445783478590059</c:v>
                </c:pt>
                <c:pt idx="13">
                  <c:v>79.969564228912745</c:v>
                </c:pt>
                <c:pt idx="14">
                  <c:v>71.213360564343986</c:v>
                </c:pt>
                <c:pt idx="15">
                  <c:v>65.139116111243467</c:v>
                </c:pt>
                <c:pt idx="16">
                  <c:v>63.437575236270675</c:v>
                </c:pt>
                <c:pt idx="17">
                  <c:v>65.984846575355334</c:v>
                </c:pt>
                <c:pt idx="18">
                  <c:v>71.217049325755781</c:v>
                </c:pt>
                <c:pt idx="19">
                  <c:v>76.84008213431585</c:v>
                </c:pt>
                <c:pt idx="20">
                  <c:v>80.596179568879336</c:v>
                </c:pt>
              </c:numCache>
              <c:extLst/>
            </c:numRef>
          </c:val>
          <c:smooth val="0"/>
          <c:extLst>
            <c:ext xmlns:c16="http://schemas.microsoft.com/office/drawing/2014/chart" uri="{C3380CC4-5D6E-409C-BE32-E72D297353CC}">
              <c16:uniqueId val="{00000002-714B-4DDB-A86B-B6902D744641}"/>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220981732326061"/>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14B-4DDB-A86B-B6902D744641}"/>
                </c:ext>
              </c:extLst>
            </c:dLbl>
            <c:dLbl>
              <c:idx val="12"/>
              <c:layout>
                <c:manualLayout>
                  <c:x val="0.11276428640714423"/>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14B-4DDB-A86B-B6902D74464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graf'!$A$32:$A$64</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'Prerađivačka_6 graf'!$Y$32:$Y$64</c:f>
              <c:numCache>
                <c:formatCode>General</c:formatCode>
                <c:ptCount val="21"/>
                <c:pt idx="0">
                  <c:v>1</c:v>
                </c:pt>
                <c:pt idx="12">
                  <c:v>1</c:v>
                </c:pt>
              </c:numCache>
              <c:extLst/>
            </c:numRef>
          </c:val>
          <c:smooth val="0"/>
          <c:extLst>
            <c:ext xmlns:c16="http://schemas.microsoft.com/office/drawing/2014/chart" uri="{C3380CC4-5D6E-409C-BE32-E72D297353CC}">
              <c16:uniqueId val="{00000005-714B-4DDB-A86B-B6902D744641}"/>
            </c:ext>
          </c:extLst>
        </c:ser>
        <c:dLbls>
          <c:showLegendKey val="0"/>
          <c:showVal val="0"/>
          <c:showCatName val="0"/>
          <c:showSerName val="0"/>
          <c:showPercent val="0"/>
          <c:showBubbleSize val="0"/>
        </c:dLbls>
        <c:marker val="1"/>
        <c:smooth val="0"/>
        <c:axId val="335900000"/>
        <c:axId val="335889664"/>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graf'!$E$32:$E$64</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'Prerađivačka_6 graf'!$Z$32:$Z$64</c:f>
              <c:numCache>
                <c:formatCode>General</c:formatCode>
                <c:ptCount val="21"/>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numCache>
              <c:extLst/>
            </c:numRef>
          </c:val>
          <c:smooth val="0"/>
          <c:extLst>
            <c:ext xmlns:c16="http://schemas.microsoft.com/office/drawing/2014/chart" uri="{C3380CC4-5D6E-409C-BE32-E72D297353CC}">
              <c16:uniqueId val="{00000006-714B-4DDB-A86B-B6902D744641}"/>
            </c:ext>
          </c:extLst>
        </c:ser>
        <c:dLbls>
          <c:showLegendKey val="0"/>
          <c:showVal val="0"/>
          <c:showCatName val="0"/>
          <c:showSerName val="0"/>
          <c:showPercent val="0"/>
          <c:showBubbleSize val="0"/>
        </c:dLbls>
        <c:marker val="1"/>
        <c:smooth val="0"/>
        <c:axId val="335901088"/>
        <c:axId val="335882048"/>
      </c:lineChart>
      <c:dateAx>
        <c:axId val="3359000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89664"/>
        <c:crosses val="autoZero"/>
        <c:auto val="1"/>
        <c:lblOffset val="0"/>
        <c:baseTimeUnit val="months"/>
        <c:majorUnit val="12"/>
        <c:majorTimeUnit val="months"/>
      </c:dateAx>
      <c:valAx>
        <c:axId val="335889664"/>
        <c:scaling>
          <c:orientation val="minMax"/>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0000"/>
        <c:crosses val="autoZero"/>
        <c:crossBetween val="midCat"/>
      </c:valAx>
      <c:valAx>
        <c:axId val="335882048"/>
        <c:scaling>
          <c:orientation val="minMax"/>
          <c:max val="1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1088"/>
        <c:crosses val="max"/>
        <c:crossBetween val="midCat"/>
        <c:majorUnit val="20"/>
      </c:valAx>
      <c:catAx>
        <c:axId val="335901088"/>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2048"/>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Usluge!$A$114:$A$146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Usluge!$G$114:$G$146</c:f>
              <c:numCache>
                <c:formatCode>0.0</c:formatCode>
                <c:ptCount val="21"/>
                <c:pt idx="0">
                  <c:v>83.766360617000004</c:v>
                </c:pt>
                <c:pt idx="1">
                  <c:v>81.734713811000006</c:v>
                </c:pt>
                <c:pt idx="2">
                  <c:v>94.862277789000004</c:v>
                </c:pt>
                <c:pt idx="3">
                  <c:v>97.831607735999995</c:v>
                </c:pt>
                <c:pt idx="4">
                  <c:v>97.909747998</c:v>
                </c:pt>
                <c:pt idx="5">
                  <c:v>100.566516898</c:v>
                </c:pt>
                <c:pt idx="6">
                  <c:v>104.160968939</c:v>
                </c:pt>
                <c:pt idx="7">
                  <c:v>106.739597578</c:v>
                </c:pt>
                <c:pt idx="8">
                  <c:v>101.504200039</c:v>
                </c:pt>
                <c:pt idx="9">
                  <c:v>108.69310412199999</c:v>
                </c:pt>
                <c:pt idx="10">
                  <c:v>105.880054698</c:v>
                </c:pt>
                <c:pt idx="11">
                  <c:v>116.350849775</c:v>
                </c:pt>
                <c:pt idx="12">
                  <c:v>93.612033600000004</c:v>
                </c:pt>
                <c:pt idx="13">
                  <c:v>92.752490721000001</c:v>
                </c:pt>
                <c:pt idx="14">
                  <c:v>99.941394803999998</c:v>
                </c:pt>
                <c:pt idx="15">
                  <c:v>80.718890407999993</c:v>
                </c:pt>
                <c:pt idx="16">
                  <c:v>102.98886501299999</c:v>
                </c:pt>
                <c:pt idx="17">
                  <c:v>112.287556163</c:v>
                </c:pt>
                <c:pt idx="18">
                  <c:v>109.005665169</c:v>
                </c:pt>
                <c:pt idx="19">
                  <c:v>111.428013284</c:v>
                </c:pt>
                <c:pt idx="20">
                  <c:v>109.24008595399999</c:v>
                </c:pt>
              </c:numCache>
              <c:extLst/>
            </c:numRef>
          </c:val>
          <c:smooth val="0"/>
          <c:extLst>
            <c:ext xmlns:c16="http://schemas.microsoft.com/office/drawing/2014/chart" uri="{C3380CC4-5D6E-409C-BE32-E72D297353CC}">
              <c16:uniqueId val="{00000000-8FB5-4A10-B424-E9CC8446ECCB}"/>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Usluge!$A$114:$A$146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Usluge!$H$114:$H$146</c:f>
              <c:numCache>
                <c:formatCode>0.0</c:formatCode>
                <c:ptCount val="21"/>
                <c:pt idx="0">
                  <c:v>95.001582970000001</c:v>
                </c:pt>
                <c:pt idx="1">
                  <c:v>96.475147176999997</c:v>
                </c:pt>
                <c:pt idx="2">
                  <c:v>99.274711624000005</c:v>
                </c:pt>
                <c:pt idx="3">
                  <c:v>97.340081162999994</c:v>
                </c:pt>
                <c:pt idx="4">
                  <c:v>98.017109628</c:v>
                </c:pt>
                <c:pt idx="5">
                  <c:v>99.872376785</c:v>
                </c:pt>
                <c:pt idx="6">
                  <c:v>100.573372674</c:v>
                </c:pt>
                <c:pt idx="7">
                  <c:v>100.75756768700001</c:v>
                </c:pt>
                <c:pt idx="8">
                  <c:v>100.968116149</c:v>
                </c:pt>
                <c:pt idx="9">
                  <c:v>102.26795093699999</c:v>
                </c:pt>
                <c:pt idx="10">
                  <c:v>105.06899260500001</c:v>
                </c:pt>
                <c:pt idx="11">
                  <c:v>104.710575475</c:v>
                </c:pt>
                <c:pt idx="12">
                  <c:v>106.448106174</c:v>
                </c:pt>
                <c:pt idx="13">
                  <c:v>106.744361639</c:v>
                </c:pt>
                <c:pt idx="14">
                  <c:v>105.028897977</c:v>
                </c:pt>
                <c:pt idx="15">
                  <c:v>79.343424521000003</c:v>
                </c:pt>
                <c:pt idx="16">
                  <c:v>103.51586032500001</c:v>
                </c:pt>
                <c:pt idx="17">
                  <c:v>111.59526605800001</c:v>
                </c:pt>
                <c:pt idx="18">
                  <c:v>104.75300233500001</c:v>
                </c:pt>
                <c:pt idx="19">
                  <c:v>106.153283569</c:v>
                </c:pt>
                <c:pt idx="20">
                  <c:v>108.40396013500001</c:v>
                </c:pt>
              </c:numCache>
              <c:extLst/>
            </c:numRef>
          </c:val>
          <c:smooth val="0"/>
          <c:extLst>
            <c:ext xmlns:c16="http://schemas.microsoft.com/office/drawing/2014/chart" uri="{C3380CC4-5D6E-409C-BE32-E72D297353CC}">
              <c16:uniqueId val="{00000001-8FB5-4A10-B424-E9CC8446ECCB}"/>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Usluge!$A$114:$A$146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Usluge!$I$114:$I$146</c:f>
              <c:numCache>
                <c:formatCode>0.0</c:formatCode>
                <c:ptCount val="21"/>
                <c:pt idx="0">
                  <c:v>95.040154100999999</c:v>
                </c:pt>
                <c:pt idx="1">
                  <c:v>95.914317018000006</c:v>
                </c:pt>
                <c:pt idx="2">
                  <c:v>96.855412209999997</c:v>
                </c:pt>
                <c:pt idx="3">
                  <c:v>97.755495965999998</c:v>
                </c:pt>
                <c:pt idx="4">
                  <c:v>98.543327988000001</c:v>
                </c:pt>
                <c:pt idx="5">
                  <c:v>99.281651699999998</c:v>
                </c:pt>
                <c:pt idx="6">
                  <c:v>100.03636822199999</c:v>
                </c:pt>
                <c:pt idx="7">
                  <c:v>100.868096485</c:v>
                </c:pt>
                <c:pt idx="8">
                  <c:v>101.857114997</c:v>
                </c:pt>
                <c:pt idx="9">
                  <c:v>102.96225049500001</c:v>
                </c:pt>
                <c:pt idx="10">
                  <c:v>104.063247488</c:v>
                </c:pt>
                <c:pt idx="11">
                  <c:v>105.007988426</c:v>
                </c:pt>
                <c:pt idx="12">
                  <c:v>105.667474505</c:v>
                </c:pt>
                <c:pt idx="13">
                  <c:v>105.994754349</c:v>
                </c:pt>
                <c:pt idx="14">
                  <c:v>106.033892475</c:v>
                </c:pt>
                <c:pt idx="15">
                  <c:v>105.96147055500001</c:v>
                </c:pt>
                <c:pt idx="16">
                  <c:v>105.980085563</c:v>
                </c:pt>
                <c:pt idx="17">
                  <c:v>106.20246234699999</c:v>
                </c:pt>
                <c:pt idx="18">
                  <c:v>106.614457945</c:v>
                </c:pt>
                <c:pt idx="19">
                  <c:v>107.15623364</c:v>
                </c:pt>
                <c:pt idx="20">
                  <c:v>107.66408786</c:v>
                </c:pt>
              </c:numCache>
              <c:extLst/>
            </c:numRef>
          </c:val>
          <c:smooth val="0"/>
          <c:extLst>
            <c:ext xmlns:c16="http://schemas.microsoft.com/office/drawing/2014/chart" uri="{C3380CC4-5D6E-409C-BE32-E72D297353CC}">
              <c16:uniqueId val="{00000002-8FB5-4A10-B424-E9CC8446ECCB}"/>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23251977738389"/>
                  <c:y val="4.630780780780780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B5-4A10-B424-E9CC8446ECCB}"/>
                </c:ext>
              </c:extLst>
            </c:dLbl>
            <c:dLbl>
              <c:idx val="12"/>
              <c:layout>
                <c:manualLayout>
                  <c:x val="0.11169586370736224"/>
                  <c:y val="4.875450450450450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FB5-4A10-B424-E9CC8446ECC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Usluge!$A$114:$A$146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Usluge!$B$114:$B$146</c:f>
              <c:numCache>
                <c:formatCode>General</c:formatCode>
                <c:ptCount val="21"/>
                <c:pt idx="0">
                  <c:v>70</c:v>
                </c:pt>
                <c:pt idx="12">
                  <c:v>70</c:v>
                </c:pt>
              </c:numCache>
              <c:extLst/>
            </c:numRef>
          </c:val>
          <c:smooth val="0"/>
          <c:extLst>
            <c:ext xmlns:c16="http://schemas.microsoft.com/office/drawing/2014/chart" uri="{C3380CC4-5D6E-409C-BE32-E72D297353CC}">
              <c16:uniqueId val="{00000005-8FB5-4A10-B424-E9CC8446ECCB}"/>
            </c:ext>
          </c:extLst>
        </c:ser>
        <c:dLbls>
          <c:showLegendKey val="0"/>
          <c:showVal val="0"/>
          <c:showCatName val="0"/>
          <c:showSerName val="0"/>
          <c:showPercent val="0"/>
          <c:showBubbleSize val="0"/>
        </c:dLbls>
        <c:marker val="1"/>
        <c:smooth val="0"/>
        <c:axId val="335882592"/>
        <c:axId val="335883680"/>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Usluge!$E$114:$E$146</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Usluge!$C$114:$C$146</c:f>
              <c:numCache>
                <c:formatCode>General</c:formatCode>
                <c:ptCount val="21"/>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numCache>
              <c:extLst/>
            </c:numRef>
          </c:val>
          <c:smooth val="0"/>
          <c:extLst>
            <c:ext xmlns:c16="http://schemas.microsoft.com/office/drawing/2014/chart" uri="{C3380CC4-5D6E-409C-BE32-E72D297353CC}">
              <c16:uniqueId val="{00000006-8FB5-4A10-B424-E9CC8446ECCB}"/>
            </c:ext>
          </c:extLst>
        </c:ser>
        <c:dLbls>
          <c:showLegendKey val="0"/>
          <c:showVal val="0"/>
          <c:showCatName val="0"/>
          <c:showSerName val="0"/>
          <c:showPercent val="0"/>
          <c:showBubbleSize val="0"/>
        </c:dLbls>
        <c:marker val="1"/>
        <c:smooth val="0"/>
        <c:axId val="335890752"/>
        <c:axId val="335878240"/>
      </c:lineChart>
      <c:dateAx>
        <c:axId val="33588259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83680"/>
        <c:crosses val="autoZero"/>
        <c:auto val="1"/>
        <c:lblOffset val="0"/>
        <c:baseTimeUnit val="months"/>
      </c:dateAx>
      <c:valAx>
        <c:axId val="335883680"/>
        <c:scaling>
          <c:orientation val="minMax"/>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2592"/>
        <c:crosses val="autoZero"/>
        <c:crossBetween val="midCat"/>
      </c:valAx>
      <c:valAx>
        <c:axId val="335878240"/>
        <c:scaling>
          <c:orientation val="minMax"/>
          <c:max val="12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0752"/>
        <c:crosses val="max"/>
        <c:crossBetween val="midCat"/>
      </c:valAx>
      <c:catAx>
        <c:axId val="33589075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8240"/>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Usluge!$A$114:$A$145</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numRef>
          </c:cat>
          <c:val>
            <c:numRef>
              <c:f>Usluge!$O$114:$O$145</c:f>
              <c:numCache>
                <c:formatCode>0.0</c:formatCode>
                <c:ptCount val="20"/>
                <c:pt idx="0">
                  <c:v>87.182166623000001</c:v>
                </c:pt>
                <c:pt idx="1">
                  <c:v>90.930999787000005</c:v>
                </c:pt>
                <c:pt idx="2">
                  <c:v>101.024340764</c:v>
                </c:pt>
                <c:pt idx="3">
                  <c:v>95.164929000000001</c:v>
                </c:pt>
                <c:pt idx="4">
                  <c:v>104.6814219</c:v>
                </c:pt>
                <c:pt idx="5">
                  <c:v>104.786103321</c:v>
                </c:pt>
                <c:pt idx="6">
                  <c:v>105.3</c:v>
                </c:pt>
                <c:pt idx="7">
                  <c:v>106.7</c:v>
                </c:pt>
                <c:pt idx="8">
                  <c:v>109.3</c:v>
                </c:pt>
                <c:pt idx="9">
                  <c:v>100.7</c:v>
                </c:pt>
                <c:pt idx="10">
                  <c:v>90.3</c:v>
                </c:pt>
                <c:pt idx="11">
                  <c:v>103.8</c:v>
                </c:pt>
                <c:pt idx="12">
                  <c:v>112.7</c:v>
                </c:pt>
                <c:pt idx="13">
                  <c:v>112.6</c:v>
                </c:pt>
                <c:pt idx="14">
                  <c:v>67.7</c:v>
                </c:pt>
                <c:pt idx="15">
                  <c:v>18.100000000000001</c:v>
                </c:pt>
                <c:pt idx="16">
                  <c:v>60.1</c:v>
                </c:pt>
                <c:pt idx="17">
                  <c:v>89.3</c:v>
                </c:pt>
                <c:pt idx="18">
                  <c:v>76</c:v>
                </c:pt>
                <c:pt idx="19">
                  <c:v>79.3</c:v>
                </c:pt>
              </c:numCache>
            </c:numRef>
          </c:val>
          <c:smooth val="0"/>
          <c:extLst>
            <c:ext xmlns:c16="http://schemas.microsoft.com/office/drawing/2014/chart" uri="{C3380CC4-5D6E-409C-BE32-E72D297353CC}">
              <c16:uniqueId val="{00000000-804E-4FF5-AF2A-9E01B9036CEE}"/>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Usluge!$A$114:$A$145</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numRef>
          </c:cat>
          <c:val>
            <c:numRef>
              <c:f>Usluge!$P$114:$P$145</c:f>
              <c:numCache>
                <c:formatCode>0.0</c:formatCode>
                <c:ptCount val="20"/>
                <c:pt idx="0">
                  <c:v>94.172845729000002</c:v>
                </c:pt>
                <c:pt idx="1">
                  <c:v>95.688502916999994</c:v>
                </c:pt>
                <c:pt idx="2">
                  <c:v>101.859859476</c:v>
                </c:pt>
                <c:pt idx="3">
                  <c:v>96.927119181999998</c:v>
                </c:pt>
                <c:pt idx="4">
                  <c:v>98.067582290000004</c:v>
                </c:pt>
                <c:pt idx="5">
                  <c:v>99.495657719999997</c:v>
                </c:pt>
                <c:pt idx="6">
                  <c:v>101.00236715200001</c:v>
                </c:pt>
                <c:pt idx="7">
                  <c:v>100.640117718</c:v>
                </c:pt>
                <c:pt idx="8">
                  <c:v>102.29514910899999</c:v>
                </c:pt>
                <c:pt idx="9">
                  <c:v>102.298935558</c:v>
                </c:pt>
                <c:pt idx="10">
                  <c:v>101.927440718</c:v>
                </c:pt>
                <c:pt idx="11">
                  <c:v>105.32359471700001</c:v>
                </c:pt>
                <c:pt idx="12">
                  <c:v>121.908159301</c:v>
                </c:pt>
                <c:pt idx="13">
                  <c:v>118.40417583</c:v>
                </c:pt>
                <c:pt idx="14">
                  <c:v>66.739201457999997</c:v>
                </c:pt>
                <c:pt idx="15">
                  <c:v>18.680675817000001</c:v>
                </c:pt>
                <c:pt idx="16">
                  <c:v>56.427158839000001</c:v>
                </c:pt>
                <c:pt idx="17">
                  <c:v>83.334826608</c:v>
                </c:pt>
                <c:pt idx="18">
                  <c:v>74.168118000000007</c:v>
                </c:pt>
                <c:pt idx="19">
                  <c:v>74.170400459999996</c:v>
                </c:pt>
              </c:numCache>
            </c:numRef>
          </c:val>
          <c:smooth val="0"/>
          <c:extLst>
            <c:ext xmlns:c16="http://schemas.microsoft.com/office/drawing/2014/chart" uri="{C3380CC4-5D6E-409C-BE32-E72D297353CC}">
              <c16:uniqueId val="{00000001-804E-4FF5-AF2A-9E01B9036CEE}"/>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Usluge!$A$114:$A$145</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numRef>
          </c:cat>
          <c:val>
            <c:numRef>
              <c:f>Usluge!$Q$114:$Q$145</c:f>
              <c:numCache>
                <c:formatCode>0.0</c:formatCode>
                <c:ptCount val="20"/>
                <c:pt idx="0">
                  <c:v>94.504744450000004</c:v>
                </c:pt>
                <c:pt idx="1">
                  <c:v>95.371122176</c:v>
                </c:pt>
                <c:pt idx="2">
                  <c:v>96.339361710999995</c:v>
                </c:pt>
                <c:pt idx="3">
                  <c:v>97.371700830999998</c:v>
                </c:pt>
                <c:pt idx="4">
                  <c:v>98.437050799999994</c:v>
                </c:pt>
                <c:pt idx="5">
                  <c:v>99.414734181</c:v>
                </c:pt>
                <c:pt idx="6">
                  <c:v>100.27286351799999</c:v>
                </c:pt>
                <c:pt idx="7">
                  <c:v>101.05190786599999</c:v>
                </c:pt>
                <c:pt idx="8">
                  <c:v>101.76882571599999</c:v>
                </c:pt>
                <c:pt idx="9">
                  <c:v>102.47678837799999</c:v>
                </c:pt>
                <c:pt idx="10">
                  <c:v>103.23749668000001</c:v>
                </c:pt>
                <c:pt idx="11">
                  <c:v>104.079342385</c:v>
                </c:pt>
                <c:pt idx="12">
                  <c:v>104.978415971</c:v>
                </c:pt>
                <c:pt idx="13">
                  <c:v>105.790380818</c:v>
                </c:pt>
                <c:pt idx="14">
                  <c:v>56.799745780999999</c:v>
                </c:pt>
                <c:pt idx="15">
                  <c:v>57.079102786</c:v>
                </c:pt>
                <c:pt idx="16">
                  <c:v>57.383651213</c:v>
                </c:pt>
                <c:pt idx="17">
                  <c:v>57.793523794999999</c:v>
                </c:pt>
                <c:pt idx="18">
                  <c:v>58.355340310000003</c:v>
                </c:pt>
                <c:pt idx="19">
                  <c:v>59.031030637000001</c:v>
                </c:pt>
              </c:numCache>
            </c:numRef>
          </c:val>
          <c:smooth val="0"/>
          <c:extLst>
            <c:ext xmlns:c16="http://schemas.microsoft.com/office/drawing/2014/chart" uri="{C3380CC4-5D6E-409C-BE32-E72D297353CC}">
              <c16:uniqueId val="{00000002-804E-4FF5-AF2A-9E01B9036CEE}"/>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21269012804729087"/>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04E-4FF5-AF2A-9E01B9036CEE}"/>
                </c:ext>
              </c:extLst>
            </c:dLbl>
            <c:dLbl>
              <c:idx val="12"/>
              <c:layout>
                <c:manualLayout>
                  <c:x val="9.8455987021269883E-2"/>
                  <c:y val="4.257882882882883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4E-4FF5-AF2A-9E01B9036CE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Usluge!$A$114:$A$145</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numRef>
          </c:cat>
          <c:val>
            <c:numRef>
              <c:f>Usluge!$AA$114:$AA$145</c:f>
              <c:numCache>
                <c:formatCode>General</c:formatCode>
                <c:ptCount val="20"/>
                <c:pt idx="0">
                  <c:v>1</c:v>
                </c:pt>
                <c:pt idx="12">
                  <c:v>1</c:v>
                </c:pt>
              </c:numCache>
            </c:numRef>
          </c:val>
          <c:smooth val="0"/>
          <c:extLst>
            <c:ext xmlns:c16="http://schemas.microsoft.com/office/drawing/2014/chart" uri="{C3380CC4-5D6E-409C-BE32-E72D297353CC}">
              <c16:uniqueId val="{00000005-804E-4FF5-AF2A-9E01B9036CEE}"/>
            </c:ext>
          </c:extLst>
        </c:ser>
        <c:dLbls>
          <c:showLegendKey val="0"/>
          <c:showVal val="0"/>
          <c:showCatName val="0"/>
          <c:showSerName val="0"/>
          <c:showPercent val="0"/>
          <c:showBubbleSize val="0"/>
        </c:dLbls>
        <c:marker val="1"/>
        <c:smooth val="0"/>
        <c:axId val="335889120"/>
        <c:axId val="335887488"/>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Usluge!$E$114:$E$145</c:f>
              <c:strCache>
                <c:ptCount val="20"/>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strCache>
            </c:strRef>
          </c:cat>
          <c:val>
            <c:numRef>
              <c:f>Usluge!$AB$114:$AB$145</c:f>
              <c:numCache>
                <c:formatCode>General</c:formatCode>
                <c:ptCount val="2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numCache>
            </c:numRef>
          </c:val>
          <c:smooth val="0"/>
          <c:extLst>
            <c:ext xmlns:c16="http://schemas.microsoft.com/office/drawing/2014/chart" uri="{C3380CC4-5D6E-409C-BE32-E72D297353CC}">
              <c16:uniqueId val="{00000006-804E-4FF5-AF2A-9E01B9036CEE}"/>
            </c:ext>
          </c:extLst>
        </c:ser>
        <c:dLbls>
          <c:showLegendKey val="0"/>
          <c:showVal val="0"/>
          <c:showCatName val="0"/>
          <c:showSerName val="0"/>
          <c:showPercent val="0"/>
          <c:showBubbleSize val="0"/>
        </c:dLbls>
        <c:marker val="1"/>
        <c:smooth val="0"/>
        <c:axId val="335901632"/>
        <c:axId val="335874432"/>
      </c:lineChart>
      <c:dateAx>
        <c:axId val="33588912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87488"/>
        <c:crosses val="autoZero"/>
        <c:auto val="1"/>
        <c:lblOffset val="0"/>
        <c:baseTimeUnit val="months"/>
        <c:majorUnit val="12"/>
        <c:majorTimeUnit val="months"/>
      </c:dateAx>
      <c:valAx>
        <c:axId val="335887488"/>
        <c:scaling>
          <c:orientation val="minMax"/>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9120"/>
        <c:crosses val="autoZero"/>
        <c:crossBetween val="midCat"/>
        <c:majorUnit val="20"/>
      </c:valAx>
      <c:valAx>
        <c:axId val="335874432"/>
        <c:scaling>
          <c:orientation val="minMax"/>
          <c:max val="1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1632"/>
        <c:crosses val="max"/>
        <c:crossBetween val="midCat"/>
        <c:majorUnit val="20"/>
      </c:valAx>
      <c:catAx>
        <c:axId val="33590163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4432"/>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Usluge!$Z$114:$Z$146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Usluge!$W$114:$W$146</c:f>
              <c:numCache>
                <c:formatCode>0.0</c:formatCode>
                <c:ptCount val="21"/>
                <c:pt idx="0">
                  <c:v>65.661865094999996</c:v>
                </c:pt>
                <c:pt idx="1">
                  <c:v>72.397295067000002</c:v>
                </c:pt>
                <c:pt idx="2">
                  <c:v>75.626227315999998</c:v>
                </c:pt>
                <c:pt idx="3">
                  <c:v>92.501374177000002</c:v>
                </c:pt>
                <c:pt idx="4">
                  <c:v>116.760477377</c:v>
                </c:pt>
                <c:pt idx="5">
                  <c:v>117.77043449200001</c:v>
                </c:pt>
                <c:pt idx="6">
                  <c:v>136.995357727</c:v>
                </c:pt>
                <c:pt idx="7">
                  <c:v>155.20365274599999</c:v>
                </c:pt>
                <c:pt idx="8">
                  <c:v>107.926152098</c:v>
                </c:pt>
                <c:pt idx="9">
                  <c:v>100.732083898</c:v>
                </c:pt>
                <c:pt idx="10">
                  <c:v>76.726601681999995</c:v>
                </c:pt>
                <c:pt idx="11">
                  <c:v>81.698478324000007</c:v>
                </c:pt>
                <c:pt idx="12">
                  <c:v>82.147705533000007</c:v>
                </c:pt>
                <c:pt idx="13">
                  <c:v>86.930527923</c:v>
                </c:pt>
                <c:pt idx="14">
                  <c:v>41.050623037999998</c:v>
                </c:pt>
                <c:pt idx="15">
                  <c:v>4.9623464960000003</c:v>
                </c:pt>
                <c:pt idx="16">
                  <c:v>20.333517351000001</c:v>
                </c:pt>
                <c:pt idx="17">
                  <c:v>66.732338631000005</c:v>
                </c:pt>
                <c:pt idx="18">
                  <c:v>87.843873193999997</c:v>
                </c:pt>
                <c:pt idx="19">
                  <c:v>128.737487093</c:v>
                </c:pt>
                <c:pt idx="20">
                  <c:v>83.163380735999993</c:v>
                </c:pt>
              </c:numCache>
              <c:extLst/>
            </c:numRef>
          </c:val>
          <c:smooth val="0"/>
          <c:extLst>
            <c:ext xmlns:c16="http://schemas.microsoft.com/office/drawing/2014/chart" uri="{C3380CC4-5D6E-409C-BE32-E72D297353CC}">
              <c16:uniqueId val="{00000000-6C56-4C2B-84F5-B273E045C093}"/>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Usluge!$Z$114:$Z$146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Usluge!$X$114:$X$146</c:f>
              <c:numCache>
                <c:formatCode>0.0</c:formatCode>
                <c:ptCount val="21"/>
                <c:pt idx="0">
                  <c:v>90.591073695999995</c:v>
                </c:pt>
                <c:pt idx="1">
                  <c:v>94.250395827999995</c:v>
                </c:pt>
                <c:pt idx="2">
                  <c:v>96.022069204999994</c:v>
                </c:pt>
                <c:pt idx="3">
                  <c:v>98.183364538999996</c:v>
                </c:pt>
                <c:pt idx="4">
                  <c:v>97.430125193999999</c:v>
                </c:pt>
                <c:pt idx="5">
                  <c:v>100.11876254800001</c:v>
                </c:pt>
                <c:pt idx="6">
                  <c:v>97.575562194</c:v>
                </c:pt>
                <c:pt idx="7">
                  <c:v>97.459749365999997</c:v>
                </c:pt>
                <c:pt idx="8">
                  <c:v>103.612259276</c:v>
                </c:pt>
                <c:pt idx="9">
                  <c:v>105.061628396</c:v>
                </c:pt>
                <c:pt idx="10">
                  <c:v>108.181577855</c:v>
                </c:pt>
                <c:pt idx="11">
                  <c:v>111.36207818</c:v>
                </c:pt>
                <c:pt idx="12">
                  <c:v>113.008148412</c:v>
                </c:pt>
                <c:pt idx="13">
                  <c:v>123.156225983</c:v>
                </c:pt>
                <c:pt idx="14">
                  <c:v>53.355808211000003</c:v>
                </c:pt>
                <c:pt idx="15">
                  <c:v>5.2831175000000004</c:v>
                </c:pt>
                <c:pt idx="16">
                  <c:v>17.130154141999999</c:v>
                </c:pt>
                <c:pt idx="17">
                  <c:v>57.374987679</c:v>
                </c:pt>
                <c:pt idx="18">
                  <c:v>61.890073356999999</c:v>
                </c:pt>
                <c:pt idx="19">
                  <c:v>80.689983136999999</c:v>
                </c:pt>
                <c:pt idx="20">
                  <c:v>79.647523792000001</c:v>
                </c:pt>
              </c:numCache>
              <c:extLst/>
            </c:numRef>
          </c:val>
          <c:smooth val="0"/>
          <c:extLst>
            <c:ext xmlns:c16="http://schemas.microsoft.com/office/drawing/2014/chart" uri="{C3380CC4-5D6E-409C-BE32-E72D297353CC}">
              <c16:uniqueId val="{00000001-6C56-4C2B-84F5-B273E045C093}"/>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Usluge!$Z$114:$Z$146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Usluge!$Y$114:$Y$146</c:f>
              <c:numCache>
                <c:formatCode>0.0</c:formatCode>
                <c:ptCount val="21"/>
                <c:pt idx="0">
                  <c:v>94.293689435000005</c:v>
                </c:pt>
                <c:pt idx="1">
                  <c:v>95.168806790999994</c:v>
                </c:pt>
                <c:pt idx="2">
                  <c:v>96.077303341999993</c:v>
                </c:pt>
                <c:pt idx="3">
                  <c:v>96.832931267000006</c:v>
                </c:pt>
                <c:pt idx="4">
                  <c:v>97.468947569999997</c:v>
                </c:pt>
                <c:pt idx="5">
                  <c:v>98.125939106999994</c:v>
                </c:pt>
                <c:pt idx="6">
                  <c:v>99.049772970000006</c:v>
                </c:pt>
                <c:pt idx="7">
                  <c:v>100.43976452</c:v>
                </c:pt>
                <c:pt idx="8">
                  <c:v>102.404474212</c:v>
                </c:pt>
                <c:pt idx="9">
                  <c:v>104.929807856</c:v>
                </c:pt>
                <c:pt idx="10">
                  <c:v>107.85599967100001</c:v>
                </c:pt>
                <c:pt idx="11">
                  <c:v>111.029627332</c:v>
                </c:pt>
                <c:pt idx="12">
                  <c:v>114.329419848</c:v>
                </c:pt>
                <c:pt idx="13">
                  <c:v>117.64824043199999</c:v>
                </c:pt>
                <c:pt idx="14">
                  <c:v>53.422815503000002</c:v>
                </c:pt>
                <c:pt idx="15">
                  <c:v>54.971114071999999</c:v>
                </c:pt>
                <c:pt idx="16">
                  <c:v>56.433749974000001</c:v>
                </c:pt>
                <c:pt idx="17">
                  <c:v>57.745868291000001</c:v>
                </c:pt>
                <c:pt idx="18">
                  <c:v>58.883942644999998</c:v>
                </c:pt>
                <c:pt idx="19">
                  <c:v>79.387445647000007</c:v>
                </c:pt>
                <c:pt idx="20">
                  <c:v>80.642807348000005</c:v>
                </c:pt>
              </c:numCache>
              <c:extLst/>
            </c:numRef>
          </c:val>
          <c:smooth val="0"/>
          <c:extLst>
            <c:ext xmlns:c16="http://schemas.microsoft.com/office/drawing/2014/chart" uri="{C3380CC4-5D6E-409C-BE32-E72D297353CC}">
              <c16:uniqueId val="{00000002-6C56-4C2B-84F5-B273E045C093}"/>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827848607590381"/>
                  <c:y val="4.18288288288288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C56-4C2B-84F5-B273E045C093}"/>
                </c:ext>
              </c:extLst>
            </c:dLbl>
            <c:dLbl>
              <c:idx val="12"/>
              <c:layout>
                <c:manualLayout>
                  <c:x val="0.11161837298349565"/>
                  <c:y val="4.18288288288288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C56-4C2B-84F5-B273E045C09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Usluge!$Z$114:$Z$146</c:f>
              <c:numCache>
                <c:formatCode>yyyy</c:formatCode>
                <c:ptCount val="21"/>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pt idx="20">
                  <c:v>44075</c:v>
                </c:pt>
              </c:numCache>
              <c:extLst/>
            </c:numRef>
          </c:cat>
          <c:val>
            <c:numRef>
              <c:f>Usluge!$AA$114:$AA$146</c:f>
              <c:numCache>
                <c:formatCode>General</c:formatCode>
                <c:ptCount val="21"/>
                <c:pt idx="0">
                  <c:v>1</c:v>
                </c:pt>
                <c:pt idx="12">
                  <c:v>1</c:v>
                </c:pt>
              </c:numCache>
              <c:extLst/>
            </c:numRef>
          </c:val>
          <c:smooth val="0"/>
          <c:extLst>
            <c:ext xmlns:c16="http://schemas.microsoft.com/office/drawing/2014/chart" uri="{C3380CC4-5D6E-409C-BE32-E72D297353CC}">
              <c16:uniqueId val="{00000005-6C56-4C2B-84F5-B273E045C093}"/>
            </c:ext>
          </c:extLst>
        </c:ser>
        <c:dLbls>
          <c:showLegendKey val="0"/>
          <c:showVal val="0"/>
          <c:showCatName val="0"/>
          <c:showSerName val="0"/>
          <c:showPercent val="0"/>
          <c:showBubbleSize val="0"/>
        </c:dLbls>
        <c:marker val="1"/>
        <c:smooth val="0"/>
        <c:axId val="335871712"/>
        <c:axId val="33590435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Usluge!$E$114:$E$146</c:f>
              <c:strCache>
                <c:ptCount val="2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strCache>
              <c:extLst/>
            </c:strRef>
          </c:cat>
          <c:val>
            <c:numRef>
              <c:f>Usluge!$AB$114:$AB$146</c:f>
              <c:numCache>
                <c:formatCode>General</c:formatCode>
                <c:ptCount val="21"/>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numCache>
              <c:extLst/>
            </c:numRef>
          </c:val>
          <c:smooth val="0"/>
          <c:extLst>
            <c:ext xmlns:c16="http://schemas.microsoft.com/office/drawing/2014/chart" uri="{C3380CC4-5D6E-409C-BE32-E72D297353CC}">
              <c16:uniqueId val="{00000006-6C56-4C2B-84F5-B273E045C093}"/>
            </c:ext>
          </c:extLst>
        </c:ser>
        <c:dLbls>
          <c:showLegendKey val="0"/>
          <c:showVal val="0"/>
          <c:showCatName val="0"/>
          <c:showSerName val="0"/>
          <c:showPercent val="0"/>
          <c:showBubbleSize val="0"/>
        </c:dLbls>
        <c:marker val="1"/>
        <c:smooth val="0"/>
        <c:axId val="335891296"/>
        <c:axId val="335897824"/>
      </c:lineChart>
      <c:dateAx>
        <c:axId val="335871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904352"/>
        <c:crosses val="autoZero"/>
        <c:auto val="1"/>
        <c:lblOffset val="0"/>
        <c:baseTimeUnit val="months"/>
        <c:majorUnit val="12"/>
        <c:majorTimeUnit val="months"/>
      </c:dateAx>
      <c:valAx>
        <c:axId val="335904352"/>
        <c:scaling>
          <c:orientation val="minMax"/>
          <c:max val="16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1712"/>
        <c:crosses val="autoZero"/>
        <c:crossBetween val="midCat"/>
        <c:majorUnit val="20"/>
      </c:valAx>
      <c:valAx>
        <c:axId val="335897824"/>
        <c:scaling>
          <c:orientation val="minMax"/>
          <c:max val="1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1296"/>
        <c:crosses val="max"/>
        <c:crossBetween val="midCat"/>
        <c:majorUnit val="20"/>
      </c:valAx>
      <c:catAx>
        <c:axId val="33589129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7824"/>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8461960155100949"/>
          <c:h val="0.87103671706263497"/>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usluga'!$G$78:$G$109</c:f>
              <c:numCache>
                <c:formatCode>0.0</c:formatCode>
                <c:ptCount val="20"/>
                <c:pt idx="0">
                  <c:v>90.200321855555373</c:v>
                </c:pt>
                <c:pt idx="1">
                  <c:v>82.469026929290379</c:v>
                </c:pt>
                <c:pt idx="2">
                  <c:v>86.487323287601598</c:v>
                </c:pt>
                <c:pt idx="3">
                  <c:v>90.272809772178348</c:v>
                </c:pt>
                <c:pt idx="4">
                  <c:v>105.29104323443701</c:v>
                </c:pt>
                <c:pt idx="5">
                  <c:v>94.852919138183083</c:v>
                </c:pt>
                <c:pt idx="6">
                  <c:v>119.14843155078015</c:v>
                </c:pt>
                <c:pt idx="7">
                  <c:v>114.0529363552407</c:v>
                </c:pt>
                <c:pt idx="8">
                  <c:v>104.15347090106913</c:v>
                </c:pt>
                <c:pt idx="9">
                  <c:v>112.98286222123389</c:v>
                </c:pt>
                <c:pt idx="10">
                  <c:v>97.785593269836198</c:v>
                </c:pt>
                <c:pt idx="11">
                  <c:v>102.3032614845941</c:v>
                </c:pt>
                <c:pt idx="12">
                  <c:v>94.95588417999906</c:v>
                </c:pt>
                <c:pt idx="13">
                  <c:v>88.604167724693852</c:v>
                </c:pt>
                <c:pt idx="14">
                  <c:v>84.899555827120736</c:v>
                </c:pt>
                <c:pt idx="15">
                  <c:v>66.361194681078786</c:v>
                </c:pt>
                <c:pt idx="16">
                  <c:v>57.929852805255621</c:v>
                </c:pt>
                <c:pt idx="17">
                  <c:v>61.399436580193822</c:v>
                </c:pt>
                <c:pt idx="18">
                  <c:v>73.315634064244335</c:v>
                </c:pt>
                <c:pt idx="19">
                  <c:v>71.864950461577934</c:v>
                </c:pt>
              </c:numCache>
              <c:extLst/>
            </c:numRef>
          </c:val>
          <c:smooth val="0"/>
          <c:extLst>
            <c:ext xmlns:c16="http://schemas.microsoft.com/office/drawing/2014/chart" uri="{C3380CC4-5D6E-409C-BE32-E72D297353CC}">
              <c16:uniqueId val="{00000000-07C4-4871-BDA5-12D3B8A3366B}"/>
            </c:ext>
          </c:extLst>
        </c:ser>
        <c:ser>
          <c:idx val="1"/>
          <c:order val="1"/>
          <c:tx>
            <c:strRef>
              <c:f>'BoP_izvoz usluga'!$H$2</c:f>
              <c:strCache>
                <c:ptCount val="1"/>
                <c:pt idx="0">
                  <c:v>Десезонирани подаци</c:v>
                </c:pt>
              </c:strCache>
            </c:strRef>
          </c:tx>
          <c:spPr>
            <a:ln w="22225" cap="rnd">
              <a:solidFill>
                <a:srgbClr val="25AAE1"/>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usluga'!$H$78:$H$109</c:f>
              <c:numCache>
                <c:formatCode>0.0</c:formatCode>
                <c:ptCount val="20"/>
                <c:pt idx="0">
                  <c:v>98.252571376436151</c:v>
                </c:pt>
                <c:pt idx="1">
                  <c:v>99.459212461196259</c:v>
                </c:pt>
                <c:pt idx="2">
                  <c:v>97.337816384316255</c:v>
                </c:pt>
                <c:pt idx="3">
                  <c:v>93.841854176922723</c:v>
                </c:pt>
                <c:pt idx="4">
                  <c:v>100.59216296771436</c:v>
                </c:pt>
                <c:pt idx="5">
                  <c:v>98.667445953966975</c:v>
                </c:pt>
                <c:pt idx="6">
                  <c:v>105.0602168174871</c:v>
                </c:pt>
                <c:pt idx="7">
                  <c:v>102.65616773199329</c:v>
                </c:pt>
                <c:pt idx="8">
                  <c:v>101.70449278096829</c:v>
                </c:pt>
                <c:pt idx="9">
                  <c:v>100.88049477012396</c:v>
                </c:pt>
                <c:pt idx="10">
                  <c:v>101.24173060740297</c:v>
                </c:pt>
                <c:pt idx="11">
                  <c:v>99.479531923859255</c:v>
                </c:pt>
                <c:pt idx="12">
                  <c:v>104.54327114319885</c:v>
                </c:pt>
                <c:pt idx="13">
                  <c:v>96.483291799749679</c:v>
                </c:pt>
                <c:pt idx="14">
                  <c:v>94.015539522656653</c:v>
                </c:pt>
                <c:pt idx="15">
                  <c:v>70.179647827332843</c:v>
                </c:pt>
                <c:pt idx="16">
                  <c:v>57.140500689379287</c:v>
                </c:pt>
                <c:pt idx="17">
                  <c:v>60.572582044353155</c:v>
                </c:pt>
                <c:pt idx="18">
                  <c:v>63.971893503501327</c:v>
                </c:pt>
                <c:pt idx="19">
                  <c:v>67.451516799420148</c:v>
                </c:pt>
              </c:numCache>
              <c:extLst/>
            </c:numRef>
          </c:val>
          <c:smooth val="0"/>
          <c:extLst>
            <c:ext xmlns:c16="http://schemas.microsoft.com/office/drawing/2014/chart" uri="{C3380CC4-5D6E-409C-BE32-E72D297353CC}">
              <c16:uniqueId val="{00000001-07C4-4871-BDA5-12D3B8A3366B}"/>
            </c:ext>
          </c:extLst>
        </c:ser>
        <c:ser>
          <c:idx val="2"/>
          <c:order val="2"/>
          <c:tx>
            <c:strRef>
              <c:f>'BoP_izvoz usluga'!$I$2</c:f>
              <c:strCache>
                <c:ptCount val="1"/>
                <c:pt idx="0">
                  <c:v>Тренд циклус</c:v>
                </c:pt>
              </c:strCache>
            </c:strRef>
          </c:tx>
          <c:spPr>
            <a:ln w="25400" cap="rnd">
              <a:solidFill>
                <a:srgbClr val="FF0000"/>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usluga'!$I$78:$I$109</c:f>
              <c:numCache>
                <c:formatCode>0.0</c:formatCode>
                <c:ptCount val="20"/>
                <c:pt idx="0">
                  <c:v>96.457846517808363</c:v>
                </c:pt>
                <c:pt idx="1">
                  <c:v>97.445223694272315</c:v>
                </c:pt>
                <c:pt idx="2">
                  <c:v>98.421983770604839</c:v>
                </c:pt>
                <c:pt idx="3">
                  <c:v>99.328233011488905</c:v>
                </c:pt>
                <c:pt idx="4">
                  <c:v>100.10152525102995</c:v>
                </c:pt>
                <c:pt idx="5">
                  <c:v>100.79173070264339</c:v>
                </c:pt>
                <c:pt idx="6">
                  <c:v>101.44010483476177</c:v>
                </c:pt>
                <c:pt idx="7">
                  <c:v>101.91368788984892</c:v>
                </c:pt>
                <c:pt idx="8">
                  <c:v>101.95163943737866</c:v>
                </c:pt>
                <c:pt idx="9">
                  <c:v>101.47592776226398</c:v>
                </c:pt>
                <c:pt idx="10">
                  <c:v>100.54242024879854</c:v>
                </c:pt>
                <c:pt idx="11">
                  <c:v>99.320771207570004</c:v>
                </c:pt>
                <c:pt idx="12">
                  <c:v>98.08137309481242</c:v>
                </c:pt>
                <c:pt idx="13">
                  <c:v>97.072034804595077</c:v>
                </c:pt>
                <c:pt idx="14">
                  <c:v>96.404018551077968</c:v>
                </c:pt>
                <c:pt idx="15">
                  <c:v>70.623915576222927</c:v>
                </c:pt>
                <c:pt idx="16">
                  <c:v>70.841173499070607</c:v>
                </c:pt>
                <c:pt idx="17">
                  <c:v>71.288178146326061</c:v>
                </c:pt>
                <c:pt idx="18">
                  <c:v>71.759617207128741</c:v>
                </c:pt>
                <c:pt idx="19">
                  <c:v>72.170779475612719</c:v>
                </c:pt>
              </c:numCache>
              <c:extLst/>
            </c:numRef>
          </c:val>
          <c:smooth val="0"/>
          <c:extLst>
            <c:ext xmlns:c16="http://schemas.microsoft.com/office/drawing/2014/chart" uri="{C3380CC4-5D6E-409C-BE32-E72D297353CC}">
              <c16:uniqueId val="{00000002-07C4-4871-BDA5-12D3B8A3366B}"/>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9853759228483522"/>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7C4-4871-BDA5-12D3B8A3366B}"/>
                </c:ext>
              </c:extLst>
            </c:dLbl>
            <c:dLbl>
              <c:idx val="12"/>
              <c:layout>
                <c:manualLayout>
                  <c:x val="9.8621657839320878E-2"/>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7C4-4871-BDA5-12D3B8A3366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usluga'!$B$78:$B$109</c:f>
              <c:numCache>
                <c:formatCode>General</c:formatCode>
                <c:ptCount val="20"/>
                <c:pt idx="0">
                  <c:v>50</c:v>
                </c:pt>
                <c:pt idx="12">
                  <c:v>50</c:v>
                </c:pt>
              </c:numCache>
              <c:extLst/>
            </c:numRef>
          </c:val>
          <c:smooth val="0"/>
          <c:extLst>
            <c:ext xmlns:c16="http://schemas.microsoft.com/office/drawing/2014/chart" uri="{C3380CC4-5D6E-409C-BE32-E72D297353CC}">
              <c16:uniqueId val="{00000005-07C4-4871-BDA5-12D3B8A3366B}"/>
            </c:ext>
          </c:extLst>
        </c:ser>
        <c:dLbls>
          <c:showLegendKey val="0"/>
          <c:showVal val="0"/>
          <c:showCatName val="0"/>
          <c:showSerName val="0"/>
          <c:showPercent val="0"/>
          <c:showBubbleSize val="0"/>
        </c:dLbls>
        <c:marker val="1"/>
        <c:smooth val="0"/>
        <c:axId val="335878784"/>
        <c:axId val="33587715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usluga'!$E$78:$E$109</c:f>
              <c:strCache>
                <c:ptCount val="20"/>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strCache>
              <c:extLst/>
            </c:strRef>
          </c:cat>
          <c:val>
            <c:numRef>
              <c:f>'BoP_izvoz usluga'!$C$78:$C$109</c:f>
              <c:numCache>
                <c:formatCode>General</c:formatCode>
                <c:ptCount val="20"/>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numCache>
              <c:extLst/>
            </c:numRef>
          </c:val>
          <c:smooth val="0"/>
          <c:extLst>
            <c:ext xmlns:c16="http://schemas.microsoft.com/office/drawing/2014/chart" uri="{C3380CC4-5D6E-409C-BE32-E72D297353CC}">
              <c16:uniqueId val="{00000006-07C4-4871-BDA5-12D3B8A3366B}"/>
            </c:ext>
          </c:extLst>
        </c:ser>
        <c:dLbls>
          <c:showLegendKey val="0"/>
          <c:showVal val="0"/>
          <c:showCatName val="0"/>
          <c:showSerName val="0"/>
          <c:showPercent val="0"/>
          <c:showBubbleSize val="0"/>
        </c:dLbls>
        <c:marker val="1"/>
        <c:smooth val="0"/>
        <c:axId val="335877696"/>
        <c:axId val="335890208"/>
      </c:lineChart>
      <c:dateAx>
        <c:axId val="33587878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77152"/>
        <c:crosses val="autoZero"/>
        <c:auto val="1"/>
        <c:lblOffset val="0"/>
        <c:baseTimeUnit val="months"/>
      </c:dateAx>
      <c:valAx>
        <c:axId val="335877152"/>
        <c:scaling>
          <c:orientation val="minMax"/>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8784"/>
        <c:crosses val="autoZero"/>
        <c:crossBetween val="midCat"/>
        <c:majorUnit val="10"/>
      </c:valAx>
      <c:valAx>
        <c:axId val="335890208"/>
        <c:scaling>
          <c:orientation val="minMax"/>
          <c:max val="130"/>
          <c:min val="5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7696"/>
        <c:crosses val="max"/>
        <c:crossBetween val="midCat"/>
        <c:majorUnit val="10"/>
      </c:valAx>
      <c:catAx>
        <c:axId val="335877696"/>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0208"/>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8461960155100949"/>
          <c:h val="0.87103671706263497"/>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usluga'!$R$78:$R$109</c:f>
              <c:numCache>
                <c:formatCode>0.0</c:formatCode>
                <c:ptCount val="20"/>
                <c:pt idx="0">
                  <c:v>84.787996835212283</c:v>
                </c:pt>
                <c:pt idx="1">
                  <c:v>56.903688771117309</c:v>
                </c:pt>
                <c:pt idx="2">
                  <c:v>69.600902671221689</c:v>
                </c:pt>
                <c:pt idx="3">
                  <c:v>80.714890754334192</c:v>
                </c:pt>
                <c:pt idx="4">
                  <c:v>89.134400947723037</c:v>
                </c:pt>
                <c:pt idx="5">
                  <c:v>88.181924368506486</c:v>
                </c:pt>
                <c:pt idx="6">
                  <c:v>147.65732955398187</c:v>
                </c:pt>
                <c:pt idx="7">
                  <c:v>150.76147167093362</c:v>
                </c:pt>
                <c:pt idx="8">
                  <c:v>103.62676809157617</c:v>
                </c:pt>
                <c:pt idx="9">
                  <c:v>103.65774350985606</c:v>
                </c:pt>
                <c:pt idx="10">
                  <c:v>100.21308362389956</c:v>
                </c:pt>
                <c:pt idx="11">
                  <c:v>124.7597992016377</c:v>
                </c:pt>
                <c:pt idx="12">
                  <c:v>96.037038704411884</c:v>
                </c:pt>
                <c:pt idx="13">
                  <c:v>68.117544336691552</c:v>
                </c:pt>
                <c:pt idx="14">
                  <c:v>63.510866045965471</c:v>
                </c:pt>
                <c:pt idx="15">
                  <c:v>35.22231544564756</c:v>
                </c:pt>
                <c:pt idx="16">
                  <c:v>53.423277793502812</c:v>
                </c:pt>
                <c:pt idx="17">
                  <c:v>69.129164668281291</c:v>
                </c:pt>
                <c:pt idx="18">
                  <c:v>95.482496422931646</c:v>
                </c:pt>
                <c:pt idx="19">
                  <c:v>77.34594696225659</c:v>
                </c:pt>
              </c:numCache>
              <c:extLst/>
            </c:numRef>
          </c:val>
          <c:smooth val="0"/>
          <c:extLst>
            <c:ext xmlns:c16="http://schemas.microsoft.com/office/drawing/2014/chart" uri="{C3380CC4-5D6E-409C-BE32-E72D297353CC}">
              <c16:uniqueId val="{00000000-4231-4773-AC16-0449C7393AC8}"/>
            </c:ext>
          </c:extLst>
        </c:ser>
        <c:ser>
          <c:idx val="1"/>
          <c:order val="1"/>
          <c:tx>
            <c:strRef>
              <c:f>'BoP_izvoz usluga'!$H$2</c:f>
              <c:strCache>
                <c:ptCount val="1"/>
                <c:pt idx="0">
                  <c:v>Десезонирани подаци</c:v>
                </c:pt>
              </c:strCache>
            </c:strRef>
          </c:tx>
          <c:spPr>
            <a:ln w="22225" cap="rnd">
              <a:solidFill>
                <a:srgbClr val="25AAE1"/>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usluga'!$S$78:$S$109</c:f>
              <c:numCache>
                <c:formatCode>0.0</c:formatCode>
                <c:ptCount val="20"/>
                <c:pt idx="0">
                  <c:v>95.161042093214107</c:v>
                </c:pt>
                <c:pt idx="1">
                  <c:v>91.960477743972334</c:v>
                </c:pt>
                <c:pt idx="2">
                  <c:v>99.849700889156836</c:v>
                </c:pt>
                <c:pt idx="3">
                  <c:v>96.868007863360674</c:v>
                </c:pt>
                <c:pt idx="4">
                  <c:v>96.460348445130947</c:v>
                </c:pt>
                <c:pt idx="5">
                  <c:v>96.357928210349613</c:v>
                </c:pt>
                <c:pt idx="6">
                  <c:v>101.37524015097382</c:v>
                </c:pt>
                <c:pt idx="7">
                  <c:v>101.09765425889869</c:v>
                </c:pt>
                <c:pt idx="8">
                  <c:v>101.00935662378414</c:v>
                </c:pt>
                <c:pt idx="9">
                  <c:v>99.234981742414249</c:v>
                </c:pt>
                <c:pt idx="10">
                  <c:v>109.5909091134999</c:v>
                </c:pt>
                <c:pt idx="11">
                  <c:v>107.38648779410725</c:v>
                </c:pt>
                <c:pt idx="12">
                  <c:v>111.06037302760141</c:v>
                </c:pt>
                <c:pt idx="13">
                  <c:v>106.62058569398869</c:v>
                </c:pt>
                <c:pt idx="14">
                  <c:v>84.354380814726511</c:v>
                </c:pt>
                <c:pt idx="15">
                  <c:v>43.114699612178143</c:v>
                </c:pt>
                <c:pt idx="16">
                  <c:v>57.598303164384788</c:v>
                </c:pt>
                <c:pt idx="17">
                  <c:v>69.481804971806454</c:v>
                </c:pt>
                <c:pt idx="18">
                  <c:v>67.711438939357492</c:v>
                </c:pt>
                <c:pt idx="19">
                  <c:v>52.331295765701029</c:v>
                </c:pt>
              </c:numCache>
              <c:extLst/>
            </c:numRef>
          </c:val>
          <c:smooth val="0"/>
          <c:extLst>
            <c:ext xmlns:c16="http://schemas.microsoft.com/office/drawing/2014/chart" uri="{C3380CC4-5D6E-409C-BE32-E72D297353CC}">
              <c16:uniqueId val="{00000001-4231-4773-AC16-0449C7393AC8}"/>
            </c:ext>
          </c:extLst>
        </c:ser>
        <c:ser>
          <c:idx val="2"/>
          <c:order val="2"/>
          <c:tx>
            <c:strRef>
              <c:f>'BoP_izvoz usluga'!$I$2</c:f>
              <c:strCache>
                <c:ptCount val="1"/>
                <c:pt idx="0">
                  <c:v>Тренд циклус</c:v>
                </c:pt>
              </c:strCache>
            </c:strRef>
          </c:tx>
          <c:spPr>
            <a:ln w="25400" cap="rnd">
              <a:solidFill>
                <a:srgbClr val="FF0000"/>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usluga'!$T$78:$T$109</c:f>
              <c:numCache>
                <c:formatCode>0.0</c:formatCode>
                <c:ptCount val="20"/>
                <c:pt idx="0">
                  <c:v>93.934115267684518</c:v>
                </c:pt>
                <c:pt idx="1">
                  <c:v>94.835454348046568</c:v>
                </c:pt>
                <c:pt idx="2">
                  <c:v>95.808782132931896</c:v>
                </c:pt>
                <c:pt idx="3">
                  <c:v>96.74006559918125</c:v>
                </c:pt>
                <c:pt idx="4">
                  <c:v>97.498459056033525</c:v>
                </c:pt>
                <c:pt idx="5">
                  <c:v>98.238243805203425</c:v>
                </c:pt>
                <c:pt idx="6">
                  <c:v>99.186721059367216</c:v>
                </c:pt>
                <c:pt idx="7">
                  <c:v>100.5566935368698</c:v>
                </c:pt>
                <c:pt idx="8">
                  <c:v>102.38938532638682</c:v>
                </c:pt>
                <c:pt idx="9">
                  <c:v>104.47628413116671</c:v>
                </c:pt>
                <c:pt idx="10">
                  <c:v>106.13368022394187</c:v>
                </c:pt>
                <c:pt idx="11">
                  <c:v>107.25159456064692</c:v>
                </c:pt>
                <c:pt idx="12">
                  <c:v>107.99588995744148</c:v>
                </c:pt>
                <c:pt idx="13">
                  <c:v>108.51508915821137</c:v>
                </c:pt>
                <c:pt idx="14">
                  <c:v>85.960249555032405</c:v>
                </c:pt>
                <c:pt idx="15">
                  <c:v>86.448065985385526</c:v>
                </c:pt>
                <c:pt idx="16">
                  <c:v>87.157329122904173</c:v>
                </c:pt>
                <c:pt idx="17">
                  <c:v>87.975486712570131</c:v>
                </c:pt>
                <c:pt idx="18">
                  <c:v>88.710229054767098</c:v>
                </c:pt>
                <c:pt idx="19">
                  <c:v>89.322370900091784</c:v>
                </c:pt>
              </c:numCache>
              <c:extLst/>
            </c:numRef>
          </c:val>
          <c:smooth val="0"/>
          <c:extLst>
            <c:ext xmlns:c16="http://schemas.microsoft.com/office/drawing/2014/chart" uri="{C3380CC4-5D6E-409C-BE32-E72D297353CC}">
              <c16:uniqueId val="{00000002-4231-4773-AC16-0449C7393AC8}"/>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99728590240277"/>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231-4773-AC16-0449C7393AC8}"/>
                </c:ext>
              </c:extLst>
            </c:dLbl>
            <c:dLbl>
              <c:idx val="12"/>
              <c:layout>
                <c:manualLayout>
                  <c:x val="9.8621692041826095E-2"/>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231-4773-AC16-0449C7393AC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usluga'!$O$78:$O$109</c:f>
              <c:numCache>
                <c:formatCode>General</c:formatCode>
                <c:ptCount val="20"/>
                <c:pt idx="0">
                  <c:v>30</c:v>
                </c:pt>
                <c:pt idx="12">
                  <c:v>30</c:v>
                </c:pt>
              </c:numCache>
              <c:extLst/>
            </c:numRef>
          </c:val>
          <c:smooth val="0"/>
          <c:extLst>
            <c:ext xmlns:c16="http://schemas.microsoft.com/office/drawing/2014/chart" uri="{C3380CC4-5D6E-409C-BE32-E72D297353CC}">
              <c16:uniqueId val="{00000005-4231-4773-AC16-0449C7393AC8}"/>
            </c:ext>
          </c:extLst>
        </c:ser>
        <c:dLbls>
          <c:showLegendKey val="0"/>
          <c:showVal val="0"/>
          <c:showCatName val="0"/>
          <c:showSerName val="0"/>
          <c:showPercent val="0"/>
          <c:showBubbleSize val="0"/>
        </c:dLbls>
        <c:marker val="1"/>
        <c:smooth val="0"/>
        <c:axId val="335892384"/>
        <c:axId val="33588803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usluga'!$E$78:$E$109</c:f>
              <c:strCache>
                <c:ptCount val="20"/>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strCache>
              <c:extLst/>
            </c:strRef>
          </c:cat>
          <c:val>
            <c:numRef>
              <c:f>'BoP_izvoz usluga'!$P$78:$P$109</c:f>
              <c:numCache>
                <c:formatCode>General</c:formatCode>
                <c:ptCount val="20"/>
                <c:pt idx="0">
                  <c:v>30</c:v>
                </c:pt>
                <c:pt idx="1">
                  <c:v>30</c:v>
                </c:pt>
                <c:pt idx="2">
                  <c:v>30</c:v>
                </c:pt>
                <c:pt idx="3">
                  <c:v>30</c:v>
                </c:pt>
                <c:pt idx="4">
                  <c:v>30</c:v>
                </c:pt>
                <c:pt idx="5">
                  <c:v>30</c:v>
                </c:pt>
                <c:pt idx="6">
                  <c:v>30</c:v>
                </c:pt>
                <c:pt idx="7">
                  <c:v>30</c:v>
                </c:pt>
                <c:pt idx="8">
                  <c:v>30</c:v>
                </c:pt>
                <c:pt idx="9">
                  <c:v>30</c:v>
                </c:pt>
                <c:pt idx="10">
                  <c:v>30</c:v>
                </c:pt>
                <c:pt idx="11">
                  <c:v>30</c:v>
                </c:pt>
                <c:pt idx="12">
                  <c:v>30</c:v>
                </c:pt>
                <c:pt idx="13">
                  <c:v>30</c:v>
                </c:pt>
                <c:pt idx="14">
                  <c:v>30</c:v>
                </c:pt>
                <c:pt idx="15">
                  <c:v>30</c:v>
                </c:pt>
                <c:pt idx="16">
                  <c:v>30</c:v>
                </c:pt>
                <c:pt idx="17">
                  <c:v>30</c:v>
                </c:pt>
                <c:pt idx="18">
                  <c:v>30</c:v>
                </c:pt>
                <c:pt idx="19">
                  <c:v>30</c:v>
                </c:pt>
              </c:numCache>
              <c:extLst/>
            </c:numRef>
          </c:val>
          <c:smooth val="0"/>
          <c:extLst>
            <c:ext xmlns:c16="http://schemas.microsoft.com/office/drawing/2014/chart" uri="{C3380CC4-5D6E-409C-BE32-E72D297353CC}">
              <c16:uniqueId val="{00000006-4231-4773-AC16-0449C7393AC8}"/>
            </c:ext>
          </c:extLst>
        </c:ser>
        <c:dLbls>
          <c:showLegendKey val="0"/>
          <c:showVal val="0"/>
          <c:showCatName val="0"/>
          <c:showSerName val="0"/>
          <c:showPercent val="0"/>
          <c:showBubbleSize val="0"/>
        </c:dLbls>
        <c:marker val="1"/>
        <c:smooth val="0"/>
        <c:axId val="335898912"/>
        <c:axId val="335872800"/>
      </c:lineChart>
      <c:dateAx>
        <c:axId val="33589238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88032"/>
        <c:crosses val="autoZero"/>
        <c:auto val="1"/>
        <c:lblOffset val="0"/>
        <c:baseTimeUnit val="months"/>
      </c:dateAx>
      <c:valAx>
        <c:axId val="335888032"/>
        <c:scaling>
          <c:orientation val="minMax"/>
          <c:max val="170"/>
          <c:min val="3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2384"/>
        <c:crosses val="autoZero"/>
        <c:crossBetween val="midCat"/>
      </c:valAx>
      <c:valAx>
        <c:axId val="335872800"/>
        <c:scaling>
          <c:orientation val="minMax"/>
          <c:max val="170"/>
          <c:min val="3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98912"/>
        <c:crosses val="max"/>
        <c:crossBetween val="midCat"/>
      </c:valAx>
      <c:catAx>
        <c:axId val="335898912"/>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2800"/>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8461960155100949"/>
          <c:h val="0.87103671706263497"/>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usluga'!$AC$78:$AC$109</c:f>
              <c:numCache>
                <c:formatCode>0.0</c:formatCode>
                <c:ptCount val="20"/>
                <c:pt idx="0">
                  <c:v>83.358157489935166</c:v>
                </c:pt>
                <c:pt idx="1">
                  <c:v>91.691011027487519</c:v>
                </c:pt>
                <c:pt idx="2">
                  <c:v>99.127998529123531</c:v>
                </c:pt>
                <c:pt idx="3">
                  <c:v>103.35543456718783</c:v>
                </c:pt>
                <c:pt idx="4">
                  <c:v>96.173688772953767</c:v>
                </c:pt>
                <c:pt idx="5">
                  <c:v>95.710187189480905</c:v>
                </c:pt>
                <c:pt idx="6">
                  <c:v>107.13390048101832</c:v>
                </c:pt>
                <c:pt idx="7">
                  <c:v>93.61814583559692</c:v>
                </c:pt>
                <c:pt idx="8">
                  <c:v>95.059812049029148</c:v>
                </c:pt>
                <c:pt idx="9">
                  <c:v>108.6839394028673</c:v>
                </c:pt>
                <c:pt idx="10">
                  <c:v>109.8831598385168</c:v>
                </c:pt>
                <c:pt idx="11">
                  <c:v>116.20456481680266</c:v>
                </c:pt>
                <c:pt idx="12">
                  <c:v>102.83141211976408</c:v>
                </c:pt>
                <c:pt idx="13">
                  <c:v>111.15560467972347</c:v>
                </c:pt>
                <c:pt idx="14">
                  <c:v>97.009553987097703</c:v>
                </c:pt>
                <c:pt idx="15">
                  <c:v>95.45928839360846</c:v>
                </c:pt>
                <c:pt idx="16">
                  <c:v>88.67637639548937</c:v>
                </c:pt>
                <c:pt idx="17">
                  <c:v>97.699176434547169</c:v>
                </c:pt>
                <c:pt idx="18">
                  <c:v>92.36742822364721</c:v>
                </c:pt>
                <c:pt idx="19">
                  <c:v>84.804683451208788</c:v>
                </c:pt>
              </c:numCache>
              <c:extLst/>
            </c:numRef>
          </c:val>
          <c:smooth val="0"/>
          <c:extLst>
            <c:ext xmlns:c16="http://schemas.microsoft.com/office/drawing/2014/chart" uri="{C3380CC4-5D6E-409C-BE32-E72D297353CC}">
              <c16:uniqueId val="{00000000-1C97-431E-A04C-095A832DFCBF}"/>
            </c:ext>
          </c:extLst>
        </c:ser>
        <c:ser>
          <c:idx val="1"/>
          <c:order val="1"/>
          <c:tx>
            <c:strRef>
              <c:f>'BoP_izvoz usluga'!$H$2</c:f>
              <c:strCache>
                <c:ptCount val="1"/>
                <c:pt idx="0">
                  <c:v>Десезонирани подаци</c:v>
                </c:pt>
              </c:strCache>
            </c:strRef>
          </c:tx>
          <c:spPr>
            <a:ln w="22225" cap="rnd">
              <a:solidFill>
                <a:srgbClr val="25AAE1"/>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usluga'!$AD$78:$AD$109</c:f>
              <c:numCache>
                <c:formatCode>0.0</c:formatCode>
                <c:ptCount val="20"/>
                <c:pt idx="0">
                  <c:v>86.872025780647178</c:v>
                </c:pt>
                <c:pt idx="1">
                  <c:v>96.391337722021746</c:v>
                </c:pt>
                <c:pt idx="2">
                  <c:v>97.345683264133029</c:v>
                </c:pt>
                <c:pt idx="3">
                  <c:v>99.556294832802408</c:v>
                </c:pt>
                <c:pt idx="4">
                  <c:v>99.148341180737447</c:v>
                </c:pt>
                <c:pt idx="5">
                  <c:v>101.69861554412259</c:v>
                </c:pt>
                <c:pt idx="6">
                  <c:v>105.28117312478156</c:v>
                </c:pt>
                <c:pt idx="7">
                  <c:v>97.206894496981889</c:v>
                </c:pt>
                <c:pt idx="8">
                  <c:v>103.27136607747686</c:v>
                </c:pt>
                <c:pt idx="9">
                  <c:v>97.637640481892348</c:v>
                </c:pt>
                <c:pt idx="10">
                  <c:v>112.52416276505761</c:v>
                </c:pt>
                <c:pt idx="11">
                  <c:v>101.13480048758751</c:v>
                </c:pt>
                <c:pt idx="12">
                  <c:v>110.08608662638822</c:v>
                </c:pt>
                <c:pt idx="13">
                  <c:v>106.32959628782108</c:v>
                </c:pt>
                <c:pt idx="14">
                  <c:v>95.773132260728232</c:v>
                </c:pt>
                <c:pt idx="15">
                  <c:v>93.514713879215975</c:v>
                </c:pt>
                <c:pt idx="16">
                  <c:v>95.992355510617131</c:v>
                </c:pt>
                <c:pt idx="17">
                  <c:v>99.089412876275986</c:v>
                </c:pt>
                <c:pt idx="18">
                  <c:v>85.702695571589544</c:v>
                </c:pt>
                <c:pt idx="19">
                  <c:v>97.720489626999537</c:v>
                </c:pt>
              </c:numCache>
              <c:extLst/>
            </c:numRef>
          </c:val>
          <c:smooth val="0"/>
          <c:extLst>
            <c:ext xmlns:c16="http://schemas.microsoft.com/office/drawing/2014/chart" uri="{C3380CC4-5D6E-409C-BE32-E72D297353CC}">
              <c16:uniqueId val="{00000001-1C97-431E-A04C-095A832DFCBF}"/>
            </c:ext>
          </c:extLst>
        </c:ser>
        <c:ser>
          <c:idx val="2"/>
          <c:order val="2"/>
          <c:tx>
            <c:strRef>
              <c:f>'BoP_izvoz usluga'!$I$2</c:f>
              <c:strCache>
                <c:ptCount val="1"/>
                <c:pt idx="0">
                  <c:v>Тренд циклус</c:v>
                </c:pt>
              </c:strCache>
            </c:strRef>
          </c:tx>
          <c:spPr>
            <a:ln w="25400" cap="rnd">
              <a:solidFill>
                <a:srgbClr val="FF0000"/>
              </a:solidFill>
              <a:round/>
            </a:ln>
            <a:effectLst/>
          </c:spPr>
          <c:marker>
            <c:symbol val="none"/>
          </c:marker>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usluga'!$AE$78:$AE$109</c:f>
              <c:numCache>
                <c:formatCode>0.0</c:formatCode>
                <c:ptCount val="20"/>
                <c:pt idx="0">
                  <c:v>89.867064608653919</c:v>
                </c:pt>
                <c:pt idx="1">
                  <c:v>93.339758991102144</c:v>
                </c:pt>
                <c:pt idx="2">
                  <c:v>96.525198591910396</c:v>
                </c:pt>
                <c:pt idx="3">
                  <c:v>99.120036485506461</c:v>
                </c:pt>
                <c:pt idx="4">
                  <c:v>100.56674684832933</c:v>
                </c:pt>
                <c:pt idx="5">
                  <c:v>101.1629756459014</c:v>
                </c:pt>
                <c:pt idx="6">
                  <c:v>101.33377061698955</c:v>
                </c:pt>
                <c:pt idx="7">
                  <c:v>101.56953774010242</c:v>
                </c:pt>
                <c:pt idx="8">
                  <c:v>102.45875362113215</c:v>
                </c:pt>
                <c:pt idx="9">
                  <c:v>103.85611000638238</c:v>
                </c:pt>
                <c:pt idx="10">
                  <c:v>105.17072412892215</c:v>
                </c:pt>
                <c:pt idx="11">
                  <c:v>105.58991140237129</c:v>
                </c:pt>
                <c:pt idx="12">
                  <c:v>104.75941022204634</c:v>
                </c:pt>
                <c:pt idx="13">
                  <c:v>102.68708776467827</c:v>
                </c:pt>
                <c:pt idx="14">
                  <c:v>99.902693689670528</c:v>
                </c:pt>
                <c:pt idx="15">
                  <c:v>97.466107238162124</c:v>
                </c:pt>
                <c:pt idx="16">
                  <c:v>96.024031979397478</c:v>
                </c:pt>
                <c:pt idx="17">
                  <c:v>95.966482687855091</c:v>
                </c:pt>
                <c:pt idx="18">
                  <c:v>96.909148975795247</c:v>
                </c:pt>
                <c:pt idx="19">
                  <c:v>98.492852614325926</c:v>
                </c:pt>
              </c:numCache>
              <c:extLst/>
            </c:numRef>
          </c:val>
          <c:smooth val="0"/>
          <c:extLst>
            <c:ext xmlns:c16="http://schemas.microsoft.com/office/drawing/2014/chart" uri="{C3380CC4-5D6E-409C-BE32-E72D297353CC}">
              <c16:uniqueId val="{00000002-1C97-431E-A04C-095A832DFCBF}"/>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9543333989950976"/>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C97-431E-A04C-095A832DFCBF}"/>
                </c:ext>
              </c:extLst>
            </c:dLbl>
            <c:dLbl>
              <c:idx val="12"/>
              <c:layout>
                <c:manualLayout>
                  <c:x val="9.8621657839320878E-2"/>
                  <c:y val="2.737312312312312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C97-431E-A04C-095A832DFCB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usluga'!$A$78:$A$109</c:f>
              <c:numCache>
                <c:formatCode>yyyy</c:formatCode>
                <c:ptCount val="20"/>
                <c:pt idx="0">
                  <c:v>43466</c:v>
                </c:pt>
                <c:pt idx="1">
                  <c:v>43497</c:v>
                </c:pt>
                <c:pt idx="2">
                  <c:v>43525</c:v>
                </c:pt>
                <c:pt idx="3">
                  <c:v>43556</c:v>
                </c:pt>
                <c:pt idx="4">
                  <c:v>43586</c:v>
                </c:pt>
                <c:pt idx="5">
                  <c:v>43617</c:v>
                </c:pt>
                <c:pt idx="6">
                  <c:v>43647</c:v>
                </c:pt>
                <c:pt idx="7">
                  <c:v>43678</c:v>
                </c:pt>
                <c:pt idx="8">
                  <c:v>43709</c:v>
                </c:pt>
                <c:pt idx="9">
                  <c:v>43739</c:v>
                </c:pt>
                <c:pt idx="10">
                  <c:v>43770</c:v>
                </c:pt>
                <c:pt idx="11">
                  <c:v>43800</c:v>
                </c:pt>
                <c:pt idx="12">
                  <c:v>43831</c:v>
                </c:pt>
                <c:pt idx="13">
                  <c:v>43862</c:v>
                </c:pt>
                <c:pt idx="14">
                  <c:v>43891</c:v>
                </c:pt>
                <c:pt idx="15">
                  <c:v>43922</c:v>
                </c:pt>
                <c:pt idx="16">
                  <c:v>43952</c:v>
                </c:pt>
                <c:pt idx="17">
                  <c:v>43983</c:v>
                </c:pt>
                <c:pt idx="18">
                  <c:v>44013</c:v>
                </c:pt>
                <c:pt idx="19">
                  <c:v>44044</c:v>
                </c:pt>
              </c:numCache>
              <c:extLst/>
            </c:numRef>
          </c:cat>
          <c:val>
            <c:numRef>
              <c:f>'BoP_izvoz usluga'!$Z$78:$Z$109</c:f>
              <c:numCache>
                <c:formatCode>General</c:formatCode>
                <c:ptCount val="20"/>
                <c:pt idx="0">
                  <c:v>50</c:v>
                </c:pt>
                <c:pt idx="12">
                  <c:v>50</c:v>
                </c:pt>
              </c:numCache>
              <c:extLst/>
            </c:numRef>
          </c:val>
          <c:smooth val="0"/>
          <c:extLst>
            <c:ext xmlns:c16="http://schemas.microsoft.com/office/drawing/2014/chart" uri="{C3380CC4-5D6E-409C-BE32-E72D297353CC}">
              <c16:uniqueId val="{00000005-1C97-431E-A04C-095A832DFCBF}"/>
            </c:ext>
          </c:extLst>
        </c:ser>
        <c:dLbls>
          <c:showLegendKey val="0"/>
          <c:showVal val="0"/>
          <c:showCatName val="0"/>
          <c:showSerName val="0"/>
          <c:showPercent val="0"/>
          <c:showBubbleSize val="0"/>
        </c:dLbls>
        <c:marker val="1"/>
        <c:smooth val="0"/>
        <c:axId val="335880416"/>
        <c:axId val="335873344"/>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usluga'!$E$78:$E$109</c:f>
              <c:strCache>
                <c:ptCount val="20"/>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strCache>
              <c:extLst/>
            </c:strRef>
          </c:cat>
          <c:val>
            <c:numRef>
              <c:f>'BoP_izvoz usluga'!$AA$78:$AA$109</c:f>
              <c:numCache>
                <c:formatCode>General</c:formatCode>
                <c:ptCount val="20"/>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numCache>
              <c:extLst/>
            </c:numRef>
          </c:val>
          <c:smooth val="0"/>
          <c:extLst>
            <c:ext xmlns:c16="http://schemas.microsoft.com/office/drawing/2014/chart" uri="{C3380CC4-5D6E-409C-BE32-E72D297353CC}">
              <c16:uniqueId val="{00000006-1C97-431E-A04C-095A832DFCBF}"/>
            </c:ext>
          </c:extLst>
        </c:ser>
        <c:dLbls>
          <c:showLegendKey val="0"/>
          <c:showVal val="0"/>
          <c:showCatName val="0"/>
          <c:showSerName val="0"/>
          <c:showPercent val="0"/>
          <c:showBubbleSize val="0"/>
        </c:dLbls>
        <c:marker val="1"/>
        <c:smooth val="0"/>
        <c:axId val="335873888"/>
        <c:axId val="335884768"/>
      </c:lineChart>
      <c:dateAx>
        <c:axId val="33588041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35873344"/>
        <c:crosses val="autoZero"/>
        <c:auto val="1"/>
        <c:lblOffset val="0"/>
        <c:baseTimeUnit val="months"/>
      </c:dateAx>
      <c:valAx>
        <c:axId val="335873344"/>
        <c:scaling>
          <c:orientation val="minMax"/>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0416"/>
        <c:crosses val="autoZero"/>
        <c:crossBetween val="midCat"/>
      </c:valAx>
      <c:valAx>
        <c:axId val="335884768"/>
        <c:scaling>
          <c:orientation val="minMax"/>
          <c:max val="130"/>
          <c:min val="5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73888"/>
        <c:crosses val="max"/>
        <c:crossBetween val="midCat"/>
      </c:valAx>
      <c:catAx>
        <c:axId val="335873888"/>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884768"/>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BDP_doprinosi!$R$9</c:f>
              <c:strCache>
                <c:ptCount val="1"/>
                <c:pt idx="0">
                  <c:v>Приватна потрошња</c:v>
                </c:pt>
              </c:strCache>
            </c:strRef>
          </c:tx>
          <c:spPr>
            <a:solidFill>
              <a:srgbClr val="10103C"/>
            </a:solidFill>
            <a:ln>
              <a:noFill/>
            </a:ln>
            <a:effectLst/>
          </c:spPr>
          <c:invertIfNegative val="0"/>
          <c:cat>
            <c:numRef>
              <c:f>BDP_doprinosi!$AC$6:$AH$6</c:f>
              <c:numCache>
                <c:formatCode>General</c:formatCode>
                <c:ptCount val="6"/>
                <c:pt idx="0">
                  <c:v>2018</c:v>
                </c:pt>
                <c:pt idx="1">
                  <c:v>2019</c:v>
                </c:pt>
                <c:pt idx="2">
                  <c:v>2020</c:v>
                </c:pt>
                <c:pt idx="3">
                  <c:v>2021</c:v>
                </c:pt>
                <c:pt idx="4">
                  <c:v>2022</c:v>
                </c:pt>
                <c:pt idx="5">
                  <c:v>2023</c:v>
                </c:pt>
              </c:numCache>
            </c:numRef>
          </c:cat>
          <c:val>
            <c:numRef>
              <c:f>BDP_doprinosi!$AC$9:$AH$9</c:f>
              <c:numCache>
                <c:formatCode>0.0</c:formatCode>
                <c:ptCount val="6"/>
                <c:pt idx="0">
                  <c:v>2.2073224566944836</c:v>
                </c:pt>
                <c:pt idx="1">
                  <c:v>2.4693233629260822</c:v>
                </c:pt>
                <c:pt idx="2">
                  <c:v>-1.3365687615417541</c:v>
                </c:pt>
                <c:pt idx="3">
                  <c:v>3.7602518756919752</c:v>
                </c:pt>
                <c:pt idx="4">
                  <c:v>1.9497054252837063</c:v>
                </c:pt>
                <c:pt idx="5">
                  <c:v>1.9354261566361091</c:v>
                </c:pt>
              </c:numCache>
            </c:numRef>
          </c:val>
          <c:extLst>
            <c:ext xmlns:c16="http://schemas.microsoft.com/office/drawing/2014/chart" uri="{C3380CC4-5D6E-409C-BE32-E72D297353CC}">
              <c16:uniqueId val="{00000000-CA02-4285-A449-F2B38BE0CC6F}"/>
            </c:ext>
          </c:extLst>
        </c:ser>
        <c:ser>
          <c:idx val="1"/>
          <c:order val="1"/>
          <c:tx>
            <c:strRef>
              <c:f>BDP_doprinosi!$R$8</c:f>
              <c:strCache>
                <c:ptCount val="1"/>
                <c:pt idx="0">
                  <c:v>Инвестиције</c:v>
                </c:pt>
              </c:strCache>
            </c:strRef>
          </c:tx>
          <c:spPr>
            <a:solidFill>
              <a:srgbClr val="29489A"/>
            </a:solidFill>
            <a:ln>
              <a:noFill/>
            </a:ln>
            <a:effectLst/>
          </c:spPr>
          <c:invertIfNegative val="0"/>
          <c:cat>
            <c:numRef>
              <c:f>BDP_doprinosi!$AC$6:$AH$6</c:f>
              <c:numCache>
                <c:formatCode>General</c:formatCode>
                <c:ptCount val="6"/>
                <c:pt idx="0">
                  <c:v>2018</c:v>
                </c:pt>
                <c:pt idx="1">
                  <c:v>2019</c:v>
                </c:pt>
                <c:pt idx="2">
                  <c:v>2020</c:v>
                </c:pt>
                <c:pt idx="3">
                  <c:v>2021</c:v>
                </c:pt>
                <c:pt idx="4">
                  <c:v>2022</c:v>
                </c:pt>
                <c:pt idx="5">
                  <c:v>2023</c:v>
                </c:pt>
              </c:numCache>
            </c:numRef>
          </c:cat>
          <c:val>
            <c:numRef>
              <c:f>BDP_doprinosi!$AC$8:$AH$8</c:f>
              <c:numCache>
                <c:formatCode>0.0</c:formatCode>
                <c:ptCount val="6"/>
                <c:pt idx="0">
                  <c:v>3.1071590852949291</c:v>
                </c:pt>
                <c:pt idx="1">
                  <c:v>3.4372704606617872</c:v>
                </c:pt>
                <c:pt idx="2">
                  <c:v>-1.0934034671679576</c:v>
                </c:pt>
                <c:pt idx="3">
                  <c:v>2.9146450063441027</c:v>
                </c:pt>
                <c:pt idx="4">
                  <c:v>1.668092055982872</c:v>
                </c:pt>
                <c:pt idx="5">
                  <c:v>1.8704021027669822</c:v>
                </c:pt>
              </c:numCache>
            </c:numRef>
          </c:val>
          <c:extLst>
            <c:ext xmlns:c16="http://schemas.microsoft.com/office/drawing/2014/chart" uri="{C3380CC4-5D6E-409C-BE32-E72D297353CC}">
              <c16:uniqueId val="{00000001-CA02-4285-A449-F2B38BE0CC6F}"/>
            </c:ext>
          </c:extLst>
        </c:ser>
        <c:ser>
          <c:idx val="3"/>
          <c:order val="2"/>
          <c:tx>
            <c:strRef>
              <c:f>BDP_doprinosi!$R$10</c:f>
              <c:strCache>
                <c:ptCount val="1"/>
                <c:pt idx="0">
                  <c:v>Државна потрошња</c:v>
                </c:pt>
              </c:strCache>
            </c:strRef>
          </c:tx>
          <c:spPr>
            <a:solidFill>
              <a:srgbClr val="2183C4"/>
            </a:solidFill>
            <a:ln>
              <a:noFill/>
            </a:ln>
            <a:effectLst/>
          </c:spPr>
          <c:invertIfNegative val="0"/>
          <c:cat>
            <c:numRef>
              <c:f>BDP_doprinosi!$AC$6:$AH$6</c:f>
              <c:numCache>
                <c:formatCode>General</c:formatCode>
                <c:ptCount val="6"/>
                <c:pt idx="0">
                  <c:v>2018</c:v>
                </c:pt>
                <c:pt idx="1">
                  <c:v>2019</c:v>
                </c:pt>
                <c:pt idx="2">
                  <c:v>2020</c:v>
                </c:pt>
                <c:pt idx="3">
                  <c:v>2021</c:v>
                </c:pt>
                <c:pt idx="4">
                  <c:v>2022</c:v>
                </c:pt>
                <c:pt idx="5">
                  <c:v>2023</c:v>
                </c:pt>
              </c:numCache>
            </c:numRef>
          </c:cat>
          <c:val>
            <c:numRef>
              <c:f>BDP_doprinosi!$AC$10:$AH$10</c:f>
              <c:numCache>
                <c:formatCode>0.0</c:formatCode>
                <c:ptCount val="6"/>
                <c:pt idx="0">
                  <c:v>0.6041922862215825</c:v>
                </c:pt>
                <c:pt idx="1">
                  <c:v>0.33069040425968937</c:v>
                </c:pt>
                <c:pt idx="2">
                  <c:v>0.89638096129882106</c:v>
                </c:pt>
                <c:pt idx="3">
                  <c:v>7.3181638187158948E-2</c:v>
                </c:pt>
                <c:pt idx="4">
                  <c:v>0.40037408212477094</c:v>
                </c:pt>
                <c:pt idx="5">
                  <c:v>0.27352994681515136</c:v>
                </c:pt>
              </c:numCache>
            </c:numRef>
          </c:val>
          <c:extLst>
            <c:ext xmlns:c16="http://schemas.microsoft.com/office/drawing/2014/chart" uri="{C3380CC4-5D6E-409C-BE32-E72D297353CC}">
              <c16:uniqueId val="{00000002-CA02-4285-A449-F2B38BE0CC6F}"/>
            </c:ext>
          </c:extLst>
        </c:ser>
        <c:ser>
          <c:idx val="0"/>
          <c:order val="3"/>
          <c:tx>
            <c:strRef>
              <c:f>BDP_doprinosi!$R$12</c:f>
              <c:strCache>
                <c:ptCount val="1"/>
                <c:pt idx="0">
                  <c:v>Нето извоз</c:v>
                </c:pt>
              </c:strCache>
            </c:strRef>
          </c:tx>
          <c:spPr>
            <a:solidFill>
              <a:srgbClr val="51BBE7"/>
            </a:solidFill>
            <a:ln>
              <a:noFill/>
            </a:ln>
            <a:effectLst/>
          </c:spPr>
          <c:invertIfNegative val="0"/>
          <c:cat>
            <c:numRef>
              <c:f>BDP_doprinosi!$AC$6:$AH$6</c:f>
              <c:numCache>
                <c:formatCode>General</c:formatCode>
                <c:ptCount val="6"/>
                <c:pt idx="0">
                  <c:v>2018</c:v>
                </c:pt>
                <c:pt idx="1">
                  <c:v>2019</c:v>
                </c:pt>
                <c:pt idx="2">
                  <c:v>2020</c:v>
                </c:pt>
                <c:pt idx="3">
                  <c:v>2021</c:v>
                </c:pt>
                <c:pt idx="4">
                  <c:v>2022</c:v>
                </c:pt>
                <c:pt idx="5">
                  <c:v>2023</c:v>
                </c:pt>
              </c:numCache>
            </c:numRef>
          </c:cat>
          <c:val>
            <c:numRef>
              <c:f>BDP_doprinosi!$AC$12:$AH$12</c:f>
              <c:numCache>
                <c:formatCode>0.0</c:formatCode>
                <c:ptCount val="6"/>
                <c:pt idx="0">
                  <c:v>-2.3698893504096477</c:v>
                </c:pt>
                <c:pt idx="1">
                  <c:v>-2.4317967427201155</c:v>
                </c:pt>
                <c:pt idx="2">
                  <c:v>0.49931380820055338</c:v>
                </c:pt>
                <c:pt idx="3">
                  <c:v>-0.81756370937176681</c:v>
                </c:pt>
                <c:pt idx="4">
                  <c:v>-5.8598773791708851E-2</c:v>
                </c:pt>
                <c:pt idx="5">
                  <c:v>-2.3177487364271783E-2</c:v>
                </c:pt>
              </c:numCache>
            </c:numRef>
          </c:val>
          <c:extLst>
            <c:ext xmlns:c16="http://schemas.microsoft.com/office/drawing/2014/chart" uri="{C3380CC4-5D6E-409C-BE32-E72D297353CC}">
              <c16:uniqueId val="{00000003-CA02-4285-A449-F2B38BE0CC6F}"/>
            </c:ext>
          </c:extLst>
        </c:ser>
        <c:ser>
          <c:idx val="4"/>
          <c:order val="4"/>
          <c:tx>
            <c:strRef>
              <c:f>BDP_doprinosi!$R$11</c:f>
              <c:strCache>
                <c:ptCount val="1"/>
                <c:pt idx="0">
                  <c:v>Промена у залихама</c:v>
                </c:pt>
              </c:strCache>
            </c:strRef>
          </c:tx>
          <c:spPr>
            <a:solidFill>
              <a:srgbClr val="9ED1E6"/>
            </a:solidFill>
            <a:ln>
              <a:noFill/>
            </a:ln>
            <a:effectLst/>
          </c:spPr>
          <c:invertIfNegative val="0"/>
          <c:cat>
            <c:numRef>
              <c:f>BDP_doprinosi!$AC$6:$AH$6</c:f>
              <c:numCache>
                <c:formatCode>General</c:formatCode>
                <c:ptCount val="6"/>
                <c:pt idx="0">
                  <c:v>2018</c:v>
                </c:pt>
                <c:pt idx="1">
                  <c:v>2019</c:v>
                </c:pt>
                <c:pt idx="2">
                  <c:v>2020</c:v>
                </c:pt>
                <c:pt idx="3">
                  <c:v>2021</c:v>
                </c:pt>
                <c:pt idx="4">
                  <c:v>2022</c:v>
                </c:pt>
                <c:pt idx="5">
                  <c:v>2023</c:v>
                </c:pt>
              </c:numCache>
            </c:numRef>
          </c:cat>
          <c:val>
            <c:numRef>
              <c:f>BDP_doprinosi!$AC$11:$AH$11</c:f>
              <c:numCache>
                <c:formatCode>0.0</c:formatCode>
                <c:ptCount val="6"/>
                <c:pt idx="0">
                  <c:v>0.94633412526395344</c:v>
                </c:pt>
                <c:pt idx="1">
                  <c:v>0.4430238590612352</c:v>
                </c:pt>
                <c:pt idx="2">
                  <c:v>-9.7225407896531016E-3</c:v>
                </c:pt>
                <c:pt idx="3">
                  <c:v>4.9485189148524428E-2</c:v>
                </c:pt>
                <c:pt idx="4">
                  <c:v>4.0427210400381018E-2</c:v>
                </c:pt>
                <c:pt idx="5">
                  <c:v>-3.61807188539809E-2</c:v>
                </c:pt>
              </c:numCache>
            </c:numRef>
          </c:val>
          <c:extLst>
            <c:ext xmlns:c16="http://schemas.microsoft.com/office/drawing/2014/chart" uri="{C3380CC4-5D6E-409C-BE32-E72D297353CC}">
              <c16:uniqueId val="{00000004-CA02-4285-A449-F2B38BE0CC6F}"/>
            </c:ext>
          </c:extLst>
        </c:ser>
        <c:dLbls>
          <c:showLegendKey val="0"/>
          <c:showVal val="0"/>
          <c:showCatName val="0"/>
          <c:showSerName val="0"/>
          <c:showPercent val="0"/>
          <c:showBubbleSize val="0"/>
        </c:dLbls>
        <c:gapWidth val="60"/>
        <c:overlap val="100"/>
        <c:axId val="335900544"/>
        <c:axId val="3358934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2"/>
              <c:layout>
                <c:manualLayout>
                  <c:x val="-6.6898148148148151E-2"/>
                  <c:y val="5.152861686568265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A02-4285-A449-F2B38BE0CC6F}"/>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BDP_doprinosi!$AC$6:$AH$6</c:f>
              <c:numCache>
                <c:formatCode>General</c:formatCode>
                <c:ptCount val="6"/>
                <c:pt idx="0">
                  <c:v>2018</c:v>
                </c:pt>
                <c:pt idx="1">
                  <c:v>2019</c:v>
                </c:pt>
                <c:pt idx="2">
                  <c:v>2020</c:v>
                </c:pt>
                <c:pt idx="3">
                  <c:v>2021</c:v>
                </c:pt>
                <c:pt idx="4">
                  <c:v>2022</c:v>
                </c:pt>
                <c:pt idx="5">
                  <c:v>2023</c:v>
                </c:pt>
              </c:numCache>
            </c:numRef>
          </c:cat>
          <c:val>
            <c:numRef>
              <c:f>BDP_doprinosi!$AC$13:$AH$13</c:f>
              <c:numCache>
                <c:formatCode>0.0</c:formatCode>
                <c:ptCount val="6"/>
                <c:pt idx="0">
                  <c:v>4.495118603065305</c:v>
                </c:pt>
                <c:pt idx="1">
                  <c:v>4.2485152866817302</c:v>
                </c:pt>
                <c:pt idx="2">
                  <c:v>-1.0439999999999903</c:v>
                </c:pt>
                <c:pt idx="3">
                  <c:v>5.9799999999999951</c:v>
                </c:pt>
                <c:pt idx="4">
                  <c:v>4</c:v>
                </c:pt>
                <c:pt idx="5">
                  <c:v>4</c:v>
                </c:pt>
              </c:numCache>
            </c:numRef>
          </c:val>
          <c:smooth val="0"/>
          <c:extLst>
            <c:ext xmlns:c16="http://schemas.microsoft.com/office/drawing/2014/chart" uri="{C3380CC4-5D6E-409C-BE32-E72D297353CC}">
              <c16:uniqueId val="{00000006-CA02-4285-A449-F2B38BE0CC6F}"/>
            </c:ext>
          </c:extLst>
        </c:ser>
        <c:dLbls>
          <c:showLegendKey val="0"/>
          <c:showVal val="0"/>
          <c:showCatName val="0"/>
          <c:showSerName val="0"/>
          <c:showPercent val="0"/>
          <c:showBubbleSize val="0"/>
        </c:dLbls>
        <c:marker val="1"/>
        <c:smooth val="0"/>
        <c:axId val="335900544"/>
        <c:axId val="335893472"/>
      </c:lineChart>
      <c:catAx>
        <c:axId val="3359005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93472"/>
        <c:crosses val="autoZero"/>
        <c:auto val="1"/>
        <c:lblAlgn val="ctr"/>
        <c:lblOffset val="100"/>
        <c:noMultiLvlLbl val="0"/>
      </c:catAx>
      <c:valAx>
        <c:axId val="335893472"/>
        <c:scaling>
          <c:orientation val="minMax"/>
          <c:min val="-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900544"/>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2">
    <c:autoUpdate val="0"/>
  </c:externalData>
  <c:userShapes r:id="rId3"/>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7.0236607987885669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BDP_doprinosi!$AC$34:$AH$34</c:f>
              <c:numCache>
                <c:formatCode>0.0</c:formatCode>
                <c:ptCount val="6"/>
                <c:pt idx="0">
                  <c:v>0.9090306618593762</c:v>
                </c:pt>
                <c:pt idx="1">
                  <c:v>-0.10224264784152347</c:v>
                </c:pt>
                <c:pt idx="2">
                  <c:v>0.30134444575018376</c:v>
                </c:pt>
                <c:pt idx="3">
                  <c:v>-0.24802011995899897</c:v>
                </c:pt>
                <c:pt idx="4">
                  <c:v>3.4722816794259863E-2</c:v>
                </c:pt>
                <c:pt idx="5">
                  <c:v>0</c:v>
                </c:pt>
              </c:numCache>
            </c:numRef>
          </c:val>
          <c:extLst>
            <c:ext xmlns:c16="http://schemas.microsoft.com/office/drawing/2014/chart" uri="{C3380CC4-5D6E-409C-BE32-E72D297353CC}">
              <c16:uniqueId val="{00000000-95F5-4E6E-8A31-225968E71038}"/>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BDP_doprinosi!$AC$35:$AH$35</c:f>
              <c:numCache>
                <c:formatCode>0.0</c:formatCode>
                <c:ptCount val="6"/>
                <c:pt idx="0">
                  <c:v>0.19789162760454576</c:v>
                </c:pt>
                <c:pt idx="1">
                  <c:v>8.5144054759654711E-2</c:v>
                </c:pt>
                <c:pt idx="2">
                  <c:v>0</c:v>
                </c:pt>
                <c:pt idx="3">
                  <c:v>1.2163854768699067</c:v>
                </c:pt>
                <c:pt idx="4">
                  <c:v>1.0542007466205858</c:v>
                </c:pt>
                <c:pt idx="5">
                  <c:v>1.0584687658376732</c:v>
                </c:pt>
              </c:numCache>
            </c:numRef>
          </c:val>
          <c:extLst>
            <c:ext xmlns:c16="http://schemas.microsoft.com/office/drawing/2014/chart" uri="{C3380CC4-5D6E-409C-BE32-E72D297353CC}">
              <c16:uniqueId val="{00000001-95F5-4E6E-8A31-225968E71038}"/>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BDP_doprinosi!$AC$36:$AH$36</c:f>
              <c:numCache>
                <c:formatCode>0.0</c:formatCode>
                <c:ptCount val="6"/>
                <c:pt idx="0">
                  <c:v>0.5094118253743446</c:v>
                </c:pt>
                <c:pt idx="1">
                  <c:v>1.5031346763567888</c:v>
                </c:pt>
                <c:pt idx="2">
                  <c:v>-0.27232206542971427</c:v>
                </c:pt>
                <c:pt idx="3">
                  <c:v>0.66265035921230475</c:v>
                </c:pt>
                <c:pt idx="4">
                  <c:v>0.28139946761070478</c:v>
                </c:pt>
                <c:pt idx="5">
                  <c:v>0.36037286658532192</c:v>
                </c:pt>
              </c:numCache>
            </c:numRef>
          </c:val>
          <c:extLst>
            <c:ext xmlns:c16="http://schemas.microsoft.com/office/drawing/2014/chart" uri="{C3380CC4-5D6E-409C-BE32-E72D297353CC}">
              <c16:uniqueId val="{00000002-95F5-4E6E-8A31-225968E71038}"/>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BDP_doprinosi!$AC$37:$AH$37</c:f>
              <c:numCache>
                <c:formatCode>0.0</c:formatCode>
                <c:ptCount val="6"/>
                <c:pt idx="0">
                  <c:v>1.9462949303635</c:v>
                </c:pt>
                <c:pt idx="1">
                  <c:v>2.1613615163775095</c:v>
                </c:pt>
                <c:pt idx="2">
                  <c:v>-0.77537350185145715</c:v>
                </c:pt>
                <c:pt idx="3">
                  <c:v>3.5197876070888516</c:v>
                </c:pt>
                <c:pt idx="4">
                  <c:v>2.0654521769714145</c:v>
                </c:pt>
                <c:pt idx="5">
                  <c:v>2.0914679984151143</c:v>
                </c:pt>
              </c:numCache>
            </c:numRef>
          </c:val>
          <c:extLst>
            <c:ext xmlns:c16="http://schemas.microsoft.com/office/drawing/2014/chart" uri="{C3380CC4-5D6E-409C-BE32-E72D297353CC}">
              <c16:uniqueId val="{00000003-95F5-4E6E-8A31-225968E71038}"/>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BDP_doprinosi!$AC$38:$AH$38</c:f>
              <c:numCache>
                <c:formatCode>0.0</c:formatCode>
                <c:ptCount val="6"/>
                <c:pt idx="0">
                  <c:v>0.93248106129231578</c:v>
                </c:pt>
                <c:pt idx="1">
                  <c:v>0.60111982577334022</c:v>
                </c:pt>
                <c:pt idx="2">
                  <c:v>-0.24349370730627198</c:v>
                </c:pt>
                <c:pt idx="3">
                  <c:v>0.81840940511274751</c:v>
                </c:pt>
                <c:pt idx="4">
                  <c:v>0.52418784211766889</c:v>
                </c:pt>
                <c:pt idx="5">
                  <c:v>0.52418784211766889</c:v>
                </c:pt>
              </c:numCache>
            </c:numRef>
          </c:val>
          <c:extLst>
            <c:ext xmlns:c16="http://schemas.microsoft.com/office/drawing/2014/chart" uri="{C3380CC4-5D6E-409C-BE32-E72D297353CC}">
              <c16:uniqueId val="{00000004-95F5-4E6E-8A31-225968E71038}"/>
            </c:ext>
          </c:extLst>
        </c:ser>
        <c:dLbls>
          <c:showLegendKey val="0"/>
          <c:showVal val="0"/>
          <c:showCatName val="0"/>
          <c:showSerName val="0"/>
          <c:showPercent val="0"/>
          <c:showBubbleSize val="0"/>
        </c:dLbls>
        <c:gapWidth val="60"/>
        <c:overlap val="100"/>
        <c:axId val="335883136"/>
        <c:axId val="335894560"/>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dLbl>
              <c:idx val="2"/>
              <c:layout>
                <c:manualLayout>
                  <c:x val="-6.6898148148148151E-2"/>
                  <c:y val="5.1549782320651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5F5-4E6E-8A31-225968E71038}"/>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BDP_doprinosi!$AC$33:$AH$33</c:f>
              <c:numCache>
                <c:formatCode>General</c:formatCode>
                <c:ptCount val="6"/>
                <c:pt idx="0">
                  <c:v>2018</c:v>
                </c:pt>
                <c:pt idx="1">
                  <c:v>2019</c:v>
                </c:pt>
                <c:pt idx="2">
                  <c:v>2020</c:v>
                </c:pt>
                <c:pt idx="3">
                  <c:v>2021</c:v>
                </c:pt>
                <c:pt idx="4">
                  <c:v>2022</c:v>
                </c:pt>
                <c:pt idx="5">
                  <c:v>2023</c:v>
                </c:pt>
              </c:numCache>
            </c:numRef>
          </c:cat>
          <c:val>
            <c:numRef>
              <c:f>BDP_doprinosi!$AC$39:$AH$39</c:f>
              <c:numCache>
                <c:formatCode>0.0</c:formatCode>
                <c:ptCount val="6"/>
                <c:pt idx="0">
                  <c:v>4.4951101064940868</c:v>
                </c:pt>
                <c:pt idx="1">
                  <c:v>4.2485174254257769</c:v>
                </c:pt>
                <c:pt idx="2">
                  <c:v>-0.98984482883725966</c:v>
                </c:pt>
                <c:pt idx="3">
                  <c:v>5.9692127283248118</c:v>
                </c:pt>
                <c:pt idx="4">
                  <c:v>4</c:v>
                </c:pt>
                <c:pt idx="5">
                  <c:v>4</c:v>
                </c:pt>
              </c:numCache>
            </c:numRef>
          </c:val>
          <c:smooth val="0"/>
          <c:extLst>
            <c:ext xmlns:c16="http://schemas.microsoft.com/office/drawing/2014/chart" uri="{C3380CC4-5D6E-409C-BE32-E72D297353CC}">
              <c16:uniqueId val="{00000006-95F5-4E6E-8A31-225968E71038}"/>
            </c:ext>
          </c:extLst>
        </c:ser>
        <c:dLbls>
          <c:showLegendKey val="0"/>
          <c:showVal val="0"/>
          <c:showCatName val="0"/>
          <c:showSerName val="0"/>
          <c:showPercent val="0"/>
          <c:showBubbleSize val="0"/>
        </c:dLbls>
        <c:marker val="1"/>
        <c:smooth val="0"/>
        <c:axId val="335883136"/>
        <c:axId val="335894560"/>
      </c:lineChart>
      <c:catAx>
        <c:axId val="33588313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94560"/>
        <c:crosses val="autoZero"/>
        <c:auto val="1"/>
        <c:lblAlgn val="ctr"/>
        <c:lblOffset val="100"/>
        <c:noMultiLvlLbl val="0"/>
      </c:catAx>
      <c:valAx>
        <c:axId val="335894560"/>
        <c:scaling>
          <c:orientation val="minMax"/>
          <c:max val="7"/>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83136"/>
        <c:crosses val="autoZero"/>
        <c:crossBetween val="between"/>
        <c:majorUnit val="2"/>
      </c:valAx>
      <c:spPr>
        <a:noFill/>
        <a:ln>
          <a:noFill/>
        </a:ln>
        <a:effectLst/>
      </c:spPr>
    </c:plotArea>
    <c:legend>
      <c:legendPos val="b"/>
      <c:layout>
        <c:manualLayout>
          <c:xMode val="edge"/>
          <c:yMode val="edge"/>
          <c:x val="2.9349664625255175E-2"/>
          <c:y val="0.84326785057160336"/>
          <c:w val="0.93586103820355804"/>
          <c:h val="0.153762882703728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2">
    <c:autoUpdate val="0"/>
  </c:externalData>
  <c:userShapes r:id="rId3"/>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9.5036966533029524E-2"/>
          <c:w val="0.90740810185185183"/>
          <c:h val="0.58088975694444445"/>
        </c:manualLayout>
      </c:layout>
      <c:barChart>
        <c:barDir val="col"/>
        <c:grouping val="stacked"/>
        <c:varyColors val="0"/>
        <c:ser>
          <c:idx val="2"/>
          <c:order val="1"/>
          <c:tx>
            <c:strRef>
              <c:f>'nepoljoprivredni BDP'!$D$5</c:f>
              <c:strCache>
                <c:ptCount val="1"/>
                <c:pt idx="0">
                  <c:v>Допринос фактора рада, п.п.</c:v>
                </c:pt>
              </c:strCache>
            </c:strRef>
          </c:tx>
          <c:spPr>
            <a:solidFill>
              <a:srgbClr val="10103C"/>
            </a:solidFill>
            <a:ln>
              <a:noFill/>
            </a:ln>
            <a:effectLst/>
          </c:spPr>
          <c:invertIfNegative val="0"/>
          <c:cat>
            <c:numRef>
              <c:f>'nepoljoprivredni BDP'!$B$9:$B$14</c:f>
              <c:numCache>
                <c:formatCode>General</c:formatCode>
                <c:ptCount val="6"/>
                <c:pt idx="0">
                  <c:v>2018</c:v>
                </c:pt>
                <c:pt idx="1">
                  <c:v>2019</c:v>
                </c:pt>
                <c:pt idx="2">
                  <c:v>2020</c:v>
                </c:pt>
                <c:pt idx="3">
                  <c:v>2021</c:v>
                </c:pt>
                <c:pt idx="4">
                  <c:v>2022</c:v>
                </c:pt>
                <c:pt idx="5">
                  <c:v>2023</c:v>
                </c:pt>
              </c:numCache>
            </c:numRef>
          </c:cat>
          <c:val>
            <c:numRef>
              <c:f>'nepoljoprivredni BDP'!$D$9:$D$14</c:f>
              <c:numCache>
                <c:formatCode>0.0</c:formatCode>
                <c:ptCount val="6"/>
                <c:pt idx="0">
                  <c:v>1.6037448153778844</c:v>
                </c:pt>
                <c:pt idx="1">
                  <c:v>1.1327976415450824</c:v>
                </c:pt>
                <c:pt idx="2">
                  <c:v>0.9694102879167622</c:v>
                </c:pt>
                <c:pt idx="3">
                  <c:v>0.75082821669793076</c:v>
                </c:pt>
                <c:pt idx="4">
                  <c:v>0.65162986886483032</c:v>
                </c:pt>
                <c:pt idx="5">
                  <c:v>0.61450036523599816</c:v>
                </c:pt>
              </c:numCache>
            </c:numRef>
          </c:val>
          <c:extLst>
            <c:ext xmlns:c16="http://schemas.microsoft.com/office/drawing/2014/chart" uri="{C3380CC4-5D6E-409C-BE32-E72D297353CC}">
              <c16:uniqueId val="{00000000-2235-4242-AE14-C4FDF6BF5676}"/>
            </c:ext>
          </c:extLst>
        </c:ser>
        <c:ser>
          <c:idx val="1"/>
          <c:order val="2"/>
          <c:tx>
            <c:strRef>
              <c:f>'nepoljoprivredni BDP'!$E$5</c:f>
              <c:strCache>
                <c:ptCount val="1"/>
                <c:pt idx="0">
                  <c:v>Допринос капитала, п.п.</c:v>
                </c:pt>
              </c:strCache>
            </c:strRef>
          </c:tx>
          <c:spPr>
            <a:solidFill>
              <a:srgbClr val="29489A"/>
            </a:solidFill>
            <a:ln>
              <a:noFill/>
            </a:ln>
            <a:effectLst/>
          </c:spPr>
          <c:invertIfNegative val="0"/>
          <c:cat>
            <c:numRef>
              <c:f>'nepoljoprivredni BDP'!$B$9:$B$14</c:f>
              <c:numCache>
                <c:formatCode>General</c:formatCode>
                <c:ptCount val="6"/>
                <c:pt idx="0">
                  <c:v>2018</c:v>
                </c:pt>
                <c:pt idx="1">
                  <c:v>2019</c:v>
                </c:pt>
                <c:pt idx="2">
                  <c:v>2020</c:v>
                </c:pt>
                <c:pt idx="3">
                  <c:v>2021</c:v>
                </c:pt>
                <c:pt idx="4">
                  <c:v>2022</c:v>
                </c:pt>
                <c:pt idx="5">
                  <c:v>2023</c:v>
                </c:pt>
              </c:numCache>
            </c:numRef>
          </c:cat>
          <c:val>
            <c:numRef>
              <c:f>'nepoljoprivredni BDP'!$E$9:$E$14</c:f>
              <c:numCache>
                <c:formatCode>0.0</c:formatCode>
                <c:ptCount val="6"/>
                <c:pt idx="0">
                  <c:v>1.1773933232627809</c:v>
                </c:pt>
                <c:pt idx="1">
                  <c:v>1.5861942447027155</c:v>
                </c:pt>
                <c:pt idx="2">
                  <c:v>1.2760912125670443</c:v>
                </c:pt>
                <c:pt idx="3">
                  <c:v>1.5384002015178133</c:v>
                </c:pt>
                <c:pt idx="4">
                  <c:v>1.6278091188045474</c:v>
                </c:pt>
                <c:pt idx="5">
                  <c:v>1.7319421361604426</c:v>
                </c:pt>
              </c:numCache>
            </c:numRef>
          </c:val>
          <c:extLst>
            <c:ext xmlns:c16="http://schemas.microsoft.com/office/drawing/2014/chart" uri="{C3380CC4-5D6E-409C-BE32-E72D297353CC}">
              <c16:uniqueId val="{00000001-2235-4242-AE14-C4FDF6BF5676}"/>
            </c:ext>
          </c:extLst>
        </c:ser>
        <c:ser>
          <c:idx val="3"/>
          <c:order val="3"/>
          <c:tx>
            <c:strRef>
              <c:f>'nepoljoprivredni BDP'!$F$5</c:f>
              <c:strCache>
                <c:ptCount val="1"/>
                <c:pt idx="0">
                  <c:v>ТФП, п.п.</c:v>
                </c:pt>
              </c:strCache>
            </c:strRef>
          </c:tx>
          <c:spPr>
            <a:solidFill>
              <a:srgbClr val="51BBE7"/>
            </a:solidFill>
            <a:ln>
              <a:noFill/>
            </a:ln>
            <a:effectLst/>
          </c:spPr>
          <c:invertIfNegative val="0"/>
          <c:cat>
            <c:numRef>
              <c:f>'nepoljoprivredni BDP'!$B$9:$B$14</c:f>
              <c:numCache>
                <c:formatCode>General</c:formatCode>
                <c:ptCount val="6"/>
                <c:pt idx="0">
                  <c:v>2018</c:v>
                </c:pt>
                <c:pt idx="1">
                  <c:v>2019</c:v>
                </c:pt>
                <c:pt idx="2">
                  <c:v>2020</c:v>
                </c:pt>
                <c:pt idx="3">
                  <c:v>2021</c:v>
                </c:pt>
                <c:pt idx="4">
                  <c:v>2022</c:v>
                </c:pt>
                <c:pt idx="5">
                  <c:v>2023</c:v>
                </c:pt>
              </c:numCache>
            </c:numRef>
          </c:cat>
          <c:val>
            <c:numRef>
              <c:f>'nepoljoprivredni BDP'!$F$9:$F$14</c:f>
              <c:numCache>
                <c:formatCode>0.0</c:formatCode>
                <c:ptCount val="6"/>
                <c:pt idx="0">
                  <c:v>0.10736087306882358</c:v>
                </c:pt>
                <c:pt idx="1">
                  <c:v>0.35740173328866809</c:v>
                </c:pt>
                <c:pt idx="2">
                  <c:v>1.0033183525644283</c:v>
                </c:pt>
                <c:pt idx="3">
                  <c:v>1.2657715052776295</c:v>
                </c:pt>
                <c:pt idx="4">
                  <c:v>1.5414228962987073</c:v>
                </c:pt>
                <c:pt idx="5">
                  <c:v>1.6260076626563023</c:v>
                </c:pt>
              </c:numCache>
            </c:numRef>
          </c:val>
          <c:extLst>
            <c:ext xmlns:c16="http://schemas.microsoft.com/office/drawing/2014/chart" uri="{C3380CC4-5D6E-409C-BE32-E72D297353CC}">
              <c16:uniqueId val="{00000002-2235-4242-AE14-C4FDF6BF5676}"/>
            </c:ext>
          </c:extLst>
        </c:ser>
        <c:dLbls>
          <c:showLegendKey val="0"/>
          <c:showVal val="0"/>
          <c:showCatName val="0"/>
          <c:showSerName val="0"/>
          <c:showPercent val="0"/>
          <c:showBubbleSize val="0"/>
        </c:dLbls>
        <c:gapWidth val="60"/>
        <c:overlap val="100"/>
        <c:axId val="335902176"/>
        <c:axId val="335896192"/>
      </c:barChart>
      <c:lineChart>
        <c:grouping val="standard"/>
        <c:varyColors val="0"/>
        <c:ser>
          <c:idx val="0"/>
          <c:order val="0"/>
          <c:tx>
            <c:strRef>
              <c:f>'nepoljoprivredni BDP'!$C$5</c:f>
              <c:strCache>
                <c:ptCount val="1"/>
                <c:pt idx="0">
                  <c:v>Раст потенцијалног БДП, %</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'nepoljoprivredni BDP'!$B$9:$B$14</c:f>
              <c:numCache>
                <c:formatCode>General</c:formatCode>
                <c:ptCount val="6"/>
                <c:pt idx="0">
                  <c:v>2018</c:v>
                </c:pt>
                <c:pt idx="1">
                  <c:v>2019</c:v>
                </c:pt>
                <c:pt idx="2">
                  <c:v>2020</c:v>
                </c:pt>
                <c:pt idx="3">
                  <c:v>2021</c:v>
                </c:pt>
                <c:pt idx="4">
                  <c:v>2022</c:v>
                </c:pt>
                <c:pt idx="5">
                  <c:v>2023</c:v>
                </c:pt>
              </c:numCache>
            </c:numRef>
          </c:cat>
          <c:val>
            <c:numRef>
              <c:f>'nepoljoprivredni BDP'!$C$9:$C$14</c:f>
              <c:numCache>
                <c:formatCode>0.0</c:formatCode>
                <c:ptCount val="6"/>
                <c:pt idx="0">
                  <c:v>2.8884990117094889</c:v>
                </c:pt>
                <c:pt idx="1">
                  <c:v>3.0763936195364661</c:v>
                </c:pt>
                <c:pt idx="2">
                  <c:v>3.2488198530482348</c:v>
                </c:pt>
                <c:pt idx="3">
                  <c:v>3.5549999234933738</c:v>
                </c:pt>
                <c:pt idx="4">
                  <c:v>3.8208618839680852</c:v>
                </c:pt>
                <c:pt idx="5">
                  <c:v>3.9724501640527432</c:v>
                </c:pt>
              </c:numCache>
            </c:numRef>
          </c:val>
          <c:smooth val="0"/>
          <c:extLst>
            <c:ext xmlns:c16="http://schemas.microsoft.com/office/drawing/2014/chart" uri="{C3380CC4-5D6E-409C-BE32-E72D297353CC}">
              <c16:uniqueId val="{00000003-2235-4242-AE14-C4FDF6BF5676}"/>
            </c:ext>
          </c:extLst>
        </c:ser>
        <c:dLbls>
          <c:showLegendKey val="0"/>
          <c:showVal val="0"/>
          <c:showCatName val="0"/>
          <c:showSerName val="0"/>
          <c:showPercent val="0"/>
          <c:showBubbleSize val="0"/>
        </c:dLbls>
        <c:marker val="1"/>
        <c:smooth val="0"/>
        <c:axId val="335902176"/>
        <c:axId val="335896192"/>
      </c:lineChart>
      <c:catAx>
        <c:axId val="33590217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896192"/>
        <c:crossesAt val="0"/>
        <c:auto val="1"/>
        <c:lblAlgn val="ctr"/>
        <c:lblOffset val="100"/>
        <c:noMultiLvlLbl val="0"/>
      </c:catAx>
      <c:valAx>
        <c:axId val="3358961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335902176"/>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2">
    <c:autoUpdate val="0"/>
  </c:externalData>
  <c:userShapes r:id="rId3"/>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6672863808690581E-2"/>
          <c:y val="0.10225565087946097"/>
          <c:w val="0.96452464275298921"/>
          <c:h val="0.7363283320928169"/>
        </c:manualLayout>
      </c:layout>
      <c:barChart>
        <c:barDir val="col"/>
        <c:grouping val="clustered"/>
        <c:varyColors val="0"/>
        <c:ser>
          <c:idx val="0"/>
          <c:order val="0"/>
          <c:tx>
            <c:strRef>
              <c:f>'Trziste rada'!$Q$11</c:f>
              <c:strCache>
                <c:ptCount val="1"/>
                <c:pt idx="0">
                  <c:v>I 2019</c:v>
                </c:pt>
              </c:strCache>
            </c:strRef>
          </c:tx>
          <c:spPr>
            <a:solidFill>
              <a:srgbClr val="29489A"/>
            </a:solidFill>
            <a:ln>
              <a:noFill/>
            </a:ln>
            <a:effectLst/>
          </c:spPr>
          <c:invertIfNegative val="0"/>
          <c:dLbls>
            <c:dLbl>
              <c:idx val="0"/>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E0B-4E8C-8C83-D270ADE2C218}"/>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rada'!$R$11:$T$11</c:f>
              <c:numCache>
                <c:formatCode>0.0%</c:formatCode>
                <c:ptCount val="3"/>
                <c:pt idx="0">
                  <c:v>0.121</c:v>
                </c:pt>
                <c:pt idx="1">
                  <c:v>0.47399999999999998</c:v>
                </c:pt>
                <c:pt idx="2">
                  <c:v>0.46100000000000002</c:v>
                </c:pt>
              </c:numCache>
            </c:numRef>
          </c:val>
          <c:extLst>
            <c:ext xmlns:c16="http://schemas.microsoft.com/office/drawing/2014/chart" uri="{C3380CC4-5D6E-409C-BE32-E72D297353CC}">
              <c16:uniqueId val="{00000001-DE0B-4E8C-8C83-D270ADE2C218}"/>
            </c:ext>
          </c:extLst>
        </c:ser>
        <c:ser>
          <c:idx val="1"/>
          <c:order val="1"/>
          <c:tx>
            <c:strRef>
              <c:f>'Trziste rada'!$Q$12</c:f>
              <c:strCache>
                <c:ptCount val="1"/>
                <c:pt idx="0">
                  <c:v>II 2019</c:v>
                </c:pt>
              </c:strCache>
            </c:strRef>
          </c:tx>
          <c:spPr>
            <a:solidFill>
              <a:srgbClr val="29489A"/>
            </a:solidFill>
            <a:ln>
              <a:noFill/>
            </a:ln>
            <a:effectLst/>
          </c:spPr>
          <c:invertIfNegative val="0"/>
          <c:dLbls>
            <c:dLbl>
              <c:idx val="0"/>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E0B-4E8C-8C83-D270ADE2C218}"/>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rada'!$R$12:$T$12</c:f>
              <c:numCache>
                <c:formatCode>0.0%</c:formatCode>
                <c:ptCount val="3"/>
                <c:pt idx="0">
                  <c:v>0.10299999999999999</c:v>
                </c:pt>
                <c:pt idx="1">
                  <c:v>0.49199999999999999</c:v>
                </c:pt>
                <c:pt idx="2">
                  <c:v>0.45200000000000001</c:v>
                </c:pt>
              </c:numCache>
            </c:numRef>
          </c:val>
          <c:extLst>
            <c:ext xmlns:c16="http://schemas.microsoft.com/office/drawing/2014/chart" uri="{C3380CC4-5D6E-409C-BE32-E72D297353CC}">
              <c16:uniqueId val="{00000003-DE0B-4E8C-8C83-D270ADE2C218}"/>
            </c:ext>
          </c:extLst>
        </c:ser>
        <c:ser>
          <c:idx val="2"/>
          <c:order val="2"/>
          <c:tx>
            <c:strRef>
              <c:f>'Trziste rada'!$Q$13</c:f>
              <c:strCache>
                <c:ptCount val="1"/>
                <c:pt idx="0">
                  <c:v>I 2020</c:v>
                </c:pt>
              </c:strCache>
            </c:strRef>
          </c:tx>
          <c:spPr>
            <a:solidFill>
              <a:srgbClr val="FF0000"/>
            </a:solidFill>
            <a:ln>
              <a:noFill/>
            </a:ln>
            <a:effectLst/>
          </c:spPr>
          <c:invertIfNegative val="0"/>
          <c:dLbls>
            <c:dLbl>
              <c:idx val="1"/>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E0B-4E8C-8C83-D270ADE2C218}"/>
                </c:ext>
              </c:extLst>
            </c:dLbl>
            <c:dLbl>
              <c:idx val="2"/>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E0B-4E8C-8C83-D270ADE2C218}"/>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rada'!$R$13:$T$13</c:f>
              <c:numCache>
                <c:formatCode>0.0%</c:formatCode>
                <c:ptCount val="3"/>
                <c:pt idx="0">
                  <c:v>9.6999999999999989E-2</c:v>
                </c:pt>
                <c:pt idx="1">
                  <c:v>0.48700000000000004</c:v>
                </c:pt>
                <c:pt idx="2">
                  <c:v>0.46</c:v>
                </c:pt>
              </c:numCache>
            </c:numRef>
          </c:val>
          <c:extLst>
            <c:ext xmlns:c16="http://schemas.microsoft.com/office/drawing/2014/chart" uri="{C3380CC4-5D6E-409C-BE32-E72D297353CC}">
              <c16:uniqueId val="{00000006-DE0B-4E8C-8C83-D270ADE2C218}"/>
            </c:ext>
          </c:extLst>
        </c:ser>
        <c:ser>
          <c:idx val="3"/>
          <c:order val="3"/>
          <c:tx>
            <c:strRef>
              <c:f>'Trziste rada'!$Q$14</c:f>
              <c:strCache>
                <c:ptCount val="1"/>
                <c:pt idx="0">
                  <c:v>II 2020</c:v>
                </c:pt>
              </c:strCache>
            </c:strRef>
          </c:tx>
          <c:spPr>
            <a:solidFill>
              <a:srgbClr val="FF0000"/>
            </a:solidFill>
            <a:ln>
              <a:noFill/>
            </a:ln>
            <a:effectLst/>
          </c:spPr>
          <c:invertIfNegative val="0"/>
          <c:dLbls>
            <c:dLbl>
              <c:idx val="1"/>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E0B-4E8C-8C83-D270ADE2C218}"/>
                </c:ext>
              </c:extLst>
            </c:dLbl>
            <c:dLbl>
              <c:idx val="2"/>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E0B-4E8C-8C83-D270ADE2C218}"/>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rada'!$R$14:$T$14</c:f>
              <c:numCache>
                <c:formatCode>0.0%</c:formatCode>
                <c:ptCount val="3"/>
                <c:pt idx="0">
                  <c:v>7.2999999999999995E-2</c:v>
                </c:pt>
                <c:pt idx="1">
                  <c:v>0.48200000000000004</c:v>
                </c:pt>
                <c:pt idx="2">
                  <c:v>0.48</c:v>
                </c:pt>
              </c:numCache>
            </c:numRef>
          </c:val>
          <c:extLst>
            <c:ext xmlns:c16="http://schemas.microsoft.com/office/drawing/2014/chart" uri="{C3380CC4-5D6E-409C-BE32-E72D297353CC}">
              <c16:uniqueId val="{00000009-DE0B-4E8C-8C83-D270ADE2C218}"/>
            </c:ext>
          </c:extLst>
        </c:ser>
        <c:dLbls>
          <c:showLegendKey val="0"/>
          <c:showVal val="0"/>
          <c:showCatName val="0"/>
          <c:showSerName val="0"/>
          <c:showPercent val="0"/>
          <c:showBubbleSize val="0"/>
        </c:dLbls>
        <c:gapWidth val="80"/>
        <c:overlap val="-9"/>
        <c:axId val="335902720"/>
        <c:axId val="335912512"/>
      </c:barChart>
      <c:catAx>
        <c:axId val="335902720"/>
        <c:scaling>
          <c:orientation val="minMax"/>
        </c:scaling>
        <c:delete val="0"/>
        <c:axPos val="b"/>
        <c:numFmt formatCode="General" sourceLinked="1"/>
        <c:majorTickMark val="none"/>
        <c:minorTickMark val="none"/>
        <c:tickLblPos val="high"/>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12512"/>
        <c:crosses val="autoZero"/>
        <c:auto val="1"/>
        <c:lblAlgn val="ctr"/>
        <c:lblOffset val="100"/>
        <c:noMultiLvlLbl val="0"/>
      </c:catAx>
      <c:valAx>
        <c:axId val="335912512"/>
        <c:scaling>
          <c:orientation val="minMax"/>
          <c:max val="0.5"/>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272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userShapes r:id="rId3"/>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562408865558474E-2"/>
          <c:y val="5.3106332138590201E-2"/>
          <c:w val="0.8042825896762905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NPL!$Q$5:$Q$12</c:f>
              <c:strCache>
                <c:ptCount val="8"/>
                <c:pt idx="0">
                  <c:v>2013</c:v>
                </c:pt>
                <c:pt idx="1">
                  <c:v>2014</c:v>
                </c:pt>
                <c:pt idx="2">
                  <c:v>2015</c:v>
                </c:pt>
                <c:pt idx="3">
                  <c:v>2016</c:v>
                </c:pt>
                <c:pt idx="4">
                  <c:v>2017</c:v>
                </c:pt>
                <c:pt idx="5">
                  <c:v>2018</c:v>
                </c:pt>
                <c:pt idx="6">
                  <c:v>2019</c:v>
                </c:pt>
                <c:pt idx="7">
                  <c:v>IX 2020</c:v>
                </c:pt>
              </c:strCache>
            </c:strRef>
          </c:cat>
          <c:val>
            <c:numRef>
              <c:f>NPL!$S$5:$S$12</c:f>
              <c:numCache>
                <c:formatCode>#,##0</c:formatCode>
                <c:ptCount val="8"/>
                <c:pt idx="0">
                  <c:v>238.4</c:v>
                </c:pt>
                <c:pt idx="1">
                  <c:v>248.4</c:v>
                </c:pt>
                <c:pt idx="2" formatCode="0">
                  <c:v>216.8</c:v>
                </c:pt>
                <c:pt idx="3" formatCode="0">
                  <c:v>172.8</c:v>
                </c:pt>
                <c:pt idx="4" formatCode="0">
                  <c:v>107.6</c:v>
                </c:pt>
                <c:pt idx="5" formatCode="0">
                  <c:v>56.849434000000002</c:v>
                </c:pt>
                <c:pt idx="6" formatCode="0">
                  <c:v>53.2</c:v>
                </c:pt>
              </c:numCache>
            </c:numRef>
          </c:val>
          <c:extLst>
            <c:ext xmlns:c16="http://schemas.microsoft.com/office/drawing/2014/chart" uri="{C3380CC4-5D6E-409C-BE32-E72D297353CC}">
              <c16:uniqueId val="{00000000-6FFD-4B79-8A98-A1CCA2CED2F3}"/>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NPL!$Q$5:$Q$12</c:f>
              <c:strCache>
                <c:ptCount val="8"/>
                <c:pt idx="0">
                  <c:v>2013</c:v>
                </c:pt>
                <c:pt idx="1">
                  <c:v>2014</c:v>
                </c:pt>
                <c:pt idx="2">
                  <c:v>2015</c:v>
                </c:pt>
                <c:pt idx="3">
                  <c:v>2016</c:v>
                </c:pt>
                <c:pt idx="4">
                  <c:v>2017</c:v>
                </c:pt>
                <c:pt idx="5">
                  <c:v>2018</c:v>
                </c:pt>
                <c:pt idx="6">
                  <c:v>2019</c:v>
                </c:pt>
                <c:pt idx="7">
                  <c:v>IX 2020</c:v>
                </c:pt>
              </c:strCache>
            </c:strRef>
          </c:cat>
          <c:val>
            <c:numRef>
              <c:f>NPL!$T$5:$T$12</c:f>
              <c:numCache>
                <c:formatCode>#,##0</c:formatCode>
                <c:ptCount val="8"/>
                <c:pt idx="0">
                  <c:v>56.7</c:v>
                </c:pt>
                <c:pt idx="1">
                  <c:v>66.400000000000006</c:v>
                </c:pt>
                <c:pt idx="2" formatCode="0">
                  <c:v>73.400000000000006</c:v>
                </c:pt>
                <c:pt idx="3" formatCode="0">
                  <c:v>69.2</c:v>
                </c:pt>
                <c:pt idx="4" formatCode="0">
                  <c:v>45.4</c:v>
                </c:pt>
                <c:pt idx="5" formatCode="0">
                  <c:v>39.608241</c:v>
                </c:pt>
                <c:pt idx="6" formatCode="0">
                  <c:v>41.2</c:v>
                </c:pt>
              </c:numCache>
            </c:numRef>
          </c:val>
          <c:extLst>
            <c:ext xmlns:c16="http://schemas.microsoft.com/office/drawing/2014/chart" uri="{C3380CC4-5D6E-409C-BE32-E72D297353CC}">
              <c16:uniqueId val="{00000001-6FFD-4B79-8A98-A1CCA2CED2F3}"/>
            </c:ext>
          </c:extLst>
        </c:ser>
        <c:ser>
          <c:idx val="2"/>
          <c:order val="2"/>
          <c:tx>
            <c:strRef>
              <c:f>NPL!$U$4</c:f>
              <c:strCache>
                <c:ptCount val="1"/>
                <c:pt idx="0">
                  <c:v>Остали</c:v>
                </c:pt>
              </c:strCache>
            </c:strRef>
          </c:tx>
          <c:spPr>
            <a:solidFill>
              <a:srgbClr val="51BBE7"/>
            </a:solidFill>
            <a:ln>
              <a:noFill/>
            </a:ln>
            <a:effectLst/>
          </c:spPr>
          <c:invertIfNegative val="0"/>
          <c:cat>
            <c:strRef>
              <c:f>NPL!$Q$5:$Q$12</c:f>
              <c:strCache>
                <c:ptCount val="8"/>
                <c:pt idx="0">
                  <c:v>2013</c:v>
                </c:pt>
                <c:pt idx="1">
                  <c:v>2014</c:v>
                </c:pt>
                <c:pt idx="2">
                  <c:v>2015</c:v>
                </c:pt>
                <c:pt idx="3">
                  <c:v>2016</c:v>
                </c:pt>
                <c:pt idx="4">
                  <c:v>2017</c:v>
                </c:pt>
                <c:pt idx="5">
                  <c:v>2018</c:v>
                </c:pt>
                <c:pt idx="6">
                  <c:v>2019</c:v>
                </c:pt>
                <c:pt idx="7">
                  <c:v>IX 2020</c:v>
                </c:pt>
              </c:strCache>
            </c:strRef>
          </c:cat>
          <c:val>
            <c:numRef>
              <c:f>NPL!$U$5:$U$12</c:f>
              <c:numCache>
                <c:formatCode>#,##0</c:formatCode>
                <c:ptCount val="8"/>
                <c:pt idx="0">
                  <c:v>100.2</c:v>
                </c:pt>
                <c:pt idx="1">
                  <c:v>106.4</c:v>
                </c:pt>
                <c:pt idx="2" formatCode="0">
                  <c:v>134.4</c:v>
                </c:pt>
                <c:pt idx="3" formatCode="0">
                  <c:v>103.8</c:v>
                </c:pt>
                <c:pt idx="4" formatCode="0">
                  <c:v>51.9</c:v>
                </c:pt>
                <c:pt idx="5" formatCode="0">
                  <c:v>34.192292000000002</c:v>
                </c:pt>
                <c:pt idx="6" formatCode="0">
                  <c:v>28.3</c:v>
                </c:pt>
              </c:numCache>
            </c:numRef>
          </c:val>
          <c:extLst>
            <c:ext xmlns:c16="http://schemas.microsoft.com/office/drawing/2014/chart" uri="{C3380CC4-5D6E-409C-BE32-E72D297353CC}">
              <c16:uniqueId val="{00000002-6FFD-4B79-8A98-A1CCA2CED2F3}"/>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NPL!$Q$5:$Q$12</c:f>
              <c:strCache>
                <c:ptCount val="8"/>
                <c:pt idx="0">
                  <c:v>2013</c:v>
                </c:pt>
                <c:pt idx="1">
                  <c:v>2014</c:v>
                </c:pt>
                <c:pt idx="2">
                  <c:v>2015</c:v>
                </c:pt>
                <c:pt idx="3">
                  <c:v>2016</c:v>
                </c:pt>
                <c:pt idx="4">
                  <c:v>2017</c:v>
                </c:pt>
                <c:pt idx="5">
                  <c:v>2018</c:v>
                </c:pt>
                <c:pt idx="6">
                  <c:v>2019</c:v>
                </c:pt>
                <c:pt idx="7">
                  <c:v>IX 2020</c:v>
                </c:pt>
              </c:strCache>
            </c:strRef>
          </c:cat>
          <c:val>
            <c:numRef>
              <c:f>NPL!$V$5:$V$12</c:f>
              <c:numCache>
                <c:formatCode>0.0%</c:formatCode>
                <c:ptCount val="8"/>
                <c:pt idx="0">
                  <c:v>0.2137</c:v>
                </c:pt>
                <c:pt idx="1">
                  <c:v>0.21539999999999998</c:v>
                </c:pt>
                <c:pt idx="2">
                  <c:v>0.216</c:v>
                </c:pt>
                <c:pt idx="3">
                  <c:v>0.17030000000000001</c:v>
                </c:pt>
                <c:pt idx="4">
                  <c:v>9.8500000000000004E-2</c:v>
                </c:pt>
                <c:pt idx="5">
                  <c:v>5.7000000000000002E-2</c:v>
                </c:pt>
                <c:pt idx="6">
                  <c:v>4.1000000000000002E-2</c:v>
                </c:pt>
                <c:pt idx="7">
                  <c:v>3.4000000000000002E-2</c:v>
                </c:pt>
              </c:numCache>
            </c:numRef>
          </c:val>
          <c:smooth val="0"/>
          <c:extLst>
            <c:ext xmlns:c16="http://schemas.microsoft.com/office/drawing/2014/chart" uri="{C3380CC4-5D6E-409C-BE32-E72D297353CC}">
              <c16:uniqueId val="{00000003-6FFD-4B79-8A98-A1CCA2CED2F3}"/>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kurs'!$U$2</c:f>
              <c:strCache>
                <c:ptCount val="1"/>
                <c:pt idx="0">
                  <c:v>Интервенције НБС, нето, мил. евра (десна скала)</c:v>
                </c:pt>
              </c:strCache>
            </c:strRef>
          </c:tx>
          <c:spPr>
            <a:solidFill>
              <a:srgbClr val="29489A"/>
            </a:solidFill>
            <a:ln>
              <a:noFill/>
            </a:ln>
            <a:effectLst/>
          </c:spPr>
          <c:invertIfNegative val="0"/>
          <c:cat>
            <c:numRef>
              <c:f>'Devizni kurs'!$V$39:$V$119</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'Devizni kurs'!$U$39:$U$119</c:f>
              <c:numCache>
                <c:formatCode>General</c:formatCode>
                <c:ptCount val="81"/>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numCache>
            </c:numRef>
          </c:val>
          <c:extLst>
            <c:ext xmlns:c16="http://schemas.microsoft.com/office/drawing/2014/chart" uri="{C3380CC4-5D6E-409C-BE32-E72D297353CC}">
              <c16:uniqueId val="{00000000-A08D-4087-8B81-FF83C50F2748}"/>
            </c:ext>
          </c:extLst>
        </c:ser>
        <c:dLbls>
          <c:showLegendKey val="0"/>
          <c:showVal val="0"/>
          <c:showCatName val="0"/>
          <c:showSerName val="0"/>
          <c:showPercent val="0"/>
          <c:showBubbleSize val="0"/>
        </c:dLbls>
        <c:gapWidth val="30"/>
        <c:axId val="335908160"/>
        <c:axId val="335932096"/>
      </c:barChart>
      <c:lineChart>
        <c:grouping val="standard"/>
        <c:varyColors val="0"/>
        <c:ser>
          <c:idx val="0"/>
          <c:order val="0"/>
          <c:tx>
            <c:strRef>
              <c:f>'Devizni kurs'!$T$2</c:f>
              <c:strCache>
                <c:ptCount val="1"/>
                <c:pt idx="0">
                  <c:v>Просечан девизни курс ЕУР/РСД</c:v>
                </c:pt>
              </c:strCache>
            </c:strRef>
          </c:tx>
          <c:spPr>
            <a:ln w="22225" cap="rnd">
              <a:solidFill>
                <a:srgbClr val="FF0000"/>
              </a:solidFill>
              <a:round/>
            </a:ln>
            <a:effectLst/>
          </c:spPr>
          <c:marker>
            <c:symbol val="none"/>
          </c:marker>
          <c:cat>
            <c:numRef>
              <c:f>'Devizni kurs'!$V$39:$V$119</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'Devizni kurs'!$T$39:$T$119</c:f>
              <c:numCache>
                <c:formatCode>0.00</c:formatCode>
                <c:ptCount val="81"/>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numCache>
            </c:numRef>
          </c:val>
          <c:smooth val="0"/>
          <c:extLst>
            <c:ext xmlns:c16="http://schemas.microsoft.com/office/drawing/2014/chart" uri="{C3380CC4-5D6E-409C-BE32-E72D297353CC}">
              <c16:uniqueId val="{00000001-A08D-4087-8B81-FF83C50F2748}"/>
            </c:ext>
          </c:extLst>
        </c:ser>
        <c:ser>
          <c:idx val="2"/>
          <c:order val="2"/>
          <c:spPr>
            <a:ln w="28575" cap="rnd">
              <a:noFill/>
              <a:round/>
            </a:ln>
            <a:effectLst/>
          </c:spPr>
          <c:marker>
            <c:symbol val="square"/>
            <c:size val="2"/>
            <c:spPr>
              <a:solidFill>
                <a:schemeClr val="bg1"/>
              </a:solidFill>
              <a:ln w="9525">
                <a:noFill/>
              </a:ln>
              <a:effectLst/>
            </c:spPr>
          </c:marker>
          <c:dLbls>
            <c:dLbl>
              <c:idx val="0"/>
              <c:layout>
                <c:manualLayout>
                  <c:x val="-5.4664077187430915E-3"/>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08D-4087-8B81-FF83C50F2748}"/>
                </c:ext>
              </c:extLst>
            </c:dLbl>
            <c:dLbl>
              <c:idx val="12"/>
              <c:layout>
                <c:manualLayout>
                  <c:x val="-1.0111027271747333E-2"/>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08D-4087-8B81-FF83C50F2748}"/>
                </c:ext>
              </c:extLst>
            </c:dLbl>
            <c:dLbl>
              <c:idx val="24"/>
              <c:layout>
                <c:manualLayout>
                  <c:x val="-1.0107007854307079E-2"/>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08D-4087-8B81-FF83C50F2748}"/>
                </c:ext>
              </c:extLst>
            </c:dLbl>
            <c:dLbl>
              <c:idx val="36"/>
              <c:layout>
                <c:manualLayout>
                  <c:x val="-1.0111027271747333E-2"/>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08D-4087-8B81-FF83C50F2748}"/>
                </c:ext>
              </c:extLst>
            </c:dLbl>
            <c:dLbl>
              <c:idx val="48"/>
              <c:layout>
                <c:manualLayout>
                  <c:x val="-1.0894448271011133E-2"/>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08D-4087-8B81-FF83C50F2748}"/>
                </c:ext>
              </c:extLst>
            </c:dLbl>
            <c:dLbl>
              <c:idx val="60"/>
              <c:layout>
                <c:manualLayout>
                  <c:x val="-1.1555459739139894E-2"/>
                  <c:y val="3.83858464425067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08D-4087-8B81-FF83C50F2748}"/>
                </c:ext>
              </c:extLst>
            </c:dLbl>
            <c:dLbl>
              <c:idx val="72"/>
              <c:layout>
                <c:manualLayout>
                  <c:x val="-2.5987360759158334E-2"/>
                  <c:y val="3.79050167349899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08D-4087-8B81-FF83C50F274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kurs'!$V$39:$V$119</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'Devizni kurs'!$W$39:$W$119</c:f>
              <c:numCache>
                <c:formatCode>General</c:formatCode>
                <c:ptCount val="81"/>
                <c:pt idx="0">
                  <c:v>85</c:v>
                </c:pt>
                <c:pt idx="12">
                  <c:v>85</c:v>
                </c:pt>
                <c:pt idx="24">
                  <c:v>85</c:v>
                </c:pt>
                <c:pt idx="36">
                  <c:v>85</c:v>
                </c:pt>
                <c:pt idx="48">
                  <c:v>85</c:v>
                </c:pt>
                <c:pt idx="60">
                  <c:v>85</c:v>
                </c:pt>
                <c:pt idx="72">
                  <c:v>85</c:v>
                </c:pt>
              </c:numCache>
            </c:numRef>
          </c:val>
          <c:smooth val="0"/>
          <c:extLst>
            <c:ext xmlns:c16="http://schemas.microsoft.com/office/drawing/2014/chart" uri="{C3380CC4-5D6E-409C-BE32-E72D297353CC}">
              <c16:uniqueId val="{00000009-A08D-4087-8B81-FF83C50F2748}"/>
            </c:ext>
          </c:extLst>
        </c:ser>
        <c:dLbls>
          <c:showLegendKey val="0"/>
          <c:showVal val="0"/>
          <c:showCatName val="0"/>
          <c:showSerName val="0"/>
          <c:showPercent val="0"/>
          <c:showBubbleSize val="0"/>
        </c:dLbls>
        <c:marker val="1"/>
        <c:smooth val="0"/>
        <c:axId val="335926656"/>
        <c:axId val="335907616"/>
      </c:lineChart>
      <c:catAx>
        <c:axId val="335926656"/>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7616"/>
        <c:crosses val="autoZero"/>
        <c:auto val="0"/>
        <c:lblAlgn val="ctr"/>
        <c:lblOffset val="100"/>
        <c:tickLblSkip val="12"/>
        <c:noMultiLvlLbl val="1"/>
      </c:catAx>
      <c:valAx>
        <c:axId val="335907616"/>
        <c:scaling>
          <c:orientation val="minMax"/>
          <c:max val="140"/>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6656"/>
        <c:crosses val="autoZero"/>
        <c:crossBetween val="midCat"/>
        <c:majorUnit val="10"/>
      </c:valAx>
      <c:valAx>
        <c:axId val="335932096"/>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8160"/>
        <c:crosses val="max"/>
        <c:crossBetween val="between"/>
        <c:majorUnit val="200"/>
      </c:valAx>
      <c:dateAx>
        <c:axId val="335908160"/>
        <c:scaling>
          <c:orientation val="minMax"/>
        </c:scaling>
        <c:delete val="1"/>
        <c:axPos val="b"/>
        <c:numFmt formatCode="yyyy" sourceLinked="1"/>
        <c:majorTickMark val="out"/>
        <c:minorTickMark val="none"/>
        <c:tickLblPos val="nextTo"/>
        <c:crossAx val="335932096"/>
        <c:crosses val="autoZero"/>
        <c:auto val="1"/>
        <c:lblOffset val="100"/>
        <c:baseTimeUnit val="months"/>
      </c:dateAx>
      <c:spPr>
        <a:noFill/>
        <a:ln>
          <a:noFill/>
        </a:ln>
        <a:effectLst/>
      </c:spPr>
    </c:plotArea>
    <c:legend>
      <c:legendPos val="b"/>
      <c:legendEntry>
        <c:idx val="2"/>
        <c:delete val="1"/>
      </c:legendEntry>
      <c:layout>
        <c:manualLayout>
          <c:xMode val="edge"/>
          <c:yMode val="edge"/>
          <c:x val="3.5854845866286351E-2"/>
          <c:y val="0.83348886289975521"/>
          <c:w val="0.94761396709314683"/>
          <c:h val="0.1541596737027589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rezerve'!$U$2</c:f>
              <c:strCache>
                <c:ptCount val="1"/>
                <c:pt idx="0">
                  <c:v>Девизне резерве НБС </c:v>
                </c:pt>
              </c:strCache>
            </c:strRef>
          </c:tx>
          <c:spPr>
            <a:solidFill>
              <a:srgbClr val="9ED1E6"/>
            </a:solidFill>
            <a:ln>
              <a:noFill/>
            </a:ln>
            <a:effectLst/>
          </c:spPr>
          <c:invertIfNegative val="0"/>
          <c:cat>
            <c:numRef>
              <c:f>'Stednja i rezerve'!$V$27:$V$107</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'Stednja i rezerve'!$U$27:$U$107</c:f>
              <c:numCache>
                <c:formatCode>0.000</c:formatCode>
                <c:ptCount val="81"/>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numCache>
            </c:numRef>
          </c:val>
          <c:extLst>
            <c:ext xmlns:c16="http://schemas.microsoft.com/office/drawing/2014/chart" uri="{C3380CC4-5D6E-409C-BE32-E72D297353CC}">
              <c16:uniqueId val="{00000000-7884-4B53-977A-50D87F51E73A}"/>
            </c:ext>
          </c:extLst>
        </c:ser>
        <c:dLbls>
          <c:showLegendKey val="0"/>
          <c:showVal val="0"/>
          <c:showCatName val="0"/>
          <c:showSerName val="0"/>
          <c:showPercent val="0"/>
          <c:showBubbleSize val="0"/>
        </c:dLbls>
        <c:gapWidth val="100"/>
        <c:axId val="335921216"/>
        <c:axId val="335932640"/>
      </c:barChart>
      <c:lineChart>
        <c:grouping val="standard"/>
        <c:varyColors val="0"/>
        <c:ser>
          <c:idx val="0"/>
          <c:order val="0"/>
          <c:tx>
            <c:strRef>
              <c:f>'Stednja i rezerve'!$T$2</c:f>
              <c:strCache>
                <c:ptCount val="1"/>
                <c:pt idx="0">
                  <c:v>Девизна штедња становништва</c:v>
                </c:pt>
              </c:strCache>
            </c:strRef>
          </c:tx>
          <c:spPr>
            <a:ln w="22225" cap="rnd">
              <a:solidFill>
                <a:srgbClr val="FF0000"/>
              </a:solidFill>
              <a:round/>
            </a:ln>
            <a:effectLst/>
          </c:spPr>
          <c:marker>
            <c:symbol val="none"/>
          </c:marker>
          <c:cat>
            <c:numRef>
              <c:f>'Stednja i rezerve'!$V$27:$V$107</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'Stednja i rezerve'!$T$27:$T$107</c:f>
              <c:numCache>
                <c:formatCode>0.000</c:formatCode>
                <c:ptCount val="81"/>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numCache>
            </c:numRef>
          </c:val>
          <c:smooth val="0"/>
          <c:extLst>
            <c:ext xmlns:c16="http://schemas.microsoft.com/office/drawing/2014/chart" uri="{C3380CC4-5D6E-409C-BE32-E72D297353CC}">
              <c16:uniqueId val="{00000001-7884-4B53-977A-50D87F51E73A}"/>
            </c:ext>
          </c:extLst>
        </c:ser>
        <c:ser>
          <c:idx val="2"/>
          <c:order val="2"/>
          <c:spPr>
            <a:ln w="28575" cap="rnd">
              <a:noFill/>
              <a:round/>
            </a:ln>
            <a:effectLst/>
          </c:spPr>
          <c:marker>
            <c:symbol val="square"/>
            <c:size val="2"/>
            <c:spPr>
              <a:solidFill>
                <a:schemeClr val="bg1"/>
              </a:solidFill>
              <a:ln w="9525">
                <a:noFill/>
              </a:ln>
              <a:effectLst/>
            </c:spPr>
          </c:marker>
          <c:dLbls>
            <c:dLbl>
              <c:idx val="0"/>
              <c:layout>
                <c:manualLayout>
                  <c:x val="-1.7454610335147531E-3"/>
                  <c:y val="2.791543139079440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884-4B53-977A-50D87F51E73A}"/>
                </c:ext>
              </c:extLst>
            </c:dLbl>
            <c:dLbl>
              <c:idx val="12"/>
              <c:layout>
                <c:manualLayout>
                  <c:x val="1.6562502056602076E-4"/>
                  <c:y val="2.802307586882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884-4B53-977A-50D87F51E73A}"/>
                </c:ext>
              </c:extLst>
            </c:dLbl>
            <c:dLbl>
              <c:idx val="24"/>
              <c:layout>
                <c:manualLayout>
                  <c:x val="1.6562502056602076E-4"/>
                  <c:y val="2.802307586882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884-4B53-977A-50D87F51E73A}"/>
                </c:ext>
              </c:extLst>
            </c:dLbl>
            <c:dLbl>
              <c:idx val="36"/>
              <c:layout>
                <c:manualLayout>
                  <c:x val="1.5831265762703846E-4"/>
                  <c:y val="2.802307586882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884-4B53-977A-50D87F51E73A}"/>
                </c:ext>
              </c:extLst>
            </c:dLbl>
            <c:dLbl>
              <c:idx val="48"/>
              <c:layout>
                <c:manualLayout>
                  <c:x val="-1.6887902207382999E-3"/>
                  <c:y val="2.802307586882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884-4B53-977A-50D87F51E73A}"/>
                </c:ext>
              </c:extLst>
            </c:dLbl>
            <c:dLbl>
              <c:idx val="60"/>
              <c:layout>
                <c:manualLayout>
                  <c:x val="5.1176329149877275E-4"/>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884-4B53-977A-50D87F51E73A}"/>
                </c:ext>
              </c:extLst>
            </c:dLbl>
            <c:dLbl>
              <c:idx val="72"/>
              <c:layout>
                <c:manualLayout>
                  <c:x val="-2.1346658397082115E-2"/>
                  <c:y val="2.873407230274950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884-4B53-977A-50D87F51E73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rezerve'!$V$27:$V$107</c:f>
              <c:numCache>
                <c:formatCode>yyyy</c:formatCode>
                <c:ptCount val="81"/>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numCache>
            </c:numRef>
          </c:cat>
          <c:val>
            <c:numRef>
              <c:f>'Stednja i rezerve'!$W$27:$W$107</c:f>
              <c:numCache>
                <c:formatCode>General</c:formatCode>
                <c:ptCount val="81"/>
                <c:pt idx="0">
                  <c:v>7</c:v>
                </c:pt>
                <c:pt idx="12">
                  <c:v>7</c:v>
                </c:pt>
                <c:pt idx="24">
                  <c:v>7</c:v>
                </c:pt>
                <c:pt idx="36">
                  <c:v>7</c:v>
                </c:pt>
                <c:pt idx="48">
                  <c:v>7</c:v>
                </c:pt>
                <c:pt idx="60">
                  <c:v>7</c:v>
                </c:pt>
                <c:pt idx="72">
                  <c:v>7</c:v>
                </c:pt>
              </c:numCache>
            </c:numRef>
          </c:val>
          <c:smooth val="0"/>
          <c:extLst>
            <c:ext xmlns:c16="http://schemas.microsoft.com/office/drawing/2014/chart" uri="{C3380CC4-5D6E-409C-BE32-E72D297353CC}">
              <c16:uniqueId val="{00000009-7884-4B53-977A-50D87F51E73A}"/>
            </c:ext>
          </c:extLst>
        </c:ser>
        <c:dLbls>
          <c:showLegendKey val="0"/>
          <c:showVal val="0"/>
          <c:showCatName val="0"/>
          <c:showSerName val="0"/>
          <c:showPercent val="0"/>
          <c:showBubbleSize val="0"/>
        </c:dLbls>
        <c:marker val="1"/>
        <c:smooth val="0"/>
        <c:axId val="335921216"/>
        <c:axId val="335932640"/>
      </c:lineChart>
      <c:catAx>
        <c:axId val="335921216"/>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32640"/>
        <c:crosses val="autoZero"/>
        <c:auto val="0"/>
        <c:lblAlgn val="ctr"/>
        <c:lblOffset val="100"/>
        <c:tickLblSkip val="12"/>
        <c:noMultiLvlLbl val="1"/>
      </c:catAx>
      <c:valAx>
        <c:axId val="335932640"/>
        <c:scaling>
          <c:orientation val="minMax"/>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1216"/>
        <c:crosses val="autoZero"/>
        <c:crossBetween val="midCat"/>
        <c:majorUnit val="1"/>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userShapes r:id="rId3"/>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0491452991453"/>
          <c:y val="3.9230096237970254E-2"/>
          <c:w val="0.85891310541310539"/>
          <c:h val="0.6289622222222222"/>
        </c:manualLayout>
      </c:layout>
      <c:lineChart>
        <c:grouping val="standard"/>
        <c:varyColors val="0"/>
        <c:ser>
          <c:idx val="0"/>
          <c:order val="0"/>
          <c:tx>
            <c:strRef>
              <c:f>Inflacija!$T$3</c:f>
              <c:strCache>
                <c:ptCount val="1"/>
                <c:pt idx="0">
                  <c:v>Референтна каматна стопа</c:v>
                </c:pt>
              </c:strCache>
            </c:strRef>
          </c:tx>
          <c:spPr>
            <a:ln w="22225" cap="rnd">
              <a:solidFill>
                <a:srgbClr val="51BBE7"/>
              </a:solidFill>
              <a:round/>
            </a:ln>
            <a:effectLst/>
          </c:spPr>
          <c:marker>
            <c:symbol val="none"/>
          </c:marker>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Inflacija!$T$40:$T$132</c:f>
              <c:numCache>
                <c:formatCode>0.00</c:formatCode>
                <c:ptCount val="93"/>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numCache>
            </c:numRef>
          </c:val>
          <c:smooth val="0"/>
          <c:extLst>
            <c:ext xmlns:c16="http://schemas.microsoft.com/office/drawing/2014/chart" uri="{C3380CC4-5D6E-409C-BE32-E72D297353CC}">
              <c16:uniqueId val="{00000000-C0D6-40F5-90F9-382957B2B26F}"/>
            </c:ext>
          </c:extLst>
        </c:ser>
        <c:ser>
          <c:idx val="1"/>
          <c:order val="1"/>
          <c:tx>
            <c:strRef>
              <c:f>Inflacija!$U$3</c:f>
              <c:strCache>
                <c:ptCount val="1"/>
                <c:pt idx="0">
                  <c:v>Потрошачке цене</c:v>
                </c:pt>
              </c:strCache>
            </c:strRef>
          </c:tx>
          <c:spPr>
            <a:ln w="22225" cap="rnd">
              <a:solidFill>
                <a:srgbClr val="7F3F98"/>
              </a:solidFill>
              <a:round/>
            </a:ln>
            <a:effectLst/>
          </c:spPr>
          <c:marker>
            <c:symbol val="none"/>
          </c:marker>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Inflacija!$U$40:$U$132</c:f>
              <c:numCache>
                <c:formatCode>0.0</c:formatCode>
                <c:ptCount val="93"/>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2.2000000000000028</c:v>
                </c:pt>
                <c:pt idx="77" formatCode="General">
                  <c:v>1.5</c:v>
                </c:pt>
                <c:pt idx="78" formatCode="General">
                  <c:v>1.6</c:v>
                </c:pt>
                <c:pt idx="79" formatCode="General">
                  <c:v>1.2999999999999972</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numCache>
            </c:numRef>
          </c:val>
          <c:smooth val="0"/>
          <c:extLst>
            <c:ext xmlns:c16="http://schemas.microsoft.com/office/drawing/2014/chart" uri="{C3380CC4-5D6E-409C-BE32-E72D297353CC}">
              <c16:uniqueId val="{00000001-C0D6-40F5-90F9-382957B2B26F}"/>
            </c:ext>
          </c:extLst>
        </c:ser>
        <c:ser>
          <c:idx val="2"/>
          <c:order val="2"/>
          <c:tx>
            <c:strRef>
              <c:f>Inflacija!$V$3</c:f>
              <c:strCache>
                <c:ptCount val="1"/>
                <c:pt idx="0">
                  <c:v>Циљана инфлација</c:v>
                </c:pt>
              </c:strCache>
            </c:strRef>
          </c:tx>
          <c:spPr>
            <a:ln w="22225" cap="rnd">
              <a:solidFill>
                <a:srgbClr val="FF0000"/>
              </a:solidFill>
              <a:round/>
            </a:ln>
            <a:effectLst/>
          </c:spPr>
          <c:marker>
            <c:symbol val="none"/>
          </c:marker>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Inflacija!$V$40:$V$132</c:f>
              <c:numCache>
                <c:formatCode>0.0</c:formatCode>
                <c:ptCount val="93"/>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numCache>
            </c:numRef>
          </c:val>
          <c:smooth val="0"/>
          <c:extLst>
            <c:ext xmlns:c16="http://schemas.microsoft.com/office/drawing/2014/chart" uri="{C3380CC4-5D6E-409C-BE32-E72D297353CC}">
              <c16:uniqueId val="{00000002-C0D6-40F5-90F9-382957B2B26F}"/>
            </c:ext>
          </c:extLst>
        </c:ser>
        <c:ser>
          <c:idx val="3"/>
          <c:order val="3"/>
          <c:tx>
            <c:strRef>
              <c:f>Inflacija!$W$3</c:f>
              <c:strCache>
                <c:ptCount val="1"/>
                <c:pt idx="0">
                  <c:v>Коридор инфлације</c:v>
                </c:pt>
              </c:strCache>
            </c:strRef>
          </c:tx>
          <c:spPr>
            <a:ln w="12700" cap="rnd">
              <a:solidFill>
                <a:srgbClr val="898989"/>
              </a:solidFill>
              <a:prstDash val="sysDash"/>
              <a:round/>
            </a:ln>
            <a:effectLst/>
          </c:spPr>
          <c:marker>
            <c:symbol val="none"/>
          </c:marker>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Inflacija!$W$40:$W$132</c:f>
              <c:numCache>
                <c:formatCode>0.0</c:formatCode>
                <c:ptCount val="93"/>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numCache>
            </c:numRef>
          </c:val>
          <c:smooth val="0"/>
          <c:extLst>
            <c:ext xmlns:c16="http://schemas.microsoft.com/office/drawing/2014/chart" uri="{C3380CC4-5D6E-409C-BE32-E72D297353CC}">
              <c16:uniqueId val="{00000003-C0D6-40F5-90F9-382957B2B26F}"/>
            </c:ext>
          </c:extLst>
        </c:ser>
        <c:ser>
          <c:idx val="4"/>
          <c:order val="4"/>
          <c:tx>
            <c:strRef>
              <c:f>Inflacija!$X$3</c:f>
              <c:strCache>
                <c:ptCount val="1"/>
              </c:strCache>
            </c:strRef>
          </c:tx>
          <c:spPr>
            <a:ln w="12700" cap="rnd">
              <a:solidFill>
                <a:srgbClr val="898989"/>
              </a:solidFill>
              <a:prstDash val="sysDash"/>
              <a:round/>
            </a:ln>
            <a:effectLst/>
          </c:spPr>
          <c:marker>
            <c:symbol val="none"/>
          </c:marker>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Inflacija!$X$40:$X$132</c:f>
              <c:numCache>
                <c:formatCode>0.0</c:formatCode>
                <c:ptCount val="93"/>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numCache>
            </c:numRef>
          </c:val>
          <c:smooth val="0"/>
          <c:extLst>
            <c:ext xmlns:c16="http://schemas.microsoft.com/office/drawing/2014/chart" uri="{C3380CC4-5D6E-409C-BE32-E72D297353CC}">
              <c16:uniqueId val="{00000004-C0D6-40F5-90F9-382957B2B26F}"/>
            </c:ext>
          </c:extLst>
        </c:ser>
        <c:ser>
          <c:idx val="5"/>
          <c:order val="5"/>
          <c:spPr>
            <a:ln w="28575" cap="rnd">
              <a:noFill/>
              <a:round/>
            </a:ln>
            <a:effectLst/>
          </c:spPr>
          <c:marker>
            <c:symbol val="square"/>
            <c:size val="2"/>
            <c:spPr>
              <a:solidFill>
                <a:schemeClr val="bg1"/>
              </a:solidFill>
              <a:ln w="9525">
                <a:noFill/>
              </a:ln>
              <a:effectLst/>
            </c:spPr>
          </c:marker>
          <c:dLbls>
            <c:dLbl>
              <c:idx val="0"/>
              <c:layout>
                <c:manualLayout>
                  <c:x val="-8.1706697161564729E-3"/>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0D6-40F5-90F9-382957B2B26F}"/>
                </c:ext>
              </c:extLst>
            </c:dLbl>
            <c:dLbl>
              <c:idx val="12"/>
              <c:layout>
                <c:manualLayout>
                  <c:x val="-1.2693572615619557E-2"/>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0D6-40F5-90F9-382957B2B26F}"/>
                </c:ext>
              </c:extLst>
            </c:dLbl>
            <c:dLbl>
              <c:idx val="24"/>
              <c:layout>
                <c:manualLayout>
                  <c:x val="-1.1671926989054204E-2"/>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0D6-40F5-90F9-382957B2B26F}"/>
                </c:ext>
              </c:extLst>
            </c:dLbl>
            <c:dLbl>
              <c:idx val="36"/>
              <c:layout>
                <c:manualLayout>
                  <c:x val="-8.1535591125015058E-3"/>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0D6-40F5-90F9-382957B2B26F}"/>
                </c:ext>
              </c:extLst>
            </c:dLbl>
            <c:dLbl>
              <c:idx val="48"/>
              <c:layout>
                <c:manualLayout>
                  <c:x val="-7.1447464386773787E-3"/>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0D6-40F5-90F9-382957B2B26F}"/>
                </c:ext>
              </c:extLst>
            </c:dLbl>
            <c:dLbl>
              <c:idx val="60"/>
              <c:layout>
                <c:manualLayout>
                  <c:x val="-8.1535591125015058E-3"/>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0D6-40F5-90F9-382957B2B26F}"/>
                </c:ext>
              </c:extLst>
            </c:dLbl>
            <c:dLbl>
              <c:idx val="72"/>
              <c:layout>
                <c:manualLayout>
                  <c:x val="-1.0002573719966601E-2"/>
                  <c:y val="3.57962234044897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0D6-40F5-90F9-382957B2B26F}"/>
                </c:ext>
              </c:extLst>
            </c:dLbl>
            <c:dLbl>
              <c:idx val="84"/>
              <c:layout>
                <c:manualLayout>
                  <c:x val="-1.3419343089579119E-2"/>
                  <c:y val="3.552935231196833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0D6-40F5-90F9-382957B2B26F}"/>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Inflacija!$Y$40:$Y$132</c:f>
              <c:numCache>
                <c:formatCode>yyyy</c:formatCode>
                <c:ptCount val="93"/>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numCache>
            </c:numRef>
          </c:cat>
          <c:val>
            <c:numRef>
              <c:f>Inflacija!$Z$40:$Z$132</c:f>
              <c:numCache>
                <c:formatCode>General</c:formatCode>
                <c:ptCount val="93"/>
                <c:pt idx="0">
                  <c:v>0</c:v>
                </c:pt>
                <c:pt idx="12">
                  <c:v>0</c:v>
                </c:pt>
                <c:pt idx="24">
                  <c:v>0</c:v>
                </c:pt>
                <c:pt idx="36">
                  <c:v>0</c:v>
                </c:pt>
                <c:pt idx="48">
                  <c:v>0</c:v>
                </c:pt>
                <c:pt idx="60">
                  <c:v>0</c:v>
                </c:pt>
                <c:pt idx="72">
                  <c:v>0</c:v>
                </c:pt>
                <c:pt idx="84">
                  <c:v>0</c:v>
                </c:pt>
              </c:numCache>
            </c:numRef>
          </c:val>
          <c:smooth val="0"/>
          <c:extLst>
            <c:ext xmlns:c16="http://schemas.microsoft.com/office/drawing/2014/chart" uri="{C3380CC4-5D6E-409C-BE32-E72D297353CC}">
              <c16:uniqueId val="{0000000D-C0D6-40F5-90F9-382957B2B26F}"/>
            </c:ext>
          </c:extLst>
        </c:ser>
        <c:dLbls>
          <c:showLegendKey val="0"/>
          <c:showVal val="0"/>
          <c:showCatName val="0"/>
          <c:showSerName val="0"/>
          <c:showPercent val="0"/>
          <c:showBubbleSize val="0"/>
        </c:dLbls>
        <c:smooth val="0"/>
        <c:axId val="335916320"/>
        <c:axId val="335927744"/>
      </c:lineChart>
      <c:catAx>
        <c:axId val="3359163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7744"/>
        <c:crosses val="autoZero"/>
        <c:auto val="0"/>
        <c:lblAlgn val="ctr"/>
        <c:lblOffset val="100"/>
        <c:tickLblSkip val="12"/>
        <c:tickMarkSkip val="1"/>
        <c:noMultiLvlLbl val="1"/>
      </c:catAx>
      <c:valAx>
        <c:axId val="33592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16320"/>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6.6013357144708795E-2"/>
          <c:y val="0.75916043952839907"/>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8247319524942081"/>
          <c:h val="0.64068107026989318"/>
        </c:manualLayout>
      </c:layout>
      <c:lineChart>
        <c:grouping val="standard"/>
        <c:varyColors val="0"/>
        <c:ser>
          <c:idx val="1"/>
          <c:order val="0"/>
          <c:tx>
            <c:strRef>
              <c:f>'Projekcija inflacije'!$C$6</c:f>
              <c:strCache>
                <c:ptCount val="1"/>
                <c:pt idx="0">
                  <c:v>Инфлација, просек периода</c:v>
                </c:pt>
              </c:strCache>
            </c:strRef>
          </c:tx>
          <c:spPr>
            <a:ln w="22225" cap="rnd">
              <a:solidFill>
                <a:srgbClr val="EC008C"/>
              </a:solidFill>
              <a:round/>
            </a:ln>
            <a:effectLst/>
          </c:spPr>
          <c:marker>
            <c:symbol val="none"/>
          </c:marker>
          <c:cat>
            <c:numRef>
              <c:f>'Projekcija inflacije'!$I$4:$S$4</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'Projekcija inflacije'!$I$6:$S$6</c:f>
              <c:numCache>
                <c:formatCode>0.0</c:formatCode>
                <c:ptCount val="11"/>
                <c:pt idx="0">
                  <c:v>7.8</c:v>
                </c:pt>
                <c:pt idx="1">
                  <c:v>2.9</c:v>
                </c:pt>
                <c:pt idx="2">
                  <c:v>1.9</c:v>
                </c:pt>
                <c:pt idx="3">
                  <c:v>1.2</c:v>
                </c:pt>
                <c:pt idx="4">
                  <c:v>3</c:v>
                </c:pt>
                <c:pt idx="5">
                  <c:v>2</c:v>
                </c:pt>
                <c:pt idx="6">
                  <c:v>1.7</c:v>
                </c:pt>
                <c:pt idx="7">
                  <c:v>1.4510000000000001</c:v>
                </c:pt>
                <c:pt idx="8">
                  <c:v>2.0489999999999999</c:v>
                </c:pt>
                <c:pt idx="9">
                  <c:v>2.2335400000000001</c:v>
                </c:pt>
                <c:pt idx="10">
                  <c:v>2.9823</c:v>
                </c:pt>
              </c:numCache>
            </c:numRef>
          </c:val>
          <c:smooth val="0"/>
          <c:extLst>
            <c:ext xmlns:c16="http://schemas.microsoft.com/office/drawing/2014/chart" uri="{C3380CC4-5D6E-409C-BE32-E72D297353CC}">
              <c16:uniqueId val="{00000000-83CF-4256-AFAD-40406D5CD456}"/>
            </c:ext>
          </c:extLst>
        </c:ser>
        <c:ser>
          <c:idx val="2"/>
          <c:order val="1"/>
          <c:tx>
            <c:strRef>
              <c:f>'Projekcija inflacije'!$C$7</c:f>
              <c:strCache>
                <c:ptCount val="1"/>
                <c:pt idx="0">
                  <c:v>Дефлатор БДП</c:v>
                </c:pt>
              </c:strCache>
            </c:strRef>
          </c:tx>
          <c:spPr>
            <a:ln w="22225" cap="rnd">
              <a:solidFill>
                <a:srgbClr val="7F3F98"/>
              </a:solidFill>
              <a:round/>
            </a:ln>
            <a:effectLst/>
          </c:spPr>
          <c:marker>
            <c:symbol val="none"/>
          </c:marker>
          <c:cat>
            <c:numRef>
              <c:f>'Projekcija inflacije'!$I$4:$S$4</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'Projekcija inflacije'!$I$7:$S$7</c:f>
              <c:numCache>
                <c:formatCode>0.0</c:formatCode>
                <c:ptCount val="11"/>
                <c:pt idx="0">
                  <c:v>5.1254413454188068</c:v>
                </c:pt>
                <c:pt idx="1">
                  <c:v>2.585383220508831</c:v>
                </c:pt>
                <c:pt idx="2">
                  <c:v>1.872893376087049</c:v>
                </c:pt>
                <c:pt idx="3">
                  <c:v>1.5498888324771798</c:v>
                </c:pt>
                <c:pt idx="4">
                  <c:v>2.9707931698183216</c:v>
                </c:pt>
                <c:pt idx="5">
                  <c:v>1.9749425621523642</c:v>
                </c:pt>
                <c:pt idx="6">
                  <c:v>2.444352070837823</c:v>
                </c:pt>
                <c:pt idx="7">
                  <c:v>2.9127078600864547</c:v>
                </c:pt>
                <c:pt idx="8">
                  <c:v>2.5731441292450228</c:v>
                </c:pt>
                <c:pt idx="9">
                  <c:v>2.7323608141698368</c:v>
                </c:pt>
                <c:pt idx="10">
                  <c:v>3.0857750471856957</c:v>
                </c:pt>
              </c:numCache>
            </c:numRef>
          </c:val>
          <c:smooth val="0"/>
          <c:extLst>
            <c:ext xmlns:c16="http://schemas.microsoft.com/office/drawing/2014/chart" uri="{C3380CC4-5D6E-409C-BE32-E72D297353CC}">
              <c16:uniqueId val="{00000001-83CF-4256-AFAD-40406D5CD456}"/>
            </c:ext>
          </c:extLst>
        </c:ser>
        <c:ser>
          <c:idx val="3"/>
          <c:order val="2"/>
          <c:spPr>
            <a:ln w="28575" cap="rnd">
              <a:noFill/>
              <a:round/>
            </a:ln>
            <a:effectLst/>
          </c:spPr>
          <c:marker>
            <c:symbol val="square"/>
            <c:size val="2"/>
            <c:spPr>
              <a:solidFill>
                <a:schemeClr val="bg1"/>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'Projekcija inflacije'!$I$4:$S$4</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'Projekcija inflacije'!$I$8:$S$8</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val>
          <c:smooth val="0"/>
          <c:extLst>
            <c:ext xmlns:c16="http://schemas.microsoft.com/office/drawing/2014/chart" uri="{C3380CC4-5D6E-409C-BE32-E72D297353CC}">
              <c16:uniqueId val="{00000002-83CF-4256-AFAD-40406D5CD456}"/>
            </c:ext>
          </c:extLst>
        </c:ser>
        <c:dLbls>
          <c:showLegendKey val="0"/>
          <c:showVal val="0"/>
          <c:showCatName val="0"/>
          <c:showSerName val="0"/>
          <c:showPercent val="0"/>
          <c:showBubbleSize val="0"/>
        </c:dLbls>
        <c:smooth val="0"/>
        <c:axId val="335921760"/>
        <c:axId val="335929376"/>
      </c:lineChart>
      <c:catAx>
        <c:axId val="33592176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9376"/>
        <c:crosses val="autoZero"/>
        <c:auto val="1"/>
        <c:lblAlgn val="ctr"/>
        <c:lblOffset val="100"/>
        <c:noMultiLvlLbl val="0"/>
      </c:catAx>
      <c:valAx>
        <c:axId val="335929376"/>
        <c:scaling>
          <c:orientation val="minMax"/>
          <c:max val="8"/>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1760"/>
        <c:crosses val="autoZero"/>
        <c:crossBetween val="midCat"/>
        <c:majorUnit val="2"/>
      </c:valAx>
      <c:spPr>
        <a:noFill/>
        <a:ln>
          <a:noFill/>
        </a:ln>
        <a:effectLst/>
      </c:spPr>
    </c:plotArea>
    <c:legend>
      <c:legendPos val="b"/>
      <c:legendEntry>
        <c:idx val="2"/>
        <c:delete val="1"/>
      </c:legendEntry>
      <c:layout>
        <c:manualLayout>
          <c:xMode val="edge"/>
          <c:yMode val="edge"/>
          <c:x val="2.5218401951955399E-3"/>
          <c:y val="0.81351522231044981"/>
          <c:w val="0.99380576517352959"/>
          <c:h val="0.1864847776895502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2">
    <c:autoUpdate val="0"/>
  </c:externalData>
  <c:userShapes r:id="rId3"/>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488334791484402E-2"/>
          <c:y val="7.2092777777777783E-2"/>
          <c:w val="0.85158573928258963"/>
          <c:h val="0.59290333333333334"/>
        </c:manualLayout>
      </c:layout>
      <c:barChart>
        <c:barDir val="col"/>
        <c:grouping val="stacked"/>
        <c:varyColors val="0"/>
        <c:ser>
          <c:idx val="0"/>
          <c:order val="1"/>
          <c:tx>
            <c:strRef>
              <c:f>'Uvoz_ek. namena'!$B$8</c:f>
              <c:strCache>
                <c:ptCount val="1"/>
                <c:pt idx="0">
                  <c:v>Репродукција</c:v>
                </c:pt>
              </c:strCache>
            </c:strRef>
          </c:tx>
          <c:spPr>
            <a:solidFill>
              <a:srgbClr val="10103C"/>
            </a:solidFill>
            <a:ln>
              <a:noFill/>
            </a:ln>
            <a:effectLst/>
          </c:spPr>
          <c:invertIfNegative val="0"/>
          <c:dLbls>
            <c:dLbl>
              <c:idx val="3"/>
              <c:layout>
                <c:manualLayout>
                  <c:x val="-1.6962714526155214E-16"/>
                  <c:y val="3.52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52D-466C-8B5E-1195ADB584A1}"/>
                </c:ext>
              </c:extLst>
            </c:dLbl>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namena'!$C$5:$F$5</c:f>
              <c:strCache>
                <c:ptCount val="4"/>
                <c:pt idx="0">
                  <c:v>2017</c:v>
                </c:pt>
                <c:pt idx="1">
                  <c:v>2018</c:v>
                </c:pt>
                <c:pt idx="2">
                  <c:v>2019</c:v>
                </c:pt>
                <c:pt idx="3">
                  <c:v>I–IX 2020</c:v>
                </c:pt>
              </c:strCache>
            </c:strRef>
          </c:cat>
          <c:val>
            <c:numRef>
              <c:f>'Uvoz_ek. namena'!$C$8:$F$8</c:f>
              <c:numCache>
                <c:formatCode>0.0</c:formatCode>
                <c:ptCount val="4"/>
                <c:pt idx="0">
                  <c:v>9.7395520245607141</c:v>
                </c:pt>
                <c:pt idx="1">
                  <c:v>6.5890595999175119</c:v>
                </c:pt>
                <c:pt idx="2">
                  <c:v>3.6183715275084705</c:v>
                </c:pt>
                <c:pt idx="3">
                  <c:v>-6.9775620330227772</c:v>
                </c:pt>
              </c:numCache>
            </c:numRef>
          </c:val>
          <c:extLst>
            <c:ext xmlns:c16="http://schemas.microsoft.com/office/drawing/2014/chart" uri="{C3380CC4-5D6E-409C-BE32-E72D297353CC}">
              <c16:uniqueId val="{00000000-04F4-420B-B18E-8FABFBCB217F}"/>
            </c:ext>
          </c:extLst>
        </c:ser>
        <c:ser>
          <c:idx val="1"/>
          <c:order val="2"/>
          <c:tx>
            <c:strRef>
              <c:f>'Uvoz_ek. namena'!$B$9</c:f>
              <c:strCache>
                <c:ptCount val="1"/>
                <c:pt idx="0">
                  <c:v>Потрошна роба</c:v>
                </c:pt>
              </c:strCache>
            </c:strRef>
          </c:tx>
          <c:spPr>
            <a:solidFill>
              <a:srgbClr val="2183C4"/>
            </a:solidFill>
            <a:ln>
              <a:noFill/>
            </a:ln>
            <a:effectLst/>
          </c:spPr>
          <c:invertIfNegative val="0"/>
          <c:dLbls>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namena'!$C$5:$F$5</c:f>
              <c:strCache>
                <c:ptCount val="4"/>
                <c:pt idx="0">
                  <c:v>2017</c:v>
                </c:pt>
                <c:pt idx="1">
                  <c:v>2018</c:v>
                </c:pt>
                <c:pt idx="2">
                  <c:v>2019</c:v>
                </c:pt>
                <c:pt idx="3">
                  <c:v>I–IX 2020</c:v>
                </c:pt>
              </c:strCache>
            </c:strRef>
          </c:cat>
          <c:val>
            <c:numRef>
              <c:f>'Uvoz_ek. namena'!$C$9:$F$9</c:f>
              <c:numCache>
                <c:formatCode>0.0</c:formatCode>
                <c:ptCount val="4"/>
                <c:pt idx="0">
                  <c:v>1.0684852852430575</c:v>
                </c:pt>
                <c:pt idx="1">
                  <c:v>2.0636419880387735</c:v>
                </c:pt>
                <c:pt idx="2">
                  <c:v>2.4162016907937023</c:v>
                </c:pt>
                <c:pt idx="3">
                  <c:v>1.2308596992897347</c:v>
                </c:pt>
              </c:numCache>
            </c:numRef>
          </c:val>
          <c:extLst>
            <c:ext xmlns:c16="http://schemas.microsoft.com/office/drawing/2014/chart" uri="{C3380CC4-5D6E-409C-BE32-E72D297353CC}">
              <c16:uniqueId val="{00000001-04F4-420B-B18E-8FABFBCB217F}"/>
            </c:ext>
          </c:extLst>
        </c:ser>
        <c:ser>
          <c:idx val="2"/>
          <c:order val="3"/>
          <c:tx>
            <c:strRef>
              <c:f>'Uvoz_ek. namena'!$B$10</c:f>
              <c:strCache>
                <c:ptCount val="1"/>
                <c:pt idx="0">
                  <c:v>Некласификовано</c:v>
                </c:pt>
              </c:strCache>
            </c:strRef>
          </c:tx>
          <c:spPr>
            <a:solidFill>
              <a:srgbClr val="51BBE7"/>
            </a:solidFill>
            <a:ln>
              <a:noFill/>
            </a:ln>
            <a:effectLst/>
          </c:spPr>
          <c:invertIfNegative val="0"/>
          <c:dLbls>
            <c:dLbl>
              <c:idx val="2"/>
              <c:layout>
                <c:manualLayout>
                  <c:x val="0.10629005848379257"/>
                  <c:y val="-4.2333333333333334E-2"/>
                </c:manualLayout>
              </c:layout>
              <c:spPr>
                <a:noFill/>
                <a:ln>
                  <a:noFill/>
                </a:ln>
                <a:effectLst/>
              </c:spPr>
              <c:txPr>
                <a:bodyPr rot="0" spcFirstLastPara="1" vertOverflow="ellipsis" vert="horz" wrap="square" anchor="ctr" anchorCtr="1"/>
                <a:lstStyle/>
                <a:p>
                  <a:pPr>
                    <a:defRPr sz="750" b="0" i="0" u="none" strike="noStrike" kern="1200" baseline="0">
                      <a:solidFill>
                        <a:srgbClr val="51BBE7"/>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52D-466C-8B5E-1195ADB584A1}"/>
                </c:ext>
              </c:extLst>
            </c:dLbl>
            <c:dLbl>
              <c:idx val="3"/>
              <c:layout>
                <c:manualLayout>
                  <c:x val="9.2652371098603317E-2"/>
                  <c:y val="3.3333333333333333E-6"/>
                </c:manualLayout>
              </c:layout>
              <c:spPr>
                <a:noFill/>
                <a:ln>
                  <a:noFill/>
                </a:ln>
                <a:effectLst/>
              </c:spPr>
              <c:txPr>
                <a:bodyPr rot="0" spcFirstLastPara="1" vertOverflow="ellipsis" vert="horz" wrap="square" anchor="ctr" anchorCtr="1"/>
                <a:lstStyle/>
                <a:p>
                  <a:pPr>
                    <a:defRPr sz="750" b="0" i="0" u="none" strike="noStrike" kern="1200" baseline="0">
                      <a:solidFill>
                        <a:srgbClr val="51BBE7"/>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52D-466C-8B5E-1195ADB584A1}"/>
                </c:ext>
              </c:extLst>
            </c:dLbl>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3175" cap="flat" cmpd="sng" algn="ctr">
                      <a:solidFill>
                        <a:schemeClr val="tx1">
                          <a:lumMod val="35000"/>
                          <a:lumOff val="65000"/>
                        </a:schemeClr>
                      </a:solidFill>
                      <a:round/>
                    </a:ln>
                    <a:effectLst/>
                  </c:spPr>
                </c15:leaderLines>
              </c:ext>
            </c:extLst>
          </c:dLbls>
          <c:cat>
            <c:strRef>
              <c:f>'Uvoz_ek. namena'!$C$5:$F$5</c:f>
              <c:strCache>
                <c:ptCount val="4"/>
                <c:pt idx="0">
                  <c:v>2017</c:v>
                </c:pt>
                <c:pt idx="1">
                  <c:v>2018</c:v>
                </c:pt>
                <c:pt idx="2">
                  <c:v>2019</c:v>
                </c:pt>
                <c:pt idx="3">
                  <c:v>I–IX 2020</c:v>
                </c:pt>
              </c:strCache>
            </c:strRef>
          </c:cat>
          <c:val>
            <c:numRef>
              <c:f>'Uvoz_ek. namena'!$C$10:$F$10</c:f>
              <c:numCache>
                <c:formatCode>0.0</c:formatCode>
                <c:ptCount val="4"/>
                <c:pt idx="0">
                  <c:v>1.6309446387663389</c:v>
                </c:pt>
                <c:pt idx="1">
                  <c:v>2.2843833780160847</c:v>
                </c:pt>
                <c:pt idx="2">
                  <c:v>8.2577890112096625E-2</c:v>
                </c:pt>
                <c:pt idx="3">
                  <c:v>-0.18852043169449142</c:v>
                </c:pt>
              </c:numCache>
            </c:numRef>
          </c:val>
          <c:extLst>
            <c:ext xmlns:c16="http://schemas.microsoft.com/office/drawing/2014/chart" uri="{C3380CC4-5D6E-409C-BE32-E72D297353CC}">
              <c16:uniqueId val="{00000002-04F4-420B-B18E-8FABFBCB217F}"/>
            </c:ext>
          </c:extLst>
        </c:ser>
        <c:ser>
          <c:idx val="5"/>
          <c:order val="5"/>
          <c:tx>
            <c:strRef>
              <c:f>'Uvoz_ek. namena'!$B$7</c:f>
              <c:strCache>
                <c:ptCount val="1"/>
                <c:pt idx="0">
                  <c:v>Средства за рад</c:v>
                </c:pt>
              </c:strCache>
            </c:strRef>
          </c:tx>
          <c:spPr>
            <a:solidFill>
              <a:srgbClr val="C9E4EB"/>
            </a:solidFill>
            <a:ln>
              <a:noFill/>
            </a:ln>
            <a:effectLst/>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en-US" sz="750" b="0"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namena'!$C$5:$F$5</c:f>
              <c:strCache>
                <c:ptCount val="4"/>
                <c:pt idx="0">
                  <c:v>2017</c:v>
                </c:pt>
                <c:pt idx="1">
                  <c:v>2018</c:v>
                </c:pt>
                <c:pt idx="2">
                  <c:v>2019</c:v>
                </c:pt>
                <c:pt idx="3">
                  <c:v>I–IX 2020</c:v>
                </c:pt>
              </c:strCache>
            </c:strRef>
          </c:cat>
          <c:val>
            <c:numRef>
              <c:f>'Uvoz_ek. namena'!$C$7:$F$7</c:f>
              <c:numCache>
                <c:formatCode>0.0</c:formatCode>
                <c:ptCount val="4"/>
                <c:pt idx="0">
                  <c:v>1.2009971935621828</c:v>
                </c:pt>
                <c:pt idx="1">
                  <c:v>2.0698649206021851</c:v>
                </c:pt>
                <c:pt idx="2">
                  <c:v>2.8085607266854353</c:v>
                </c:pt>
                <c:pt idx="3">
                  <c:v>1.1236278941057114</c:v>
                </c:pt>
              </c:numCache>
            </c:numRef>
          </c:val>
          <c:extLst>
            <c:ext xmlns:c16="http://schemas.microsoft.com/office/drawing/2014/chart" uri="{C3380CC4-5D6E-409C-BE32-E72D297353CC}">
              <c16:uniqueId val="{00000003-452D-466C-8B5E-1195ADB584A1}"/>
            </c:ext>
          </c:extLst>
        </c:ser>
        <c:dLbls>
          <c:showLegendKey val="0"/>
          <c:showVal val="0"/>
          <c:showCatName val="0"/>
          <c:showSerName val="0"/>
          <c:showPercent val="0"/>
          <c:showBubbleSize val="0"/>
        </c:dLbls>
        <c:gapWidth val="150"/>
        <c:overlap val="100"/>
        <c:axId val="335933728"/>
        <c:axId val="335925568"/>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3"/>
              <c:layout>
                <c:manualLayout>
                  <c:x val="2.5837414692163243E-2"/>
                  <c:y val="-1.70916666666666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52D-466C-8B5E-1195ADB584A1}"/>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namena'!$C$5:$F$5</c:f>
              <c:strCache>
                <c:ptCount val="4"/>
                <c:pt idx="0">
                  <c:v>2017</c:v>
                </c:pt>
                <c:pt idx="1">
                  <c:v>2018</c:v>
                </c:pt>
                <c:pt idx="2">
                  <c:v>2019</c:v>
                </c:pt>
                <c:pt idx="3">
                  <c:v>I–IX 2020</c:v>
                </c:pt>
              </c:strCache>
            </c:strRef>
          </c:cat>
          <c:val>
            <c:numRef>
              <c:f>'Uvoz_ek. namena'!$C$6:$F$6</c:f>
              <c:numCache>
                <c:formatCode>0.0</c:formatCode>
                <c:ptCount val="4"/>
                <c:pt idx="0">
                  <c:v>13.640225218099459</c:v>
                </c:pt>
                <c:pt idx="1">
                  <c:v>13.006289956692115</c:v>
                </c:pt>
                <c:pt idx="2">
                  <c:v>8.9266242979738593</c:v>
                </c:pt>
                <c:pt idx="3">
                  <c:v>-4.811594871321816</c:v>
                </c:pt>
              </c:numCache>
            </c:numRef>
          </c:val>
          <c:smooth val="0"/>
          <c:extLst>
            <c:ext xmlns:c16="http://schemas.microsoft.com/office/drawing/2014/chart" uri="{C3380CC4-5D6E-409C-BE32-E72D297353CC}">
              <c16:uniqueId val="{00000003-04F4-420B-B18E-8FABFBCB217F}"/>
            </c:ext>
          </c:extLst>
        </c:ser>
        <c:ser>
          <c:idx val="4"/>
          <c:order val="4"/>
          <c:spPr>
            <a:ln w="28575" cap="rnd">
              <a:noFill/>
              <a:round/>
            </a:ln>
            <a:effectLst/>
          </c:spPr>
          <c:marker>
            <c:symbol val="none"/>
          </c:marker>
          <c:dLbls>
            <c:dLbl>
              <c:idx val="3"/>
              <c:layout>
                <c:manualLayout>
                  <c:x val="-6.4767476381545272E-2"/>
                  <c:y val="-0.127"/>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52D-466C-8B5E-1195ADB584A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'Uvoz_ek. namena'!$C$5:$F$5</c:f>
              <c:strCache>
                <c:ptCount val="4"/>
                <c:pt idx="0">
                  <c:v>2017</c:v>
                </c:pt>
                <c:pt idx="1">
                  <c:v>2018</c:v>
                </c:pt>
                <c:pt idx="2">
                  <c:v>2019</c:v>
                </c:pt>
                <c:pt idx="3">
                  <c:v>I–IX 2020</c:v>
                </c:pt>
              </c:strCache>
            </c:strRef>
          </c:cat>
          <c:val>
            <c:numRef>
              <c:f>'Uvoz_ek. namena'!$C$11:$F$11</c:f>
              <c:numCache>
                <c:formatCode>General</c:formatCode>
                <c:ptCount val="4"/>
                <c:pt idx="0">
                  <c:v>0</c:v>
                </c:pt>
                <c:pt idx="1">
                  <c:v>0</c:v>
                </c:pt>
                <c:pt idx="2">
                  <c:v>0</c:v>
                </c:pt>
                <c:pt idx="3">
                  <c:v>0</c:v>
                </c:pt>
              </c:numCache>
            </c:numRef>
          </c:val>
          <c:smooth val="0"/>
          <c:extLst>
            <c:ext xmlns:c16="http://schemas.microsoft.com/office/drawing/2014/chart" uri="{C3380CC4-5D6E-409C-BE32-E72D297353CC}">
              <c16:uniqueId val="{00000001-F0A2-480F-97F5-5307EACBA629}"/>
            </c:ext>
          </c:extLst>
        </c:ser>
        <c:dLbls>
          <c:showLegendKey val="0"/>
          <c:showVal val="0"/>
          <c:showCatName val="0"/>
          <c:showSerName val="0"/>
          <c:showPercent val="0"/>
          <c:showBubbleSize val="0"/>
        </c:dLbls>
        <c:marker val="1"/>
        <c:smooth val="0"/>
        <c:axId val="335933728"/>
        <c:axId val="335925568"/>
      </c:lineChart>
      <c:catAx>
        <c:axId val="335933728"/>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25568"/>
        <c:crosses val="autoZero"/>
        <c:auto val="1"/>
        <c:lblAlgn val="ctr"/>
        <c:lblOffset val="100"/>
        <c:noMultiLvlLbl val="0"/>
      </c:catAx>
      <c:valAx>
        <c:axId val="335925568"/>
        <c:scaling>
          <c:orientation val="minMax"/>
          <c:max val="14"/>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33728"/>
        <c:crosses val="autoZero"/>
        <c:crossBetween val="between"/>
        <c:majorUnit val="4"/>
      </c:valAx>
      <c:spPr>
        <a:noFill/>
        <a:ln>
          <a:noFill/>
        </a:ln>
        <a:effectLst/>
      </c:spPr>
    </c:plotArea>
    <c:legend>
      <c:legendPos val="b"/>
      <c:legendEntry>
        <c:idx val="5"/>
        <c:delete val="1"/>
      </c:legendEntry>
      <c:layout>
        <c:manualLayout>
          <c:xMode val="edge"/>
          <c:yMode val="edge"/>
          <c:x val="3.529819189268001E-3"/>
          <c:y val="0.79056119044441475"/>
          <c:w val="0.9795855205599302"/>
          <c:h val="0.2094388095555851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80796150481189"/>
          <c:y val="4.6989720998531569E-2"/>
          <c:w val="0.86246828521434815"/>
          <c:h val="0.81779689433093983"/>
        </c:manualLayout>
      </c:layout>
      <c:areaChart>
        <c:grouping val="standard"/>
        <c:varyColors val="0"/>
        <c:ser>
          <c:idx val="1"/>
          <c:order val="0"/>
          <c:tx>
            <c:strRef>
              <c:f>'Izvoz, uvoz (Q)'!$A$8</c:f>
              <c:strCache>
                <c:ptCount val="1"/>
                <c:pt idx="0">
                  <c:v>Увоз</c:v>
                </c:pt>
              </c:strCache>
            </c:strRef>
          </c:tx>
          <c:spPr>
            <a:solidFill>
              <a:srgbClr val="51BBE7"/>
            </a:solidFill>
            <a:ln>
              <a:noFill/>
            </a:ln>
            <a:effectLst/>
          </c:spPr>
          <c:dLbls>
            <c:dLbl>
              <c:idx val="0"/>
              <c:layout>
                <c:manualLayout>
                  <c:x val="0"/>
                  <c:y val="-0.16203703703703703"/>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E709-41DC-9881-5E8F7D6D7B06}"/>
                </c:ext>
              </c:extLst>
            </c:dLbl>
            <c:spPr>
              <a:noFill/>
              <a:ln>
                <a:noFill/>
              </a:ln>
              <a:effectLst/>
            </c:spPr>
            <c:txPr>
              <a:bodyPr rot="0" spcFirstLastPara="1" vertOverflow="ellipsis" vert="horz" wrap="square" anchor="ctr" anchorCtr="1"/>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(Q)'!$K$3:$AK$4</c:f>
              <c:multiLvlStrCache>
                <c:ptCount val="27"/>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lvl>
                <c:lvl>
                  <c:pt idx="0">
                    <c:v>2014</c:v>
                  </c:pt>
                  <c:pt idx="4">
                    <c:v>2015</c:v>
                  </c:pt>
                  <c:pt idx="8">
                    <c:v>2016</c:v>
                  </c:pt>
                  <c:pt idx="12">
                    <c:v>2017</c:v>
                  </c:pt>
                  <c:pt idx="16">
                    <c:v>2018</c:v>
                  </c:pt>
                  <c:pt idx="20">
                    <c:v>2019</c:v>
                  </c:pt>
                  <c:pt idx="24">
                    <c:v>2020</c:v>
                  </c:pt>
                </c:lvl>
              </c:multiLvlStrCache>
            </c:multiLvlStrRef>
          </c:cat>
          <c:val>
            <c:numRef>
              <c:f>'Izvoz, uvoz (Q)'!$K$8:$AK$8</c:f>
              <c:numCache>
                <c:formatCode>#,##0.0</c:formatCode>
                <c:ptCount val="27"/>
                <c:pt idx="0">
                  <c:v>3485</c:v>
                </c:pt>
                <c:pt idx="1">
                  <c:v>3866.6000000000004</c:v>
                </c:pt>
                <c:pt idx="2">
                  <c:v>3854</c:v>
                </c:pt>
                <c:pt idx="3">
                  <c:v>3981.8</c:v>
                </c:pt>
                <c:pt idx="4">
                  <c:v>3874.8</c:v>
                </c:pt>
                <c:pt idx="5">
                  <c:v>4090.1</c:v>
                </c:pt>
                <c:pt idx="6">
                  <c:v>3962.6</c:v>
                </c:pt>
                <c:pt idx="7">
                  <c:v>4249.1000000000004</c:v>
                </c:pt>
                <c:pt idx="8">
                  <c:v>3976.6</c:v>
                </c:pt>
                <c:pt idx="9">
                  <c:v>4459</c:v>
                </c:pt>
                <c:pt idx="10">
                  <c:v>4149.7000000000007</c:v>
                </c:pt>
                <c:pt idx="11">
                  <c:v>4560.5</c:v>
                </c:pt>
                <c:pt idx="12">
                  <c:v>4507.8999999999996</c:v>
                </c:pt>
                <c:pt idx="13">
                  <c:v>4918.6000000000004</c:v>
                </c:pt>
                <c:pt idx="14">
                  <c:v>4707.3999999999996</c:v>
                </c:pt>
                <c:pt idx="15">
                  <c:v>5262</c:v>
                </c:pt>
                <c:pt idx="16">
                  <c:v>5075.8999999999996</c:v>
                </c:pt>
                <c:pt idx="17">
                  <c:v>5458.7000000000007</c:v>
                </c:pt>
                <c:pt idx="18">
                  <c:v>5419</c:v>
                </c:pt>
                <c:pt idx="19">
                  <c:v>5965.1</c:v>
                </c:pt>
                <c:pt idx="20">
                  <c:v>5560.6</c:v>
                </c:pt>
                <c:pt idx="21">
                  <c:v>5942</c:v>
                </c:pt>
                <c:pt idx="22">
                  <c:v>5842.9999999999982</c:v>
                </c:pt>
                <c:pt idx="23">
                  <c:v>6529.7000000000007</c:v>
                </c:pt>
                <c:pt idx="24">
                  <c:v>5987.0839999999998</c:v>
                </c:pt>
                <c:pt idx="25">
                  <c:v>4738.1850000000004</c:v>
                </c:pt>
                <c:pt idx="26">
                  <c:v>5785.7309999999998</c:v>
                </c:pt>
              </c:numCache>
            </c:numRef>
          </c:val>
          <c:extLst>
            <c:ext xmlns:c16="http://schemas.microsoft.com/office/drawing/2014/chart" uri="{C3380CC4-5D6E-409C-BE32-E72D297353CC}">
              <c16:uniqueId val="{00000001-E709-41DC-9881-5E8F7D6D7B06}"/>
            </c:ext>
          </c:extLst>
        </c:ser>
        <c:ser>
          <c:idx val="0"/>
          <c:order val="1"/>
          <c:tx>
            <c:strRef>
              <c:f>'Izvoz, uvoz (Q)'!$A$7</c:f>
              <c:strCache>
                <c:ptCount val="1"/>
                <c:pt idx="0">
                  <c:v>Извоз</c:v>
                </c:pt>
              </c:strCache>
            </c:strRef>
          </c:tx>
          <c:spPr>
            <a:solidFill>
              <a:srgbClr val="29489A"/>
            </a:solidFill>
            <a:ln>
              <a:noFill/>
            </a:ln>
            <a:effectLst/>
          </c:spPr>
          <c:dLbls>
            <c:spPr>
              <a:noFill/>
              <a:ln>
                <a:noFill/>
              </a:ln>
              <a:effectLst/>
            </c:spPr>
            <c:txPr>
              <a:bodyPr rot="0" spcFirstLastPara="1" vertOverflow="ellipsis" vert="horz" wrap="square" anchor="ctr" anchorCtr="1"/>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(Q)'!$K$3:$AK$4</c:f>
              <c:multiLvlStrCache>
                <c:ptCount val="27"/>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lvl>
                <c:lvl>
                  <c:pt idx="0">
                    <c:v>2014</c:v>
                  </c:pt>
                  <c:pt idx="4">
                    <c:v>2015</c:v>
                  </c:pt>
                  <c:pt idx="8">
                    <c:v>2016</c:v>
                  </c:pt>
                  <c:pt idx="12">
                    <c:v>2017</c:v>
                  </c:pt>
                  <c:pt idx="16">
                    <c:v>2018</c:v>
                  </c:pt>
                  <c:pt idx="20">
                    <c:v>2019</c:v>
                  </c:pt>
                  <c:pt idx="24">
                    <c:v>2020</c:v>
                  </c:pt>
                </c:lvl>
              </c:multiLvlStrCache>
            </c:multiLvlStrRef>
          </c:cat>
          <c:val>
            <c:numRef>
              <c:f>'Izvoz, uvoz (Q)'!$K$7:$AK$7</c:f>
              <c:numCache>
                <c:formatCode>#,##0.0</c:formatCode>
                <c:ptCount val="27"/>
                <c:pt idx="0">
                  <c:v>2636.5</c:v>
                </c:pt>
                <c:pt idx="1">
                  <c:v>2876</c:v>
                </c:pt>
                <c:pt idx="2">
                  <c:v>2786.1</c:v>
                </c:pt>
                <c:pt idx="3">
                  <c:v>2860</c:v>
                </c:pt>
                <c:pt idx="4">
                  <c:v>2774.6</c:v>
                </c:pt>
                <c:pt idx="5">
                  <c:v>3194.2</c:v>
                </c:pt>
                <c:pt idx="6">
                  <c:v>3041.8999999999996</c:v>
                </c:pt>
                <c:pt idx="7">
                  <c:v>3030.3</c:v>
                </c:pt>
                <c:pt idx="8">
                  <c:v>3084.4</c:v>
                </c:pt>
                <c:pt idx="9">
                  <c:v>3473.8999999999996</c:v>
                </c:pt>
                <c:pt idx="10">
                  <c:v>3353.3</c:v>
                </c:pt>
                <c:pt idx="11">
                  <c:v>3511.3</c:v>
                </c:pt>
                <c:pt idx="12">
                  <c:v>3515</c:v>
                </c:pt>
                <c:pt idx="13">
                  <c:v>3950.5000000000005</c:v>
                </c:pt>
                <c:pt idx="14">
                  <c:v>3785.8</c:v>
                </c:pt>
                <c:pt idx="15">
                  <c:v>3799.7</c:v>
                </c:pt>
                <c:pt idx="16">
                  <c:v>3829.1</c:v>
                </c:pt>
                <c:pt idx="17">
                  <c:v>4218.6000000000004</c:v>
                </c:pt>
                <c:pt idx="18">
                  <c:v>4091.0999999999995</c:v>
                </c:pt>
                <c:pt idx="19">
                  <c:v>4143.2000000000007</c:v>
                </c:pt>
                <c:pt idx="20">
                  <c:v>4102.1000000000004</c:v>
                </c:pt>
                <c:pt idx="21">
                  <c:v>4488.7999999999993</c:v>
                </c:pt>
                <c:pt idx="22">
                  <c:v>4404.1000000000004</c:v>
                </c:pt>
                <c:pt idx="23">
                  <c:v>4541.4000000000015</c:v>
                </c:pt>
                <c:pt idx="24">
                  <c:v>4238.1869999999999</c:v>
                </c:pt>
                <c:pt idx="25">
                  <c:v>3593.21</c:v>
                </c:pt>
                <c:pt idx="26">
                  <c:v>4364.9029999999993</c:v>
                </c:pt>
              </c:numCache>
            </c:numRef>
          </c:val>
          <c:extLst>
            <c:ext xmlns:c16="http://schemas.microsoft.com/office/drawing/2014/chart" uri="{C3380CC4-5D6E-409C-BE32-E72D297353CC}">
              <c16:uniqueId val="{00000002-E709-41DC-9881-5E8F7D6D7B06}"/>
            </c:ext>
          </c:extLst>
        </c:ser>
        <c:ser>
          <c:idx val="2"/>
          <c:order val="2"/>
          <c:tx>
            <c:strRef>
              <c:f>'Izvoz, uvoz (Q)'!$A$9</c:f>
              <c:strCache>
                <c:ptCount val="1"/>
                <c:pt idx="0">
                  <c:v>Дефицит</c:v>
                </c:pt>
              </c:strCache>
            </c:strRef>
          </c:tx>
          <c:spPr>
            <a:solidFill>
              <a:srgbClr val="ED1C24"/>
            </a:solidFill>
            <a:ln>
              <a:noFill/>
            </a:ln>
            <a:effectLst/>
          </c:spPr>
          <c:dLbls>
            <c:dLbl>
              <c:idx val="0"/>
              <c:layout>
                <c:manualLayout>
                  <c:x val="4.6296296296296294E-3"/>
                  <c:y val="-1.5304892745239888E-2"/>
                </c:manualLayout>
              </c:layout>
              <c:showLegendKey val="0"/>
              <c:showVal val="0"/>
              <c:showCatName val="0"/>
              <c:showSerName val="1"/>
              <c:showPercent val="0"/>
              <c:showBubbleSize val="0"/>
              <c:extLst>
                <c:ext xmlns:c15="http://schemas.microsoft.com/office/drawing/2012/chart" uri="{CE6537A1-D6FC-4f65-9D91-7224C49458BB}">
                  <c15:layout>
                    <c:manualLayout>
                      <c:w val="0.26513888888888887"/>
                      <c:h val="0.20975355507351168"/>
                    </c:manualLayout>
                  </c15:layout>
                </c:ext>
                <c:ext xmlns:c16="http://schemas.microsoft.com/office/drawing/2014/chart" uri="{C3380CC4-5D6E-409C-BE32-E72D297353CC}">
                  <c16:uniqueId val="{00000003-E709-41DC-9881-5E8F7D6D7B06}"/>
                </c:ext>
              </c:extLst>
            </c:dLbl>
            <c:spPr>
              <a:noFill/>
              <a:ln>
                <a:noFill/>
              </a:ln>
              <a:effectLst/>
            </c:spPr>
            <c:txPr>
              <a:bodyPr rot="0" spcFirstLastPara="1" vertOverflow="ellipsis" vert="horz" wrap="square" anchor="ctr" anchorCtr="1"/>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(Q)'!$K$3:$AK$4</c:f>
              <c:multiLvlStrCache>
                <c:ptCount val="27"/>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lvl>
                <c:lvl>
                  <c:pt idx="0">
                    <c:v>2014</c:v>
                  </c:pt>
                  <c:pt idx="4">
                    <c:v>2015</c:v>
                  </c:pt>
                  <c:pt idx="8">
                    <c:v>2016</c:v>
                  </c:pt>
                  <c:pt idx="12">
                    <c:v>2017</c:v>
                  </c:pt>
                  <c:pt idx="16">
                    <c:v>2018</c:v>
                  </c:pt>
                  <c:pt idx="20">
                    <c:v>2019</c:v>
                  </c:pt>
                  <c:pt idx="24">
                    <c:v>2020</c:v>
                  </c:pt>
                </c:lvl>
              </c:multiLvlStrCache>
            </c:multiLvlStrRef>
          </c:cat>
          <c:val>
            <c:numRef>
              <c:f>'Izvoz, uvoz (Q)'!$K$9:$AK$9</c:f>
              <c:numCache>
                <c:formatCode>#,##0.0</c:formatCode>
                <c:ptCount val="27"/>
                <c:pt idx="0">
                  <c:v>-848.5</c:v>
                </c:pt>
                <c:pt idx="1">
                  <c:v>-990.60000000000036</c:v>
                </c:pt>
                <c:pt idx="2">
                  <c:v>-1067.9000000000001</c:v>
                </c:pt>
                <c:pt idx="3">
                  <c:v>-1121.8000000000002</c:v>
                </c:pt>
                <c:pt idx="4">
                  <c:v>-1100.2000000000003</c:v>
                </c:pt>
                <c:pt idx="5">
                  <c:v>-895.90000000000009</c:v>
                </c:pt>
                <c:pt idx="6">
                  <c:v>-920.70000000000027</c:v>
                </c:pt>
                <c:pt idx="7">
                  <c:v>-1218.8000000000002</c:v>
                </c:pt>
                <c:pt idx="8">
                  <c:v>-892.19999999999982</c:v>
                </c:pt>
                <c:pt idx="9">
                  <c:v>-985.10000000000036</c:v>
                </c:pt>
                <c:pt idx="10">
                  <c:v>-796.40000000000055</c:v>
                </c:pt>
                <c:pt idx="11">
                  <c:v>-1049.1999999999998</c:v>
                </c:pt>
                <c:pt idx="12">
                  <c:v>-992.89999999999964</c:v>
                </c:pt>
                <c:pt idx="13">
                  <c:v>-968.09999999999991</c:v>
                </c:pt>
                <c:pt idx="14">
                  <c:v>-921.59999999999945</c:v>
                </c:pt>
                <c:pt idx="15">
                  <c:v>-1462.3000000000002</c:v>
                </c:pt>
                <c:pt idx="16">
                  <c:v>-1246.7999999999997</c:v>
                </c:pt>
                <c:pt idx="17">
                  <c:v>-1240.1000000000004</c:v>
                </c:pt>
                <c:pt idx="18">
                  <c:v>-1327.9000000000005</c:v>
                </c:pt>
                <c:pt idx="19">
                  <c:v>-1821.8999999999996</c:v>
                </c:pt>
                <c:pt idx="20">
                  <c:v>-1458.5</c:v>
                </c:pt>
                <c:pt idx="21">
                  <c:v>-1453.2000000000007</c:v>
                </c:pt>
                <c:pt idx="22">
                  <c:v>-1438.8999999999978</c:v>
                </c:pt>
                <c:pt idx="23">
                  <c:v>-1988.2999999999993</c:v>
                </c:pt>
                <c:pt idx="24">
                  <c:v>-1748.8969999999999</c:v>
                </c:pt>
                <c:pt idx="25">
                  <c:v>-1144.9750000000004</c:v>
                </c:pt>
                <c:pt idx="26">
                  <c:v>-1420.8280000000004</c:v>
                </c:pt>
              </c:numCache>
            </c:numRef>
          </c:val>
          <c:extLst>
            <c:ext xmlns:c16="http://schemas.microsoft.com/office/drawing/2014/chart" uri="{C3380CC4-5D6E-409C-BE32-E72D297353CC}">
              <c16:uniqueId val="{00000004-E709-41DC-9881-5E8F7D6D7B06}"/>
            </c:ext>
          </c:extLst>
        </c:ser>
        <c:dLbls>
          <c:showLegendKey val="0"/>
          <c:showVal val="0"/>
          <c:showCatName val="0"/>
          <c:showSerName val="0"/>
          <c:showPercent val="0"/>
          <c:showBubbleSize val="0"/>
        </c:dLbls>
        <c:axId val="335934816"/>
        <c:axId val="335919040"/>
      </c:areaChart>
      <c:catAx>
        <c:axId val="335934816"/>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50" b="0" i="0" u="none" strike="noStrike" kern="1200" baseline="0">
                <a:solidFill>
                  <a:schemeClr val="tx2"/>
                </a:solidFill>
                <a:latin typeface="+mn-lt"/>
                <a:ea typeface="+mn-ea"/>
                <a:cs typeface="+mn-cs"/>
              </a:defRPr>
            </a:pPr>
            <a:endParaRPr lang="en-US"/>
          </a:p>
        </c:txPr>
        <c:crossAx val="335919040"/>
        <c:crosses val="autoZero"/>
        <c:auto val="1"/>
        <c:lblAlgn val="ctr"/>
        <c:lblOffset val="0"/>
        <c:noMultiLvlLbl val="0"/>
      </c:catAx>
      <c:valAx>
        <c:axId val="335919040"/>
        <c:scaling>
          <c:orientation val="minMax"/>
          <c:max val="7000"/>
          <c:min val="-20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34816"/>
        <c:crosses val="autoZero"/>
        <c:crossBetween val="between"/>
        <c:majorUnit val="20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39150826485673E-2"/>
          <c:y val="3.2258064516129031E-2"/>
          <c:w val="0.90409995360749396"/>
          <c:h val="0.75972906612479885"/>
        </c:manualLayout>
      </c:layout>
      <c:barChart>
        <c:barDir val="col"/>
        <c:grouping val="stacked"/>
        <c:varyColors val="0"/>
        <c:ser>
          <c:idx val="0"/>
          <c:order val="0"/>
          <c:tx>
            <c:strRef>
              <c:f>'Struktura CA i FA'!$B$10</c:f>
              <c:strCache>
                <c:ptCount val="1"/>
                <c:pt idx="0">
                  <c:v>Салдо робне размене </c:v>
                </c:pt>
              </c:strCache>
            </c:strRef>
          </c:tx>
          <c:spPr>
            <a:solidFill>
              <a:srgbClr val="10103C"/>
            </a:solidFill>
            <a:ln>
              <a:noFill/>
            </a:ln>
            <a:effectLst/>
          </c:spPr>
          <c:invertIfNegative val="0"/>
          <c:cat>
            <c:numRef>
              <c:f>'Struktura CA i FA'!$F$8:$K$8</c:f>
              <c:numCache>
                <c:formatCode>General</c:formatCode>
                <c:ptCount val="6"/>
                <c:pt idx="0">
                  <c:v>2018</c:v>
                </c:pt>
                <c:pt idx="1">
                  <c:v>2019</c:v>
                </c:pt>
                <c:pt idx="2">
                  <c:v>2020</c:v>
                </c:pt>
                <c:pt idx="3">
                  <c:v>2021</c:v>
                </c:pt>
                <c:pt idx="4">
                  <c:v>2022</c:v>
                </c:pt>
                <c:pt idx="5">
                  <c:v>2023</c:v>
                </c:pt>
              </c:numCache>
            </c:numRef>
          </c:cat>
          <c:val>
            <c:numRef>
              <c:f>'Struktura CA i FA'!$F$10:$K$10</c:f>
              <c:numCache>
                <c:formatCode>0.0</c:formatCode>
                <c:ptCount val="6"/>
                <c:pt idx="0">
                  <c:v>-11.85634111525191</c:v>
                </c:pt>
                <c:pt idx="1">
                  <c:v>-12.232686434344611</c:v>
                </c:pt>
                <c:pt idx="2">
                  <c:v>-11.085413257171192</c:v>
                </c:pt>
                <c:pt idx="3">
                  <c:v>-11.379104285907585</c:v>
                </c:pt>
                <c:pt idx="4">
                  <c:v>-11.011140267146533</c:v>
                </c:pt>
                <c:pt idx="5">
                  <c:v>-10.203502994804801</c:v>
                </c:pt>
              </c:numCache>
            </c:numRef>
          </c:val>
          <c:extLst>
            <c:ext xmlns:c16="http://schemas.microsoft.com/office/drawing/2014/chart" uri="{C3380CC4-5D6E-409C-BE32-E72D297353CC}">
              <c16:uniqueId val="{00000000-B21D-464E-AB32-DBDA1153E53C}"/>
            </c:ext>
          </c:extLst>
        </c:ser>
        <c:ser>
          <c:idx val="1"/>
          <c:order val="1"/>
          <c:tx>
            <c:strRef>
              <c:f>'Struktura CA i FA'!$B$11</c:f>
              <c:strCache>
                <c:ptCount val="1"/>
                <c:pt idx="0">
                  <c:v>Салдо услугa</c:v>
                </c:pt>
              </c:strCache>
            </c:strRef>
          </c:tx>
          <c:spPr>
            <a:solidFill>
              <a:srgbClr val="29489A"/>
            </a:solidFill>
            <a:ln>
              <a:noFill/>
            </a:ln>
            <a:effectLst/>
          </c:spPr>
          <c:invertIfNegative val="0"/>
          <c:cat>
            <c:numRef>
              <c:f>'Struktura CA i FA'!$F$8:$K$8</c:f>
              <c:numCache>
                <c:formatCode>General</c:formatCode>
                <c:ptCount val="6"/>
                <c:pt idx="0">
                  <c:v>2018</c:v>
                </c:pt>
                <c:pt idx="1">
                  <c:v>2019</c:v>
                </c:pt>
                <c:pt idx="2">
                  <c:v>2020</c:v>
                </c:pt>
                <c:pt idx="3">
                  <c:v>2021</c:v>
                </c:pt>
                <c:pt idx="4">
                  <c:v>2022</c:v>
                </c:pt>
                <c:pt idx="5">
                  <c:v>2023</c:v>
                </c:pt>
              </c:numCache>
            </c:numRef>
          </c:cat>
          <c:val>
            <c:numRef>
              <c:f>'Struktura CA i FA'!$F$11:$K$11</c:f>
              <c:numCache>
                <c:formatCode>0.0</c:formatCode>
                <c:ptCount val="6"/>
                <c:pt idx="0">
                  <c:v>2.3195078458208238</c:v>
                </c:pt>
                <c:pt idx="1">
                  <c:v>2.200945341861007</c:v>
                </c:pt>
                <c:pt idx="2">
                  <c:v>2.5727894789852219</c:v>
                </c:pt>
                <c:pt idx="3">
                  <c:v>2.4780279368265656</c:v>
                </c:pt>
                <c:pt idx="4">
                  <c:v>2.4344357733487221</c:v>
                </c:pt>
                <c:pt idx="5">
                  <c:v>2.2464855333099645</c:v>
                </c:pt>
              </c:numCache>
            </c:numRef>
          </c:val>
          <c:extLst>
            <c:ext xmlns:c16="http://schemas.microsoft.com/office/drawing/2014/chart" uri="{C3380CC4-5D6E-409C-BE32-E72D297353CC}">
              <c16:uniqueId val="{00000001-B21D-464E-AB32-DBDA1153E53C}"/>
            </c:ext>
          </c:extLst>
        </c:ser>
        <c:ser>
          <c:idx val="2"/>
          <c:order val="2"/>
          <c:tx>
            <c:strRef>
              <c:f>'Struktura CA i FA'!$B$12</c:f>
              <c:strCache>
                <c:ptCount val="1"/>
                <c:pt idx="0">
                  <c:v>Салдо дохотка           </c:v>
                </c:pt>
              </c:strCache>
            </c:strRef>
          </c:tx>
          <c:spPr>
            <a:solidFill>
              <a:srgbClr val="2183C4"/>
            </a:solidFill>
            <a:ln>
              <a:noFill/>
            </a:ln>
            <a:effectLst/>
          </c:spPr>
          <c:invertIfNegative val="0"/>
          <c:cat>
            <c:numRef>
              <c:f>'Struktura CA i FA'!$F$8:$K$8</c:f>
              <c:numCache>
                <c:formatCode>General</c:formatCode>
                <c:ptCount val="6"/>
                <c:pt idx="0">
                  <c:v>2018</c:v>
                </c:pt>
                <c:pt idx="1">
                  <c:v>2019</c:v>
                </c:pt>
                <c:pt idx="2">
                  <c:v>2020</c:v>
                </c:pt>
                <c:pt idx="3">
                  <c:v>2021</c:v>
                </c:pt>
                <c:pt idx="4">
                  <c:v>2022</c:v>
                </c:pt>
                <c:pt idx="5">
                  <c:v>2023</c:v>
                </c:pt>
              </c:numCache>
            </c:numRef>
          </c:cat>
          <c:val>
            <c:numRef>
              <c:f>'Struktura CA i FA'!$F$12:$K$12</c:f>
              <c:numCache>
                <c:formatCode>0.0</c:formatCode>
                <c:ptCount val="6"/>
                <c:pt idx="0">
                  <c:v>-5.0879454802975124</c:v>
                </c:pt>
                <c:pt idx="1">
                  <c:v>-5.3916071891109318</c:v>
                </c:pt>
                <c:pt idx="2">
                  <c:v>-4.8466656575074332</c:v>
                </c:pt>
                <c:pt idx="3">
                  <c:v>-4.8767589796746806</c:v>
                </c:pt>
                <c:pt idx="4">
                  <c:v>-4.6816072564398503</c:v>
                </c:pt>
                <c:pt idx="5">
                  <c:v>-4.5615660447362654</c:v>
                </c:pt>
              </c:numCache>
            </c:numRef>
          </c:val>
          <c:extLst>
            <c:ext xmlns:c16="http://schemas.microsoft.com/office/drawing/2014/chart" uri="{C3380CC4-5D6E-409C-BE32-E72D297353CC}">
              <c16:uniqueId val="{00000002-B21D-464E-AB32-DBDA1153E53C}"/>
            </c:ext>
          </c:extLst>
        </c:ser>
        <c:ser>
          <c:idx val="3"/>
          <c:order val="3"/>
          <c:tx>
            <c:strRef>
              <c:f>'Struktura CA i FA'!$B$13</c:f>
              <c:strCache>
                <c:ptCount val="1"/>
                <c:pt idx="0">
                  <c:v>Салдо текућих трансфера</c:v>
                </c:pt>
              </c:strCache>
            </c:strRef>
          </c:tx>
          <c:spPr>
            <a:solidFill>
              <a:srgbClr val="51BBE7"/>
            </a:solidFill>
            <a:ln>
              <a:noFill/>
            </a:ln>
            <a:effectLst/>
          </c:spPr>
          <c:invertIfNegative val="0"/>
          <c:cat>
            <c:numRef>
              <c:f>'Struktura CA i FA'!$F$8:$K$8</c:f>
              <c:numCache>
                <c:formatCode>General</c:formatCode>
                <c:ptCount val="6"/>
                <c:pt idx="0">
                  <c:v>2018</c:v>
                </c:pt>
                <c:pt idx="1">
                  <c:v>2019</c:v>
                </c:pt>
                <c:pt idx="2">
                  <c:v>2020</c:v>
                </c:pt>
                <c:pt idx="3">
                  <c:v>2021</c:v>
                </c:pt>
                <c:pt idx="4">
                  <c:v>2022</c:v>
                </c:pt>
                <c:pt idx="5">
                  <c:v>2023</c:v>
                </c:pt>
              </c:numCache>
            </c:numRef>
          </c:cat>
          <c:val>
            <c:numRef>
              <c:f>'Struktura CA i FA'!$F$13:$K$13</c:f>
              <c:numCache>
                <c:formatCode>0.0</c:formatCode>
                <c:ptCount val="6"/>
                <c:pt idx="0">
                  <c:v>9.7844329701219959</c:v>
                </c:pt>
                <c:pt idx="1">
                  <c:v>8.5473967706053919</c:v>
                </c:pt>
                <c:pt idx="2">
                  <c:v>7.7503948620052805</c:v>
                </c:pt>
                <c:pt idx="3">
                  <c:v>7.8305682803719465</c:v>
                </c:pt>
                <c:pt idx="4">
                  <c:v>7.7527416166643919</c:v>
                </c:pt>
                <c:pt idx="5">
                  <c:v>7.2882164248605736</c:v>
                </c:pt>
              </c:numCache>
            </c:numRef>
          </c:val>
          <c:extLst>
            <c:ext xmlns:c16="http://schemas.microsoft.com/office/drawing/2014/chart" uri="{C3380CC4-5D6E-409C-BE32-E72D297353CC}">
              <c16:uniqueId val="{00000003-B21D-464E-AB32-DBDA1153E53C}"/>
            </c:ext>
          </c:extLst>
        </c:ser>
        <c:dLbls>
          <c:showLegendKey val="0"/>
          <c:showVal val="0"/>
          <c:showCatName val="0"/>
          <c:showSerName val="0"/>
          <c:showPercent val="0"/>
          <c:showBubbleSize val="0"/>
        </c:dLbls>
        <c:gapWidth val="50"/>
        <c:overlap val="100"/>
        <c:axId val="335935904"/>
        <c:axId val="335904896"/>
      </c:barChart>
      <c:lineChart>
        <c:grouping val="standard"/>
        <c:varyColors val="0"/>
        <c:ser>
          <c:idx val="4"/>
          <c:order val="4"/>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'Struktura CA i FA'!$F$9:$K$9</c:f>
              <c:numCache>
                <c:formatCode>0.0</c:formatCode>
                <c:ptCount val="6"/>
                <c:pt idx="0">
                  <c:v>-4.8403457796066034</c:v>
                </c:pt>
                <c:pt idx="1">
                  <c:v>-6.8759515109891467</c:v>
                </c:pt>
                <c:pt idx="2">
                  <c:v>-5.6088945736881239</c:v>
                </c:pt>
                <c:pt idx="3">
                  <c:v>-5.9472670483837549</c:v>
                </c:pt>
                <c:pt idx="4">
                  <c:v>-5.5055701335732703</c:v>
                </c:pt>
                <c:pt idx="5">
                  <c:v>-5.2303670813705283</c:v>
                </c:pt>
              </c:numCache>
            </c:numRef>
          </c:val>
          <c:smooth val="0"/>
          <c:extLst>
            <c:ext xmlns:c16="http://schemas.microsoft.com/office/drawing/2014/chart" uri="{C3380CC4-5D6E-409C-BE32-E72D297353CC}">
              <c16:uniqueId val="{00000004-B21D-464E-AB32-DBDA1153E53C}"/>
            </c:ext>
          </c:extLst>
        </c:ser>
        <c:dLbls>
          <c:showLegendKey val="0"/>
          <c:showVal val="0"/>
          <c:showCatName val="0"/>
          <c:showSerName val="0"/>
          <c:showPercent val="0"/>
          <c:showBubbleSize val="0"/>
        </c:dLbls>
        <c:marker val="1"/>
        <c:smooth val="0"/>
        <c:axId val="335935904"/>
        <c:axId val="335904896"/>
      </c:lineChart>
      <c:catAx>
        <c:axId val="33593590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crossAx val="335904896"/>
        <c:crosses val="autoZero"/>
        <c:auto val="1"/>
        <c:lblAlgn val="ctr"/>
        <c:lblOffset val="100"/>
        <c:noMultiLvlLbl val="0"/>
      </c:catAx>
      <c:valAx>
        <c:axId val="33590489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35904"/>
        <c:crosses val="autoZero"/>
        <c:crossBetween val="between"/>
        <c:majorUnit val="5"/>
      </c:valAx>
      <c:spPr>
        <a:noFill/>
        <a:ln>
          <a:noFill/>
        </a:ln>
        <a:effectLst/>
      </c:spPr>
    </c:plotArea>
    <c:legend>
      <c:legendPos val="b"/>
      <c:layout>
        <c:manualLayout>
          <c:xMode val="edge"/>
          <c:yMode val="edge"/>
          <c:x val="1.14209682123068E-3"/>
          <c:y val="0.85112691558716447"/>
          <c:w val="0.99885790317876932"/>
          <c:h val="0.148873084412835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1">
    <c:autoUpdate val="0"/>
  </c:externalData>
  <c:userShapes r:id="rId2"/>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numRef>
              <c:f>'Def. tek. racuna i SDI'!$E$7:$K$7</c:f>
              <c:numCache>
                <c:formatCode>General</c:formatCode>
                <c:ptCount val="7"/>
                <c:pt idx="0">
                  <c:v>2017</c:v>
                </c:pt>
                <c:pt idx="1">
                  <c:v>2018</c:v>
                </c:pt>
                <c:pt idx="2">
                  <c:v>2019</c:v>
                </c:pt>
                <c:pt idx="3">
                  <c:v>2020</c:v>
                </c:pt>
                <c:pt idx="4">
                  <c:v>2021</c:v>
                </c:pt>
                <c:pt idx="5">
                  <c:v>2022</c:v>
                </c:pt>
                <c:pt idx="6">
                  <c:v>2023</c:v>
                </c:pt>
              </c:numCache>
            </c:numRef>
          </c:cat>
          <c:val>
            <c:numRef>
              <c:f>'Def. tek. racuna i SDI'!$E$8:$K$8</c:f>
              <c:numCache>
                <c:formatCode>0.0</c:formatCode>
                <c:ptCount val="7"/>
                <c:pt idx="0">
                  <c:v>5.2277937048723713</c:v>
                </c:pt>
                <c:pt idx="1">
                  <c:v>4.8403457796066007</c:v>
                </c:pt>
                <c:pt idx="2">
                  <c:v>6.8759488253252998</c:v>
                </c:pt>
                <c:pt idx="3">
                  <c:v>5.6088945736881239</c:v>
                </c:pt>
                <c:pt idx="4">
                  <c:v>5.9472670483837549</c:v>
                </c:pt>
                <c:pt idx="5">
                  <c:v>5.5055701335732703</c:v>
                </c:pt>
                <c:pt idx="6">
                  <c:v>5.2303670813705283</c:v>
                </c:pt>
              </c:numCache>
            </c:numRef>
          </c:val>
          <c:extLst>
            <c:ext xmlns:c16="http://schemas.microsoft.com/office/drawing/2014/chart" uri="{C3380CC4-5D6E-409C-BE32-E72D297353CC}">
              <c16:uniqueId val="{00000000-4046-4AB1-BE0A-B247EC851346}"/>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numRef>
              <c:f>'Def. tek. racuna i SDI'!$E$7:$K$7</c:f>
              <c:numCache>
                <c:formatCode>General</c:formatCode>
                <c:ptCount val="7"/>
                <c:pt idx="0">
                  <c:v>2017</c:v>
                </c:pt>
                <c:pt idx="1">
                  <c:v>2018</c:v>
                </c:pt>
                <c:pt idx="2">
                  <c:v>2019</c:v>
                </c:pt>
                <c:pt idx="3">
                  <c:v>2020</c:v>
                </c:pt>
                <c:pt idx="4">
                  <c:v>2021</c:v>
                </c:pt>
                <c:pt idx="5">
                  <c:v>2022</c:v>
                </c:pt>
                <c:pt idx="6">
                  <c:v>2023</c:v>
                </c:pt>
              </c:numCache>
            </c:numRef>
          </c:cat>
          <c:val>
            <c:numRef>
              <c:f>'Def. tek. racuna i SDI'!$E$9:$K$9</c:f>
              <c:numCache>
                <c:formatCode>0.0</c:formatCode>
                <c:ptCount val="7"/>
                <c:pt idx="0">
                  <c:v>6.1631168787213308</c:v>
                </c:pt>
                <c:pt idx="1">
                  <c:v>7.3591834087842933</c:v>
                </c:pt>
                <c:pt idx="2">
                  <c:v>7.7247272289177218</c:v>
                </c:pt>
                <c:pt idx="3">
                  <c:v>4.7399109073420718</c:v>
                </c:pt>
                <c:pt idx="4">
                  <c:v>6.1058608363406579</c:v>
                </c:pt>
                <c:pt idx="5">
                  <c:v>6.5542501590157913</c:v>
                </c:pt>
                <c:pt idx="6">
                  <c:v>6.1735480304701325</c:v>
                </c:pt>
              </c:numCache>
            </c:numRef>
          </c:val>
          <c:extLst>
            <c:ext xmlns:c16="http://schemas.microsoft.com/office/drawing/2014/chart" uri="{C3380CC4-5D6E-409C-BE32-E72D297353CC}">
              <c16:uniqueId val="{00000001-4046-4AB1-BE0A-B247EC851346}"/>
            </c:ext>
          </c:extLst>
        </c:ser>
        <c:dLbls>
          <c:showLegendKey val="0"/>
          <c:showVal val="0"/>
          <c:showCatName val="0"/>
          <c:showSerName val="0"/>
          <c:showPercent val="0"/>
          <c:showBubbleSize val="0"/>
        </c:dLbls>
        <c:gapWidth val="80"/>
        <c:overlap val="-11"/>
        <c:axId val="335936992"/>
        <c:axId val="335905440"/>
      </c:barChart>
      <c:catAx>
        <c:axId val="33593699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05440"/>
        <c:crosses val="autoZero"/>
        <c:auto val="1"/>
        <c:lblAlgn val="ctr"/>
        <c:lblOffset val="100"/>
        <c:noMultiLvlLbl val="0"/>
      </c:catAx>
      <c:valAx>
        <c:axId val="33590544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35936992"/>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1">
    <c:autoUpdate val="0"/>
  </c:externalData>
  <c:userShapes r:id="rId2"/>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4217259528330458E-2"/>
          <c:y val="6.7551982074010614E-2"/>
          <c:w val="0.91156548094333911"/>
          <c:h val="0.82429264255212753"/>
        </c:manualLayout>
      </c:layout>
      <c:areaChart>
        <c:grouping val="stacked"/>
        <c:varyColors val="0"/>
        <c:ser>
          <c:idx val="0"/>
          <c:order val="0"/>
          <c:spPr>
            <a:noFill/>
          </c:spPr>
          <c:cat>
            <c:strRef>
              <c:f>'fan chart srbija'!$E$6:$E$12</c:f>
              <c:strCache>
                <c:ptCount val="7"/>
                <c:pt idx="0">
                  <c:v>2017</c:v>
                </c:pt>
                <c:pt idx="1">
                  <c:v>2018</c:v>
                </c:pt>
                <c:pt idx="2">
                  <c:v>2019</c:v>
                </c:pt>
                <c:pt idx="3">
                  <c:v>2020</c:v>
                </c:pt>
                <c:pt idx="4">
                  <c:v>2021</c:v>
                </c:pt>
                <c:pt idx="5">
                  <c:v>2022</c:v>
                </c:pt>
                <c:pt idx="6">
                  <c:v>2023</c:v>
                </c:pt>
              </c:strCache>
            </c:strRef>
          </c:cat>
          <c:val>
            <c:numRef>
              <c:f>'fan chart srbija'!$G$6:$G$12</c:f>
              <c:numCache>
                <c:formatCode>0.0</c:formatCode>
                <c:ptCount val="7"/>
                <c:pt idx="0">
                  <c:v>2.1</c:v>
                </c:pt>
                <c:pt idx="1">
                  <c:v>4.5</c:v>
                </c:pt>
                <c:pt idx="2">
                  <c:v>4.2</c:v>
                </c:pt>
                <c:pt idx="3">
                  <c:v>-1.3</c:v>
                </c:pt>
                <c:pt idx="4">
                  <c:v>3.5</c:v>
                </c:pt>
                <c:pt idx="5">
                  <c:v>2.5</c:v>
                </c:pt>
                <c:pt idx="6">
                  <c:v>3</c:v>
                </c:pt>
              </c:numCache>
            </c:numRef>
          </c:val>
          <c:extLst>
            <c:ext xmlns:c16="http://schemas.microsoft.com/office/drawing/2014/chart" uri="{C3380CC4-5D6E-409C-BE32-E72D297353CC}">
              <c16:uniqueId val="{00000000-20BB-43F2-A1C4-5F19BB8300A0}"/>
            </c:ext>
          </c:extLst>
        </c:ser>
        <c:ser>
          <c:idx val="2"/>
          <c:order val="2"/>
          <c:spPr>
            <a:solidFill>
              <a:srgbClr val="FFF1F1"/>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srbija'!$H$6:$H$12</c:f>
              <c:numCache>
                <c:formatCode>0.0</c:formatCode>
                <c:ptCount val="7"/>
                <c:pt idx="0">
                  <c:v>0</c:v>
                </c:pt>
                <c:pt idx="1">
                  <c:v>0</c:v>
                </c:pt>
                <c:pt idx="2">
                  <c:v>0</c:v>
                </c:pt>
                <c:pt idx="3">
                  <c:v>0</c:v>
                </c:pt>
                <c:pt idx="4">
                  <c:v>0.36330206140687094</c:v>
                </c:pt>
                <c:pt idx="5">
                  <c:v>0.2</c:v>
                </c:pt>
                <c:pt idx="6">
                  <c:v>0.2</c:v>
                </c:pt>
              </c:numCache>
            </c:numRef>
          </c:val>
          <c:extLst>
            <c:ext xmlns:c16="http://schemas.microsoft.com/office/drawing/2014/chart" uri="{C3380CC4-5D6E-409C-BE32-E72D297353CC}">
              <c16:uniqueId val="{00000001-20BB-43F2-A1C4-5F19BB8300A0}"/>
            </c:ext>
          </c:extLst>
        </c:ser>
        <c:ser>
          <c:idx val="3"/>
          <c:order val="3"/>
          <c:spPr>
            <a:solidFill>
              <a:srgbClr val="FFD5D5"/>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srbija'!$I$6:$I$12</c:f>
              <c:numCache>
                <c:formatCode>0.0</c:formatCode>
                <c:ptCount val="7"/>
                <c:pt idx="0">
                  <c:v>0</c:v>
                </c:pt>
                <c:pt idx="1">
                  <c:v>0</c:v>
                </c:pt>
                <c:pt idx="2">
                  <c:v>0</c:v>
                </c:pt>
                <c:pt idx="3">
                  <c:v>0</c:v>
                </c:pt>
                <c:pt idx="4">
                  <c:v>0.4</c:v>
                </c:pt>
                <c:pt idx="5">
                  <c:v>0.2</c:v>
                </c:pt>
                <c:pt idx="6">
                  <c:v>0.1</c:v>
                </c:pt>
              </c:numCache>
            </c:numRef>
          </c:val>
          <c:extLst>
            <c:ext xmlns:c16="http://schemas.microsoft.com/office/drawing/2014/chart" uri="{C3380CC4-5D6E-409C-BE32-E72D297353CC}">
              <c16:uniqueId val="{00000002-20BB-43F2-A1C4-5F19BB8300A0}"/>
            </c:ext>
          </c:extLst>
        </c:ser>
        <c:ser>
          <c:idx val="4"/>
          <c:order val="4"/>
          <c:spPr>
            <a:solidFill>
              <a:srgbClr val="FFAFAF"/>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srbija'!$J$6:$J$12</c:f>
              <c:numCache>
                <c:formatCode>0.0</c:formatCode>
                <c:ptCount val="7"/>
                <c:pt idx="0">
                  <c:v>0</c:v>
                </c:pt>
                <c:pt idx="1">
                  <c:v>0</c:v>
                </c:pt>
                <c:pt idx="2">
                  <c:v>0</c:v>
                </c:pt>
                <c:pt idx="3">
                  <c:v>0</c:v>
                </c:pt>
                <c:pt idx="4">
                  <c:v>0.4</c:v>
                </c:pt>
                <c:pt idx="5">
                  <c:v>0.21780661174118243</c:v>
                </c:pt>
                <c:pt idx="6">
                  <c:v>0.1</c:v>
                </c:pt>
              </c:numCache>
            </c:numRef>
          </c:val>
          <c:extLst>
            <c:ext xmlns:c16="http://schemas.microsoft.com/office/drawing/2014/chart" uri="{C3380CC4-5D6E-409C-BE32-E72D297353CC}">
              <c16:uniqueId val="{00000003-20BB-43F2-A1C4-5F19BB8300A0}"/>
            </c:ext>
          </c:extLst>
        </c:ser>
        <c:ser>
          <c:idx val="5"/>
          <c:order val="5"/>
          <c:spPr>
            <a:solidFill>
              <a:srgbClr val="FF7D7D"/>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srbija'!$K$6:$K$12</c:f>
              <c:numCache>
                <c:formatCode>0.0</c:formatCode>
                <c:ptCount val="7"/>
                <c:pt idx="0">
                  <c:v>0</c:v>
                </c:pt>
                <c:pt idx="1">
                  <c:v>0</c:v>
                </c:pt>
                <c:pt idx="2">
                  <c:v>0</c:v>
                </c:pt>
                <c:pt idx="3">
                  <c:v>0</c:v>
                </c:pt>
                <c:pt idx="4">
                  <c:v>0.4</c:v>
                </c:pt>
                <c:pt idx="5">
                  <c:v>0.18685867900548714</c:v>
                </c:pt>
                <c:pt idx="6">
                  <c:v>0.1</c:v>
                </c:pt>
              </c:numCache>
            </c:numRef>
          </c:val>
          <c:extLst>
            <c:ext xmlns:c16="http://schemas.microsoft.com/office/drawing/2014/chart" uri="{C3380CC4-5D6E-409C-BE32-E72D297353CC}">
              <c16:uniqueId val="{00000004-20BB-43F2-A1C4-5F19BB8300A0}"/>
            </c:ext>
          </c:extLst>
        </c:ser>
        <c:ser>
          <c:idx val="6"/>
          <c:order val="6"/>
          <c:spPr>
            <a:solidFill>
              <a:srgbClr val="FF4747"/>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srbija'!$L$6:$L$12</c:f>
              <c:numCache>
                <c:formatCode>0.0</c:formatCode>
                <c:ptCount val="7"/>
                <c:pt idx="0">
                  <c:v>0</c:v>
                </c:pt>
                <c:pt idx="1">
                  <c:v>0</c:v>
                </c:pt>
                <c:pt idx="2">
                  <c:v>0</c:v>
                </c:pt>
                <c:pt idx="3">
                  <c:v>0</c:v>
                </c:pt>
                <c:pt idx="4">
                  <c:v>0.4</c:v>
                </c:pt>
                <c:pt idx="5">
                  <c:v>0.16780486885718504</c:v>
                </c:pt>
                <c:pt idx="6">
                  <c:v>0.1</c:v>
                </c:pt>
              </c:numCache>
            </c:numRef>
          </c:val>
          <c:extLst>
            <c:ext xmlns:c16="http://schemas.microsoft.com/office/drawing/2014/chart" uri="{C3380CC4-5D6E-409C-BE32-E72D297353CC}">
              <c16:uniqueId val="{00000005-20BB-43F2-A1C4-5F19BB8300A0}"/>
            </c:ext>
          </c:extLst>
        </c:ser>
        <c:ser>
          <c:idx val="7"/>
          <c:order val="7"/>
          <c:spPr>
            <a:solidFill>
              <a:srgbClr val="C0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srbija'!$M$6:$M$12</c:f>
              <c:numCache>
                <c:formatCode>0.0</c:formatCode>
                <c:ptCount val="7"/>
                <c:pt idx="0">
                  <c:v>0</c:v>
                </c:pt>
                <c:pt idx="1">
                  <c:v>0</c:v>
                </c:pt>
                <c:pt idx="2">
                  <c:v>0</c:v>
                </c:pt>
                <c:pt idx="3">
                  <c:v>0</c:v>
                </c:pt>
                <c:pt idx="4">
                  <c:v>0.2</c:v>
                </c:pt>
                <c:pt idx="5">
                  <c:v>0.1</c:v>
                </c:pt>
                <c:pt idx="6">
                  <c:v>0.1</c:v>
                </c:pt>
              </c:numCache>
            </c:numRef>
          </c:val>
          <c:extLst>
            <c:ext xmlns:c16="http://schemas.microsoft.com/office/drawing/2014/chart" uri="{C3380CC4-5D6E-409C-BE32-E72D297353CC}">
              <c16:uniqueId val="{00000006-20BB-43F2-A1C4-5F19BB8300A0}"/>
            </c:ext>
          </c:extLst>
        </c:ser>
        <c:ser>
          <c:idx val="8"/>
          <c:order val="8"/>
          <c:spPr>
            <a:solidFill>
              <a:srgbClr val="74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srbija'!$N$6:$N$12</c:f>
              <c:numCache>
                <c:formatCode>0.0</c:formatCode>
                <c:ptCount val="7"/>
                <c:pt idx="0">
                  <c:v>0</c:v>
                </c:pt>
                <c:pt idx="1">
                  <c:v>0</c:v>
                </c:pt>
                <c:pt idx="2">
                  <c:v>0</c:v>
                </c:pt>
                <c:pt idx="3">
                  <c:v>0</c:v>
                </c:pt>
                <c:pt idx="4">
                  <c:v>0.13197336327176812</c:v>
                </c:pt>
                <c:pt idx="5">
                  <c:v>0.14755070574747364</c:v>
                </c:pt>
                <c:pt idx="6">
                  <c:v>0.1</c:v>
                </c:pt>
              </c:numCache>
            </c:numRef>
          </c:val>
          <c:extLst>
            <c:ext xmlns:c16="http://schemas.microsoft.com/office/drawing/2014/chart" uri="{C3380CC4-5D6E-409C-BE32-E72D297353CC}">
              <c16:uniqueId val="{00000007-20BB-43F2-A1C4-5F19BB8300A0}"/>
            </c:ext>
          </c:extLst>
        </c:ser>
        <c:ser>
          <c:idx val="9"/>
          <c:order val="9"/>
          <c:spPr>
            <a:solidFill>
              <a:srgbClr val="46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srbija'!$O$6:$O$12</c:f>
              <c:numCache>
                <c:formatCode>0.0</c:formatCode>
                <c:ptCount val="7"/>
                <c:pt idx="0">
                  <c:v>0</c:v>
                </c:pt>
                <c:pt idx="1">
                  <c:v>0</c:v>
                </c:pt>
                <c:pt idx="2">
                  <c:v>0</c:v>
                </c:pt>
                <c:pt idx="3">
                  <c:v>0.1</c:v>
                </c:pt>
                <c:pt idx="4">
                  <c:v>0.12768575628072543</c:v>
                </c:pt>
                <c:pt idx="5">
                  <c:v>0.14275701540108665</c:v>
                </c:pt>
                <c:pt idx="6">
                  <c:v>0.1</c:v>
                </c:pt>
              </c:numCache>
            </c:numRef>
          </c:val>
          <c:extLst>
            <c:ext xmlns:c16="http://schemas.microsoft.com/office/drawing/2014/chart" uri="{C3380CC4-5D6E-409C-BE32-E72D297353CC}">
              <c16:uniqueId val="{00000008-20BB-43F2-A1C4-5F19BB8300A0}"/>
            </c:ext>
          </c:extLst>
        </c:ser>
        <c:ser>
          <c:idx val="10"/>
          <c:order val="10"/>
          <c:spPr>
            <a:solidFill>
              <a:srgbClr val="14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srbija'!$P$6:$P$12</c:f>
              <c:numCache>
                <c:formatCode>0.0</c:formatCode>
                <c:ptCount val="7"/>
                <c:pt idx="0">
                  <c:v>0</c:v>
                </c:pt>
                <c:pt idx="1">
                  <c:v>0</c:v>
                </c:pt>
                <c:pt idx="2">
                  <c:v>0</c:v>
                </c:pt>
                <c:pt idx="3">
                  <c:v>0.2</c:v>
                </c:pt>
                <c:pt idx="4">
                  <c:v>0.12566134685507424</c:v>
                </c:pt>
                <c:pt idx="5">
                  <c:v>0.14049365685606263</c:v>
                </c:pt>
                <c:pt idx="6">
                  <c:v>0.1</c:v>
                </c:pt>
              </c:numCache>
            </c:numRef>
          </c:val>
          <c:extLst>
            <c:ext xmlns:c16="http://schemas.microsoft.com/office/drawing/2014/chart" uri="{C3380CC4-5D6E-409C-BE32-E72D297353CC}">
              <c16:uniqueId val="{00000009-20BB-43F2-A1C4-5F19BB8300A0}"/>
            </c:ext>
          </c:extLst>
        </c:ser>
        <c:ser>
          <c:idx val="11"/>
          <c:order val="11"/>
          <c:spPr>
            <a:solidFill>
              <a:srgbClr val="14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srbija'!$Q$6:$Q$12</c:f>
              <c:numCache>
                <c:formatCode>0.0</c:formatCode>
                <c:ptCount val="7"/>
                <c:pt idx="0">
                  <c:v>0</c:v>
                </c:pt>
                <c:pt idx="1">
                  <c:v>0</c:v>
                </c:pt>
                <c:pt idx="2">
                  <c:v>0</c:v>
                </c:pt>
                <c:pt idx="3">
                  <c:v>0.1</c:v>
                </c:pt>
                <c:pt idx="4">
                  <c:v>0.12566134685507402</c:v>
                </c:pt>
                <c:pt idx="5">
                  <c:v>0.14049365685606263</c:v>
                </c:pt>
                <c:pt idx="6">
                  <c:v>0.1</c:v>
                </c:pt>
              </c:numCache>
            </c:numRef>
          </c:val>
          <c:extLst>
            <c:ext xmlns:c16="http://schemas.microsoft.com/office/drawing/2014/chart" uri="{C3380CC4-5D6E-409C-BE32-E72D297353CC}">
              <c16:uniqueId val="{0000000A-20BB-43F2-A1C4-5F19BB8300A0}"/>
            </c:ext>
          </c:extLst>
        </c:ser>
        <c:ser>
          <c:idx val="12"/>
          <c:order val="12"/>
          <c:spPr>
            <a:solidFill>
              <a:srgbClr val="46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srbija'!$R$6:$R$12</c:f>
              <c:numCache>
                <c:formatCode>0.0</c:formatCode>
                <c:ptCount val="7"/>
                <c:pt idx="0">
                  <c:v>0</c:v>
                </c:pt>
                <c:pt idx="1">
                  <c:v>0</c:v>
                </c:pt>
                <c:pt idx="2">
                  <c:v>0</c:v>
                </c:pt>
                <c:pt idx="3">
                  <c:v>0.2</c:v>
                </c:pt>
                <c:pt idx="4">
                  <c:v>0.12768575628072565</c:v>
                </c:pt>
                <c:pt idx="5">
                  <c:v>0.14275701540108665</c:v>
                </c:pt>
                <c:pt idx="6">
                  <c:v>0.1</c:v>
                </c:pt>
              </c:numCache>
            </c:numRef>
          </c:val>
          <c:extLst>
            <c:ext xmlns:c16="http://schemas.microsoft.com/office/drawing/2014/chart" uri="{C3380CC4-5D6E-409C-BE32-E72D297353CC}">
              <c16:uniqueId val="{0000000B-20BB-43F2-A1C4-5F19BB8300A0}"/>
            </c:ext>
          </c:extLst>
        </c:ser>
        <c:ser>
          <c:idx val="13"/>
          <c:order val="13"/>
          <c:spPr>
            <a:solidFill>
              <a:srgbClr val="74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srbija'!$S$6:$S$12</c:f>
              <c:numCache>
                <c:formatCode>0.0</c:formatCode>
                <c:ptCount val="7"/>
                <c:pt idx="0">
                  <c:v>0</c:v>
                </c:pt>
                <c:pt idx="1">
                  <c:v>0</c:v>
                </c:pt>
                <c:pt idx="2">
                  <c:v>0</c:v>
                </c:pt>
                <c:pt idx="3">
                  <c:v>0</c:v>
                </c:pt>
                <c:pt idx="4">
                  <c:v>0.13197336327176812</c:v>
                </c:pt>
                <c:pt idx="5">
                  <c:v>0.14755070574747364</c:v>
                </c:pt>
                <c:pt idx="6">
                  <c:v>0.1</c:v>
                </c:pt>
              </c:numCache>
            </c:numRef>
          </c:val>
          <c:extLst>
            <c:ext xmlns:c16="http://schemas.microsoft.com/office/drawing/2014/chart" uri="{C3380CC4-5D6E-409C-BE32-E72D297353CC}">
              <c16:uniqueId val="{0000000C-20BB-43F2-A1C4-5F19BB8300A0}"/>
            </c:ext>
          </c:extLst>
        </c:ser>
        <c:ser>
          <c:idx val="14"/>
          <c:order val="14"/>
          <c:spPr>
            <a:solidFill>
              <a:srgbClr val="C00000"/>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srbija'!$T$6:$T$12</c:f>
              <c:numCache>
                <c:formatCode>0.0</c:formatCode>
                <c:ptCount val="7"/>
                <c:pt idx="0">
                  <c:v>0</c:v>
                </c:pt>
                <c:pt idx="1">
                  <c:v>0</c:v>
                </c:pt>
                <c:pt idx="2">
                  <c:v>0</c:v>
                </c:pt>
                <c:pt idx="3">
                  <c:v>0</c:v>
                </c:pt>
                <c:pt idx="4">
                  <c:v>0.2</c:v>
                </c:pt>
                <c:pt idx="5">
                  <c:v>0.1</c:v>
                </c:pt>
                <c:pt idx="6">
                  <c:v>0.1</c:v>
                </c:pt>
              </c:numCache>
            </c:numRef>
          </c:val>
          <c:extLst>
            <c:ext xmlns:c16="http://schemas.microsoft.com/office/drawing/2014/chart" uri="{C3380CC4-5D6E-409C-BE32-E72D297353CC}">
              <c16:uniqueId val="{0000000D-20BB-43F2-A1C4-5F19BB8300A0}"/>
            </c:ext>
          </c:extLst>
        </c:ser>
        <c:ser>
          <c:idx val="15"/>
          <c:order val="15"/>
          <c:spPr>
            <a:solidFill>
              <a:srgbClr val="FF4747"/>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srbija'!$U$6:$U$12</c:f>
              <c:numCache>
                <c:formatCode>0.0</c:formatCode>
                <c:ptCount val="7"/>
                <c:pt idx="0">
                  <c:v>0</c:v>
                </c:pt>
                <c:pt idx="1">
                  <c:v>0</c:v>
                </c:pt>
                <c:pt idx="2">
                  <c:v>0</c:v>
                </c:pt>
                <c:pt idx="3">
                  <c:v>0</c:v>
                </c:pt>
                <c:pt idx="4">
                  <c:v>0.3</c:v>
                </c:pt>
                <c:pt idx="5">
                  <c:v>0.1</c:v>
                </c:pt>
                <c:pt idx="6">
                  <c:v>0.1</c:v>
                </c:pt>
              </c:numCache>
            </c:numRef>
          </c:val>
          <c:extLst>
            <c:ext xmlns:c16="http://schemas.microsoft.com/office/drawing/2014/chart" uri="{C3380CC4-5D6E-409C-BE32-E72D297353CC}">
              <c16:uniqueId val="{0000000E-20BB-43F2-A1C4-5F19BB8300A0}"/>
            </c:ext>
          </c:extLst>
        </c:ser>
        <c:ser>
          <c:idx val="16"/>
          <c:order val="16"/>
          <c:spPr>
            <a:solidFill>
              <a:srgbClr val="FF7D7D"/>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srbija'!$V$6:$V$12</c:f>
              <c:numCache>
                <c:formatCode>0.0</c:formatCode>
                <c:ptCount val="7"/>
                <c:pt idx="0">
                  <c:v>0</c:v>
                </c:pt>
                <c:pt idx="1">
                  <c:v>0</c:v>
                </c:pt>
                <c:pt idx="2">
                  <c:v>0</c:v>
                </c:pt>
                <c:pt idx="3">
                  <c:v>0</c:v>
                </c:pt>
                <c:pt idx="4">
                  <c:v>0</c:v>
                </c:pt>
                <c:pt idx="5">
                  <c:v>0.18685867900548692</c:v>
                </c:pt>
                <c:pt idx="6">
                  <c:v>0.1</c:v>
                </c:pt>
              </c:numCache>
            </c:numRef>
          </c:val>
          <c:extLst>
            <c:ext xmlns:c16="http://schemas.microsoft.com/office/drawing/2014/chart" uri="{C3380CC4-5D6E-409C-BE32-E72D297353CC}">
              <c16:uniqueId val="{0000000F-20BB-43F2-A1C4-5F19BB8300A0}"/>
            </c:ext>
          </c:extLst>
        </c:ser>
        <c:ser>
          <c:idx val="17"/>
          <c:order val="17"/>
          <c:spPr>
            <a:solidFill>
              <a:srgbClr val="FFAFAF"/>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srbija'!$W$6:$W$12</c:f>
              <c:numCache>
                <c:formatCode>0.0</c:formatCode>
                <c:ptCount val="7"/>
                <c:pt idx="0">
                  <c:v>0</c:v>
                </c:pt>
                <c:pt idx="1">
                  <c:v>0</c:v>
                </c:pt>
                <c:pt idx="2">
                  <c:v>0</c:v>
                </c:pt>
                <c:pt idx="3">
                  <c:v>0</c:v>
                </c:pt>
                <c:pt idx="4">
                  <c:v>0</c:v>
                </c:pt>
                <c:pt idx="5">
                  <c:v>0.21780661174118254</c:v>
                </c:pt>
                <c:pt idx="6">
                  <c:v>0.1</c:v>
                </c:pt>
              </c:numCache>
            </c:numRef>
          </c:val>
          <c:extLst>
            <c:ext xmlns:c16="http://schemas.microsoft.com/office/drawing/2014/chart" uri="{C3380CC4-5D6E-409C-BE32-E72D297353CC}">
              <c16:uniqueId val="{00000010-20BB-43F2-A1C4-5F19BB8300A0}"/>
            </c:ext>
          </c:extLst>
        </c:ser>
        <c:ser>
          <c:idx val="18"/>
          <c:order val="18"/>
          <c:spPr>
            <a:solidFill>
              <a:srgbClr val="FFD5D5"/>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srbija'!$X$6:$X$12</c:f>
              <c:numCache>
                <c:formatCode>0.0</c:formatCode>
                <c:ptCount val="7"/>
                <c:pt idx="0">
                  <c:v>0</c:v>
                </c:pt>
                <c:pt idx="1">
                  <c:v>0</c:v>
                </c:pt>
                <c:pt idx="2">
                  <c:v>0</c:v>
                </c:pt>
                <c:pt idx="3">
                  <c:v>0</c:v>
                </c:pt>
                <c:pt idx="4">
                  <c:v>0</c:v>
                </c:pt>
                <c:pt idx="5">
                  <c:v>0.27405045208518697</c:v>
                </c:pt>
                <c:pt idx="6">
                  <c:v>0.1</c:v>
                </c:pt>
              </c:numCache>
            </c:numRef>
          </c:val>
          <c:extLst>
            <c:ext xmlns:c16="http://schemas.microsoft.com/office/drawing/2014/chart" uri="{C3380CC4-5D6E-409C-BE32-E72D297353CC}">
              <c16:uniqueId val="{00000011-20BB-43F2-A1C4-5F19BB8300A0}"/>
            </c:ext>
          </c:extLst>
        </c:ser>
        <c:ser>
          <c:idx val="19"/>
          <c:order val="19"/>
          <c:spPr>
            <a:solidFill>
              <a:srgbClr val="FFF1F1"/>
            </a:solidFill>
            <a:ln w="25400">
              <a:noFill/>
            </a:ln>
          </c:spPr>
          <c:cat>
            <c:strRef>
              <c:f>'fan chart srbija'!$E$6:$E$12</c:f>
              <c:strCache>
                <c:ptCount val="7"/>
                <c:pt idx="0">
                  <c:v>2017</c:v>
                </c:pt>
                <c:pt idx="1">
                  <c:v>2018</c:v>
                </c:pt>
                <c:pt idx="2">
                  <c:v>2019</c:v>
                </c:pt>
                <c:pt idx="3">
                  <c:v>2020</c:v>
                </c:pt>
                <c:pt idx="4">
                  <c:v>2021</c:v>
                </c:pt>
                <c:pt idx="5">
                  <c:v>2022</c:v>
                </c:pt>
                <c:pt idx="6">
                  <c:v>2023</c:v>
                </c:pt>
              </c:strCache>
            </c:strRef>
          </c:cat>
          <c:val>
            <c:numRef>
              <c:f>'fan chart srbija'!$Y$6:$Y$12</c:f>
              <c:numCache>
                <c:formatCode>0.0</c:formatCode>
                <c:ptCount val="7"/>
                <c:pt idx="0">
                  <c:v>0</c:v>
                </c:pt>
                <c:pt idx="1">
                  <c:v>0</c:v>
                </c:pt>
                <c:pt idx="2">
                  <c:v>0</c:v>
                </c:pt>
                <c:pt idx="3">
                  <c:v>0</c:v>
                </c:pt>
                <c:pt idx="4">
                  <c:v>0</c:v>
                </c:pt>
                <c:pt idx="5">
                  <c:v>0.3</c:v>
                </c:pt>
                <c:pt idx="6">
                  <c:v>0.2</c:v>
                </c:pt>
              </c:numCache>
            </c:numRef>
          </c:val>
          <c:extLst>
            <c:ext xmlns:c16="http://schemas.microsoft.com/office/drawing/2014/chart" uri="{C3380CC4-5D6E-409C-BE32-E72D297353CC}">
              <c16:uniqueId val="{00000012-20BB-43F2-A1C4-5F19BB8300A0}"/>
            </c:ext>
          </c:extLst>
        </c:ser>
        <c:dLbls>
          <c:showLegendKey val="0"/>
          <c:showVal val="0"/>
          <c:showCatName val="0"/>
          <c:showSerName val="0"/>
          <c:showPercent val="0"/>
          <c:showBubbleSize val="0"/>
        </c:dLbls>
        <c:axId val="335911968"/>
        <c:axId val="335914144"/>
      </c:areaChart>
      <c:lineChart>
        <c:grouping val="standard"/>
        <c:varyColors val="0"/>
        <c:ser>
          <c:idx val="1"/>
          <c:order val="1"/>
          <c:spPr>
            <a:ln w="19050">
              <a:solidFill>
                <a:sysClr val="windowText" lastClr="000000"/>
              </a:solidFill>
            </a:ln>
          </c:spPr>
          <c:marker>
            <c:symbol val="none"/>
          </c:marker>
          <c:cat>
            <c:strRef>
              <c:f>'fan chart srbija'!$E$6:$E$12</c:f>
              <c:strCache>
                <c:ptCount val="7"/>
                <c:pt idx="0">
                  <c:v>2017</c:v>
                </c:pt>
                <c:pt idx="1">
                  <c:v>2018</c:v>
                </c:pt>
                <c:pt idx="2">
                  <c:v>2019</c:v>
                </c:pt>
                <c:pt idx="3">
                  <c:v>2020</c:v>
                </c:pt>
                <c:pt idx="4">
                  <c:v>2021</c:v>
                </c:pt>
                <c:pt idx="5">
                  <c:v>2022</c:v>
                </c:pt>
                <c:pt idx="6">
                  <c:v>2023</c:v>
                </c:pt>
              </c:strCache>
            </c:strRef>
          </c:cat>
          <c:val>
            <c:numRef>
              <c:f>'fan chart srbija'!$F$6:$F$12</c:f>
              <c:numCache>
                <c:formatCode>0.0</c:formatCode>
                <c:ptCount val="7"/>
                <c:pt idx="0">
                  <c:v>2.1</c:v>
                </c:pt>
                <c:pt idx="1">
                  <c:v>4.5</c:v>
                </c:pt>
                <c:pt idx="2">
                  <c:v>4.2</c:v>
                </c:pt>
                <c:pt idx="3">
                  <c:v>-1</c:v>
                </c:pt>
                <c:pt idx="4">
                  <c:v>6</c:v>
                </c:pt>
                <c:pt idx="5">
                  <c:v>4</c:v>
                </c:pt>
                <c:pt idx="6">
                  <c:v>4</c:v>
                </c:pt>
              </c:numCache>
            </c:numRef>
          </c:val>
          <c:smooth val="0"/>
          <c:extLst>
            <c:ext xmlns:c16="http://schemas.microsoft.com/office/drawing/2014/chart" uri="{C3380CC4-5D6E-409C-BE32-E72D297353CC}">
              <c16:uniqueId val="{00000013-20BB-43F2-A1C4-5F19BB8300A0}"/>
            </c:ext>
          </c:extLst>
        </c:ser>
        <c:dLbls>
          <c:showLegendKey val="0"/>
          <c:showVal val="0"/>
          <c:showCatName val="0"/>
          <c:showSerName val="0"/>
          <c:showPercent val="0"/>
          <c:showBubbleSize val="0"/>
        </c:dLbls>
        <c:marker val="1"/>
        <c:smooth val="0"/>
        <c:axId val="335911968"/>
        <c:axId val="335914144"/>
      </c:lineChart>
      <c:catAx>
        <c:axId val="335911968"/>
        <c:scaling>
          <c:orientation val="minMax"/>
        </c:scaling>
        <c:delete val="0"/>
        <c:axPos val="b"/>
        <c:numFmt formatCode="General" sourceLinked="1"/>
        <c:majorTickMark val="none"/>
        <c:minorTickMark val="none"/>
        <c:tickLblPos val="low"/>
        <c:spPr>
          <a:ln w="6350">
            <a:solidFill>
              <a:srgbClr val="898989"/>
            </a:solidFill>
          </a:ln>
        </c:spPr>
        <c:txPr>
          <a:bodyPr rot="0" vert="horz"/>
          <a:lstStyle/>
          <a:p>
            <a:pPr>
              <a:defRPr/>
            </a:pPr>
            <a:endParaRPr lang="en-US"/>
          </a:p>
        </c:txPr>
        <c:crossAx val="335914144"/>
        <c:crosses val="autoZero"/>
        <c:auto val="1"/>
        <c:lblAlgn val="ctr"/>
        <c:lblOffset val="100"/>
        <c:tickLblSkip val="1"/>
        <c:noMultiLvlLbl val="0"/>
      </c:catAx>
      <c:valAx>
        <c:axId val="335914144"/>
        <c:scaling>
          <c:orientation val="minMax"/>
          <c:max val="7.5"/>
          <c:min val="-2"/>
        </c:scaling>
        <c:delete val="0"/>
        <c:axPos val="l"/>
        <c:numFmt formatCode="0" sourceLinked="0"/>
        <c:majorTickMark val="none"/>
        <c:minorTickMark val="none"/>
        <c:tickLblPos val="nextTo"/>
        <c:spPr>
          <a:ln w="12700">
            <a:noFill/>
          </a:ln>
        </c:spPr>
        <c:txPr>
          <a:bodyPr rot="0" vert="horz"/>
          <a:lstStyle/>
          <a:p>
            <a:pPr>
              <a:defRPr/>
            </a:pPr>
            <a:endParaRPr lang="en-US"/>
          </a:p>
        </c:txPr>
        <c:crossAx val="335911968"/>
        <c:crosses val="autoZero"/>
        <c:crossBetween val="midCat"/>
        <c:majorUnit val="1"/>
      </c:valAx>
      <c:spPr>
        <a:noFill/>
        <a:ln>
          <a:noFill/>
        </a:ln>
      </c:spPr>
    </c:plotArea>
    <c:plotVisOnly val="1"/>
    <c:dispBlanksAs val="gap"/>
    <c:showDLblsOverMax val="0"/>
  </c:chart>
  <c:spPr>
    <a:noFill/>
    <a:ln w="9525">
      <a:noFill/>
    </a:ln>
  </c:spPr>
  <c:txPr>
    <a:bodyPr/>
    <a:lstStyle/>
    <a:p>
      <a:pPr>
        <a:defRPr sz="750" b="0" i="0" u="none" strike="noStrike" baseline="0">
          <a:solidFill>
            <a:schemeClr val="tx2"/>
          </a:solidFill>
          <a:latin typeface="+mn-lt"/>
          <a:ea typeface="Calibri"/>
          <a:cs typeface="Calibri"/>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1485855934674825E-2"/>
          <c:y val="5.7210195299569687E-2"/>
          <c:w val="0.98335083114610677"/>
          <c:h val="0.89994549266247381"/>
        </c:manualLayout>
      </c:layout>
      <c:barChart>
        <c:barDir val="col"/>
        <c:grouping val="clustered"/>
        <c:varyColors val="0"/>
        <c:ser>
          <c:idx val="0"/>
          <c:order val="0"/>
          <c:tx>
            <c:v>Фискални резултат</c:v>
          </c:tx>
          <c:spPr>
            <a:solidFill>
              <a:srgbClr val="002060"/>
            </a:solidFill>
            <a:ln w="12700">
              <a:noFill/>
            </a:ln>
            <a:effectLst/>
          </c:spPr>
          <c:invertIfNegative val="0"/>
          <c:dLbls>
            <c:dLbl>
              <c:idx val="2"/>
              <c:layout>
                <c:manualLayout>
                  <c:x val="-1.8518518518518517E-2"/>
                  <c:y val="1.44665461121157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CE1-4E7E-AD7B-A2E464D055A6}"/>
                </c:ext>
              </c:extLst>
            </c:dLbl>
            <c:numFmt formatCode="#,##0.0" sourceLinked="0"/>
            <c:spPr>
              <a:noFill/>
              <a:ln>
                <a:noFill/>
              </a:ln>
              <a:effectLst/>
            </c:spPr>
            <c:txPr>
              <a:bodyPr rot="0" spcFirstLastPara="1" vertOverflow="ellipsis" vert="horz" wrap="square" anchor="ctr" anchorCtr="1"/>
              <a:lstStyle/>
              <a:p>
                <a:pPr>
                  <a:defRPr sz="700" b="1" i="0" u="none" strike="noStrike" kern="1200" baseline="0">
                    <a:solidFill>
                      <a:srgbClr val="1F3864"/>
                    </a:solidFill>
                    <a:latin typeface="+mj-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Yearly'!$CA$7:$CF$8</c:f>
              <c:strCache>
                <c:ptCount val="6"/>
                <c:pt idx="0">
                  <c:v>2015</c:v>
                </c:pt>
                <c:pt idx="1">
                  <c:v>2016</c:v>
                </c:pt>
                <c:pt idx="2">
                  <c:v>2017</c:v>
                </c:pt>
                <c:pt idx="3">
                  <c:v>2018</c:v>
                </c:pt>
                <c:pt idx="4">
                  <c:v>2019</c:v>
                </c:pt>
                <c:pt idx="5">
                  <c:v>2020</c:v>
                </c:pt>
              </c:strCache>
            </c:strRef>
          </c:cat>
          <c:val>
            <c:numRef>
              <c:f>'Quaterly, Yearly'!$CA$78:$CF$78</c:f>
              <c:numCache>
                <c:formatCode>#,##0.00</c:formatCode>
                <c:ptCount val="6"/>
                <c:pt idx="0">
                  <c:v>-3.4561672728767112</c:v>
                </c:pt>
                <c:pt idx="1">
                  <c:v>-1.1926941660681765</c:v>
                </c:pt>
                <c:pt idx="2">
                  <c:v>1.0986349345465762</c:v>
                </c:pt>
                <c:pt idx="3">
                  <c:v>0.63523655395945411</c:v>
                </c:pt>
                <c:pt idx="4">
                  <c:v>-0.20513275318303217</c:v>
                </c:pt>
                <c:pt idx="5" formatCode="#,##0.0">
                  <c:v>-8.9</c:v>
                </c:pt>
              </c:numCache>
            </c:numRef>
          </c:val>
          <c:extLst>
            <c:ext xmlns:c16="http://schemas.microsoft.com/office/drawing/2014/chart" uri="{C3380CC4-5D6E-409C-BE32-E72D297353CC}">
              <c16:uniqueId val="{00000001-7CE1-4E7E-AD7B-A2E464D055A6}"/>
            </c:ext>
          </c:extLst>
        </c:ser>
        <c:ser>
          <c:idx val="1"/>
          <c:order val="1"/>
          <c:tx>
            <c:v>Примарни фискални резултат</c:v>
          </c:tx>
          <c:spPr>
            <a:solidFill>
              <a:srgbClr val="00B0F0"/>
            </a:solidFill>
            <a:ln w="44450">
              <a:noFill/>
            </a:ln>
            <a:effectLst/>
          </c:spPr>
          <c:invertIfNegative val="0"/>
          <c:dLbls>
            <c:dLbl>
              <c:idx val="0"/>
              <c:layout>
                <c:manualLayout>
                  <c:x val="-3.5680956547098279E-3"/>
                  <c:y val="0.128559394824857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CE1-4E7E-AD7B-A2E464D055A6}"/>
                </c:ext>
              </c:extLst>
            </c:dLbl>
            <c:dLbl>
              <c:idx val="1"/>
              <c:layout>
                <c:manualLayout>
                  <c:x val="-2.1044765237678625E-3"/>
                  <c:y val="-1.29519411616866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CE1-4E7E-AD7B-A2E464D055A6}"/>
                </c:ext>
              </c:extLst>
            </c:dLbl>
            <c:dLbl>
              <c:idx val="2"/>
              <c:layout>
                <c:manualLayout>
                  <c:x val="2.8915135608048995E-3"/>
                  <c:y val="1.85789210582279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CE1-4E7E-AD7B-A2E464D055A6}"/>
                </c:ext>
              </c:extLst>
            </c:dLbl>
            <c:dLbl>
              <c:idx val="3"/>
              <c:layout>
                <c:manualLayout>
                  <c:x val="-2.0078740157480316E-3"/>
                  <c:y val="-7.241001223496643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CE1-4E7E-AD7B-A2E464D055A6}"/>
                </c:ext>
              </c:extLst>
            </c:dLbl>
            <c:dLbl>
              <c:idx val="4"/>
              <c:layout>
                <c:manualLayout>
                  <c:x val="-3.6089238845144359E-5"/>
                  <c:y val="1.42500075950695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CE1-4E7E-AD7B-A2E464D055A6}"/>
                </c:ext>
              </c:extLst>
            </c:dLbl>
            <c:dLbl>
              <c:idx val="5"/>
              <c:layout>
                <c:manualLayout>
                  <c:x val="9.6540536599591716E-3"/>
                  <c:y val="1.44249690307700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CE1-4E7E-AD7B-A2E464D055A6}"/>
                </c:ext>
              </c:extLst>
            </c:dLbl>
            <c:dLbl>
              <c:idx val="6"/>
              <c:layout>
                <c:manualLayout>
                  <c:x val="-3.1394066455989758E-2"/>
                  <c:y val="-6.07632342979189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CE1-4E7E-AD7B-A2E464D055A6}"/>
                </c:ext>
              </c:extLst>
            </c:dLbl>
            <c:dLbl>
              <c:idx val="7"/>
              <c:layout>
                <c:manualLayout>
                  <c:x val="-2.9208525152033104E-2"/>
                  <c:y val="-1.97163788244910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CE1-4E7E-AD7B-A2E464D055A6}"/>
                </c:ext>
              </c:extLst>
            </c:dLbl>
            <c:dLbl>
              <c:idx val="8"/>
              <c:layout>
                <c:manualLayout>
                  <c:x val="-4.0694720170973364E-2"/>
                  <c:y val="-3.99560352002959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CE1-4E7E-AD7B-A2E464D055A6}"/>
                </c:ext>
              </c:extLst>
            </c:dLbl>
            <c:dLbl>
              <c:idx val="9"/>
              <c:layout>
                <c:manualLayout>
                  <c:x val="-4.7561598436538947E-2"/>
                  <c:y val="1.3799864516960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CE1-4E7E-AD7B-A2E464D055A6}"/>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CE1-4E7E-AD7B-A2E464D055A6}"/>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CE1-4E7E-AD7B-A2E464D055A6}"/>
                </c:ext>
              </c:extLst>
            </c:dLbl>
            <c:numFmt formatCode="#,##0.0" sourceLinked="0"/>
            <c:spPr>
              <a:noFill/>
              <a:ln>
                <a:noFill/>
              </a:ln>
              <a:effectLst/>
            </c:spPr>
            <c:txPr>
              <a:bodyPr rot="0" spcFirstLastPara="1" vertOverflow="ellipsis" vert="horz" wrap="square" anchor="ctr" anchorCtr="1"/>
              <a:lstStyle/>
              <a:p>
                <a:pPr>
                  <a:defRPr sz="700" b="1" i="0" u="none" strike="noStrike" kern="1200" baseline="0">
                    <a:solidFill>
                      <a:srgbClr val="1F3864"/>
                    </a:solidFill>
                    <a:latin typeface="+mj-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'Quaterly, Yearly'!$CA$7:$CF$8</c:f>
              <c:strCache>
                <c:ptCount val="6"/>
                <c:pt idx="0">
                  <c:v>2015</c:v>
                </c:pt>
                <c:pt idx="1">
                  <c:v>2016</c:v>
                </c:pt>
                <c:pt idx="2">
                  <c:v>2017</c:v>
                </c:pt>
                <c:pt idx="3">
                  <c:v>2018</c:v>
                </c:pt>
                <c:pt idx="4">
                  <c:v>2019</c:v>
                </c:pt>
                <c:pt idx="5">
                  <c:v>2020</c:v>
                </c:pt>
              </c:strCache>
            </c:strRef>
          </c:cat>
          <c:val>
            <c:numRef>
              <c:f>'Quaterly, Yearly'!$CA$79:$CF$79</c:f>
              <c:numCache>
                <c:formatCode>#,##0.00</c:formatCode>
                <c:ptCount val="6"/>
                <c:pt idx="0">
                  <c:v>-0.47061316203530046</c:v>
                </c:pt>
                <c:pt idx="1">
                  <c:v>1.7045650732845505</c:v>
                </c:pt>
                <c:pt idx="2">
                  <c:v>3.634771068549187</c:v>
                </c:pt>
                <c:pt idx="3">
                  <c:v>2.7475533250713307</c:v>
                </c:pt>
                <c:pt idx="4">
                  <c:v>1.792985143581004</c:v>
                </c:pt>
                <c:pt idx="5">
                  <c:v>-6.9</c:v>
                </c:pt>
              </c:numCache>
            </c:numRef>
          </c:val>
          <c:extLst>
            <c:ext xmlns:c16="http://schemas.microsoft.com/office/drawing/2014/chart" uri="{C3380CC4-5D6E-409C-BE32-E72D297353CC}">
              <c16:uniqueId val="{0000000E-7CE1-4E7E-AD7B-A2E464D055A6}"/>
            </c:ext>
          </c:extLst>
        </c:ser>
        <c:dLbls>
          <c:showLegendKey val="0"/>
          <c:showVal val="0"/>
          <c:showCatName val="0"/>
          <c:showSerName val="0"/>
          <c:showPercent val="0"/>
          <c:showBubbleSize val="0"/>
        </c:dLbls>
        <c:gapWidth val="105"/>
        <c:overlap val="-24"/>
        <c:axId val="244079488"/>
        <c:axId val="244075136"/>
      </c:barChart>
      <c:catAx>
        <c:axId val="244079488"/>
        <c:scaling>
          <c:orientation val="minMax"/>
        </c:scaling>
        <c:delete val="0"/>
        <c:axPos val="b"/>
        <c:numFmt formatCode="General" sourceLinked="1"/>
        <c:majorTickMark val="out"/>
        <c:minorTickMark val="none"/>
        <c:tickLblPos val="low"/>
        <c:spPr>
          <a:noFill/>
          <a:ln w="12700" cap="flat" cmpd="sng" algn="ctr">
            <a:noFill/>
            <a:prstDash val="sysDash"/>
            <a:round/>
          </a:ln>
          <a:effectLst/>
        </c:spPr>
        <c:txPr>
          <a:bodyPr rot="-60000000" spcFirstLastPara="1" vertOverflow="ellipsis" vert="horz" wrap="square" anchor="ctr" anchorCtr="1"/>
          <a:lstStyle/>
          <a:p>
            <a:pPr>
              <a:defRPr sz="800" b="0" i="0" u="none" strike="noStrike" kern="1200" baseline="0">
                <a:solidFill>
                  <a:srgbClr val="1F3864"/>
                </a:solidFill>
                <a:latin typeface="+mj-lt"/>
                <a:ea typeface="+mn-ea"/>
                <a:cs typeface="+mn-cs"/>
              </a:defRPr>
            </a:pPr>
            <a:endParaRPr lang="en-US"/>
          </a:p>
        </c:txPr>
        <c:crossAx val="244075136"/>
        <c:crosses val="autoZero"/>
        <c:auto val="1"/>
        <c:lblAlgn val="ctr"/>
        <c:lblOffset val="100"/>
        <c:noMultiLvlLbl val="0"/>
      </c:catAx>
      <c:valAx>
        <c:axId val="244075136"/>
        <c:scaling>
          <c:orientation val="minMax"/>
        </c:scaling>
        <c:delete val="1"/>
        <c:axPos val="l"/>
        <c:numFmt formatCode="#,##0" sourceLinked="0"/>
        <c:majorTickMark val="none"/>
        <c:minorTickMark val="none"/>
        <c:tickLblPos val="nextTo"/>
        <c:crossAx val="244079488"/>
        <c:crosses val="autoZero"/>
        <c:crossBetween val="between"/>
      </c:valAx>
      <c:spPr>
        <a:noFill/>
        <a:ln>
          <a:noFill/>
        </a:ln>
        <a:effectLst/>
      </c:spPr>
    </c:plotArea>
    <c:legend>
      <c:legendPos val="b"/>
      <c:layout>
        <c:manualLayout>
          <c:xMode val="edge"/>
          <c:yMode val="edge"/>
          <c:x val="0.10455755959566838"/>
          <c:y val="0.56266150275519355"/>
          <c:w val="0.58131317681399663"/>
          <c:h val="0.25306659452378577"/>
        </c:manualLayout>
      </c:layout>
      <c:overlay val="0"/>
      <c:spPr>
        <a:noFill/>
        <a:ln>
          <a:noFill/>
        </a:ln>
        <a:effectLst/>
      </c:spPr>
      <c:txPr>
        <a:bodyPr rot="0" spcFirstLastPara="1" vertOverflow="ellipsis" vert="horz" wrap="square" anchor="ctr" anchorCtr="1"/>
        <a:lstStyle/>
        <a:p>
          <a:pPr>
            <a:defRPr sz="700" b="0" i="0" u="none" strike="noStrike" kern="1200" baseline="0">
              <a:solidFill>
                <a:srgbClr val="44546A"/>
              </a:solidFill>
              <a:latin typeface="+mj-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en-US"/>
    </a:p>
  </c:tx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rtl="0">
              <a:defRPr sz="800" b="0" i="0" u="none" strike="noStrike" kern="1200" spc="0" baseline="0">
                <a:solidFill>
                  <a:srgbClr val="44546A"/>
                </a:solidFill>
                <a:latin typeface="+mn-lt"/>
                <a:ea typeface="+mn-ea"/>
                <a:cs typeface="+mn-cs"/>
              </a:defRPr>
            </a:pPr>
            <a:r>
              <a:rPr lang="en-US" sz="800" b="0" i="0" u="none" strike="noStrike" kern="1200" spc="0" baseline="0">
                <a:solidFill>
                  <a:srgbClr val="44546A"/>
                </a:solidFill>
                <a:latin typeface="+mn-lt"/>
                <a:ea typeface="+mn-ea"/>
                <a:cs typeface="+mn-cs"/>
              </a:rPr>
              <a:t>S0 </a:t>
            </a:r>
            <a:r>
              <a:rPr lang="sr-Cyrl-RS" sz="800" b="0" i="0" u="none" strike="noStrike" kern="1200" spc="0" baseline="0">
                <a:solidFill>
                  <a:srgbClr val="44546A"/>
                </a:solidFill>
                <a:latin typeface="+mn-lt"/>
                <a:ea typeface="+mn-ea"/>
                <a:cs typeface="+mn-cs"/>
              </a:rPr>
              <a:t>индикатор са фискалним подиндексом и подиндексом финансијске конкурентности за Србију за период 2015-201</a:t>
            </a:r>
            <a:r>
              <a:rPr lang="en-US" sz="800" b="0" i="0" u="none" strike="noStrike" kern="1200" spc="0" baseline="0">
                <a:solidFill>
                  <a:srgbClr val="44546A"/>
                </a:solidFill>
                <a:latin typeface="+mn-lt"/>
                <a:ea typeface="+mn-ea"/>
                <a:cs typeface="+mn-cs"/>
              </a:rPr>
              <a:t>9</a:t>
            </a:r>
            <a:r>
              <a:rPr lang="sr-Cyrl-RS" sz="800" b="0" i="0" u="none" strike="noStrike" kern="1200" spc="0" baseline="0">
                <a:solidFill>
                  <a:srgbClr val="44546A"/>
                </a:solidFill>
                <a:latin typeface="+mn-lt"/>
                <a:ea typeface="+mn-ea"/>
                <a:cs typeface="+mn-cs"/>
              </a:rPr>
              <a:t>. године </a:t>
            </a:r>
            <a:endParaRPr lang="en-US" sz="800" b="0" i="0" u="none" strike="noStrike" kern="1200" spc="0" baseline="0">
              <a:solidFill>
                <a:srgbClr val="44546A"/>
              </a:solidFill>
              <a:latin typeface="+mn-lt"/>
              <a:ea typeface="+mn-ea"/>
              <a:cs typeface="+mn-cs"/>
            </a:endParaRPr>
          </a:p>
        </c:rich>
      </c:tx>
      <c:layout>
        <c:manualLayout>
          <c:xMode val="edge"/>
          <c:yMode val="edge"/>
          <c:x val="0.10814122740566154"/>
          <c:y val="1.282051282051282E-2"/>
        </c:manualLayout>
      </c:layout>
      <c:overlay val="0"/>
      <c:spPr>
        <a:noFill/>
        <a:ln>
          <a:noFill/>
        </a:ln>
        <a:effectLst/>
      </c:spPr>
    </c:title>
    <c:autoTitleDeleted val="0"/>
    <c:plotArea>
      <c:layout>
        <c:manualLayout>
          <c:layoutTarget val="inner"/>
          <c:xMode val="edge"/>
          <c:yMode val="edge"/>
          <c:x val="6.3415222230767468E-2"/>
          <c:y val="8.6538461538461536E-2"/>
          <c:w val="0.89818784226795878"/>
          <c:h val="0.56116520290732885"/>
        </c:manualLayout>
      </c:layout>
      <c:barChart>
        <c:barDir val="col"/>
        <c:grouping val="clustered"/>
        <c:varyColors val="0"/>
        <c:ser>
          <c:idx val="0"/>
          <c:order val="0"/>
          <c:tx>
            <c:strRef>
              <c:f>'S0 EU Serbia'!$AC$39</c:f>
              <c:strCache>
                <c:ptCount val="1"/>
                <c:pt idx="0">
                  <c:v>Фискални подиндекс</c:v>
                </c:pt>
              </c:strCache>
            </c:strRef>
          </c:tx>
          <c:spPr>
            <a:solidFill>
              <a:srgbClr val="7030A0"/>
            </a:solidFill>
            <a:ln w="9525">
              <a:noFill/>
            </a:ln>
            <a:effectLst/>
          </c:spPr>
          <c:invertIfNegative val="0"/>
          <c:cat>
            <c:numRef>
              <c:f>'S0 EU Serbia'!$AB$41:$AB$48</c:f>
              <c:numCache>
                <c:formatCode>General</c:formatCode>
                <c:ptCount val="7"/>
                <c:pt idx="1">
                  <c:v>2015</c:v>
                </c:pt>
                <c:pt idx="2">
                  <c:v>2016</c:v>
                </c:pt>
                <c:pt idx="3">
                  <c:v>2017</c:v>
                </c:pt>
                <c:pt idx="4">
                  <c:v>2018</c:v>
                </c:pt>
                <c:pt idx="5">
                  <c:v>2019</c:v>
                </c:pt>
              </c:numCache>
            </c:numRef>
          </c:cat>
          <c:val>
            <c:numRef>
              <c:f>'S0 EU Serbia'!$AC$41:$AC$48</c:f>
              <c:numCache>
                <c:formatCode>0.00</c:formatCode>
                <c:ptCount val="7"/>
                <c:pt idx="1">
                  <c:v>0.40718562874251496</c:v>
                </c:pt>
                <c:pt idx="2">
                  <c:v>0.19161676646706588</c:v>
                </c:pt>
                <c:pt idx="3">
                  <c:v>0</c:v>
                </c:pt>
                <c:pt idx="4">
                  <c:v>0</c:v>
                </c:pt>
                <c:pt idx="5">
                  <c:v>0</c:v>
                </c:pt>
              </c:numCache>
            </c:numRef>
          </c:val>
          <c:extLst>
            <c:ext xmlns:c16="http://schemas.microsoft.com/office/drawing/2014/chart" uri="{C3380CC4-5D6E-409C-BE32-E72D297353CC}">
              <c16:uniqueId val="{00000000-38B7-426B-B5FC-872352BA1F2F}"/>
            </c:ext>
          </c:extLst>
        </c:ser>
        <c:ser>
          <c:idx val="1"/>
          <c:order val="1"/>
          <c:tx>
            <c:strRef>
              <c:f>'S0 EU Serbia'!$AD$39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Serbia'!$AB$41:$AB$48</c:f>
              <c:numCache>
                <c:formatCode>General</c:formatCode>
                <c:ptCount val="7"/>
                <c:pt idx="1">
                  <c:v>2015</c:v>
                </c:pt>
                <c:pt idx="2">
                  <c:v>2016</c:v>
                </c:pt>
                <c:pt idx="3">
                  <c:v>2017</c:v>
                </c:pt>
                <c:pt idx="4">
                  <c:v>2018</c:v>
                </c:pt>
                <c:pt idx="5">
                  <c:v>2019</c:v>
                </c:pt>
              </c:numCache>
            </c:numRef>
          </c:cat>
          <c:val>
            <c:numRef>
              <c:f>'S0 EU Serbia'!$AD$41:$AD$48</c:f>
              <c:numCache>
                <c:formatCode>0.00</c:formatCode>
                <c:ptCount val="7"/>
                <c:pt idx="1">
                  <c:v>0.27243589743589747</c:v>
                </c:pt>
                <c:pt idx="2">
                  <c:v>0.27243589743589747</c:v>
                </c:pt>
                <c:pt idx="3">
                  <c:v>0.27243589743589747</c:v>
                </c:pt>
                <c:pt idx="4">
                  <c:v>0.27243589743589747</c:v>
                </c:pt>
                <c:pt idx="5">
                  <c:v>0.27243589743589747</c:v>
                </c:pt>
              </c:numCache>
            </c:numRef>
          </c:val>
          <c:extLst>
            <c:ext xmlns:c16="http://schemas.microsoft.com/office/drawing/2014/chart" uri="{C3380CC4-5D6E-409C-BE32-E72D297353CC}">
              <c16:uniqueId val="{00000001-38B7-426B-B5FC-872352BA1F2F}"/>
            </c:ext>
          </c:extLst>
        </c:ser>
        <c:dLbls>
          <c:showLegendKey val="0"/>
          <c:showVal val="0"/>
          <c:showCatName val="0"/>
          <c:showSerName val="0"/>
          <c:showPercent val="0"/>
          <c:showBubbleSize val="0"/>
        </c:dLbls>
        <c:gapWidth val="150"/>
        <c:axId val="244092000"/>
        <c:axId val="244071328"/>
      </c:barChart>
      <c:lineChart>
        <c:grouping val="standard"/>
        <c:varyColors val="0"/>
        <c:ser>
          <c:idx val="2"/>
          <c:order val="2"/>
          <c:tx>
            <c:strRef>
              <c:f>'S0 EU Serbia'!$AE$39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bubble3D val="0"/>
            <c:spPr>
              <a:ln w="12700" cap="rnd">
                <a:noFill/>
                <a:prstDash val="solid"/>
                <a:round/>
              </a:ln>
              <a:effectLst/>
            </c:spPr>
            <c:extLst>
              <c:ext xmlns:c16="http://schemas.microsoft.com/office/drawing/2014/chart" uri="{C3380CC4-5D6E-409C-BE32-E72D297353CC}">
                <c16:uniqueId val="{00000003-38B7-426B-B5FC-872352BA1F2F}"/>
              </c:ext>
            </c:extLst>
          </c:dPt>
          <c:dPt>
            <c:idx val="1"/>
            <c:bubble3D val="0"/>
            <c:spPr>
              <a:ln w="12700" cap="rnd">
                <a:noFill/>
                <a:prstDash val="solid"/>
                <a:round/>
              </a:ln>
              <a:effectLst/>
            </c:spPr>
            <c:extLst>
              <c:ext xmlns:c16="http://schemas.microsoft.com/office/drawing/2014/chart" uri="{C3380CC4-5D6E-409C-BE32-E72D297353CC}">
                <c16:uniqueId val="{00000005-38B7-426B-B5FC-872352BA1F2F}"/>
              </c:ext>
            </c:extLst>
          </c:dPt>
          <c:dPt>
            <c:idx val="2"/>
            <c:bubble3D val="0"/>
            <c:spPr>
              <a:ln w="12700" cap="rnd">
                <a:noFill/>
                <a:prstDash val="solid"/>
                <a:round/>
              </a:ln>
              <a:effectLst/>
            </c:spPr>
            <c:extLst>
              <c:ext xmlns:c16="http://schemas.microsoft.com/office/drawing/2014/chart" uri="{C3380CC4-5D6E-409C-BE32-E72D297353CC}">
                <c16:uniqueId val="{00000007-38B7-426B-B5FC-872352BA1F2F}"/>
              </c:ext>
            </c:extLst>
          </c:dPt>
          <c:cat>
            <c:numRef>
              <c:f>'S0 EU Serbia'!$AB$41:$AB$48</c:f>
              <c:numCache>
                <c:formatCode>General</c:formatCode>
                <c:ptCount val="7"/>
                <c:pt idx="1">
                  <c:v>2015</c:v>
                </c:pt>
                <c:pt idx="2">
                  <c:v>2016</c:v>
                </c:pt>
                <c:pt idx="3">
                  <c:v>2017</c:v>
                </c:pt>
                <c:pt idx="4">
                  <c:v>2018</c:v>
                </c:pt>
                <c:pt idx="5">
                  <c:v>2019</c:v>
                </c:pt>
              </c:numCache>
            </c:numRef>
          </c:cat>
          <c:val>
            <c:numRef>
              <c:f>'S0 EU Serbia'!$AE$41:$AE$48</c:f>
              <c:numCache>
                <c:formatCode>0.00</c:formatCode>
                <c:ptCount val="7"/>
                <c:pt idx="1">
                  <c:v>0.31941544885177453</c:v>
                </c:pt>
                <c:pt idx="2">
                  <c:v>0.24425887265135704</c:v>
                </c:pt>
                <c:pt idx="3">
                  <c:v>0.17745302713987476</c:v>
                </c:pt>
                <c:pt idx="4">
                  <c:v>0.17745302713987476</c:v>
                </c:pt>
                <c:pt idx="5">
                  <c:v>0.17745302713987476</c:v>
                </c:pt>
              </c:numCache>
            </c:numRef>
          </c:val>
          <c:smooth val="0"/>
          <c:extLst>
            <c:ext xmlns:c16="http://schemas.microsoft.com/office/drawing/2014/chart" uri="{C3380CC4-5D6E-409C-BE32-E72D297353CC}">
              <c16:uniqueId val="{00000008-38B7-426B-B5FC-872352BA1F2F}"/>
            </c:ext>
          </c:extLst>
        </c:ser>
        <c:ser>
          <c:idx val="3"/>
          <c:order val="3"/>
          <c:tx>
            <c:strRef>
              <c:f>'S0 EU Serbia'!$AF$39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Serbia'!$AB$41:$AB$48</c:f>
              <c:numCache>
                <c:formatCode>General</c:formatCode>
                <c:ptCount val="7"/>
                <c:pt idx="1">
                  <c:v>2015</c:v>
                </c:pt>
                <c:pt idx="2">
                  <c:v>2016</c:v>
                </c:pt>
                <c:pt idx="3">
                  <c:v>2017</c:v>
                </c:pt>
                <c:pt idx="4">
                  <c:v>2018</c:v>
                </c:pt>
                <c:pt idx="5">
                  <c:v>2019</c:v>
                </c:pt>
              </c:numCache>
            </c:numRef>
          </c:cat>
          <c:val>
            <c:numRef>
              <c:f>'S0 EU Serbia'!$AF$41:$AF$48</c:f>
              <c:numCache>
                <c:formatCode>General</c:formatCode>
                <c:ptCount val="7"/>
                <c:pt idx="0">
                  <c:v>0.36</c:v>
                </c:pt>
                <c:pt idx="1">
                  <c:v>0.36</c:v>
                </c:pt>
                <c:pt idx="2">
                  <c:v>0.36</c:v>
                </c:pt>
                <c:pt idx="3">
                  <c:v>0.36</c:v>
                </c:pt>
                <c:pt idx="4">
                  <c:v>0.36</c:v>
                </c:pt>
                <c:pt idx="5">
                  <c:v>0.36</c:v>
                </c:pt>
                <c:pt idx="6">
                  <c:v>0.36</c:v>
                </c:pt>
              </c:numCache>
            </c:numRef>
          </c:val>
          <c:smooth val="0"/>
          <c:extLst>
            <c:ext xmlns:c16="http://schemas.microsoft.com/office/drawing/2014/chart" uri="{C3380CC4-5D6E-409C-BE32-E72D297353CC}">
              <c16:uniqueId val="{00000009-38B7-426B-B5FC-872352BA1F2F}"/>
            </c:ext>
          </c:extLst>
        </c:ser>
        <c:ser>
          <c:idx val="4"/>
          <c:order val="4"/>
          <c:tx>
            <c:strRef>
              <c:f>'S0 EU Serbia'!$AG$39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Serbia'!$AB$41:$AB$48</c:f>
              <c:numCache>
                <c:formatCode>General</c:formatCode>
                <c:ptCount val="7"/>
                <c:pt idx="1">
                  <c:v>2015</c:v>
                </c:pt>
                <c:pt idx="2">
                  <c:v>2016</c:v>
                </c:pt>
                <c:pt idx="3">
                  <c:v>2017</c:v>
                </c:pt>
                <c:pt idx="4">
                  <c:v>2018</c:v>
                </c:pt>
                <c:pt idx="5">
                  <c:v>2019</c:v>
                </c:pt>
              </c:numCache>
            </c:numRef>
          </c:cat>
          <c:val>
            <c:numRef>
              <c:f>'S0 EU Serbia'!$AG$41:$AG$48</c:f>
              <c:numCache>
                <c:formatCode>General</c:formatCode>
                <c:ptCount val="7"/>
                <c:pt idx="0">
                  <c:v>0.49</c:v>
                </c:pt>
                <c:pt idx="1">
                  <c:v>0.49</c:v>
                </c:pt>
                <c:pt idx="2">
                  <c:v>0.49</c:v>
                </c:pt>
                <c:pt idx="3">
                  <c:v>0.49</c:v>
                </c:pt>
                <c:pt idx="4">
                  <c:v>0.49</c:v>
                </c:pt>
                <c:pt idx="5">
                  <c:v>0.49</c:v>
                </c:pt>
                <c:pt idx="6">
                  <c:v>0.49</c:v>
                </c:pt>
              </c:numCache>
            </c:numRef>
          </c:val>
          <c:smooth val="0"/>
          <c:extLst>
            <c:ext xmlns:c16="http://schemas.microsoft.com/office/drawing/2014/chart" uri="{C3380CC4-5D6E-409C-BE32-E72D297353CC}">
              <c16:uniqueId val="{0000000A-38B7-426B-B5FC-872352BA1F2F}"/>
            </c:ext>
          </c:extLst>
        </c:ser>
        <c:ser>
          <c:idx val="5"/>
          <c:order val="5"/>
          <c:tx>
            <c:strRef>
              <c:f>'S0 EU Serbia'!$AH$39</c:f>
              <c:strCache>
                <c:ptCount val="1"/>
                <c:pt idx="0">
                  <c:v>S0 праг</c:v>
                </c:pt>
              </c:strCache>
            </c:strRef>
          </c:tx>
          <c:spPr>
            <a:ln w="22225" cap="rnd">
              <a:solidFill>
                <a:schemeClr val="tx1"/>
              </a:solidFill>
              <a:prstDash val="dash"/>
              <a:round/>
            </a:ln>
            <a:effectLst/>
          </c:spPr>
          <c:marker>
            <c:symbol val="none"/>
          </c:marker>
          <c:cat>
            <c:numRef>
              <c:f>'S0 EU Serbia'!$AB$41:$AB$48</c:f>
              <c:numCache>
                <c:formatCode>General</c:formatCode>
                <c:ptCount val="7"/>
                <c:pt idx="1">
                  <c:v>2015</c:v>
                </c:pt>
                <c:pt idx="2">
                  <c:v>2016</c:v>
                </c:pt>
                <c:pt idx="3">
                  <c:v>2017</c:v>
                </c:pt>
                <c:pt idx="4">
                  <c:v>2018</c:v>
                </c:pt>
                <c:pt idx="5">
                  <c:v>2019</c:v>
                </c:pt>
              </c:numCache>
            </c:numRef>
          </c:cat>
          <c:val>
            <c:numRef>
              <c:f>'S0 EU Serbia'!$AH$41:$AH$48</c:f>
              <c:numCache>
                <c:formatCode>General</c:formatCode>
                <c:ptCount val="7"/>
                <c:pt idx="0">
                  <c:v>0.46</c:v>
                </c:pt>
                <c:pt idx="1">
                  <c:v>0.46</c:v>
                </c:pt>
                <c:pt idx="2">
                  <c:v>0.46</c:v>
                </c:pt>
                <c:pt idx="3">
                  <c:v>0.46</c:v>
                </c:pt>
                <c:pt idx="4">
                  <c:v>0.46</c:v>
                </c:pt>
                <c:pt idx="5">
                  <c:v>0.46</c:v>
                </c:pt>
                <c:pt idx="6">
                  <c:v>0.46</c:v>
                </c:pt>
              </c:numCache>
            </c:numRef>
          </c:val>
          <c:smooth val="0"/>
          <c:extLst>
            <c:ext xmlns:c16="http://schemas.microsoft.com/office/drawing/2014/chart" uri="{C3380CC4-5D6E-409C-BE32-E72D297353CC}">
              <c16:uniqueId val="{0000000B-38B7-426B-B5FC-872352BA1F2F}"/>
            </c:ext>
          </c:extLst>
        </c:ser>
        <c:dLbls>
          <c:showLegendKey val="0"/>
          <c:showVal val="0"/>
          <c:showCatName val="0"/>
          <c:showSerName val="0"/>
          <c:showPercent val="0"/>
          <c:showBubbleSize val="0"/>
        </c:dLbls>
        <c:marker val="1"/>
        <c:smooth val="0"/>
        <c:axId val="244092000"/>
        <c:axId val="244071328"/>
      </c:lineChart>
      <c:catAx>
        <c:axId val="244092000"/>
        <c:scaling>
          <c:orientation val="minMax"/>
        </c:scaling>
        <c:delete val="0"/>
        <c:axPos val="b"/>
        <c:numFmt formatCode="General" sourceLinked="1"/>
        <c:majorTickMark val="none"/>
        <c:minorTickMark val="none"/>
        <c:tickLblPos val="nextTo"/>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244071328"/>
        <c:crosses val="autoZero"/>
        <c:auto val="1"/>
        <c:lblAlgn val="ctr"/>
        <c:lblOffset val="100"/>
        <c:noMultiLvlLbl val="0"/>
      </c:catAx>
      <c:valAx>
        <c:axId val="244071328"/>
        <c:scaling>
          <c:orientation val="minMax"/>
          <c:max val="0.70000000000000007"/>
          <c:min val="-0.1"/>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244092000"/>
        <c:crossesAt val="1"/>
        <c:crossBetween val="between"/>
        <c:majorUnit val="0.2"/>
      </c:valAx>
      <c:spPr>
        <a:noFill/>
        <a:ln>
          <a:noFill/>
        </a:ln>
        <a:effectLst/>
      </c:spPr>
    </c:plotArea>
    <c:legend>
      <c:legendPos val="b"/>
      <c:layout>
        <c:manualLayout>
          <c:xMode val="edge"/>
          <c:yMode val="edge"/>
          <c:x val="2.930789712720251E-4"/>
          <c:y val="0.70762012921461737"/>
          <c:w val="0.99970692102872794"/>
          <c:h val="0.26440616797900257"/>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494301632152015E-2"/>
          <c:y val="7.3917017864238391E-2"/>
          <c:w val="0.87254091275577284"/>
          <c:h val="0.79739132070856733"/>
        </c:manualLayout>
      </c:layout>
      <c:scatterChart>
        <c:scatterStyle val="lineMarker"/>
        <c:varyColors val="0"/>
        <c:ser>
          <c:idx val="0"/>
          <c:order val="0"/>
          <c:spPr>
            <a:ln w="28575" cap="rnd">
              <a:noFill/>
              <a:round/>
            </a:ln>
            <a:effectLst/>
          </c:spPr>
          <c:marker>
            <c:symbol val="circle"/>
            <c:size val="5"/>
            <c:spPr>
              <a:solidFill>
                <a:srgbClr val="5297AC"/>
              </a:solidFill>
              <a:ln w="9525">
                <a:noFill/>
              </a:ln>
              <a:effectLst/>
            </c:spPr>
          </c:marker>
          <c:dLbls>
            <c:dLbl>
              <c:idx val="0"/>
              <c:layout>
                <c:manualLayout>
                  <c:x val="2.0661758686932548E-2"/>
                  <c:y val="2.8564081819520202E-3"/>
                </c:manualLayout>
              </c:layout>
              <c:tx>
                <c:rich>
                  <a:bodyPr/>
                  <a:lstStyle/>
                  <a:p>
                    <a:fld id="{4ACEA1EF-C56E-442F-9854-3FA80A458663}"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6227-475E-86CD-719DBAB209D1}"/>
                </c:ext>
              </c:extLst>
            </c:dLbl>
            <c:dLbl>
              <c:idx val="1"/>
              <c:layout>
                <c:manualLayout>
                  <c:x val="1.106986947142093E-2"/>
                  <c:y val="-2.3532124541144159E-2"/>
                </c:manualLayout>
              </c:layout>
              <c:tx>
                <c:rich>
                  <a:bodyPr/>
                  <a:lstStyle/>
                  <a:p>
                    <a:fld id="{A837E5BD-9957-4555-B415-71E751E5A26E}"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6227-475E-86CD-719DBAB209D1}"/>
                </c:ext>
              </c:extLst>
            </c:dLbl>
            <c:dLbl>
              <c:idx val="2"/>
              <c:layout>
                <c:manualLayout>
                  <c:x val="8.8476000884760014E-3"/>
                  <c:y val="3.9824771007565974E-3"/>
                </c:manualLayout>
              </c:layout>
              <c:tx>
                <c:rich>
                  <a:bodyPr/>
                  <a:lstStyle/>
                  <a:p>
                    <a:fld id="{35FCBD5F-7D3A-4312-B0CD-87274500870A}"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3E71-4F15-8DF2-E2220E12F50D}"/>
                </c:ext>
              </c:extLst>
            </c:dLbl>
            <c:dLbl>
              <c:idx val="3"/>
              <c:layout>
                <c:manualLayout>
                  <c:x val="2.6186283781547876E-2"/>
                  <c:y val="-1.3194228857593518E-2"/>
                </c:manualLayout>
              </c:layout>
              <c:tx>
                <c:rich>
                  <a:bodyPr/>
                  <a:lstStyle/>
                  <a:p>
                    <a:fld id="{4665AC31-0724-4464-B1AE-9D04A480DCA2}"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6227-475E-86CD-719DBAB209D1}"/>
                </c:ext>
              </c:extLst>
            </c:dLbl>
            <c:dLbl>
              <c:idx val="4"/>
              <c:layout>
                <c:manualLayout>
                  <c:x val="5.5349347357104986E-3"/>
                  <c:y val="-2.3532124541144159E-2"/>
                </c:manualLayout>
              </c:layout>
              <c:tx>
                <c:rich>
                  <a:bodyPr/>
                  <a:lstStyle/>
                  <a:p>
                    <a:fld id="{6E0ACB84-1D71-47F3-8C77-05EC3F331D19}"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6227-475E-86CD-719DBAB209D1}"/>
                </c:ext>
              </c:extLst>
            </c:dLbl>
            <c:dLbl>
              <c:idx val="5"/>
              <c:layout>
                <c:manualLayout>
                  <c:x val="1.4759825961894594E-2"/>
                  <c:y val="-7.8440415137147196E-3"/>
                </c:manualLayout>
              </c:layout>
              <c:tx>
                <c:rich>
                  <a:bodyPr/>
                  <a:lstStyle/>
                  <a:p>
                    <a:fld id="{2FB8FAB8-034B-403C-B869-81BF29664FFB}"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6227-475E-86CD-719DBAB209D1}"/>
                </c:ext>
              </c:extLst>
            </c:dLbl>
            <c:dLbl>
              <c:idx val="6"/>
              <c:layout>
                <c:manualLayout>
                  <c:x val="3.3576468170410351E-2"/>
                  <c:y val="1.1947431302270013E-2"/>
                </c:manualLayout>
              </c:layout>
              <c:tx>
                <c:rich>
                  <a:bodyPr/>
                  <a:lstStyle/>
                  <a:p>
                    <a:fld id="{72C79839-7602-4AC0-A9A7-A720BD88230C}"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6227-475E-86CD-719DBAB209D1}"/>
                </c:ext>
              </c:extLst>
            </c:dLbl>
            <c:dLbl>
              <c:idx val="7"/>
              <c:layout>
                <c:manualLayout>
                  <c:x val="3.0997775908402955E-2"/>
                  <c:y val="-4.3452901720618985E-3"/>
                </c:manualLayout>
              </c:layout>
              <c:tx>
                <c:rich>
                  <a:bodyPr/>
                  <a:lstStyle/>
                  <a:p>
                    <a:fld id="{C8E03C83-FC6A-4CB9-9853-BD68B6D0D567}"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6227-475E-86CD-719DBAB209D1}"/>
                </c:ext>
              </c:extLst>
            </c:dLbl>
            <c:dLbl>
              <c:idx val="8"/>
              <c:layout>
                <c:manualLayout>
                  <c:x val="3.0641085259166759E-2"/>
                  <c:y val="-8.8492522664057674E-3"/>
                </c:manualLayout>
              </c:layout>
              <c:tx>
                <c:rich>
                  <a:bodyPr/>
                  <a:lstStyle/>
                  <a:p>
                    <a:fld id="{A29023F1-1613-4F31-8DA8-3F2B66BB9BB7}"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6227-475E-86CD-719DBAB209D1}"/>
                </c:ext>
              </c:extLst>
            </c:dLbl>
            <c:dLbl>
              <c:idx val="9"/>
              <c:layout>
                <c:manualLayout>
                  <c:x val="5.5349750159796717E-3"/>
                  <c:y val="2.3773820387146948E-2"/>
                </c:manualLayout>
              </c:layout>
              <c:tx>
                <c:rich>
                  <a:bodyPr/>
                  <a:lstStyle/>
                  <a:p>
                    <a:fld id="{4B810131-030A-4BB6-8137-363C3524F92C}"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6227-475E-86CD-719DBAB209D1}"/>
                </c:ext>
              </c:extLst>
            </c:dLbl>
            <c:dLbl>
              <c:idx val="10"/>
              <c:layout>
                <c:manualLayout>
                  <c:x val="-1.0904492943690598E-3"/>
                  <c:y val="9.5745648281420018E-3"/>
                </c:manualLayout>
              </c:layout>
              <c:tx>
                <c:rich>
                  <a:bodyPr/>
                  <a:lstStyle/>
                  <a:p>
                    <a:fld id="{F1B82CD9-815E-458C-AE51-8B57CEE3EAAB}"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227-475E-86CD-719DBAB209D1}"/>
                </c:ext>
              </c:extLst>
            </c:dLbl>
            <c:dLbl>
              <c:idx val="11"/>
              <c:layout>
                <c:manualLayout>
                  <c:x val="3.6899564904737331E-3"/>
                  <c:y val="-1.3073402522857866E-2"/>
                </c:manualLayout>
              </c:layout>
              <c:tx>
                <c:rich>
                  <a:bodyPr/>
                  <a:lstStyle/>
                  <a:p>
                    <a:fld id="{4D1211E5-7091-409E-AE2C-E90125696EAF}"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6227-475E-86CD-719DBAB209D1}"/>
                </c:ext>
              </c:extLst>
            </c:dLbl>
            <c:dLbl>
              <c:idx val="12"/>
              <c:layout>
                <c:manualLayout>
                  <c:x val="6.2791835824768756E-3"/>
                  <c:y val="6.3356820540801578E-2"/>
                </c:manualLayout>
              </c:layout>
              <c:tx>
                <c:rich>
                  <a:bodyPr/>
                  <a:lstStyle/>
                  <a:p>
                    <a:fld id="{AAFF9D4E-BEDB-4999-90B4-3C3722328F9E}"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6227-475E-86CD-719DBAB209D1}"/>
                </c:ext>
              </c:extLst>
            </c:dLbl>
            <c:dLbl>
              <c:idx val="13"/>
              <c:layout>
                <c:manualLayout>
                  <c:x val="2.5891421833717366E-3"/>
                  <c:y val="3.696836282561454E-2"/>
                </c:manualLayout>
              </c:layout>
              <c:tx>
                <c:rich>
                  <a:bodyPr/>
                  <a:lstStyle/>
                  <a:p>
                    <a:fld id="{09B728E1-A590-4125-A952-1126674859FB}"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227-475E-86CD-719DBAB209D1}"/>
                </c:ext>
              </c:extLst>
            </c:dLbl>
            <c:dLbl>
              <c:idx val="14"/>
              <c:layout>
                <c:manualLayout>
                  <c:x val="4.2434499640447119E-2"/>
                  <c:y val="7.8440415137146242E-3"/>
                </c:manualLayout>
              </c:layout>
              <c:tx>
                <c:rich>
                  <a:bodyPr/>
                  <a:lstStyle/>
                  <a:p>
                    <a:fld id="{4AFAC294-0140-4467-BCD6-F8260F27994A}"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6227-475E-86CD-719DBAB209D1}"/>
                </c:ext>
              </c:extLst>
            </c:dLbl>
            <c:dLbl>
              <c:idx val="15"/>
              <c:layout>
                <c:manualLayout>
                  <c:x val="2.0651308765568206E-2"/>
                  <c:y val="-5.7644004176897246E-2"/>
                </c:manualLayout>
              </c:layout>
              <c:tx>
                <c:rich>
                  <a:bodyPr/>
                  <a:lstStyle/>
                  <a:p>
                    <a:fld id="{1F948178-5C10-4549-9887-80C01E534525}"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6227-475E-86CD-719DBAB209D1}"/>
                </c:ext>
              </c:extLst>
            </c:dLbl>
            <c:dLbl>
              <c:idx val="16"/>
              <c:layout>
                <c:manualLayout>
                  <c:x val="4.4656693958377944E-2"/>
                  <c:y val="2.7635568851384615E-2"/>
                </c:manualLayout>
              </c:layout>
              <c:tx>
                <c:rich>
                  <a:bodyPr/>
                  <a:lstStyle/>
                  <a:p>
                    <a:fld id="{EB26DDFB-BCE4-4D5A-A60F-4DFC660F4B15}"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6227-475E-86CD-719DBAB209D1}"/>
                </c:ext>
              </c:extLst>
            </c:dLbl>
            <c:dLbl>
              <c:idx val="17"/>
              <c:layout>
                <c:manualLayout>
                  <c:x val="1.1069950031959343E-2"/>
                  <c:y val="2.6751270786492191E-2"/>
                </c:manualLayout>
              </c:layout>
              <c:tx>
                <c:rich>
                  <a:bodyPr/>
                  <a:lstStyle/>
                  <a:p>
                    <a:fld id="{363EE970-0F2A-4319-A44B-BFDB607CA6E8}"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6227-475E-86CD-719DBAB209D1}"/>
                </c:ext>
              </c:extLst>
            </c:dLbl>
            <c:dLbl>
              <c:idx val="18"/>
              <c:layout>
                <c:manualLayout>
                  <c:x val="1.1488643547957301E-2"/>
                  <c:y val="5.3903297930052579E-2"/>
                </c:manualLayout>
              </c:layout>
              <c:tx>
                <c:rich>
                  <a:bodyPr/>
                  <a:lstStyle/>
                  <a:p>
                    <a:fld id="{768E7755-E092-4984-A5F1-457783DC3B12}"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6227-475E-86CD-719DBAB209D1}"/>
                </c:ext>
              </c:extLst>
            </c:dLbl>
            <c:dLbl>
              <c:idx val="19"/>
              <c:layout>
                <c:manualLayout>
                  <c:x val="0.10992341949293498"/>
                  <c:y val="-4.3202664183106143E-2"/>
                </c:manualLayout>
              </c:layout>
              <c:tx>
                <c:rich>
                  <a:bodyPr/>
                  <a:lstStyle/>
                  <a:p>
                    <a:fld id="{18B2FDED-37B2-447C-AA37-9D68D6B7D62A}"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6227-475E-86CD-719DBAB209D1}"/>
                </c:ext>
              </c:extLst>
            </c:dLbl>
            <c:dLbl>
              <c:idx val="20"/>
              <c:layout>
                <c:manualLayout>
                  <c:x val="-3.5757366759148472E-2"/>
                  <c:y val="-5.6880748329397969E-2"/>
                </c:manualLayout>
              </c:layout>
              <c:tx>
                <c:rich>
                  <a:bodyPr/>
                  <a:lstStyle/>
                  <a:p>
                    <a:fld id="{86D44CCF-A6D5-425E-9A3A-2FB20E267F47}"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6227-475E-86CD-719DBAB209D1}"/>
                </c:ext>
              </c:extLst>
            </c:dLbl>
            <c:dLbl>
              <c:idx val="21"/>
              <c:layout>
                <c:manualLayout>
                  <c:x val="1.106986947142093E-2"/>
                  <c:y val="7.8440415137146727E-3"/>
                </c:manualLayout>
              </c:layout>
              <c:tx>
                <c:rich>
                  <a:bodyPr/>
                  <a:lstStyle/>
                  <a:p>
                    <a:fld id="{2B9EA198-1C1A-4385-B4F3-954A649CBAA1}"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6227-475E-86CD-719DBAB209D1}"/>
                </c:ext>
              </c:extLst>
            </c:dLbl>
            <c:dLbl>
              <c:idx val="22"/>
              <c:layout>
                <c:manualLayout>
                  <c:x val="2.9917602370042165E-2"/>
                  <c:y val="-6.5366873943624434E-2"/>
                </c:manualLayout>
              </c:layout>
              <c:tx>
                <c:rich>
                  <a:bodyPr/>
                  <a:lstStyle/>
                  <a:p>
                    <a:fld id="{60BC3682-9039-464E-8F5D-D0562D773F5B}"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6227-475E-86CD-719DBAB209D1}"/>
                </c:ext>
              </c:extLst>
            </c:dLbl>
            <c:dLbl>
              <c:idx val="23"/>
              <c:layout>
                <c:manualLayout>
                  <c:x val="7.7468750380986712E-3"/>
                  <c:y val="5.6759706112004669E-2"/>
                </c:manualLayout>
              </c:layout>
              <c:tx>
                <c:rich>
                  <a:bodyPr/>
                  <a:lstStyle/>
                  <a:p>
                    <a:fld id="{AC2CDF98-5F46-4C85-9D1B-9897DB8360F3}"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6227-475E-86CD-719DBAB209D1}"/>
                </c:ext>
              </c:extLst>
            </c:dLbl>
            <c:dLbl>
              <c:idx val="24"/>
              <c:layout>
                <c:manualLayout>
                  <c:x val="0"/>
                  <c:y val="-2.3532124541144256E-2"/>
                </c:manualLayout>
              </c:layout>
              <c:tx>
                <c:rich>
                  <a:bodyPr/>
                  <a:lstStyle/>
                  <a:p>
                    <a:fld id="{1333684D-A2B4-4C0C-A05C-82365D721401}"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6227-475E-86CD-719DBAB209D1}"/>
                </c:ext>
              </c:extLst>
            </c:dLbl>
            <c:dLbl>
              <c:idx val="25"/>
              <c:layout>
                <c:manualLayout>
                  <c:x val="8.4093652195267196E-2"/>
                  <c:y val="-4.4449461738429646E-2"/>
                </c:manualLayout>
              </c:layout>
              <c:tx>
                <c:rich>
                  <a:bodyPr/>
                  <a:lstStyle/>
                  <a:p>
                    <a:fld id="{89A2AD34-762D-4F45-9F47-8382803E9679}"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6227-475E-86CD-719DBAB209D1}"/>
                </c:ext>
              </c:extLst>
            </c:dLbl>
            <c:dLbl>
              <c:idx val="26"/>
              <c:layout>
                <c:manualLayout>
                  <c:x val="5.1575586893708621E-3"/>
                  <c:y val="5.1167618384619411E-2"/>
                </c:manualLayout>
              </c:layout>
              <c:tx>
                <c:rich>
                  <a:bodyPr/>
                  <a:lstStyle/>
                  <a:p>
                    <a:fld id="{AA6BB0D3-2811-422C-972E-E93C1447A122}" type="CELLRANGE">
                      <a:rPr lang="sr-Cyrl-R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6227-475E-86CD-719DBAB209D1}"/>
                </c:ext>
              </c:extLst>
            </c:dLbl>
            <c:dLbl>
              <c:idx val="27"/>
              <c:layout>
                <c:manualLayout>
                  <c:x val="4.5349088331443618E-2"/>
                  <c:y val="6.0863225430154488E-2"/>
                </c:manualLayout>
              </c:layout>
              <c:tx>
                <c:rich>
                  <a:bodyPr rot="0" spcFirstLastPara="1" vertOverflow="ellipsis" vert="horz" wrap="square" lIns="38100" tIns="19050" rIns="38100" bIns="19050" anchor="ctr" anchorCtr="1">
                    <a:noAutofit/>
                  </a:bodyPr>
                  <a:lstStyle/>
                  <a:p>
                    <a:pPr>
                      <a:defRPr sz="750" b="0" i="0" u="none" strike="noStrike" kern="1200" baseline="0">
                        <a:solidFill>
                          <a:srgbClr val="44546A"/>
                        </a:solidFill>
                        <a:latin typeface="+mn-lt"/>
                        <a:ea typeface="+mn-ea"/>
                        <a:cs typeface="+mn-cs"/>
                      </a:defRPr>
                    </a:pPr>
                    <a:fld id="{1020C57F-6356-4E01-B0A1-28BBCC7D26C8}" type="CELLRANGE">
                      <a:rPr lang="sr-Cyrl-RS">
                        <a:solidFill>
                          <a:srgbClr val="44546A"/>
                        </a:solidFill>
                      </a:rPr>
                      <a:pPr>
                        <a:defRPr sz="750" b="0" i="0" u="none" strike="noStrike" kern="1200" baseline="0">
                          <a:solidFill>
                            <a:srgbClr val="44546A"/>
                          </a:solidFill>
                          <a:latin typeface="+mn-lt"/>
                          <a:ea typeface="+mn-ea"/>
                          <a:cs typeface="+mn-cs"/>
                        </a:defRPr>
                      </a:pPr>
                      <a:t>[CELLRANGE]</a:t>
                    </a:fld>
                    <a:endParaRPr lang="en-US"/>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17344622731713941"/>
                      <c:h val="6.433707435316105E-2"/>
                    </c:manualLayout>
                  </c15:layout>
                  <c15:dlblFieldTable/>
                  <c15:showDataLabelsRange val="1"/>
                </c:ext>
                <c:ext xmlns:c16="http://schemas.microsoft.com/office/drawing/2014/chart" uri="{C3380CC4-5D6E-409C-BE32-E72D297353CC}">
                  <c16:uniqueId val="{0000001B-6227-475E-86CD-719DBAB209D1}"/>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397-47F5-9B9C-7C50D7E82131}"/>
                </c:ext>
              </c:extLst>
            </c:dLbl>
            <c:dLbl>
              <c:idx val="2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69A-4D62-9429-03142DE439C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rgbClr val="44546A"/>
                    </a:solidFill>
                    <a:latin typeface="+mn-lt"/>
                    <a:ea typeface="+mn-ea"/>
                    <a:cs typeface="+mn-cs"/>
                  </a:defRPr>
                </a:pPr>
                <a:endParaRPr lang="en-U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rgbClr val="44546A"/>
                      </a:solidFill>
                      <a:round/>
                    </a:ln>
                    <a:effectLst/>
                  </c:spPr>
                </c15:leaderLines>
              </c:ext>
            </c:extLst>
          </c:dLbls>
          <c:xVal>
            <c:numRef>
              <c:f>'2019'!$D$4:$D$33</c:f>
              <c:numCache>
                <c:formatCode>0.00</c:formatCode>
                <c:ptCount val="30"/>
                <c:pt idx="0">
                  <c:v>7.0000000000000007E-2</c:v>
                </c:pt>
                <c:pt idx="1">
                  <c:v>0.27</c:v>
                </c:pt>
                <c:pt idx="2">
                  <c:v>0</c:v>
                </c:pt>
                <c:pt idx="3">
                  <c:v>0</c:v>
                </c:pt>
                <c:pt idx="4">
                  <c:v>0.19</c:v>
                </c:pt>
                <c:pt idx="5">
                  <c:v>0.23</c:v>
                </c:pt>
                <c:pt idx="6">
                  <c:v>0</c:v>
                </c:pt>
                <c:pt idx="7">
                  <c:v>0.09</c:v>
                </c:pt>
                <c:pt idx="8">
                  <c:v>0.08</c:v>
                </c:pt>
                <c:pt idx="9">
                  <c:v>0.56999999999999995</c:v>
                </c:pt>
                <c:pt idx="10">
                  <c:v>0</c:v>
                </c:pt>
                <c:pt idx="11">
                  <c:v>0.41</c:v>
                </c:pt>
                <c:pt idx="12">
                  <c:v>0</c:v>
                </c:pt>
                <c:pt idx="13">
                  <c:v>0.52</c:v>
                </c:pt>
                <c:pt idx="14">
                  <c:v>0.08</c:v>
                </c:pt>
                <c:pt idx="15">
                  <c:v>0</c:v>
                </c:pt>
                <c:pt idx="16">
                  <c:v>0</c:v>
                </c:pt>
                <c:pt idx="17">
                  <c:v>0.04</c:v>
                </c:pt>
                <c:pt idx="18">
                  <c:v>0</c:v>
                </c:pt>
                <c:pt idx="19">
                  <c:v>0</c:v>
                </c:pt>
                <c:pt idx="20">
                  <c:v>0.31</c:v>
                </c:pt>
                <c:pt idx="21">
                  <c:v>0.26</c:v>
                </c:pt>
                <c:pt idx="22">
                  <c:v>0</c:v>
                </c:pt>
                <c:pt idx="23">
                  <c:v>0</c:v>
                </c:pt>
                <c:pt idx="24">
                  <c:v>0.56999999999999995</c:v>
                </c:pt>
                <c:pt idx="25">
                  <c:v>0</c:v>
                </c:pt>
                <c:pt idx="26">
                  <c:v>0.39</c:v>
                </c:pt>
                <c:pt idx="27">
                  <c:v>0</c:v>
                </c:pt>
                <c:pt idx="28">
                  <c:v>0</c:v>
                </c:pt>
                <c:pt idx="29">
                  <c:v>0</c:v>
                </c:pt>
              </c:numCache>
            </c:numRef>
          </c:xVal>
          <c:yVal>
            <c:numRef>
              <c:f>'2019'!$E$4:$E$33</c:f>
              <c:numCache>
                <c:formatCode>0.00</c:formatCode>
                <c:ptCount val="30"/>
                <c:pt idx="0">
                  <c:v>0.12</c:v>
                </c:pt>
                <c:pt idx="1">
                  <c:v>0.12</c:v>
                </c:pt>
                <c:pt idx="2">
                  <c:v>0.33</c:v>
                </c:pt>
                <c:pt idx="3">
                  <c:v>0.34</c:v>
                </c:pt>
                <c:pt idx="4">
                  <c:v>0.26</c:v>
                </c:pt>
                <c:pt idx="5">
                  <c:v>0.56999999999999995</c:v>
                </c:pt>
                <c:pt idx="6">
                  <c:v>0.31</c:v>
                </c:pt>
                <c:pt idx="7">
                  <c:v>0.25</c:v>
                </c:pt>
                <c:pt idx="8">
                  <c:v>0.36</c:v>
                </c:pt>
                <c:pt idx="9">
                  <c:v>0.26</c:v>
                </c:pt>
                <c:pt idx="10">
                  <c:v>0.12</c:v>
                </c:pt>
                <c:pt idx="11">
                  <c:v>0.22</c:v>
                </c:pt>
                <c:pt idx="12">
                  <c:v>0.21</c:v>
                </c:pt>
                <c:pt idx="13">
                  <c:v>0.24</c:v>
                </c:pt>
                <c:pt idx="14">
                  <c:v>0.33</c:v>
                </c:pt>
                <c:pt idx="15">
                  <c:v>0.33</c:v>
                </c:pt>
                <c:pt idx="16">
                  <c:v>0.3</c:v>
                </c:pt>
                <c:pt idx="17">
                  <c:v>0.08</c:v>
                </c:pt>
                <c:pt idx="18">
                  <c:v>0.24</c:v>
                </c:pt>
                <c:pt idx="19">
                  <c:v>0.4</c:v>
                </c:pt>
                <c:pt idx="20">
                  <c:v>0.33</c:v>
                </c:pt>
                <c:pt idx="21">
                  <c:v>0.44</c:v>
                </c:pt>
                <c:pt idx="22">
                  <c:v>0.4</c:v>
                </c:pt>
                <c:pt idx="23">
                  <c:v>7.0000000000000007E-2</c:v>
                </c:pt>
                <c:pt idx="24">
                  <c:v>0.27</c:v>
                </c:pt>
                <c:pt idx="25">
                  <c:v>0.37</c:v>
                </c:pt>
                <c:pt idx="26">
                  <c:v>0.47</c:v>
                </c:pt>
                <c:pt idx="27">
                  <c:v>0.27243589743589747</c:v>
                </c:pt>
                <c:pt idx="28">
                  <c:v>0.27243589743589747</c:v>
                </c:pt>
                <c:pt idx="29">
                  <c:v>0.27243589743589747</c:v>
                </c:pt>
              </c:numCache>
            </c:numRef>
          </c:yVal>
          <c:smooth val="0"/>
          <c:extLst>
            <c:ext xmlns:c15="http://schemas.microsoft.com/office/drawing/2012/chart" uri="{02D57815-91ED-43cb-92C2-25804820EDAC}">
              <c15:datalabelsRange>
                <c15:f>'2019'!$B$4:$B$31</c15:f>
                <c15:dlblRange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Словачка</c:v>
                  </c:pt>
                  <c:pt idx="23">
                    <c:v>Словенија</c:v>
                  </c:pt>
                  <c:pt idx="24">
                    <c:v>Шпанија</c:v>
                  </c:pt>
                  <c:pt idx="25">
                    <c:v>Шведска</c:v>
                  </c:pt>
                  <c:pt idx="26">
                    <c:v>Уједињено Краљевство</c:v>
                  </c:pt>
                  <c:pt idx="27">
                    <c:v>Србија 2019,2018,2017</c:v>
                  </c:pt>
                </c15:dlblRangeCache>
              </c15:datalabelsRange>
            </c:ext>
            <c:ext xmlns:c16="http://schemas.microsoft.com/office/drawing/2014/chart" uri="{C3380CC4-5D6E-409C-BE32-E72D297353CC}">
              <c16:uniqueId val="{0000001F-6227-475E-86CD-719DBAB209D1}"/>
            </c:ext>
          </c:extLst>
        </c:ser>
        <c:dLbls>
          <c:showLegendKey val="0"/>
          <c:showVal val="0"/>
          <c:showCatName val="0"/>
          <c:showSerName val="0"/>
          <c:showPercent val="0"/>
          <c:showBubbleSize val="0"/>
        </c:dLbls>
        <c:axId val="244081664"/>
        <c:axId val="244080576"/>
      </c:scatterChart>
      <c:valAx>
        <c:axId val="244081664"/>
        <c:scaling>
          <c:orientation val="minMax"/>
          <c:max val="0.70000000000000007"/>
        </c:scaling>
        <c:delete val="0"/>
        <c:axPos val="b"/>
        <c:title>
          <c:tx>
            <c:rich>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a:solidFill>
                      <a:srgbClr val="44546A"/>
                    </a:solidFill>
                    <a:latin typeface="+mn-lt"/>
                  </a:rPr>
                  <a:t>Фискални подиндекс</a:t>
                </a:r>
                <a:endParaRPr lang="en-US" sz="750">
                  <a:solidFill>
                    <a:srgbClr val="44546A"/>
                  </a:solidFill>
                  <a:latin typeface="+mn-lt"/>
                </a:endParaRPr>
              </a:p>
            </c:rich>
          </c:tx>
          <c:layout>
            <c:manualLayout>
              <c:xMode val="edge"/>
              <c:yMode val="edge"/>
              <c:x val="0.44326590204182437"/>
              <c:y val="0.94399230830994874"/>
            </c:manualLayout>
          </c:layout>
          <c:overlay val="0"/>
          <c:spPr>
            <a:noFill/>
            <a:ln>
              <a:noFill/>
            </a:ln>
            <a:effectLst/>
          </c:spPr>
        </c:title>
        <c:numFmt formatCode="0.00"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244080576"/>
        <c:crosses val="autoZero"/>
        <c:crossBetween val="midCat"/>
      </c:valAx>
      <c:valAx>
        <c:axId val="244080576"/>
        <c:scaling>
          <c:orientation val="minMax"/>
          <c:max val="0.70000000000000007"/>
        </c:scaling>
        <c:delete val="0"/>
        <c:axPos val="l"/>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a:solidFill>
                      <a:srgbClr val="44546A"/>
                    </a:solidFill>
                    <a:latin typeface="+mn-lt"/>
                  </a:rPr>
                  <a:t>Подиндекс макро-финансијске конкурентности</a:t>
                </a:r>
                <a:endParaRPr lang="en-US" sz="750">
                  <a:solidFill>
                    <a:srgbClr val="44546A"/>
                  </a:solidFill>
                  <a:latin typeface="+mn-lt"/>
                </a:endParaRPr>
              </a:p>
            </c:rich>
          </c:tx>
          <c:layout>
            <c:manualLayout>
              <c:xMode val="edge"/>
              <c:yMode val="edge"/>
              <c:x val="7.5251868585250346E-3"/>
              <c:y val="0.15476829195481337"/>
            </c:manualLayout>
          </c:layout>
          <c:overlay val="0"/>
          <c:spPr>
            <a:noFill/>
            <a:ln>
              <a:noFill/>
            </a:ln>
            <a:effectLst/>
          </c:spPr>
        </c:title>
        <c:numFmt formatCode="0.00" sourceLinked="1"/>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244081664"/>
        <c:crosses val="autoZero"/>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2">
    <c:autoUpdate val="0"/>
  </c:externalData>
  <c:userShapes r:id="rId3"/>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plotArea>
      <c:layout>
        <c:manualLayout>
          <c:layoutTarget val="inner"/>
          <c:xMode val="edge"/>
          <c:yMode val="edge"/>
          <c:x val="8.4624728768109767E-2"/>
          <c:y val="4.0584245151174286E-2"/>
          <c:w val="0.81797056956328107"/>
          <c:h val="0.56586835061458907"/>
        </c:manualLayout>
      </c:layout>
      <c:barChart>
        <c:barDir val="col"/>
        <c:grouping val="clustered"/>
        <c:varyColors val="0"/>
        <c:ser>
          <c:idx val="0"/>
          <c:order val="0"/>
          <c:tx>
            <c:strRef>
              <c:f>'мемо 2011-2016'!$E$50</c:f>
              <c:strCache>
                <c:ptCount val="1"/>
                <c:pt idx="0">
                  <c:v>дуг опште државе</c:v>
                </c:pt>
              </c:strCache>
            </c:strRef>
          </c:tx>
          <c:spPr>
            <a:solidFill>
              <a:srgbClr val="29489A"/>
            </a:solidFill>
            <a:ln>
              <a:noFill/>
            </a:ln>
          </c:spPr>
          <c:invertIfNegative val="0"/>
          <c:dLbls>
            <c:numFmt formatCode="#,##0.0" sourceLinked="0"/>
            <c:spPr>
              <a:noFill/>
              <a:ln>
                <a:noFill/>
              </a:ln>
              <a:effectLst/>
            </c:spPr>
            <c:txPr>
              <a:bodyPr/>
              <a:lstStyle/>
              <a:p>
                <a:pPr>
                  <a:defRPr sz="700" b="0" i="0" baseline="0">
                    <a:solidFill>
                      <a:schemeClr val="bg1"/>
                    </a:solidFill>
                    <a:latin typeface="Calibri" panose="020F0502020204030204" pitchFamily="34"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2011-2016'!$J$48:$R$48</c:f>
              <c:numCache>
                <c:formatCode>General</c:formatCode>
                <c:ptCount val="9"/>
                <c:pt idx="0">
                  <c:v>2015</c:v>
                </c:pt>
                <c:pt idx="1">
                  <c:v>2016</c:v>
                </c:pt>
                <c:pt idx="2">
                  <c:v>2017</c:v>
                </c:pt>
                <c:pt idx="3">
                  <c:v>2018</c:v>
                </c:pt>
                <c:pt idx="4">
                  <c:v>2019</c:v>
                </c:pt>
                <c:pt idx="5">
                  <c:v>2020</c:v>
                </c:pt>
                <c:pt idx="6">
                  <c:v>2021</c:v>
                </c:pt>
                <c:pt idx="7">
                  <c:v>2022</c:v>
                </c:pt>
                <c:pt idx="8">
                  <c:v>2023</c:v>
                </c:pt>
              </c:numCache>
            </c:numRef>
          </c:cat>
          <c:val>
            <c:numRef>
              <c:f>'мемо 2011-2016'!$J$50:$R$50</c:f>
              <c:numCache>
                <c:formatCode>#,##0.0</c:formatCode>
                <c:ptCount val="9"/>
                <c:pt idx="0">
                  <c:v>71.199826125969352</c:v>
                </c:pt>
                <c:pt idx="1">
                  <c:v>68.698445741619125</c:v>
                </c:pt>
                <c:pt idx="2">
                  <c:v>58.615511734368184</c:v>
                </c:pt>
                <c:pt idx="3" formatCode="0.0">
                  <c:v>54.353090578805471</c:v>
                </c:pt>
                <c:pt idx="4" formatCode="General">
                  <c:v>52.9</c:v>
                </c:pt>
                <c:pt idx="5" formatCode="General">
                  <c:v>59</c:v>
                </c:pt>
                <c:pt idx="6" formatCode="General">
                  <c:v>58.7</c:v>
                </c:pt>
                <c:pt idx="7" formatCode="General">
                  <c:v>57.9</c:v>
                </c:pt>
                <c:pt idx="8" formatCode="General">
                  <c:v>56</c:v>
                </c:pt>
              </c:numCache>
            </c:numRef>
          </c:val>
          <c:extLst>
            <c:ext xmlns:c16="http://schemas.microsoft.com/office/drawing/2014/chart" uri="{C3380CC4-5D6E-409C-BE32-E72D297353CC}">
              <c16:uniqueId val="{00000000-4F4C-4345-A1E0-A80DFB3FBFFC}"/>
            </c:ext>
          </c:extLst>
        </c:ser>
        <c:dLbls>
          <c:showLegendKey val="0"/>
          <c:showVal val="0"/>
          <c:showCatName val="0"/>
          <c:showSerName val="0"/>
          <c:showPercent val="0"/>
          <c:showBubbleSize val="0"/>
        </c:dLbls>
        <c:gapWidth val="70"/>
        <c:axId val="244071872"/>
        <c:axId val="244084384"/>
      </c:barChart>
      <c:lineChart>
        <c:grouping val="standard"/>
        <c:varyColors val="0"/>
        <c:ser>
          <c:idx val="2"/>
          <c:order val="1"/>
          <c:tx>
            <c:strRef>
              <c:f>'мемо 2011-2016'!$E$49</c:f>
              <c:strCache>
                <c:ptCount val="1"/>
                <c:pt idx="0">
                  <c:v>дефицит (десна скала) </c:v>
                </c:pt>
              </c:strCache>
            </c:strRef>
          </c:tx>
          <c:spPr>
            <a:ln w="25400">
              <a:solidFill>
                <a:srgbClr val="FF0000"/>
              </a:solidFill>
            </a:ln>
          </c:spPr>
          <c:marker>
            <c:symbol val="none"/>
          </c:marker>
          <c:dLbls>
            <c:dLbl>
              <c:idx val="0"/>
              <c:layout>
                <c:manualLayout>
                  <c:x val="-6.9445597278679522E-2"/>
                  <c:y val="5.940594059405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F4C-4345-A1E0-A80DFB3FBFFC}"/>
                </c:ext>
              </c:extLst>
            </c:dLbl>
            <c:dLbl>
              <c:idx val="1"/>
              <c:layout>
                <c:manualLayout>
                  <c:x val="9.9363021839251227E-3"/>
                  <c:y val="1.5835084857420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F4C-4345-A1E0-A80DFB3FBFFC}"/>
                </c:ext>
              </c:extLst>
            </c:dLbl>
            <c:dLbl>
              <c:idx val="2"/>
              <c:layout>
                <c:manualLayout>
                  <c:x val="-1.1060007390772949E-2"/>
                  <c:y val="-5.59878583879305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F4C-4345-A1E0-A80DFB3FBFFC}"/>
                </c:ext>
              </c:extLst>
            </c:dLbl>
            <c:dLbl>
              <c:idx val="3"/>
              <c:layout>
                <c:manualLayout>
                  <c:x val="2.1605692790206278E-2"/>
                  <c:y val="-4.28208210614894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F4C-4345-A1E0-A80DFB3FBFFC}"/>
                </c:ext>
              </c:extLst>
            </c:dLbl>
            <c:dLbl>
              <c:idx val="4"/>
              <c:layout>
                <c:manualLayout>
                  <c:x val="-2.0796497910685351E-2"/>
                  <c:y val="3.22071286890665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F4C-4345-A1E0-A80DFB3FBFFC}"/>
                </c:ext>
              </c:extLst>
            </c:dLbl>
            <c:dLbl>
              <c:idx val="5"/>
              <c:layout>
                <c:manualLayout>
                  <c:x val="-5.9818641803348678E-2"/>
                  <c:y val="-0.1386138613861386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F4C-4345-A1E0-A80DFB3FBFFC}"/>
                </c:ext>
              </c:extLst>
            </c:dLbl>
            <c:dLbl>
              <c:idx val="6"/>
              <c:layout>
                <c:manualLayout>
                  <c:x val="-2.1605692790206278E-2"/>
                  <c:y val="9.960240118500038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F4C-4345-A1E0-A80DFB3FBFFC}"/>
                </c:ext>
              </c:extLst>
            </c:dLbl>
            <c:dLbl>
              <c:idx val="7"/>
              <c:layout>
                <c:manualLayout>
                  <c:x val="-2.4581710679666934E-2"/>
                  <c:y val="1.99204802370000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F4C-4345-A1E0-A80DFB3FBFFC}"/>
                </c:ext>
              </c:extLst>
            </c:dLbl>
            <c:dLbl>
              <c:idx val="8"/>
              <c:layout>
                <c:manualLayout>
                  <c:x val="-3.8507821901323708E-2"/>
                  <c:y val="3.30033003300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F4C-4345-A1E0-A80DFB3FBFFC}"/>
                </c:ext>
              </c:extLst>
            </c:dLbl>
            <c:numFmt formatCode="#,##0.0" sourceLinked="0"/>
            <c:spPr>
              <a:noFill/>
              <a:ln>
                <a:noFill/>
              </a:ln>
              <a:effectLst/>
            </c:spPr>
            <c:txPr>
              <a:bodyPr wrap="square" lIns="38100" tIns="19050" rIns="38100" bIns="19050" anchor="ctr">
                <a:spAutoFit/>
              </a:bodyPr>
              <a:lstStyle/>
              <a:p>
                <a:pPr>
                  <a:defRPr sz="750" baseline="0">
                    <a:solidFill>
                      <a:sysClr val="windowText" lastClr="000000"/>
                    </a:solidFill>
                    <a:latin typeface="Calibri" panose="020F050202020403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2011-2016'!$J$49:$R$49</c:f>
              <c:numCache>
                <c:formatCode>#,##0.0</c:formatCode>
                <c:ptCount val="9"/>
                <c:pt idx="0">
                  <c:v>-3.4574923786243579</c:v>
                </c:pt>
                <c:pt idx="1">
                  <c:v>-1.1977763417297731</c:v>
                </c:pt>
                <c:pt idx="2">
                  <c:v>1.099509271415023</c:v>
                </c:pt>
                <c:pt idx="3" formatCode="0.0">
                  <c:v>0.63691314414627054</c:v>
                </c:pt>
                <c:pt idx="4">
                  <c:v>-0.2</c:v>
                </c:pt>
                <c:pt idx="5">
                  <c:v>-8.9</c:v>
                </c:pt>
                <c:pt idx="6">
                  <c:v>-3</c:v>
                </c:pt>
                <c:pt idx="7">
                  <c:v>-1.6</c:v>
                </c:pt>
                <c:pt idx="8" formatCode="General">
                  <c:v>-1</c:v>
                </c:pt>
              </c:numCache>
            </c:numRef>
          </c:val>
          <c:smooth val="1"/>
          <c:extLst>
            <c:ext xmlns:c16="http://schemas.microsoft.com/office/drawing/2014/chart" uri="{C3380CC4-5D6E-409C-BE32-E72D297353CC}">
              <c16:uniqueId val="{00000009-4F4C-4345-A1E0-A80DFB3FBFFC}"/>
            </c:ext>
          </c:extLst>
        </c:ser>
        <c:ser>
          <c:idx val="1"/>
          <c:order val="2"/>
          <c:tx>
            <c:strRef>
              <c:f>'мемо 2011-2016'!$E$51</c:f>
              <c:strCache>
                <c:ptCount val="1"/>
                <c:pt idx="0">
                  <c:v>баланс</c:v>
                </c:pt>
              </c:strCache>
            </c:strRef>
          </c:tx>
          <c:spPr>
            <a:ln w="19050">
              <a:solidFill>
                <a:schemeClr val="tx1"/>
              </a:solidFill>
            </a:ln>
          </c:spPr>
          <c:marker>
            <c:symbol val="none"/>
          </c:marker>
          <c:val>
            <c:numRef>
              <c:f>'мемо 2011-2016'!$J$51:$R$51</c:f>
              <c:numCache>
                <c:formatCode>#,##0.0</c:formatCode>
                <c:ptCount val="9"/>
                <c:pt idx="0">
                  <c:v>0</c:v>
                </c:pt>
                <c:pt idx="1">
                  <c:v>0</c:v>
                </c:pt>
                <c:pt idx="2">
                  <c:v>0</c:v>
                </c:pt>
                <c:pt idx="3">
                  <c:v>0</c:v>
                </c:pt>
                <c:pt idx="4">
                  <c:v>0</c:v>
                </c:pt>
                <c:pt idx="5">
                  <c:v>0</c:v>
                </c:pt>
                <c:pt idx="6">
                  <c:v>0</c:v>
                </c:pt>
                <c:pt idx="7">
                  <c:v>0</c:v>
                </c:pt>
                <c:pt idx="8" formatCode="General">
                  <c:v>0</c:v>
                </c:pt>
              </c:numCache>
            </c:numRef>
          </c:val>
          <c:smooth val="0"/>
          <c:extLst>
            <c:ext xmlns:c16="http://schemas.microsoft.com/office/drawing/2014/chart" uri="{C3380CC4-5D6E-409C-BE32-E72D297353CC}">
              <c16:uniqueId val="{0000000A-4F4C-4345-A1E0-A80DFB3FBFFC}"/>
            </c:ext>
          </c:extLst>
        </c:ser>
        <c:dLbls>
          <c:showLegendKey val="0"/>
          <c:showVal val="0"/>
          <c:showCatName val="0"/>
          <c:showSerName val="0"/>
          <c:showPercent val="0"/>
          <c:showBubbleSize val="0"/>
        </c:dLbls>
        <c:marker val="1"/>
        <c:smooth val="0"/>
        <c:axId val="244080032"/>
        <c:axId val="244090912"/>
      </c:lineChart>
      <c:catAx>
        <c:axId val="244071872"/>
        <c:scaling>
          <c:orientation val="minMax"/>
        </c:scaling>
        <c:delete val="0"/>
        <c:axPos val="b"/>
        <c:numFmt formatCode="General" sourceLinked="1"/>
        <c:majorTickMark val="out"/>
        <c:minorTickMark val="none"/>
        <c:tickLblPos val="nextTo"/>
        <c:spPr>
          <a:ln>
            <a:noFill/>
          </a:ln>
        </c:spPr>
        <c:txPr>
          <a:bodyPr/>
          <a:lstStyle/>
          <a:p>
            <a:pPr>
              <a:defRPr sz="750" baseline="0">
                <a:solidFill>
                  <a:schemeClr val="tx2"/>
                </a:solidFill>
                <a:latin typeface="Calibri" panose="020F0502020204030204" pitchFamily="34" charset="0"/>
              </a:defRPr>
            </a:pPr>
            <a:endParaRPr lang="en-US"/>
          </a:p>
        </c:txPr>
        <c:crossAx val="244084384"/>
        <c:crossesAt val="0"/>
        <c:auto val="1"/>
        <c:lblAlgn val="ctr"/>
        <c:lblOffset val="100"/>
        <c:noMultiLvlLbl val="0"/>
      </c:catAx>
      <c:valAx>
        <c:axId val="244084384"/>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750" baseline="0">
                <a:solidFill>
                  <a:schemeClr val="tx2"/>
                </a:solidFill>
                <a:latin typeface="+mn-lt"/>
              </a:defRPr>
            </a:pPr>
            <a:endParaRPr lang="en-US"/>
          </a:p>
        </c:txPr>
        <c:crossAx val="244071872"/>
        <c:crosses val="autoZero"/>
        <c:crossBetween val="between"/>
        <c:majorUnit val="10"/>
      </c:valAx>
      <c:valAx>
        <c:axId val="244090912"/>
        <c:scaling>
          <c:orientation val="minMax"/>
        </c:scaling>
        <c:delete val="0"/>
        <c:axPos val="r"/>
        <c:numFmt formatCode="#,##0" sourceLinked="0"/>
        <c:majorTickMark val="out"/>
        <c:minorTickMark val="none"/>
        <c:tickLblPos val="nextTo"/>
        <c:spPr>
          <a:ln>
            <a:noFill/>
          </a:ln>
        </c:spPr>
        <c:txPr>
          <a:bodyPr/>
          <a:lstStyle/>
          <a:p>
            <a:pPr>
              <a:defRPr sz="800" baseline="0">
                <a:solidFill>
                  <a:schemeClr val="tx2"/>
                </a:solidFill>
                <a:latin typeface="+mn-lt"/>
              </a:defRPr>
            </a:pPr>
            <a:endParaRPr lang="en-US"/>
          </a:p>
        </c:txPr>
        <c:crossAx val="244080032"/>
        <c:crosses val="max"/>
        <c:crossBetween val="between"/>
      </c:valAx>
      <c:catAx>
        <c:axId val="244080032"/>
        <c:scaling>
          <c:orientation val="minMax"/>
        </c:scaling>
        <c:delete val="1"/>
        <c:axPos val="b"/>
        <c:majorTickMark val="out"/>
        <c:minorTickMark val="none"/>
        <c:tickLblPos val="nextTo"/>
        <c:crossAx val="244090912"/>
        <c:crosses val="autoZero"/>
        <c:auto val="1"/>
        <c:lblAlgn val="ctr"/>
        <c:lblOffset val="100"/>
        <c:noMultiLvlLbl val="0"/>
      </c:catAx>
      <c:spPr>
        <a:noFill/>
        <a:ln>
          <a:noFill/>
        </a:ln>
      </c:spPr>
    </c:plotArea>
    <c:legend>
      <c:legendPos val="b"/>
      <c:legendEntry>
        <c:idx val="0"/>
        <c:txPr>
          <a:bodyPr anchor="ctr" anchorCtr="0"/>
          <a:lstStyle/>
          <a:p>
            <a:pPr>
              <a:defRPr sz="700" baseline="0">
                <a:solidFill>
                  <a:schemeClr val="tx2"/>
                </a:solidFill>
                <a:latin typeface="Calibri" panose="020F0502020204030204" pitchFamily="34" charset="0"/>
              </a:defRPr>
            </a:pPr>
            <a:endParaRPr lang="en-US"/>
          </a:p>
        </c:txPr>
      </c:legendEntry>
      <c:layout>
        <c:manualLayout>
          <c:xMode val="edge"/>
          <c:yMode val="edge"/>
          <c:x val="6.3264637046722944E-2"/>
          <c:y val="0.73829058496400823"/>
          <c:w val="0.85663985142651378"/>
          <c:h val="0.25797250591200854"/>
        </c:manualLayout>
      </c:layout>
      <c:overlay val="0"/>
      <c:txPr>
        <a:bodyPr anchor="ctr" anchorCtr="0"/>
        <a:lstStyle/>
        <a:p>
          <a:pPr>
            <a:defRPr sz="700" baseline="0">
              <a:solidFill>
                <a:schemeClr val="tx2"/>
              </a:solidFill>
              <a:latin typeface="Calibri" panose="020F0502020204030204" pitchFamily="34" charset="0"/>
            </a:defRPr>
          </a:pPr>
          <a:endParaRPr lang="en-US"/>
        </a:p>
      </c:txPr>
    </c:legend>
    <c:plotVisOnly val="1"/>
    <c:dispBlanksAs val="gap"/>
    <c:showDLblsOverMax val="0"/>
  </c:chart>
  <c:spPr>
    <a:ln>
      <a:noFill/>
    </a:ln>
  </c:spPr>
  <c:txPr>
    <a:bodyPr/>
    <a:lstStyle/>
    <a:p>
      <a:pPr>
        <a:defRPr sz="900" baseline="0">
          <a:latin typeface="Cambria Math" pitchFamily="18" charset="0"/>
        </a:defRPr>
      </a:pPr>
      <a:endParaRPr lang="en-US"/>
    </a:p>
  </c:tx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7.6944172177558973E-2"/>
          <c:y val="2.5183744813009265E-2"/>
          <c:w val="0.89742630688838176"/>
          <c:h val="0.86187205600654671"/>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4472C4"/>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c:f>
              <c:numCache>
                <c:formatCode>#,##0.0</c:formatCode>
                <c:ptCount val="19"/>
                <c:pt idx="0">
                  <c:v>3.4939700056136114E-2</c:v>
                </c:pt>
                <c:pt idx="1">
                  <c:v>-2.9444681740137586</c:v>
                </c:pt>
                <c:pt idx="2">
                  <c:v>1.3718434407276769</c:v>
                </c:pt>
                <c:pt idx="3">
                  <c:v>4.5452830964594888</c:v>
                </c:pt>
                <c:pt idx="4">
                  <c:v>-3.4548472549980308E-2</c:v>
                </c:pt>
                <c:pt idx="5">
                  <c:v>-0.59657881748428288</c:v>
                </c:pt>
                <c:pt idx="6">
                  <c:v>8.4568849558336018E-2</c:v>
                </c:pt>
                <c:pt idx="7">
                  <c:v>-1.965224662254601</c:v>
                </c:pt>
                <c:pt idx="8">
                  <c:v>0.52319392133561315</c:v>
                </c:pt>
                <c:pt idx="9">
                  <c:v>-1.8890743413149162</c:v>
                </c:pt>
                <c:pt idx="10">
                  <c:v>-1.3918580255206598</c:v>
                </c:pt>
                <c:pt idx="11">
                  <c:v>3.1624982929788645E-2</c:v>
                </c:pt>
                <c:pt idx="12">
                  <c:v>-0.33752099970593769</c:v>
                </c:pt>
                <c:pt idx="13">
                  <c:v>1.1045172096823936</c:v>
                </c:pt>
                <c:pt idx="14">
                  <c:v>2.1155731734116916</c:v>
                </c:pt>
                <c:pt idx="15">
                  <c:v>-2.1219979613431432</c:v>
                </c:pt>
                <c:pt idx="16">
                  <c:v>0.22364882277905063</c:v>
                </c:pt>
                <c:pt idx="17">
                  <c:v>0.41960700381333638</c:v>
                </c:pt>
                <c:pt idx="18">
                  <c:v>0.44776110550646009</c:v>
                </c:pt>
              </c:numCache>
            </c:numRef>
          </c:val>
          <c:extLst>
            <c:ext xmlns:c16="http://schemas.microsoft.com/office/drawing/2014/chart" uri="{C3380CC4-5D6E-409C-BE32-E72D297353CC}">
              <c16:uniqueId val="{00000000-FC5F-437F-8549-A4012F4EC62D}"/>
            </c:ext>
          </c:extLst>
        </c:ser>
        <c:dLbls>
          <c:showLegendKey val="0"/>
          <c:showVal val="0"/>
          <c:showCatName val="0"/>
          <c:showSerName val="0"/>
          <c:showPercent val="0"/>
          <c:showBubbleSize val="0"/>
        </c:dLbls>
        <c:axId val="244075680"/>
        <c:axId val="244074592"/>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c:f>
              <c:numCache>
                <c:formatCode>General</c:formatCode>
                <c:ptCount val="19"/>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numCache>
            </c:numRef>
          </c:cat>
          <c:val>
            <c:numRef>
              <c:f>'Grafikoni, CAB, Karakter'!$H$11:$H$29</c:f>
              <c:numCache>
                <c:formatCode>#,##0.0</c:formatCode>
                <c:ptCount val="19"/>
                <c:pt idx="0">
                  <c:v>1.1229513642911615</c:v>
                </c:pt>
                <c:pt idx="1">
                  <c:v>-1.4151456839897949</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-3.4561672728767112</c:v>
                </c:pt>
                <c:pt idx="11">
                  <c:v>-1.1926941660681765</c:v>
                </c:pt>
                <c:pt idx="12">
                  <c:v>1.0986349345465762</c:v>
                </c:pt>
                <c:pt idx="13">
                  <c:v>0.63523655395945411</c:v>
                </c:pt>
                <c:pt idx="14">
                  <c:v>-0.20513275318303217</c:v>
                </c:pt>
                <c:pt idx="15">
                  <c:v>-8.923</c:v>
                </c:pt>
                <c:pt idx="16">
                  <c:v>-3</c:v>
                </c:pt>
                <c:pt idx="17">
                  <c:v>-1.5</c:v>
                </c:pt>
                <c:pt idx="18">
                  <c:v>-1</c:v>
                </c:pt>
              </c:numCache>
            </c:numRef>
          </c:val>
          <c:smooth val="0"/>
          <c:extLst>
            <c:ext xmlns:c16="http://schemas.microsoft.com/office/drawing/2014/chart" uri="{C3380CC4-5D6E-409C-BE32-E72D297353CC}">
              <c16:uniqueId val="{00000001-FC5F-437F-8549-A4012F4EC62D}"/>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c:f>
              <c:numCache>
                <c:formatCode>General</c:formatCode>
                <c:ptCount val="19"/>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numCache>
            </c:numRef>
          </c:cat>
          <c:val>
            <c:numRef>
              <c:f>'Grafikoni, CAB, Karakter'!$K$11:$K$29</c:f>
              <c:numCache>
                <c:formatCode>#,##0.0</c:formatCode>
                <c:ptCount val="19"/>
                <c:pt idx="0">
                  <c:v>1.110553570451444</c:v>
                </c:pt>
                <c:pt idx="1">
                  <c:v>-0.37034823780732995</c:v>
                </c:pt>
                <c:pt idx="2">
                  <c:v>-2.2713826072872605</c:v>
                </c:pt>
                <c:pt idx="3">
                  <c:v>-4.0897186081859074</c:v>
                </c:pt>
                <c:pt idx="4">
                  <c:v>-4.1532435175737943</c:v>
                </c:pt>
                <c:pt idx="5">
                  <c:v>-4.126487556756377</c:v>
                </c:pt>
                <c:pt idx="6">
                  <c:v>-4.5558067814501468</c:v>
                </c:pt>
                <c:pt idx="7">
                  <c:v>-5.7379555891646561</c:v>
                </c:pt>
                <c:pt idx="8">
                  <c:v>-5.3321237153889003</c:v>
                </c:pt>
                <c:pt idx="9">
                  <c:v>-5.5338358949248114</c:v>
                </c:pt>
                <c:pt idx="10">
                  <c:v>-2.9622887099000077</c:v>
                </c:pt>
                <c:pt idx="11">
                  <c:v>-1.2039157855416742</c:v>
                </c:pt>
                <c:pt idx="12">
                  <c:v>1.2183988639508505</c:v>
                </c:pt>
                <c:pt idx="13">
                  <c:v>0.24331628457930532</c:v>
                </c:pt>
                <c:pt idx="14">
                  <c:v>-0.95581006336758445</c:v>
                </c:pt>
                <c:pt idx="15">
                  <c:v>-8.1700429565575767</c:v>
                </c:pt>
                <c:pt idx="16">
                  <c:v>-3.0793582083662812</c:v>
                </c:pt>
                <c:pt idx="17">
                  <c:v>-1.6488908353140179</c:v>
                </c:pt>
                <c:pt idx="18">
                  <c:v>-1.1588808680839899</c:v>
                </c:pt>
              </c:numCache>
            </c:numRef>
          </c:val>
          <c:smooth val="1"/>
          <c:extLst>
            <c:ext xmlns:c16="http://schemas.microsoft.com/office/drawing/2014/chart" uri="{C3380CC4-5D6E-409C-BE32-E72D297353CC}">
              <c16:uniqueId val="{00000002-FC5F-437F-8549-A4012F4EC62D}"/>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c:f>
              <c:numCache>
                <c:formatCode>General</c:formatCode>
                <c:ptCount val="19"/>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numCache>
            </c:numRef>
          </c:cat>
          <c:val>
            <c:numRef>
              <c:f>'Grafikoni, CAB, Karakter'!$N$11:$N$29</c:f>
              <c:numCache>
                <c:formatCode>#,##0.0</c:formatCode>
                <c:ptCount val="19"/>
                <c:pt idx="0">
                  <c:v>2.2311622484545253</c:v>
                </c:pt>
                <c:pt idx="1">
                  <c:v>1.5696697934087172</c:v>
                </c:pt>
                <c:pt idx="2">
                  <c:v>-1.3890997661583588</c:v>
                </c:pt>
                <c:pt idx="3">
                  <c:v>-3.6088056778147601</c:v>
                </c:pt>
                <c:pt idx="4">
                  <c:v>-3.6177625004238383</c:v>
                </c:pt>
                <c:pt idx="5">
                  <c:v>-3.2868661144432116</c:v>
                </c:pt>
                <c:pt idx="6">
                  <c:v>-3.6122952002889686</c:v>
                </c:pt>
                <c:pt idx="7">
                  <c:v>-3.9832798155164943</c:v>
                </c:pt>
                <c:pt idx="8">
                  <c:v>-2.8812015411218068</c:v>
                </c:pt>
                <c:pt idx="9">
                  <c:v>-1.9994851902228101</c:v>
                </c:pt>
                <c:pt idx="10">
                  <c:v>0.64898666056742949</c:v>
                </c:pt>
                <c:pt idx="11">
                  <c:v>1.770636997841287</c:v>
                </c:pt>
                <c:pt idx="12">
                  <c:v>3.6095979149311477</c:v>
                </c:pt>
                <c:pt idx="13">
                  <c:v>2.2077895658846356</c:v>
                </c:pt>
                <c:pt idx="14">
                  <c:v>0.85957430257431633</c:v>
                </c:pt>
                <c:pt idx="15">
                  <c:v>0.76569588309225267</c:v>
                </c:pt>
                <c:pt idx="16">
                  <c:v>-1.8296074705834644</c:v>
                </c:pt>
                <c:pt idx="17">
                  <c:v>-0.45749556994674845</c:v>
                </c:pt>
                <c:pt idx="18">
                  <c:v>0.44111913191601004</c:v>
                </c:pt>
              </c:numCache>
            </c:numRef>
          </c:val>
          <c:smooth val="0"/>
          <c:extLst>
            <c:ext xmlns:c16="http://schemas.microsoft.com/office/drawing/2014/chart" uri="{C3380CC4-5D6E-409C-BE32-E72D297353CC}">
              <c16:uniqueId val="{00000003-FC5F-437F-8549-A4012F4EC62D}"/>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c:f>
              <c:numCache>
                <c:formatCode>General</c:formatCode>
                <c:ptCount val="19"/>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numCache>
            </c:numRef>
          </c:cat>
          <c:val>
            <c:numRef>
              <c:f>'Grafikoni, CAB, Karakter'!$M$11:$M$29</c:f>
              <c:numCache>
                <c:formatCode>#,##0.0</c:formatCode>
                <c:ptCount val="19"/>
                <c:pt idx="0">
                  <c:v>1.327138191254007</c:v>
                </c:pt>
                <c:pt idx="1">
                  <c:v>0.30364382082392694</c:v>
                </c:pt>
                <c:pt idx="2">
                  <c:v>-1.9345482440003039</c:v>
                </c:pt>
                <c:pt idx="3">
                  <c:v>-4.1481690920476089</c:v>
                </c:pt>
                <c:pt idx="4">
                  <c:v>-4.2253241968227986</c:v>
                </c:pt>
                <c:pt idx="5">
                  <c:v>-4.243389724377904</c:v>
                </c:pt>
                <c:pt idx="6">
                  <c:v>-4.7662009976467035</c:v>
                </c:pt>
                <c:pt idx="7">
                  <c:v>-5.690712212626992</c:v>
                </c:pt>
                <c:pt idx="8">
                  <c:v>-5.0749170890279682</c:v>
                </c:pt>
                <c:pt idx="9">
                  <c:v>-4.6637583077989797</c:v>
                </c:pt>
                <c:pt idx="10">
                  <c:v>-2.3365674502739813</c:v>
                </c:pt>
                <c:pt idx="11">
                  <c:v>-1.12662224151144</c:v>
                </c:pt>
                <c:pt idx="12">
                  <c:v>1.0734617809285367</c:v>
                </c:pt>
                <c:pt idx="13">
                  <c:v>9.5472794772759134E-2</c:v>
                </c:pt>
                <c:pt idx="14">
                  <c:v>-1.1385435941897197</c:v>
                </c:pt>
                <c:pt idx="15">
                  <c:v>-1.2373041169077483</c:v>
                </c:pt>
                <c:pt idx="16">
                  <c:v>-3.7296074705834643</c:v>
                </c:pt>
                <c:pt idx="17">
                  <c:v>-2.2574955699467485</c:v>
                </c:pt>
                <c:pt idx="18">
                  <c:v>-1.1588808680839899</c:v>
                </c:pt>
              </c:numCache>
            </c:numRef>
          </c:val>
          <c:smooth val="0"/>
          <c:extLst>
            <c:ext xmlns:c16="http://schemas.microsoft.com/office/drawing/2014/chart" uri="{C3380CC4-5D6E-409C-BE32-E72D297353CC}">
              <c16:uniqueId val="{00000004-FC5F-437F-8549-A4012F4EC62D}"/>
            </c:ext>
          </c:extLst>
        </c:ser>
        <c:dLbls>
          <c:showLegendKey val="0"/>
          <c:showVal val="0"/>
          <c:showCatName val="0"/>
          <c:showSerName val="0"/>
          <c:showPercent val="0"/>
          <c:showBubbleSize val="0"/>
        </c:dLbls>
        <c:marker val="1"/>
        <c:smooth val="0"/>
        <c:axId val="244075680"/>
        <c:axId val="244074592"/>
      </c:lineChart>
      <c:catAx>
        <c:axId val="244075680"/>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low"/>
        <c:spPr>
          <a:noFill/>
          <a:ln w="9525" cap="flat" cmpd="sng" algn="ctr">
            <a:noFill/>
            <a:prstDash val="solid"/>
            <a:round/>
          </a:ln>
          <a:effectLst/>
        </c:spPr>
        <c:txPr>
          <a:bodyPr rot="-3060000" spcFirstLastPara="1" vertOverflow="ellipsis" wrap="square" anchor="ctr" anchorCtr="1"/>
          <a:lstStyle/>
          <a:p>
            <a:pPr>
              <a:defRPr sz="700" b="0" i="0" u="none" strike="noStrike" kern="1200" baseline="0">
                <a:solidFill>
                  <a:srgbClr val="44546A"/>
                </a:solidFill>
                <a:latin typeface="+mn-lt"/>
                <a:ea typeface="+mn-ea"/>
                <a:cs typeface="+mn-cs"/>
              </a:defRPr>
            </a:pPr>
            <a:endParaRPr lang="en-US"/>
          </a:p>
        </c:txPr>
        <c:crossAx val="244074592"/>
        <c:crosses val="autoZero"/>
        <c:auto val="1"/>
        <c:lblAlgn val="ctr"/>
        <c:lblOffset val="100"/>
        <c:noMultiLvlLbl val="0"/>
      </c:catAx>
      <c:valAx>
        <c:axId val="244074592"/>
        <c:scaling>
          <c:orientation val="minMax"/>
          <c:max val="5"/>
          <c:min val="-9"/>
        </c:scaling>
        <c:delete val="0"/>
        <c:axPos val="l"/>
        <c:majorGridlines>
          <c:spPr>
            <a:ln w="9525" cap="flat" cmpd="sng" algn="ctr">
              <a:noFill/>
              <a:prstDash val="sysDot"/>
              <a:round/>
            </a:ln>
            <a:effectLst/>
          </c:spPr>
        </c:majorGridlines>
        <c:numFmt formatCode="#,##0" sourceLinked="0"/>
        <c:majorTickMark val="out"/>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700" b="0" i="0" u="none" strike="noStrike" kern="1200" baseline="0">
                <a:solidFill>
                  <a:srgbClr val="44546A"/>
                </a:solidFill>
                <a:latin typeface="+mj-lt"/>
                <a:ea typeface="+mn-ea"/>
                <a:cs typeface="+mn-cs"/>
              </a:defRPr>
            </a:pPr>
            <a:endParaRPr lang="en-US"/>
          </a:p>
        </c:txPr>
        <c:crossAx val="244075680"/>
        <c:crosses val="autoZero"/>
        <c:crossBetween val="between"/>
      </c:valAx>
      <c:spPr>
        <a:noFill/>
        <a:ln>
          <a:noFill/>
        </a:ln>
        <a:effectLst/>
      </c:spPr>
    </c:plotArea>
    <c:legend>
      <c:legendPos val="r"/>
      <c:layout>
        <c:manualLayout>
          <c:xMode val="edge"/>
          <c:yMode val="edge"/>
          <c:x val="8.5792867878620855E-4"/>
          <c:y val="0.61130481315415974"/>
          <c:w val="0.7848524460576437"/>
          <c:h val="0.324443683669976"/>
        </c:manualLayout>
      </c:layout>
      <c:overlay val="0"/>
      <c:spPr>
        <a:noFill/>
        <a:ln>
          <a:noFill/>
        </a:ln>
        <a:effectLst/>
      </c:spPr>
      <c:txPr>
        <a:bodyPr rot="0" spcFirstLastPara="1" vertOverflow="ellipsis" vert="horz" wrap="square" anchor="ctr" anchorCtr="1"/>
        <a:lstStyle/>
        <a:p>
          <a:pPr>
            <a:defRPr sz="650" b="0" i="0" u="none" strike="noStrike" kern="1200" baseline="0">
              <a:solidFill>
                <a:srgbClr val="44546A"/>
              </a:solidFill>
              <a:latin typeface="+mn-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en-US"/>
    </a:p>
  </c:txPr>
  <c:externalData r:id="rId1">
    <c:autoUpdate val="0"/>
  </c:externalData>
  <c:userShapes r:id="rId2"/>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2676034642391865"/>
          <c:y val="5.7086964129483823E-2"/>
          <c:w val="0.85032684129884384"/>
          <c:h val="0.82967423338395085"/>
        </c:manualLayout>
      </c:layout>
      <c:barChart>
        <c:barDir val="col"/>
        <c:grouping val="clustered"/>
        <c:varyColors val="0"/>
        <c:ser>
          <c:idx val="0"/>
          <c:order val="0"/>
          <c:tx>
            <c:strRef>
              <c:f>'Grafikoni, CAB, Karakter'!$O$10</c:f>
              <c:strCache>
                <c:ptCount val="1"/>
                <c:pt idx="0">
                  <c:v>Карактер фискалне политике - 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Karakter'!$F$12:$F$29</c:f>
              <c:numCache>
                <c:formatCode>General</c:formatCode>
                <c:ptCount val="18"/>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numCache>
            </c:numRef>
          </c:cat>
          <c:val>
            <c:numRef>
              <c:f>'Grafikoni, CAB, Karakter'!$O$12:$O$29</c:f>
              <c:numCache>
                <c:formatCode>#,##0.0</c:formatCode>
                <c:ptCount val="18"/>
                <c:pt idx="0">
                  <c:v>1.1188998928745022</c:v>
                </c:pt>
                <c:pt idx="1">
                  <c:v>2.6216118642227757</c:v>
                </c:pt>
                <c:pt idx="2">
                  <c:v>1.8244210645077437</c:v>
                </c:pt>
                <c:pt idx="3">
                  <c:v>-4.6733727782255485E-3</c:v>
                </c:pt>
                <c:pt idx="4">
                  <c:v>-0.37571787435314841</c:v>
                </c:pt>
                <c:pt idx="5">
                  <c:v>0.23193703727072679</c:v>
                </c:pt>
                <c:pt idx="6">
                  <c:v>0.62862220796174606</c:v>
                </c:pt>
                <c:pt idx="7">
                  <c:v>-0.89211502457141867</c:v>
                </c:pt>
                <c:pt idx="8">
                  <c:v>-0.26884539013409725</c:v>
                </c:pt>
                <c:pt idx="9">
                  <c:v>-2.8928281782900451</c:v>
                </c:pt>
                <c:pt idx="10">
                  <c:v>-1.6700780528696497</c:v>
                </c:pt>
                <c:pt idx="11">
                  <c:v>-2.0611915441424085</c:v>
                </c:pt>
                <c:pt idx="12">
                  <c:v>1.3989019422622793</c:v>
                </c:pt>
                <c:pt idx="13">
                  <c:v>1.3133252222947303</c:v>
                </c:pt>
                <c:pt idx="14">
                  <c:v>7.2093507899540272</c:v>
                </c:pt>
                <c:pt idx="15">
                  <c:v>-4.9876847481912945</c:v>
                </c:pt>
                <c:pt idx="16">
                  <c:v>-1.3304673730522631</c:v>
                </c:pt>
                <c:pt idx="17">
                  <c:v>-0.29000996723002803</c:v>
                </c:pt>
              </c:numCache>
            </c:numRef>
          </c:val>
          <c:extLst>
            <c:ext xmlns:c16="http://schemas.microsoft.com/office/drawing/2014/chart" uri="{C3380CC4-5D6E-409C-BE32-E72D297353CC}">
              <c16:uniqueId val="{00000000-F8A5-469A-AA63-61C6B096D390}"/>
            </c:ext>
          </c:extLst>
        </c:ser>
        <c:dLbls>
          <c:showLegendKey val="0"/>
          <c:showVal val="0"/>
          <c:showCatName val="0"/>
          <c:showSerName val="0"/>
          <c:showPercent val="0"/>
          <c:showBubbleSize val="0"/>
        </c:dLbls>
        <c:gapWidth val="41"/>
        <c:overlap val="-12"/>
        <c:axId val="244091456"/>
        <c:axId val="244082752"/>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c:f>
              <c:numCache>
                <c:formatCode>General</c:formatCode>
                <c:ptCount val="18"/>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numCache>
            </c:numRef>
          </c:cat>
          <c:val>
            <c:numRef>
              <c:f>'Grafikoni, CAB, Karakter'!$G$12:$G$29</c:f>
              <c:numCache>
                <c:formatCode>#,##0.0</c:formatCode>
                <c:ptCount val="18"/>
                <c:pt idx="0">
                  <c:v>-2.9444681740137586</c:v>
                </c:pt>
                <c:pt idx="1">
                  <c:v>1.3718434407276769</c:v>
                </c:pt>
                <c:pt idx="2">
                  <c:v>4.5452830964594888</c:v>
                </c:pt>
                <c:pt idx="3">
                  <c:v>-3.4548472549980308E-2</c:v>
                </c:pt>
                <c:pt idx="4">
                  <c:v>-0.59657881748428288</c:v>
                </c:pt>
                <c:pt idx="5">
                  <c:v>8.4568849558336018E-2</c:v>
                </c:pt>
                <c:pt idx="6">
                  <c:v>-1.965224662254601</c:v>
                </c:pt>
                <c:pt idx="7">
                  <c:v>0.52319392133561315</c:v>
                </c:pt>
                <c:pt idx="8">
                  <c:v>-1.8890743413149162</c:v>
                </c:pt>
                <c:pt idx="9">
                  <c:v>-1.3918580255206598</c:v>
                </c:pt>
                <c:pt idx="10">
                  <c:v>3.1624982929788645E-2</c:v>
                </c:pt>
                <c:pt idx="11">
                  <c:v>-0.33752099970593769</c:v>
                </c:pt>
                <c:pt idx="12">
                  <c:v>1.1045172096823936</c:v>
                </c:pt>
                <c:pt idx="13">
                  <c:v>2.1155731734116916</c:v>
                </c:pt>
                <c:pt idx="14">
                  <c:v>-2.1219979613431432</c:v>
                </c:pt>
                <c:pt idx="15">
                  <c:v>0.22364882277905063</c:v>
                </c:pt>
                <c:pt idx="16">
                  <c:v>0.41960700381333638</c:v>
                </c:pt>
                <c:pt idx="17">
                  <c:v>0.44776110550646009</c:v>
                </c:pt>
              </c:numCache>
            </c:numRef>
          </c:val>
          <c:smooth val="1"/>
          <c:extLst>
            <c:ext xmlns:c16="http://schemas.microsoft.com/office/drawing/2014/chart" uri="{C3380CC4-5D6E-409C-BE32-E72D297353CC}">
              <c16:uniqueId val="{00000001-F8A5-469A-AA63-61C6B096D390}"/>
            </c:ext>
          </c:extLst>
        </c:ser>
        <c:dLbls>
          <c:showLegendKey val="0"/>
          <c:showVal val="0"/>
          <c:showCatName val="0"/>
          <c:showSerName val="0"/>
          <c:showPercent val="0"/>
          <c:showBubbleSize val="0"/>
        </c:dLbls>
        <c:marker val="1"/>
        <c:smooth val="0"/>
        <c:axId val="244091456"/>
        <c:axId val="244082752"/>
      </c:lineChart>
      <c:catAx>
        <c:axId val="244091456"/>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no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en-US"/>
          </a:p>
        </c:txPr>
        <c:crossAx val="244082752"/>
        <c:crosses val="autoZero"/>
        <c:auto val="1"/>
        <c:lblAlgn val="ctr"/>
        <c:lblOffset val="100"/>
        <c:noMultiLvlLbl val="0"/>
      </c:catAx>
      <c:valAx>
        <c:axId val="244082752"/>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1" i="0" u="none" strike="noStrike" kern="1200" baseline="0">
                    <a:solidFill>
                      <a:srgbClr val="44546A"/>
                    </a:solidFill>
                    <a:latin typeface="+mn-lt"/>
                    <a:ea typeface="+mn-ea"/>
                    <a:cs typeface="+mn-cs"/>
                  </a:defRPr>
                </a:pPr>
                <a:r>
                  <a:rPr lang="sr-Cyrl-CS" sz="750">
                    <a:solidFill>
                      <a:srgbClr val="44546A"/>
                    </a:solidFill>
                    <a:latin typeface="+mn-lt"/>
                  </a:rPr>
                  <a:t>% БДП</a:t>
                </a:r>
                <a:endParaRPr lang="en-US" sz="750">
                  <a:solidFill>
                    <a:srgbClr val="44546A"/>
                  </a:solidFill>
                  <a:latin typeface="+mn-lt"/>
                </a:endParaRPr>
              </a:p>
            </c:rich>
          </c:tx>
          <c:layout>
            <c:manualLayout>
              <c:xMode val="edge"/>
              <c:yMode val="edge"/>
              <c:x val="3.4085229460781501E-3"/>
              <c:y val="0.39986001044366537"/>
            </c:manualLayout>
          </c:layout>
          <c:overlay val="0"/>
          <c:spPr>
            <a:noFill/>
            <a:ln>
              <a:noFill/>
            </a:ln>
            <a:effectLst/>
          </c:sp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244091456"/>
        <c:crosses val="autoZero"/>
        <c:crossBetween val="between"/>
      </c:valAx>
      <c:spPr>
        <a:noFill/>
        <a:ln>
          <a:noFill/>
        </a:ln>
        <a:effectLst/>
      </c:spPr>
    </c:plotArea>
    <c:legend>
      <c:legendPos val="r"/>
      <c:layout>
        <c:manualLayout>
          <c:xMode val="edge"/>
          <c:yMode val="edge"/>
          <c:x val="6.0335741021243561E-2"/>
          <c:y val="0.76476416711310768"/>
          <c:w val="0.87048630050019582"/>
          <c:h val="0.11888471827698416"/>
        </c:manualLayout>
      </c:layout>
      <c:overlay val="0"/>
      <c:spPr>
        <a:noFill/>
        <a:ln>
          <a:noFill/>
        </a:ln>
        <a:effectLst/>
      </c:spPr>
      <c:txPr>
        <a:bodyPr rot="0" spcFirstLastPara="1" vertOverflow="ellipsis" vert="horz" wrap="square" anchor="ctr" anchorCtr="1"/>
        <a:lstStyle/>
        <a:p>
          <a:pPr>
            <a:defRPr sz="650" b="0" i="0" u="none" strike="noStrike" kern="1200" baseline="0">
              <a:solidFill>
                <a:srgbClr val="44546A"/>
              </a:solidFill>
              <a:latin typeface="+mn-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en-US"/>
    </a:p>
  </c:txPr>
  <c:externalData r:id="rId1">
    <c:autoUpdate val="0"/>
  </c:externalData>
  <c:userShapes r:id="rId2"/>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9077865266841648E-2"/>
          <c:y val="3.1566786656573094E-2"/>
          <c:w val="0.86774453193350831"/>
          <c:h val="0.9174795514193721"/>
        </c:manualLayout>
      </c:layout>
      <c:scatterChart>
        <c:scatterStyle val="smoothMarker"/>
        <c:varyColors val="0"/>
        <c:ser>
          <c:idx val="1"/>
          <c:order val="0"/>
          <c:spPr>
            <a:ln w="19050" cap="rnd">
              <a:solidFill>
                <a:srgbClr val="FF0000"/>
              </a:solidFill>
              <a:round/>
            </a:ln>
            <a:effectLst>
              <a:outerShdw blurRad="40000" dist="23000" dir="5400000" rotWithShape="0">
                <a:srgbClr val="000000">
                  <a:alpha val="35000"/>
                </a:srgbClr>
              </a:outerShdw>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D13-4AA6-BE10-778041635EC7}"/>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D13-4AA6-BE10-778041635EC7}"/>
                </c:ext>
              </c:extLst>
            </c:dLbl>
            <c:dLbl>
              <c:idx val="2"/>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D13-4AA6-BE10-778041635EC7}"/>
                </c:ext>
              </c:extLst>
            </c:dLbl>
            <c:dLbl>
              <c:idx val="3"/>
              <c:layout>
                <c:manualLayout>
                  <c:x val="-0.12008323249353517"/>
                  <c:y val="-6.0403885586955142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D13-4AA6-BE10-778041635EC7}"/>
                </c:ext>
              </c:extLst>
            </c:dLbl>
            <c:dLbl>
              <c:idx val="4"/>
              <c:layout>
                <c:manualLayout>
                  <c:x val="-0.11741471621590104"/>
                  <c:y val="7.5504856983693233E-3"/>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D13-4AA6-BE10-778041635EC7}"/>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D13-4AA6-BE10-778041635EC7}"/>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D13-4AA6-BE10-778041635EC7}"/>
                </c:ext>
              </c:extLst>
            </c:dLbl>
            <c:dLbl>
              <c:idx val="7"/>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D13-4AA6-BE10-778041635EC7}"/>
                </c:ext>
              </c:extLst>
            </c:dLbl>
            <c:dLbl>
              <c:idx val="8"/>
              <c:layout>
                <c:manualLayout>
                  <c:x val="0"/>
                  <c:y val="3.7752428491846894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D13-4AA6-BE10-778041635EC7}"/>
                </c:ext>
              </c:extLst>
            </c:dLbl>
            <c:dLbl>
              <c:idx val="9"/>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D13-4AA6-BE10-778041635EC7}"/>
                </c:ext>
              </c:extLst>
            </c:dLbl>
            <c:dLbl>
              <c:idx val="10"/>
              <c:layout>
                <c:manualLayout>
                  <c:x val="-1.0674065110536458E-2"/>
                  <c:y val="4.4820418347432216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D13-4AA6-BE10-778041635EC7}"/>
                </c:ext>
              </c:extLst>
            </c:dLbl>
            <c:dLbl>
              <c:idx val="11"/>
              <c:layout>
                <c:manualLayout>
                  <c:x val="-5.3370325552682292E-2"/>
                  <c:y val="-4.9078157039401049E-2"/>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D13-4AA6-BE10-778041635EC7}"/>
                </c:ext>
              </c:extLst>
            </c:dLbl>
            <c:dLbl>
              <c:idx val="12"/>
              <c:layout>
                <c:manualLayout>
                  <c:x val="2.6685162776341146E-3"/>
                  <c:y val="-3.7350348622860294E-3"/>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D13-4AA6-BE10-778041635EC7}"/>
                </c:ext>
              </c:extLst>
            </c:dLbl>
            <c:dLbl>
              <c:idx val="13"/>
              <c:layout>
                <c:manualLayout>
                  <c:x val="-4.2696260442145785E-2"/>
                  <c:y val="-7.0965662383434602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D13-4AA6-BE10-778041635EC7}"/>
                </c:ext>
              </c:extLst>
            </c:dLbl>
            <c:dLbl>
              <c:idx val="14"/>
              <c:tx>
                <c:rich>
                  <a:bodyPr/>
                  <a:lstStyle/>
                  <a:p>
                    <a:r>
                      <a:rPr lang="en-US"/>
                      <a:t>2020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FD13-4AA6-BE10-778041635EC7}"/>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rgbClr val="44546A"/>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Karakter'!$Z$12:$Z$26</c:f>
              <c:numCache>
                <c:formatCode>#,##0.0</c:formatCode>
                <c:ptCount val="15"/>
                <c:pt idx="0">
                  <c:v>-2.9444681740137586</c:v>
                </c:pt>
                <c:pt idx="1">
                  <c:v>1.3718434407276769</c:v>
                </c:pt>
                <c:pt idx="2">
                  <c:v>4.5452830964594888</c:v>
                </c:pt>
                <c:pt idx="3">
                  <c:v>-3.4548472549980308E-2</c:v>
                </c:pt>
                <c:pt idx="4">
                  <c:v>-0.59657881748428288</c:v>
                </c:pt>
                <c:pt idx="5">
                  <c:v>8.4568849558336018E-2</c:v>
                </c:pt>
                <c:pt idx="6">
                  <c:v>-1.965224662254601</c:v>
                </c:pt>
                <c:pt idx="7">
                  <c:v>0.52319392133561315</c:v>
                </c:pt>
                <c:pt idx="8">
                  <c:v>-1.8890743413149162</c:v>
                </c:pt>
                <c:pt idx="9">
                  <c:v>-1.3918580255206598</c:v>
                </c:pt>
                <c:pt idx="10">
                  <c:v>3.1624982929788645E-2</c:v>
                </c:pt>
                <c:pt idx="11">
                  <c:v>-0.33752099970593769</c:v>
                </c:pt>
                <c:pt idx="12">
                  <c:v>1.1045172096823936</c:v>
                </c:pt>
                <c:pt idx="13">
                  <c:v>2.1155731734116916</c:v>
                </c:pt>
                <c:pt idx="14">
                  <c:v>-2.1219979613431432</c:v>
                </c:pt>
              </c:numCache>
            </c:numRef>
          </c:xVal>
          <c:yVal>
            <c:numRef>
              <c:f>'Grafikoni, CAB, Karakter'!$AA$12:$AA$26</c:f>
              <c:numCache>
                <c:formatCode>#,##0.0</c:formatCode>
                <c:ptCount val="15"/>
                <c:pt idx="0">
                  <c:v>1.1188998928745022</c:v>
                </c:pt>
                <c:pt idx="1">
                  <c:v>2.6216118642227757</c:v>
                </c:pt>
                <c:pt idx="2">
                  <c:v>1.8244210645077437</c:v>
                </c:pt>
                <c:pt idx="3">
                  <c:v>-4.6733727782255485E-3</c:v>
                </c:pt>
                <c:pt idx="4">
                  <c:v>-0.37571787435314841</c:v>
                </c:pt>
                <c:pt idx="5">
                  <c:v>0.23193703727072679</c:v>
                </c:pt>
                <c:pt idx="6">
                  <c:v>0.62862220796174606</c:v>
                </c:pt>
                <c:pt idx="7">
                  <c:v>-0.89211502457141867</c:v>
                </c:pt>
                <c:pt idx="8">
                  <c:v>-0.26884539013409725</c:v>
                </c:pt>
                <c:pt idx="9">
                  <c:v>-2.8928281782900451</c:v>
                </c:pt>
                <c:pt idx="10">
                  <c:v>-1.6700780528696497</c:v>
                </c:pt>
                <c:pt idx="11">
                  <c:v>-2.0611915441424085</c:v>
                </c:pt>
                <c:pt idx="12">
                  <c:v>1.3989019422622793</c:v>
                </c:pt>
                <c:pt idx="13">
                  <c:v>1.3133252222947303</c:v>
                </c:pt>
                <c:pt idx="14">
                  <c:v>7.2093507899540272</c:v>
                </c:pt>
              </c:numCache>
            </c:numRef>
          </c:yVal>
          <c:smooth val="1"/>
          <c:extLst>
            <c:ext xmlns:c16="http://schemas.microsoft.com/office/drawing/2014/chart" uri="{C3380CC4-5D6E-409C-BE32-E72D297353CC}">
              <c16:uniqueId val="{0000000F-FD13-4AA6-BE10-778041635EC7}"/>
            </c:ext>
          </c:extLst>
        </c:ser>
        <c:ser>
          <c:idx val="0"/>
          <c:order val="1"/>
          <c:spPr>
            <a:ln w="22225" cap="rnd">
              <a:solidFill>
                <a:srgbClr val="D9D9D9"/>
              </a:solidFill>
              <a:round/>
            </a:ln>
            <a:effectLst>
              <a:outerShdw blurRad="40000" dist="23000" dir="5400000" rotWithShape="0">
                <a:srgbClr val="000000">
                  <a:alpha val="35000"/>
                </a:srgbClr>
              </a:outerShdw>
            </a:effectLst>
          </c:spPr>
          <c:marker>
            <c:symbol val="circle"/>
            <c:size val="6"/>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12700" cap="rnd">
                <a:solidFill>
                  <a:schemeClr val="accent2"/>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xVal>
            <c:numRef>
              <c:f>'Grafikoni, CAB, Karakter'!$W$12:$W$22</c:f>
              <c:numCache>
                <c:formatCode>0.000</c:formatCode>
                <c:ptCount val="11"/>
                <c:pt idx="0">
                  <c:v>-0.67399205863125689</c:v>
                </c:pt>
                <c:pt idx="1">
                  <c:v>-0.33683436328695648</c:v>
                </c:pt>
                <c:pt idx="2">
                  <c:v>5.8450483861701069E-2</c:v>
                </c:pt>
                <c:pt idx="3">
                  <c:v>7.208067924900452E-2</c:v>
                </c:pt>
                <c:pt idx="4">
                  <c:v>0.11690216762152664</c:v>
                </c:pt>
                <c:pt idx="5">
                  <c:v>0.21039421619655649</c:v>
                </c:pt>
                <c:pt idx="6">
                  <c:v>-4.724337653766366E-2</c:v>
                </c:pt>
                <c:pt idx="7">
                  <c:v>-0.25720662636093239</c:v>
                </c:pt>
                <c:pt idx="8">
                  <c:v>-0.87007758712583194</c:v>
                </c:pt>
                <c:pt idx="9">
                  <c:v>-0.62572125962602632</c:v>
                </c:pt>
                <c:pt idx="10">
                  <c:v>-7.7293544030234224E-2</c:v>
                </c:pt>
              </c:numCache>
            </c:numRef>
          </c:xVal>
          <c:yVal>
            <c:numRef>
              <c:f>'Grafikoni, CAB, Karakter'!$X$12:$X$22</c:f>
              <c:numCache>
                <c:formatCode>General</c:formatCode>
                <c:ptCount val="11"/>
                <c:pt idx="10" formatCode="#,##0.0">
                  <c:v>0.67355802654918395</c:v>
                </c:pt>
              </c:numCache>
            </c:numRef>
          </c:yVal>
          <c:smooth val="1"/>
          <c:extLst>
            <c:ext xmlns:c16="http://schemas.microsoft.com/office/drawing/2014/chart" uri="{C3380CC4-5D6E-409C-BE32-E72D297353CC}">
              <c16:uniqueId val="{00000010-FD13-4AA6-BE10-778041635EC7}"/>
            </c:ext>
          </c:extLst>
        </c:ser>
        <c:dLbls>
          <c:showLegendKey val="0"/>
          <c:showVal val="0"/>
          <c:showCatName val="0"/>
          <c:showSerName val="0"/>
          <c:showPercent val="0"/>
          <c:showBubbleSize val="0"/>
        </c:dLbls>
        <c:axId val="244064800"/>
        <c:axId val="244083840"/>
      </c:scatterChart>
      <c:valAx>
        <c:axId val="244064800"/>
        <c:scaling>
          <c:orientation val="minMax"/>
          <c:min val="-4"/>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1">
                    <a:solidFill>
                      <a:srgbClr val="44546A"/>
                    </a:solidFill>
                    <a:latin typeface="+mn-lt"/>
                  </a:rPr>
                  <a:t>Производни јаз</a:t>
                </a:r>
              </a:p>
            </c:rich>
          </c:tx>
          <c:layout>
            <c:manualLayout>
              <c:xMode val="edge"/>
              <c:yMode val="edge"/>
              <c:x val="0.73248888888888886"/>
              <c:y val="0.57708759263169274"/>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Cambria" panose="02040503050406030204" pitchFamily="18" charset="0"/>
                <a:ea typeface="+mn-ea"/>
                <a:cs typeface="+mn-cs"/>
              </a:defRPr>
            </a:pPr>
            <a:endParaRPr lang="en-US"/>
          </a:p>
        </c:txPr>
        <c:crossAx val="244083840"/>
        <c:crosses val="autoZero"/>
        <c:crossBetween val="midCat"/>
      </c:valAx>
      <c:valAx>
        <c:axId val="244083840"/>
        <c:scaling>
          <c:orientation val="minMax"/>
          <c:max val="7.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1" i="0" u="none" strike="noStrike" kern="1200" baseline="0">
                    <a:solidFill>
                      <a:srgbClr val="44546A"/>
                    </a:solidFill>
                    <a:latin typeface="+mn-lt"/>
                    <a:ea typeface="+mn-ea"/>
                    <a:cs typeface="+mn-cs"/>
                  </a:defRPr>
                </a:pPr>
                <a:r>
                  <a:rPr lang="sr-Cyrl-CS" sz="700" b="1">
                    <a:solidFill>
                      <a:srgbClr val="44546A"/>
                    </a:solidFill>
                    <a:latin typeface="+mn-lt"/>
                  </a:rPr>
                  <a:t>Фискални импулс</a:t>
                </a:r>
                <a:endParaRPr lang="en-GB" sz="700" b="1">
                  <a:solidFill>
                    <a:srgbClr val="44546A"/>
                  </a:solidFill>
                  <a:latin typeface="+mn-lt"/>
                </a:endParaRPr>
              </a:p>
            </c:rich>
          </c:tx>
          <c:layout>
            <c:manualLayout>
              <c:xMode val="edge"/>
              <c:yMode val="edge"/>
              <c:x val="2.416097987751531E-3"/>
              <c:y val="0.42589687734422338"/>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Cambria" panose="02040503050406030204" pitchFamily="18" charset="0"/>
                <a:ea typeface="+mn-ea"/>
                <a:cs typeface="+mn-cs"/>
              </a:defRPr>
            </a:pPr>
            <a:endParaRPr lang="en-US"/>
          </a:p>
        </c:txPr>
        <c:crossAx val="24406480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en-US"/>
    </a:p>
  </c:txPr>
  <c:externalData r:id="rId2">
    <c:autoUpdate val="0"/>
  </c:externalData>
  <c:userShapes r:id="rId3"/>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500120566900126"/>
          <c:y val="4.2508416483893662E-2"/>
          <c:w val="0.83444297185624072"/>
          <c:h val="0.79799528842363843"/>
        </c:manualLayout>
      </c:layout>
      <c:barChart>
        <c:barDir val="col"/>
        <c:grouping val="clustered"/>
        <c:varyColors val="0"/>
        <c:ser>
          <c:idx val="0"/>
          <c:order val="0"/>
          <c:spPr>
            <a:solidFill>
              <a:srgbClr val="4472C4"/>
            </a:solidFill>
            <a:ln w="25400">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1F386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1'!$C$79:$C$91</c:f>
              <c:strCache>
                <c:ptCount val="13"/>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strCache>
            </c:strRef>
          </c:cat>
          <c:val>
            <c:numRef>
              <c:f>'Сценарио 1'!$D$79:$D$91</c:f>
              <c:numCache>
                <c:formatCode>0.0</c:formatCode>
                <c:ptCount val="13"/>
                <c:pt idx="0">
                  <c:v>28.7</c:v>
                </c:pt>
                <c:pt idx="1">
                  <c:v>32.799999999999997</c:v>
                </c:pt>
                <c:pt idx="2">
                  <c:v>41.4</c:v>
                </c:pt>
                <c:pt idx="3">
                  <c:v>44.687440191903903</c:v>
                </c:pt>
                <c:pt idx="4">
                  <c:v>54.625189225896399</c:v>
                </c:pt>
                <c:pt idx="5">
                  <c:v>57.483723765998228</c:v>
                </c:pt>
                <c:pt idx="6">
                  <c:v>67.495119111541086</c:v>
                </c:pt>
                <c:pt idx="7">
                  <c:v>71.199826125969352</c:v>
                </c:pt>
                <c:pt idx="8">
                  <c:v>68.698445741619125</c:v>
                </c:pt>
                <c:pt idx="9">
                  <c:v>58.615511734368184</c:v>
                </c:pt>
                <c:pt idx="10">
                  <c:v>54.353090578805471</c:v>
                </c:pt>
                <c:pt idx="11">
                  <c:v>52.862693481608204</c:v>
                </c:pt>
                <c:pt idx="12" formatCode="General">
                  <c:v>59</c:v>
                </c:pt>
              </c:numCache>
            </c:numRef>
          </c:val>
          <c:extLst>
            <c:ext xmlns:c16="http://schemas.microsoft.com/office/drawing/2014/chart" uri="{C3380CC4-5D6E-409C-BE32-E72D297353CC}">
              <c16:uniqueId val="{00000000-3A02-4D9C-BD6F-6024C92B79A0}"/>
            </c:ext>
          </c:extLst>
        </c:ser>
        <c:dLbls>
          <c:showLegendKey val="0"/>
          <c:showVal val="0"/>
          <c:showCatName val="0"/>
          <c:showSerName val="0"/>
          <c:showPercent val="0"/>
          <c:showBubbleSize val="0"/>
        </c:dLbls>
        <c:gapWidth val="57"/>
        <c:axId val="244088192"/>
        <c:axId val="244085472"/>
      </c:barChart>
      <c:catAx>
        <c:axId val="244088192"/>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crossAx val="244085472"/>
        <c:crosses val="autoZero"/>
        <c:auto val="1"/>
        <c:lblAlgn val="ctr"/>
        <c:lblOffset val="100"/>
        <c:noMultiLvlLbl val="0"/>
      </c:catAx>
      <c:valAx>
        <c:axId val="244085472"/>
        <c:scaling>
          <c:orientation val="minMax"/>
          <c:min val="2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800" b="0" i="0" u="none" strike="noStrike" kern="1200" baseline="0">
                    <a:solidFill>
                      <a:srgbClr val="1F3864"/>
                    </a:solidFill>
                    <a:latin typeface="+mn-lt"/>
                    <a:ea typeface="+mn-ea"/>
                    <a:cs typeface="+mn-cs"/>
                  </a:defRPr>
                </a:pPr>
                <a:r>
                  <a:rPr lang="sr-Cyrl-RS" sz="800">
                    <a:solidFill>
                      <a:srgbClr val="1F3864"/>
                    </a:solidFill>
                  </a:rPr>
                  <a:t>% БДП</a:t>
                </a:r>
              </a:p>
            </c:rich>
          </c:tx>
          <c:layout>
            <c:manualLayout>
              <c:xMode val="edge"/>
              <c:yMode val="edge"/>
              <c:x val="3.2322807450127912E-3"/>
              <c:y val="0.37112097018140483"/>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crossAx val="2440881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02758897021365"/>
          <c:y val="6.0254823273390982E-2"/>
          <c:w val="0.87904148407882354"/>
          <c:h val="0.79504206284355972"/>
        </c:manualLayout>
      </c:layout>
      <c:lineChart>
        <c:grouping val="standard"/>
        <c:varyColors val="0"/>
        <c:ser>
          <c:idx val="0"/>
          <c:order val="0"/>
          <c:tx>
            <c:strRef>
              <c:f>'Quaterly, Yearly'!$CE$5</c:f>
              <c:strCache>
                <c:ptCount val="1"/>
                <c:pt idx="0">
                  <c:v>Примарни резултат који стабилизује учешће дуга у БДП</c:v>
                </c:pt>
              </c:strCache>
            </c:strRef>
          </c:tx>
          <c:spPr>
            <a:ln w="25400" cap="rnd">
              <a:solidFill>
                <a:srgbClr val="1F3864"/>
              </a:solidFill>
              <a:round/>
            </a:ln>
            <a:effectLst/>
          </c:spPr>
          <c:marker>
            <c:symbol val="none"/>
          </c:marker>
          <c:cat>
            <c:strRef>
              <c:f>'Quaterly, Yearly'!$CS$7:$DA$8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Yearly'!$CS$5:$DA$5</c:f>
              <c:numCache>
                <c:formatCode>#,##0.00</c:formatCode>
                <c:ptCount val="9"/>
                <c:pt idx="0">
                  <c:v>0.37612175868662545</c:v>
                </c:pt>
                <c:pt idx="1">
                  <c:v>-0.43060820661954891</c:v>
                </c:pt>
                <c:pt idx="2">
                  <c:v>-0.46873639226908759</c:v>
                </c:pt>
                <c:pt idx="3">
                  <c:v>-1.3911928859585729</c:v>
                </c:pt>
                <c:pt idx="4">
                  <c:v>-1.4710845752452635</c:v>
                </c:pt>
                <c:pt idx="5">
                  <c:v>0.83575135890425767</c:v>
                </c:pt>
                <c:pt idx="6">
                  <c:v>-2.8862557087792244</c:v>
                </c:pt>
                <c:pt idx="7">
                  <c:v>-2.0279925069376366</c:v>
                </c:pt>
                <c:pt idx="8">
                  <c:v>-2.2703089278479092</c:v>
                </c:pt>
              </c:numCache>
            </c:numRef>
          </c:val>
          <c:smooth val="0"/>
          <c:extLst>
            <c:ext xmlns:c16="http://schemas.microsoft.com/office/drawing/2014/chart" uri="{C3380CC4-5D6E-409C-BE32-E72D297353CC}">
              <c16:uniqueId val="{00000000-31CC-4D9D-8114-F7CEA85FA44B}"/>
            </c:ext>
          </c:extLst>
        </c:ser>
        <c:ser>
          <c:idx val="1"/>
          <c:order val="1"/>
          <c:tx>
            <c:v>Остварени (пројектовани) примарни фискални резултат</c:v>
          </c:tx>
          <c:spPr>
            <a:ln w="25400" cap="rnd">
              <a:solidFill>
                <a:srgbClr val="FF0000"/>
              </a:solidFill>
              <a:round/>
            </a:ln>
            <a:effectLst/>
          </c:spPr>
          <c:marker>
            <c:symbol val="none"/>
          </c:marker>
          <c:cat>
            <c:strRef>
              <c:f>'Quaterly, Yearly'!$CS$7:$DA$8</c:f>
              <c:strCache>
                <c:ptCount val="9"/>
                <c:pt idx="0">
                  <c:v>2015</c:v>
                </c:pt>
                <c:pt idx="1">
                  <c:v>2016</c:v>
                </c:pt>
                <c:pt idx="2">
                  <c:v>2017</c:v>
                </c:pt>
                <c:pt idx="3">
                  <c:v>2018</c:v>
                </c:pt>
                <c:pt idx="4">
                  <c:v>2019</c:v>
                </c:pt>
                <c:pt idx="5">
                  <c:v>2020</c:v>
                </c:pt>
                <c:pt idx="6">
                  <c:v>2021</c:v>
                </c:pt>
                <c:pt idx="7">
                  <c:v>2022</c:v>
                </c:pt>
                <c:pt idx="8">
                  <c:v>2023</c:v>
                </c:pt>
              </c:strCache>
            </c:strRef>
          </c:cat>
          <c:val>
            <c:numRef>
              <c:f>'Quaterly, Yearly'!$CS$61:$DA$61</c:f>
              <c:numCache>
                <c:formatCode>#,##0.0</c:formatCode>
                <c:ptCount val="9"/>
                <c:pt idx="0">
                  <c:v>-0.47061316203530046</c:v>
                </c:pt>
                <c:pt idx="1">
                  <c:v>1.7045650732845505</c:v>
                </c:pt>
                <c:pt idx="2">
                  <c:v>3.634771068549187</c:v>
                </c:pt>
                <c:pt idx="3">
                  <c:v>2.7475533250713307</c:v>
                </c:pt>
                <c:pt idx="4">
                  <c:v>1.792985143581004</c:v>
                </c:pt>
                <c:pt idx="5" formatCode="#,##0.00">
                  <c:v>-6.92</c:v>
                </c:pt>
                <c:pt idx="6">
                  <c:v>-1.1000000000000001</c:v>
                </c:pt>
                <c:pt idx="7" formatCode="General">
                  <c:v>0.2</c:v>
                </c:pt>
                <c:pt idx="8" formatCode="General">
                  <c:v>0.2</c:v>
                </c:pt>
              </c:numCache>
            </c:numRef>
          </c:val>
          <c:smooth val="0"/>
          <c:extLst>
            <c:ext xmlns:c16="http://schemas.microsoft.com/office/drawing/2014/chart" uri="{C3380CC4-5D6E-409C-BE32-E72D297353CC}">
              <c16:uniqueId val="{00000001-31CC-4D9D-8114-F7CEA85FA44B}"/>
            </c:ext>
          </c:extLst>
        </c:ser>
        <c:dLbls>
          <c:showLegendKey val="0"/>
          <c:showVal val="0"/>
          <c:showCatName val="0"/>
          <c:showSerName val="0"/>
          <c:showPercent val="0"/>
          <c:showBubbleSize val="0"/>
        </c:dLbls>
        <c:smooth val="0"/>
        <c:axId val="244087648"/>
        <c:axId val="244066976"/>
      </c:lineChart>
      <c:catAx>
        <c:axId val="244087648"/>
        <c:scaling>
          <c:orientation val="minMax"/>
        </c:scaling>
        <c:delete val="0"/>
        <c:axPos val="b"/>
        <c:numFmt formatCode="General" sourceLinked="1"/>
        <c:majorTickMark val="out"/>
        <c:minorTickMark val="none"/>
        <c:tickLblPos val="low"/>
        <c:spPr>
          <a:noFill/>
          <a:ln w="9525" cap="flat" cmpd="sng" algn="ctr">
            <a:noFill/>
            <a:round/>
          </a:ln>
          <a:effectLst/>
        </c:spPr>
        <c:txPr>
          <a:bodyPr rot="-1560000" spcFirstLastPara="1" vertOverflow="ellipsis" wrap="square" anchor="ctr" anchorCtr="1"/>
          <a:lstStyle/>
          <a:p>
            <a:pPr>
              <a:defRPr sz="700" b="0" i="0" u="none" strike="noStrike" kern="1200" baseline="0">
                <a:solidFill>
                  <a:srgbClr val="1F3864"/>
                </a:solidFill>
                <a:latin typeface="+mn-lt"/>
                <a:ea typeface="+mn-ea"/>
                <a:cs typeface="+mn-cs"/>
              </a:defRPr>
            </a:pPr>
            <a:endParaRPr lang="en-US"/>
          </a:p>
        </c:txPr>
        <c:crossAx val="244066976"/>
        <c:crosses val="autoZero"/>
        <c:auto val="1"/>
        <c:lblAlgn val="ctr"/>
        <c:lblOffset val="100"/>
        <c:noMultiLvlLbl val="0"/>
      </c:catAx>
      <c:valAx>
        <c:axId val="24406697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rgbClr val="1F3864"/>
                    </a:solidFill>
                    <a:latin typeface="+mn-lt"/>
                    <a:ea typeface="+mn-ea"/>
                    <a:cs typeface="+mn-cs"/>
                  </a:defRPr>
                </a:pPr>
                <a:r>
                  <a:rPr lang="sr-Cyrl-RS" sz="700">
                    <a:solidFill>
                      <a:srgbClr val="1F3864"/>
                    </a:solidFill>
                    <a:latin typeface="+mn-lt"/>
                  </a:rPr>
                  <a:t>% БДП</a:t>
                </a:r>
                <a:endParaRPr lang="en-US" sz="700">
                  <a:solidFill>
                    <a:srgbClr val="1F3864"/>
                  </a:solidFill>
                  <a:latin typeface="+mn-lt"/>
                </a:endParaRPr>
              </a:p>
            </c:rich>
          </c:tx>
          <c:layout>
            <c:manualLayout>
              <c:xMode val="edge"/>
              <c:yMode val="edge"/>
              <c:x val="0"/>
              <c:y val="0.32409823214891603"/>
            </c:manualLayout>
          </c:layout>
          <c:overlay val="0"/>
          <c:spPr>
            <a:noFill/>
            <a:ln>
              <a:noFill/>
            </a:ln>
            <a:effectLst/>
          </c:sp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crossAx val="244087648"/>
        <c:crosses val="autoZero"/>
        <c:crossBetween val="between"/>
      </c:valAx>
      <c:spPr>
        <a:noFill/>
        <a:ln>
          <a:noFill/>
        </a:ln>
        <a:effectLst/>
      </c:spPr>
    </c:plotArea>
    <c:legend>
      <c:legendPos val="r"/>
      <c:layout>
        <c:manualLayout>
          <c:xMode val="edge"/>
          <c:yMode val="edge"/>
          <c:x val="0.46314494753597307"/>
          <c:y val="2.0468615124901071E-2"/>
          <c:w val="0.53325862841774985"/>
          <c:h val="0.28336844320211568"/>
        </c:manualLayout>
      </c:layout>
      <c:overlay val="0"/>
      <c:spPr>
        <a:noFill/>
        <a:ln>
          <a:noFill/>
        </a:ln>
        <a:effectLst/>
      </c:spPr>
      <c:txPr>
        <a:bodyPr rot="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139146812351105"/>
          <c:y val="2.9912556166267597E-2"/>
          <c:w val="0.84657839358674869"/>
          <c:h val="0.69761147544579216"/>
        </c:manualLayout>
      </c:layout>
      <c:lineChart>
        <c:grouping val="standard"/>
        <c:varyColors val="0"/>
        <c:ser>
          <c:idx val="3"/>
          <c:order val="0"/>
          <c:tx>
            <c:strRef>
              <c:f>'manje prilg + manji rast'!$B$33</c:f>
              <c:strCache>
                <c:ptCount val="1"/>
                <c:pt idx="0">
                  <c:v>Успорен раст након 2023, фискална експанзија</c:v>
                </c:pt>
              </c:strCache>
            </c:strRef>
          </c:tx>
          <c:spPr>
            <a:ln w="19050" cap="rnd">
              <a:solidFill>
                <a:srgbClr val="EC008C"/>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7FC6-4CAD-85F7-F7BAF8EA225D}"/>
                </c:ext>
              </c:extLst>
            </c:dLbl>
            <c:dLbl>
              <c:idx val="1"/>
              <c:delete val="1"/>
              <c:extLst>
                <c:ext xmlns:c15="http://schemas.microsoft.com/office/drawing/2012/chart" uri="{CE6537A1-D6FC-4f65-9D91-7224C49458BB}"/>
                <c:ext xmlns:c16="http://schemas.microsoft.com/office/drawing/2014/chart" uri="{C3380CC4-5D6E-409C-BE32-E72D297353CC}">
                  <c16:uniqueId val="{00000001-7FC6-4CAD-85F7-F7BAF8EA225D}"/>
                </c:ext>
              </c:extLst>
            </c:dLbl>
            <c:dLbl>
              <c:idx val="2"/>
              <c:delete val="1"/>
              <c:extLst>
                <c:ext xmlns:c15="http://schemas.microsoft.com/office/drawing/2012/chart" uri="{CE6537A1-D6FC-4f65-9D91-7224C49458BB}"/>
                <c:ext xmlns:c16="http://schemas.microsoft.com/office/drawing/2014/chart" uri="{C3380CC4-5D6E-409C-BE32-E72D297353CC}">
                  <c16:uniqueId val="{00000002-7FC6-4CAD-85F7-F7BAF8EA225D}"/>
                </c:ext>
              </c:extLst>
            </c:dLbl>
            <c:dLbl>
              <c:idx val="3"/>
              <c:delete val="1"/>
              <c:extLst>
                <c:ext xmlns:c15="http://schemas.microsoft.com/office/drawing/2012/chart" uri="{CE6537A1-D6FC-4f65-9D91-7224C49458BB}"/>
                <c:ext xmlns:c16="http://schemas.microsoft.com/office/drawing/2014/chart" uri="{C3380CC4-5D6E-409C-BE32-E72D297353CC}">
                  <c16:uniqueId val="{00000003-7FC6-4CAD-85F7-F7BAF8EA225D}"/>
                </c:ext>
              </c:extLst>
            </c:dLbl>
            <c:dLbl>
              <c:idx val="4"/>
              <c:delete val="1"/>
              <c:extLst>
                <c:ext xmlns:c15="http://schemas.microsoft.com/office/drawing/2012/chart" uri="{CE6537A1-D6FC-4f65-9D91-7224C49458BB}"/>
                <c:ext xmlns:c16="http://schemas.microsoft.com/office/drawing/2014/chart" uri="{C3380CC4-5D6E-409C-BE32-E72D297353CC}">
                  <c16:uniqueId val="{00000004-7FC6-4CAD-85F7-F7BAF8EA225D}"/>
                </c:ext>
              </c:extLst>
            </c:dLbl>
            <c:dLbl>
              <c:idx val="5"/>
              <c:delete val="1"/>
              <c:extLst>
                <c:ext xmlns:c15="http://schemas.microsoft.com/office/drawing/2012/chart" uri="{CE6537A1-D6FC-4f65-9D91-7224C49458BB}"/>
                <c:ext xmlns:c16="http://schemas.microsoft.com/office/drawing/2014/chart" uri="{C3380CC4-5D6E-409C-BE32-E72D297353CC}">
                  <c16:uniqueId val="{00000005-7FC6-4CAD-85F7-F7BAF8EA225D}"/>
                </c:ext>
              </c:extLst>
            </c:dLbl>
            <c:dLbl>
              <c:idx val="6"/>
              <c:delete val="1"/>
              <c:extLst>
                <c:ext xmlns:c15="http://schemas.microsoft.com/office/drawing/2012/chart" uri="{CE6537A1-D6FC-4f65-9D91-7224C49458BB}"/>
                <c:ext xmlns:c16="http://schemas.microsoft.com/office/drawing/2014/chart" uri="{C3380CC4-5D6E-409C-BE32-E72D297353CC}">
                  <c16:uniqueId val="{00000006-7FC6-4CAD-85F7-F7BAF8EA225D}"/>
                </c:ext>
              </c:extLst>
            </c:dLbl>
            <c:dLbl>
              <c:idx val="7"/>
              <c:delete val="1"/>
              <c:extLst>
                <c:ext xmlns:c15="http://schemas.microsoft.com/office/drawing/2012/chart" uri="{CE6537A1-D6FC-4f65-9D91-7224C49458BB}"/>
                <c:ext xmlns:c16="http://schemas.microsoft.com/office/drawing/2014/chart" uri="{C3380CC4-5D6E-409C-BE32-E72D297353CC}">
                  <c16:uniqueId val="{00000007-7FC6-4CAD-85F7-F7BAF8EA225D}"/>
                </c:ext>
              </c:extLst>
            </c:dLbl>
            <c:dLbl>
              <c:idx val="8"/>
              <c:delete val="1"/>
              <c:extLst>
                <c:ext xmlns:c15="http://schemas.microsoft.com/office/drawing/2012/chart" uri="{CE6537A1-D6FC-4f65-9D91-7224C49458BB}"/>
                <c:ext xmlns:c16="http://schemas.microsoft.com/office/drawing/2014/chart" uri="{C3380CC4-5D6E-409C-BE32-E72D297353CC}">
                  <c16:uniqueId val="{00000008-7FC6-4CAD-85F7-F7BAF8EA225D}"/>
                </c:ext>
              </c:extLst>
            </c:dLbl>
            <c:dLbl>
              <c:idx val="10"/>
              <c:delete val="1"/>
              <c:extLst>
                <c:ext xmlns:c15="http://schemas.microsoft.com/office/drawing/2012/chart" uri="{CE6537A1-D6FC-4f65-9D91-7224C49458BB}"/>
                <c:ext xmlns:c16="http://schemas.microsoft.com/office/drawing/2014/chart" uri="{C3380CC4-5D6E-409C-BE32-E72D297353CC}">
                  <c16:uniqueId val="{00000009-7FC6-4CAD-85F7-F7BAF8EA225D}"/>
                </c:ext>
              </c:extLst>
            </c:dLbl>
            <c:dLbl>
              <c:idx val="11"/>
              <c:delete val="1"/>
              <c:extLst>
                <c:ext xmlns:c15="http://schemas.microsoft.com/office/drawing/2012/chart" uri="{CE6537A1-D6FC-4f65-9D91-7224C49458BB}"/>
                <c:ext xmlns:c16="http://schemas.microsoft.com/office/drawing/2014/chart" uri="{C3380CC4-5D6E-409C-BE32-E72D297353CC}">
                  <c16:uniqueId val="{0000000A-7FC6-4CAD-85F7-F7BAF8EA225D}"/>
                </c:ext>
              </c:extLst>
            </c:dLbl>
            <c:dLbl>
              <c:idx val="12"/>
              <c:delete val="1"/>
              <c:extLst>
                <c:ext xmlns:c15="http://schemas.microsoft.com/office/drawing/2012/chart" uri="{CE6537A1-D6FC-4f65-9D91-7224C49458BB}"/>
                <c:ext xmlns:c16="http://schemas.microsoft.com/office/drawing/2014/chart" uri="{C3380CC4-5D6E-409C-BE32-E72D297353CC}">
                  <c16:uniqueId val="{0000000B-7FC6-4CAD-85F7-F7BAF8EA225D}"/>
                </c:ext>
              </c:extLst>
            </c:dLbl>
            <c:dLbl>
              <c:idx val="13"/>
              <c:layout>
                <c:manualLayout>
                  <c:x val="-7.4257428637148227E-3"/>
                  <c:y val="-5.741624631117623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FC6-4CAD-85F7-F7BAF8EA225D}"/>
                </c:ext>
              </c:extLst>
            </c:dLbl>
            <c:dLbl>
              <c:idx val="14"/>
              <c:layout>
                <c:manualLayout>
                  <c:x val="-1.6042785477262247E-2"/>
                  <c:y val="-3.60992701504515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FC6-4CAD-85F7-F7BAF8EA225D}"/>
                </c:ext>
              </c:extLst>
            </c:dLbl>
            <c:dLbl>
              <c:idx val="15"/>
              <c:delete val="1"/>
              <c:extLst>
                <c:ext xmlns:c15="http://schemas.microsoft.com/office/drawing/2012/chart" uri="{CE6537A1-D6FC-4f65-9D91-7224C49458BB}"/>
                <c:ext xmlns:c16="http://schemas.microsoft.com/office/drawing/2014/chart" uri="{C3380CC4-5D6E-409C-BE32-E72D297353CC}">
                  <c16:uniqueId val="{0000000E-7FC6-4CAD-85F7-F7BAF8EA225D}"/>
                </c:ext>
              </c:extLst>
            </c:dLbl>
            <c:dLbl>
              <c:idx val="16"/>
              <c:delete val="1"/>
              <c:extLst>
                <c:ext xmlns:c15="http://schemas.microsoft.com/office/drawing/2012/chart" uri="{CE6537A1-D6FC-4f65-9D91-7224C49458BB}"/>
                <c:ext xmlns:c16="http://schemas.microsoft.com/office/drawing/2014/chart" uri="{C3380CC4-5D6E-409C-BE32-E72D297353CC}">
                  <c16:uniqueId val="{0000000F-7FC6-4CAD-85F7-F7BAF8EA225D}"/>
                </c:ext>
              </c:extLst>
            </c:dLbl>
            <c:dLbl>
              <c:idx val="17"/>
              <c:layout>
                <c:manualLayout>
                  <c:x val="-2.4170619721703136E-2"/>
                  <c:y val="-3.91075426629891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7FC6-4CAD-85F7-F7BAF8EA225D}"/>
                </c:ext>
              </c:extLst>
            </c:dLbl>
            <c:spPr>
              <a:noFill/>
              <a:ln>
                <a:noFill/>
              </a:ln>
              <a:effectLst/>
            </c:spPr>
            <c:txPr>
              <a:bodyPr rot="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2019</c:v>
                </c:pt>
                <c:pt idx="1">
                  <c:v>2020</c:v>
                </c:pt>
                <c:pt idx="2">
                  <c:v>2021</c:v>
                </c:pt>
                <c:pt idx="3">
                  <c:v>2022</c:v>
                </c:pt>
                <c:pt idx="4">
                  <c:v>2023</c:v>
                </c:pt>
                <c:pt idx="5">
                  <c:v>2024</c:v>
                </c:pt>
                <c:pt idx="6">
                  <c:v>2025</c:v>
                </c:pt>
                <c:pt idx="7">
                  <c:v>2026</c:v>
                </c:pt>
                <c:pt idx="8">
                  <c:v>2027</c:v>
                </c:pt>
                <c:pt idx="9">
                  <c:v>2028</c:v>
                </c:pt>
              </c:numCache>
            </c:numRef>
          </c:cat>
          <c:val>
            <c:numRef>
              <c:f>'manje prilg + manji rast'!$C$39:$L$39</c:f>
              <c:numCache>
                <c:formatCode>#,##0.0</c:formatCode>
                <c:ptCount val="10"/>
                <c:pt idx="0">
                  <c:v>52.9</c:v>
                </c:pt>
                <c:pt idx="1">
                  <c:v>59</c:v>
                </c:pt>
                <c:pt idx="2">
                  <c:v>58.7</c:v>
                </c:pt>
                <c:pt idx="3">
                  <c:v>57.9</c:v>
                </c:pt>
                <c:pt idx="4">
                  <c:v>56</c:v>
                </c:pt>
                <c:pt idx="5">
                  <c:v>56.698362840281746</c:v>
                </c:pt>
                <c:pt idx="6">
                  <c:v>58.417567370949222</c:v>
                </c:pt>
                <c:pt idx="7">
                  <c:v>60.239617916867346</c:v>
                </c:pt>
                <c:pt idx="8">
                  <c:v>62.17175626515067</c:v>
                </c:pt>
                <c:pt idx="9">
                  <c:v>64.069643791146405</c:v>
                </c:pt>
              </c:numCache>
            </c:numRef>
          </c:val>
          <c:smooth val="1"/>
          <c:extLst>
            <c:ext xmlns:c16="http://schemas.microsoft.com/office/drawing/2014/chart" uri="{C3380CC4-5D6E-409C-BE32-E72D297353CC}">
              <c16:uniqueId val="{00000011-7FC6-4CAD-85F7-F7BAF8EA225D}"/>
            </c:ext>
          </c:extLst>
        </c:ser>
        <c:ser>
          <c:idx val="2"/>
          <c:order val="1"/>
          <c:tx>
            <c:strRef>
              <c:f>'manji rast'!$B$33</c:f>
              <c:strCache>
                <c:ptCount val="1"/>
                <c:pt idx="0">
                  <c:v>Успорен раст након 2023</c:v>
                </c:pt>
              </c:strCache>
            </c:strRef>
          </c:tx>
          <c:spPr>
            <a:ln w="19050" cap="rnd">
              <a:solidFill>
                <a:srgbClr val="92D050"/>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7FC6-4CAD-85F7-F7BAF8EA225D}"/>
                </c:ext>
              </c:extLst>
            </c:dLbl>
            <c:dLbl>
              <c:idx val="1"/>
              <c:delete val="1"/>
              <c:extLst>
                <c:ext xmlns:c15="http://schemas.microsoft.com/office/drawing/2012/chart" uri="{CE6537A1-D6FC-4f65-9D91-7224C49458BB}"/>
                <c:ext xmlns:c16="http://schemas.microsoft.com/office/drawing/2014/chart" uri="{C3380CC4-5D6E-409C-BE32-E72D297353CC}">
                  <c16:uniqueId val="{00000013-7FC6-4CAD-85F7-F7BAF8EA225D}"/>
                </c:ext>
              </c:extLst>
            </c:dLbl>
            <c:dLbl>
              <c:idx val="2"/>
              <c:delete val="1"/>
              <c:extLst>
                <c:ext xmlns:c15="http://schemas.microsoft.com/office/drawing/2012/chart" uri="{CE6537A1-D6FC-4f65-9D91-7224C49458BB}"/>
                <c:ext xmlns:c16="http://schemas.microsoft.com/office/drawing/2014/chart" uri="{C3380CC4-5D6E-409C-BE32-E72D297353CC}">
                  <c16:uniqueId val="{00000014-7FC6-4CAD-85F7-F7BAF8EA225D}"/>
                </c:ext>
              </c:extLst>
            </c:dLbl>
            <c:dLbl>
              <c:idx val="3"/>
              <c:delete val="1"/>
              <c:extLst>
                <c:ext xmlns:c15="http://schemas.microsoft.com/office/drawing/2012/chart" uri="{CE6537A1-D6FC-4f65-9D91-7224C49458BB}"/>
                <c:ext xmlns:c16="http://schemas.microsoft.com/office/drawing/2014/chart" uri="{C3380CC4-5D6E-409C-BE32-E72D297353CC}">
                  <c16:uniqueId val="{00000015-7FC6-4CAD-85F7-F7BAF8EA225D}"/>
                </c:ext>
              </c:extLst>
            </c:dLbl>
            <c:dLbl>
              <c:idx val="4"/>
              <c:delete val="1"/>
              <c:extLst>
                <c:ext xmlns:c15="http://schemas.microsoft.com/office/drawing/2012/chart" uri="{CE6537A1-D6FC-4f65-9D91-7224C49458BB}"/>
                <c:ext xmlns:c16="http://schemas.microsoft.com/office/drawing/2014/chart" uri="{C3380CC4-5D6E-409C-BE32-E72D297353CC}">
                  <c16:uniqueId val="{00000016-7FC6-4CAD-85F7-F7BAF8EA225D}"/>
                </c:ext>
              </c:extLst>
            </c:dLbl>
            <c:dLbl>
              <c:idx val="5"/>
              <c:delete val="1"/>
              <c:extLst>
                <c:ext xmlns:c15="http://schemas.microsoft.com/office/drawing/2012/chart" uri="{CE6537A1-D6FC-4f65-9D91-7224C49458BB}"/>
                <c:ext xmlns:c16="http://schemas.microsoft.com/office/drawing/2014/chart" uri="{C3380CC4-5D6E-409C-BE32-E72D297353CC}">
                  <c16:uniqueId val="{00000017-7FC6-4CAD-85F7-F7BAF8EA225D}"/>
                </c:ext>
              </c:extLst>
            </c:dLbl>
            <c:dLbl>
              <c:idx val="6"/>
              <c:delete val="1"/>
              <c:extLst>
                <c:ext xmlns:c15="http://schemas.microsoft.com/office/drawing/2012/chart" uri="{CE6537A1-D6FC-4f65-9D91-7224C49458BB}"/>
                <c:ext xmlns:c16="http://schemas.microsoft.com/office/drawing/2014/chart" uri="{C3380CC4-5D6E-409C-BE32-E72D297353CC}">
                  <c16:uniqueId val="{00000018-7FC6-4CAD-85F7-F7BAF8EA225D}"/>
                </c:ext>
              </c:extLst>
            </c:dLbl>
            <c:dLbl>
              <c:idx val="7"/>
              <c:delete val="1"/>
              <c:extLst>
                <c:ext xmlns:c15="http://schemas.microsoft.com/office/drawing/2012/chart" uri="{CE6537A1-D6FC-4f65-9D91-7224C49458BB}"/>
                <c:ext xmlns:c16="http://schemas.microsoft.com/office/drawing/2014/chart" uri="{C3380CC4-5D6E-409C-BE32-E72D297353CC}">
                  <c16:uniqueId val="{00000019-7FC6-4CAD-85F7-F7BAF8EA225D}"/>
                </c:ext>
              </c:extLst>
            </c:dLbl>
            <c:dLbl>
              <c:idx val="8"/>
              <c:delete val="1"/>
              <c:extLst>
                <c:ext xmlns:c15="http://schemas.microsoft.com/office/drawing/2012/chart" uri="{CE6537A1-D6FC-4f65-9D91-7224C49458BB}"/>
                <c:ext xmlns:c16="http://schemas.microsoft.com/office/drawing/2014/chart" uri="{C3380CC4-5D6E-409C-BE32-E72D297353CC}">
                  <c16:uniqueId val="{0000001A-7FC6-4CAD-85F7-F7BAF8EA225D}"/>
                </c:ext>
              </c:extLst>
            </c:dLbl>
            <c:dLbl>
              <c:idx val="9"/>
              <c:layout>
                <c:manualLayout>
                  <c:x val="-4.6379919466930384E-3"/>
                  <c:y val="2.7169462569964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7FC6-4CAD-85F7-F7BAF8EA225D}"/>
                </c:ext>
              </c:extLst>
            </c:dLbl>
            <c:dLbl>
              <c:idx val="10"/>
              <c:delete val="1"/>
              <c:extLst>
                <c:ext xmlns:c15="http://schemas.microsoft.com/office/drawing/2012/chart" uri="{CE6537A1-D6FC-4f65-9D91-7224C49458BB}"/>
                <c:ext xmlns:c16="http://schemas.microsoft.com/office/drawing/2014/chart" uri="{C3380CC4-5D6E-409C-BE32-E72D297353CC}">
                  <c16:uniqueId val="{0000001C-7FC6-4CAD-85F7-F7BAF8EA225D}"/>
                </c:ext>
              </c:extLst>
            </c:dLbl>
            <c:dLbl>
              <c:idx val="11"/>
              <c:delete val="1"/>
              <c:extLst>
                <c:ext xmlns:c15="http://schemas.microsoft.com/office/drawing/2012/chart" uri="{CE6537A1-D6FC-4f65-9D91-7224C49458BB}"/>
                <c:ext xmlns:c16="http://schemas.microsoft.com/office/drawing/2014/chart" uri="{C3380CC4-5D6E-409C-BE32-E72D297353CC}">
                  <c16:uniqueId val="{0000001D-7FC6-4CAD-85F7-F7BAF8EA225D}"/>
                </c:ext>
              </c:extLst>
            </c:dLbl>
            <c:dLbl>
              <c:idx val="12"/>
              <c:delete val="1"/>
              <c:extLst>
                <c:ext xmlns:c15="http://schemas.microsoft.com/office/drawing/2012/chart" uri="{CE6537A1-D6FC-4f65-9D91-7224C49458BB}"/>
                <c:ext xmlns:c16="http://schemas.microsoft.com/office/drawing/2014/chart" uri="{C3380CC4-5D6E-409C-BE32-E72D297353CC}">
                  <c16:uniqueId val="{0000001E-7FC6-4CAD-85F7-F7BAF8EA225D}"/>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7FC6-4CAD-85F7-F7BAF8EA225D}"/>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7FC6-4CAD-85F7-F7BAF8EA225D}"/>
                </c:ext>
              </c:extLst>
            </c:dLbl>
            <c:dLbl>
              <c:idx val="15"/>
              <c:delete val="1"/>
              <c:extLst>
                <c:ext xmlns:c15="http://schemas.microsoft.com/office/drawing/2012/chart" uri="{CE6537A1-D6FC-4f65-9D91-7224C49458BB}"/>
                <c:ext xmlns:c16="http://schemas.microsoft.com/office/drawing/2014/chart" uri="{C3380CC4-5D6E-409C-BE32-E72D297353CC}">
                  <c16:uniqueId val="{00000021-7FC6-4CAD-85F7-F7BAF8EA225D}"/>
                </c:ext>
              </c:extLst>
            </c:dLbl>
            <c:dLbl>
              <c:idx val="16"/>
              <c:delete val="1"/>
              <c:extLst>
                <c:ext xmlns:c15="http://schemas.microsoft.com/office/drawing/2012/chart" uri="{CE6537A1-D6FC-4f65-9D91-7224C49458BB}"/>
                <c:ext xmlns:c16="http://schemas.microsoft.com/office/drawing/2014/chart" uri="{C3380CC4-5D6E-409C-BE32-E72D297353CC}">
                  <c16:uniqueId val="{00000022-7FC6-4CAD-85F7-F7BAF8EA225D}"/>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7FC6-4CAD-85F7-F7BAF8EA225D}"/>
                </c:ext>
              </c:extLst>
            </c:dLbl>
            <c:spPr>
              <a:noFill/>
              <a:ln>
                <a:noFill/>
              </a:ln>
              <a:effectLst/>
            </c:spPr>
            <c:txPr>
              <a:bodyPr rot="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2019</c:v>
                </c:pt>
                <c:pt idx="1">
                  <c:v>2020</c:v>
                </c:pt>
                <c:pt idx="2">
                  <c:v>2021</c:v>
                </c:pt>
                <c:pt idx="3">
                  <c:v>2022</c:v>
                </c:pt>
                <c:pt idx="4">
                  <c:v>2023</c:v>
                </c:pt>
                <c:pt idx="5">
                  <c:v>2024</c:v>
                </c:pt>
                <c:pt idx="6">
                  <c:v>2025</c:v>
                </c:pt>
                <c:pt idx="7">
                  <c:v>2026</c:v>
                </c:pt>
                <c:pt idx="8">
                  <c:v>2027</c:v>
                </c:pt>
                <c:pt idx="9">
                  <c:v>2028</c:v>
                </c:pt>
              </c:numCache>
            </c:numRef>
          </c:cat>
          <c:val>
            <c:numRef>
              <c:f>'manji rast'!$C$39:$L$39</c:f>
              <c:numCache>
                <c:formatCode>#,##0.0</c:formatCode>
                <c:ptCount val="10"/>
                <c:pt idx="0">
                  <c:v>52.9</c:v>
                </c:pt>
                <c:pt idx="1">
                  <c:v>59</c:v>
                </c:pt>
                <c:pt idx="2">
                  <c:v>58.7</c:v>
                </c:pt>
                <c:pt idx="3">
                  <c:v>57.9</c:v>
                </c:pt>
                <c:pt idx="4">
                  <c:v>56</c:v>
                </c:pt>
                <c:pt idx="5">
                  <c:v>54.519265181800876</c:v>
                </c:pt>
                <c:pt idx="6">
                  <c:v>53.611606369166857</c:v>
                </c:pt>
                <c:pt idx="7">
                  <c:v>52.856979314142436</c:v>
                </c:pt>
                <c:pt idx="8">
                  <c:v>52.248420147924939</c:v>
                </c:pt>
                <c:pt idx="9">
                  <c:v>51.652624174963101</c:v>
                </c:pt>
              </c:numCache>
            </c:numRef>
          </c:val>
          <c:smooth val="1"/>
          <c:extLst>
            <c:ext xmlns:c16="http://schemas.microsoft.com/office/drawing/2014/chart" uri="{C3380CC4-5D6E-409C-BE32-E72D297353CC}">
              <c16:uniqueId val="{00000024-7FC6-4CAD-85F7-F7BAF8EA225D}"/>
            </c:ext>
          </c:extLst>
        </c:ser>
        <c:ser>
          <c:idx val="4"/>
          <c:order val="2"/>
          <c:tx>
            <c:strRef>
              <c:f>'manje prilagodjavanje'!$B$33</c:f>
              <c:strCache>
                <c:ptCount val="1"/>
                <c:pt idx="0">
                  <c:v>Фискална експанзија након 2023</c:v>
                </c:pt>
              </c:strCache>
            </c:strRef>
          </c:tx>
          <c:spPr>
            <a:ln w="19050" cap="rnd">
              <a:solidFill>
                <a:srgbClr val="7030A0"/>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25-7FC6-4CAD-85F7-F7BAF8EA225D}"/>
                </c:ext>
              </c:extLst>
            </c:dLbl>
            <c:dLbl>
              <c:idx val="1"/>
              <c:delete val="1"/>
              <c:extLst>
                <c:ext xmlns:c15="http://schemas.microsoft.com/office/drawing/2012/chart" uri="{CE6537A1-D6FC-4f65-9D91-7224C49458BB}"/>
                <c:ext xmlns:c16="http://schemas.microsoft.com/office/drawing/2014/chart" uri="{C3380CC4-5D6E-409C-BE32-E72D297353CC}">
                  <c16:uniqueId val="{00000026-7FC6-4CAD-85F7-F7BAF8EA225D}"/>
                </c:ext>
              </c:extLst>
            </c:dLbl>
            <c:dLbl>
              <c:idx val="2"/>
              <c:delete val="1"/>
              <c:extLst>
                <c:ext xmlns:c15="http://schemas.microsoft.com/office/drawing/2012/chart" uri="{CE6537A1-D6FC-4f65-9D91-7224C49458BB}"/>
                <c:ext xmlns:c16="http://schemas.microsoft.com/office/drawing/2014/chart" uri="{C3380CC4-5D6E-409C-BE32-E72D297353CC}">
                  <c16:uniqueId val="{00000027-7FC6-4CAD-85F7-F7BAF8EA225D}"/>
                </c:ext>
              </c:extLst>
            </c:dLbl>
            <c:dLbl>
              <c:idx val="3"/>
              <c:delete val="1"/>
              <c:extLst>
                <c:ext xmlns:c15="http://schemas.microsoft.com/office/drawing/2012/chart" uri="{CE6537A1-D6FC-4f65-9D91-7224C49458BB}"/>
                <c:ext xmlns:c16="http://schemas.microsoft.com/office/drawing/2014/chart" uri="{C3380CC4-5D6E-409C-BE32-E72D297353CC}">
                  <c16:uniqueId val="{00000028-7FC6-4CAD-85F7-F7BAF8EA225D}"/>
                </c:ext>
              </c:extLst>
            </c:dLbl>
            <c:dLbl>
              <c:idx val="4"/>
              <c:delete val="1"/>
              <c:extLst>
                <c:ext xmlns:c15="http://schemas.microsoft.com/office/drawing/2012/chart" uri="{CE6537A1-D6FC-4f65-9D91-7224C49458BB}"/>
                <c:ext xmlns:c16="http://schemas.microsoft.com/office/drawing/2014/chart" uri="{C3380CC4-5D6E-409C-BE32-E72D297353CC}">
                  <c16:uniqueId val="{00000029-7FC6-4CAD-85F7-F7BAF8EA225D}"/>
                </c:ext>
              </c:extLst>
            </c:dLbl>
            <c:dLbl>
              <c:idx val="5"/>
              <c:delete val="1"/>
              <c:extLst>
                <c:ext xmlns:c15="http://schemas.microsoft.com/office/drawing/2012/chart" uri="{CE6537A1-D6FC-4f65-9D91-7224C49458BB}"/>
                <c:ext xmlns:c16="http://schemas.microsoft.com/office/drawing/2014/chart" uri="{C3380CC4-5D6E-409C-BE32-E72D297353CC}">
                  <c16:uniqueId val="{0000002A-7FC6-4CAD-85F7-F7BAF8EA225D}"/>
                </c:ext>
              </c:extLst>
            </c:dLbl>
            <c:dLbl>
              <c:idx val="6"/>
              <c:delete val="1"/>
              <c:extLst>
                <c:ext xmlns:c15="http://schemas.microsoft.com/office/drawing/2012/chart" uri="{CE6537A1-D6FC-4f65-9D91-7224C49458BB}"/>
                <c:ext xmlns:c16="http://schemas.microsoft.com/office/drawing/2014/chart" uri="{C3380CC4-5D6E-409C-BE32-E72D297353CC}">
                  <c16:uniqueId val="{0000002B-7FC6-4CAD-85F7-F7BAF8EA225D}"/>
                </c:ext>
              </c:extLst>
            </c:dLbl>
            <c:dLbl>
              <c:idx val="7"/>
              <c:delete val="1"/>
              <c:extLst>
                <c:ext xmlns:c15="http://schemas.microsoft.com/office/drawing/2012/chart" uri="{CE6537A1-D6FC-4f65-9D91-7224C49458BB}"/>
                <c:ext xmlns:c16="http://schemas.microsoft.com/office/drawing/2014/chart" uri="{C3380CC4-5D6E-409C-BE32-E72D297353CC}">
                  <c16:uniqueId val="{0000002C-7FC6-4CAD-85F7-F7BAF8EA225D}"/>
                </c:ext>
              </c:extLst>
            </c:dLbl>
            <c:dLbl>
              <c:idx val="8"/>
              <c:delete val="1"/>
              <c:extLst>
                <c:ext xmlns:c15="http://schemas.microsoft.com/office/drawing/2012/chart" uri="{CE6537A1-D6FC-4f65-9D91-7224C49458BB}"/>
                <c:ext xmlns:c16="http://schemas.microsoft.com/office/drawing/2014/chart" uri="{C3380CC4-5D6E-409C-BE32-E72D297353CC}">
                  <c16:uniqueId val="{0000002D-7FC6-4CAD-85F7-F7BAF8EA225D}"/>
                </c:ext>
              </c:extLst>
            </c:dLbl>
            <c:dLbl>
              <c:idx val="9"/>
              <c:layout>
                <c:manualLayout>
                  <c:x val="-1.5459973155643462E-2"/>
                  <c:y val="-6.33954126632515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7FC6-4CAD-85F7-F7BAF8EA225D}"/>
                </c:ext>
              </c:extLst>
            </c:dLbl>
            <c:dLbl>
              <c:idx val="10"/>
              <c:delete val="1"/>
              <c:extLst>
                <c:ext xmlns:c15="http://schemas.microsoft.com/office/drawing/2012/chart" uri="{CE6537A1-D6FC-4f65-9D91-7224C49458BB}"/>
                <c:ext xmlns:c16="http://schemas.microsoft.com/office/drawing/2014/chart" uri="{C3380CC4-5D6E-409C-BE32-E72D297353CC}">
                  <c16:uniqueId val="{0000002F-7FC6-4CAD-85F7-F7BAF8EA225D}"/>
                </c:ext>
              </c:extLst>
            </c:dLbl>
            <c:dLbl>
              <c:idx val="11"/>
              <c:delete val="1"/>
              <c:extLst>
                <c:ext xmlns:c15="http://schemas.microsoft.com/office/drawing/2012/chart" uri="{CE6537A1-D6FC-4f65-9D91-7224C49458BB}"/>
                <c:ext xmlns:c16="http://schemas.microsoft.com/office/drawing/2014/chart" uri="{C3380CC4-5D6E-409C-BE32-E72D297353CC}">
                  <c16:uniqueId val="{00000030-7FC6-4CAD-85F7-F7BAF8EA225D}"/>
                </c:ext>
              </c:extLst>
            </c:dLbl>
            <c:dLbl>
              <c:idx val="12"/>
              <c:delete val="1"/>
              <c:extLst>
                <c:ext xmlns:c15="http://schemas.microsoft.com/office/drawing/2012/chart" uri="{CE6537A1-D6FC-4f65-9D91-7224C49458BB}"/>
                <c:ext xmlns:c16="http://schemas.microsoft.com/office/drawing/2014/chart" uri="{C3380CC4-5D6E-409C-BE32-E72D297353CC}">
                  <c16:uniqueId val="{00000031-7FC6-4CAD-85F7-F7BAF8EA225D}"/>
                </c:ext>
              </c:extLst>
            </c:dLbl>
            <c:dLbl>
              <c:idx val="13"/>
              <c:layout>
                <c:manualLayout>
                  <c:x val="-8.9108914364579191E-3"/>
                  <c:y val="-1.43540615777940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2-7FC6-4CAD-85F7-F7BAF8EA225D}"/>
                </c:ext>
              </c:extLst>
            </c:dLbl>
            <c:dLbl>
              <c:idx val="14"/>
              <c:layout>
                <c:manualLayout>
                  <c:x val="-1.6042785477262012E-2"/>
                  <c:y val="-4.21158151755268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3-7FC6-4CAD-85F7-F7BAF8EA225D}"/>
                </c:ext>
              </c:extLst>
            </c:dLbl>
            <c:dLbl>
              <c:idx val="15"/>
              <c:delete val="1"/>
              <c:extLst>
                <c:ext xmlns:c15="http://schemas.microsoft.com/office/drawing/2012/chart" uri="{CE6537A1-D6FC-4f65-9D91-7224C49458BB}"/>
                <c:ext xmlns:c16="http://schemas.microsoft.com/office/drawing/2014/chart" uri="{C3380CC4-5D6E-409C-BE32-E72D297353CC}">
                  <c16:uniqueId val="{00000034-7FC6-4CAD-85F7-F7BAF8EA225D}"/>
                </c:ext>
              </c:extLst>
            </c:dLbl>
            <c:dLbl>
              <c:idx val="16"/>
              <c:delete val="1"/>
              <c:extLst>
                <c:ext xmlns:c15="http://schemas.microsoft.com/office/drawing/2012/chart" uri="{CE6537A1-D6FC-4f65-9D91-7224C49458BB}"/>
                <c:ext xmlns:c16="http://schemas.microsoft.com/office/drawing/2014/chart" uri="{C3380CC4-5D6E-409C-BE32-E72D297353CC}">
                  <c16:uniqueId val="{00000035-7FC6-4CAD-85F7-F7BAF8EA225D}"/>
                </c:ext>
              </c:extLst>
            </c:dLbl>
            <c:dLbl>
              <c:idx val="17"/>
              <c:layout>
                <c:manualLayout>
                  <c:x val="-2.4170619721703136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6-7FC6-4CAD-85F7-F7BAF8EA225D}"/>
                </c:ext>
              </c:extLst>
            </c:dLbl>
            <c:spPr>
              <a:noFill/>
              <a:ln>
                <a:noFill/>
              </a:ln>
              <a:effectLst/>
            </c:spPr>
            <c:txPr>
              <a:bodyPr rot="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'Сценарио 1'!$C$33:$L$33</c:f>
              <c:numCache>
                <c:formatCode>General</c:formatCode>
                <c:ptCount val="10"/>
                <c:pt idx="0">
                  <c:v>2019</c:v>
                </c:pt>
                <c:pt idx="1">
                  <c:v>2020</c:v>
                </c:pt>
                <c:pt idx="2">
                  <c:v>2021</c:v>
                </c:pt>
                <c:pt idx="3">
                  <c:v>2022</c:v>
                </c:pt>
                <c:pt idx="4">
                  <c:v>2023</c:v>
                </c:pt>
                <c:pt idx="5">
                  <c:v>2024</c:v>
                </c:pt>
                <c:pt idx="6">
                  <c:v>2025</c:v>
                </c:pt>
                <c:pt idx="7">
                  <c:v>2026</c:v>
                </c:pt>
                <c:pt idx="8">
                  <c:v>2027</c:v>
                </c:pt>
                <c:pt idx="9">
                  <c:v>2028</c:v>
                </c:pt>
              </c:numCache>
            </c:numRef>
          </c:cat>
          <c:val>
            <c:numRef>
              <c:f>'manje prilagodjavanje'!$C$39:$L$39</c:f>
              <c:numCache>
                <c:formatCode>#,##0.0</c:formatCode>
                <c:ptCount val="10"/>
                <c:pt idx="0">
                  <c:v>52.9</c:v>
                </c:pt>
                <c:pt idx="1">
                  <c:v>59</c:v>
                </c:pt>
                <c:pt idx="2">
                  <c:v>58.7</c:v>
                </c:pt>
                <c:pt idx="3">
                  <c:v>57.9</c:v>
                </c:pt>
                <c:pt idx="4">
                  <c:v>56</c:v>
                </c:pt>
                <c:pt idx="5">
                  <c:v>55.480433159073925</c:v>
                </c:pt>
                <c:pt idx="6">
                  <c:v>55.488881796799731</c:v>
                </c:pt>
                <c:pt idx="7">
                  <c:v>55.496874876912543</c:v>
                </c:pt>
                <c:pt idx="8">
                  <c:v>55.504436963459895</c:v>
                </c:pt>
                <c:pt idx="9">
                  <c:v>55.511591295975343</c:v>
                </c:pt>
              </c:numCache>
            </c:numRef>
          </c:val>
          <c:smooth val="1"/>
          <c:extLst>
            <c:ext xmlns:c16="http://schemas.microsoft.com/office/drawing/2014/chart" uri="{C3380CC4-5D6E-409C-BE32-E72D297353CC}">
              <c16:uniqueId val="{00000037-7FC6-4CAD-85F7-F7BAF8EA225D}"/>
            </c:ext>
          </c:extLst>
        </c:ser>
        <c:ser>
          <c:idx val="0"/>
          <c:order val="3"/>
          <c:tx>
            <c:strRef>
              <c:f>'Сценарио 1'!$B$33</c:f>
              <c:strCache>
                <c:ptCount val="1"/>
                <c:pt idx="0">
                  <c:v>Основни сценарио</c:v>
                </c:pt>
              </c:strCache>
            </c:strRef>
          </c:tx>
          <c:spPr>
            <a:ln w="25400" cap="rnd">
              <a:solidFill>
                <a:schemeClr val="accent1"/>
              </a:solidFill>
              <a:round/>
            </a:ln>
            <a:effectLst/>
          </c:spPr>
          <c:marker>
            <c:symbol val="none"/>
          </c:marker>
          <c:dLbls>
            <c:dLbl>
              <c:idx val="1"/>
              <c:layout>
                <c:manualLayout>
                  <c:x val="3.310346409505751E-3"/>
                  <c:y val="1.50413625626881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8-7FC6-4CAD-85F7-F7BAF8EA225D}"/>
                </c:ext>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9-7FC6-4CAD-85F7-F7BAF8EA225D}"/>
                </c:ext>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A-7FC6-4CAD-85F7-F7BAF8EA225D}"/>
                </c:ext>
              </c:extLst>
            </c:dLbl>
            <c:dLbl>
              <c:idx val="4"/>
              <c:layout>
                <c:manualLayout>
                  <c:x val="-2.1608647542540962E-2"/>
                  <c:y val="6.01654502507525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B-7FC6-4CAD-85F7-F7BAF8EA225D}"/>
                </c:ext>
              </c:extLst>
            </c:dLbl>
            <c:dLbl>
              <c:idx val="5"/>
              <c:delete val="1"/>
              <c:extLst>
                <c:ext xmlns:c15="http://schemas.microsoft.com/office/drawing/2012/chart" uri="{CE6537A1-D6FC-4f65-9D91-7224C49458BB}"/>
                <c:ext xmlns:c16="http://schemas.microsoft.com/office/drawing/2014/chart" uri="{C3380CC4-5D6E-409C-BE32-E72D297353CC}">
                  <c16:uniqueId val="{0000003C-7FC6-4CAD-85F7-F7BAF8EA225D}"/>
                </c:ext>
              </c:extLst>
            </c:dLbl>
            <c:dLbl>
              <c:idx val="6"/>
              <c:delete val="1"/>
              <c:extLst>
                <c:ext xmlns:c15="http://schemas.microsoft.com/office/drawing/2012/chart" uri="{CE6537A1-D6FC-4f65-9D91-7224C49458BB}"/>
                <c:ext xmlns:c16="http://schemas.microsoft.com/office/drawing/2014/chart" uri="{C3380CC4-5D6E-409C-BE32-E72D297353CC}">
                  <c16:uniqueId val="{0000003D-7FC6-4CAD-85F7-F7BAF8EA225D}"/>
                </c:ext>
              </c:extLst>
            </c:dLbl>
            <c:dLbl>
              <c:idx val="7"/>
              <c:delete val="1"/>
              <c:extLst>
                <c:ext xmlns:c15="http://schemas.microsoft.com/office/drawing/2012/chart" uri="{CE6537A1-D6FC-4f65-9D91-7224C49458BB}"/>
                <c:ext xmlns:c16="http://schemas.microsoft.com/office/drawing/2014/chart" uri="{C3380CC4-5D6E-409C-BE32-E72D297353CC}">
                  <c16:uniqueId val="{0000003E-7FC6-4CAD-85F7-F7BAF8EA225D}"/>
                </c:ext>
              </c:extLst>
            </c:dLbl>
            <c:dLbl>
              <c:idx val="8"/>
              <c:delete val="1"/>
              <c:extLst>
                <c:ext xmlns:c15="http://schemas.microsoft.com/office/drawing/2012/chart" uri="{CE6537A1-D6FC-4f65-9D91-7224C49458BB}"/>
                <c:ext xmlns:c16="http://schemas.microsoft.com/office/drawing/2014/chart" uri="{C3380CC4-5D6E-409C-BE32-E72D297353CC}">
                  <c16:uniqueId val="{0000003F-7FC6-4CAD-85F7-F7BAF8EA225D}"/>
                </c:ext>
              </c:extLst>
            </c:dLbl>
            <c:dLbl>
              <c:idx val="9"/>
              <c:layout>
                <c:manualLayout>
                  <c:x val="-9.1095422455021637E-3"/>
                  <c:y val="-4.55811597872879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9-7FC6-4CAD-85F7-F7BAF8EA225D}"/>
                </c:ext>
              </c:extLst>
            </c:dLbl>
            <c:dLbl>
              <c:idx val="10"/>
              <c:delete val="1"/>
              <c:extLst>
                <c:ext xmlns:c15="http://schemas.microsoft.com/office/drawing/2012/chart" uri="{CE6537A1-D6FC-4f65-9D91-7224C49458BB}"/>
                <c:ext xmlns:c16="http://schemas.microsoft.com/office/drawing/2014/chart" uri="{C3380CC4-5D6E-409C-BE32-E72D297353CC}">
                  <c16:uniqueId val="{00000040-7FC6-4CAD-85F7-F7BAF8EA225D}"/>
                </c:ext>
              </c:extLst>
            </c:dLbl>
            <c:dLbl>
              <c:idx val="11"/>
              <c:delete val="1"/>
              <c:extLst>
                <c:ext xmlns:c15="http://schemas.microsoft.com/office/drawing/2012/chart" uri="{CE6537A1-D6FC-4f65-9D91-7224C49458BB}"/>
                <c:ext xmlns:c16="http://schemas.microsoft.com/office/drawing/2014/chart" uri="{C3380CC4-5D6E-409C-BE32-E72D297353CC}">
                  <c16:uniqueId val="{00000041-7FC6-4CAD-85F7-F7BAF8EA225D}"/>
                </c:ext>
              </c:extLst>
            </c:dLbl>
            <c:dLbl>
              <c:idx val="12"/>
              <c:delete val="1"/>
              <c:extLst>
                <c:ext xmlns:c15="http://schemas.microsoft.com/office/drawing/2012/chart" uri="{CE6537A1-D6FC-4f65-9D91-7224C49458BB}"/>
                <c:ext xmlns:c16="http://schemas.microsoft.com/office/drawing/2014/chart" uri="{C3380CC4-5D6E-409C-BE32-E72D297353CC}">
                  <c16:uniqueId val="{00000042-7FC6-4CAD-85F7-F7BAF8EA225D}"/>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3-7FC6-4CAD-85F7-F7BAF8EA225D}"/>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4-7FC6-4CAD-85F7-F7BAF8EA225D}"/>
                </c:ext>
              </c:extLst>
            </c:dLbl>
            <c:dLbl>
              <c:idx val="15"/>
              <c:delete val="1"/>
              <c:extLst>
                <c:ext xmlns:c15="http://schemas.microsoft.com/office/drawing/2012/chart" uri="{CE6537A1-D6FC-4f65-9D91-7224C49458BB}"/>
                <c:ext xmlns:c16="http://schemas.microsoft.com/office/drawing/2014/chart" uri="{C3380CC4-5D6E-409C-BE32-E72D297353CC}">
                  <c16:uniqueId val="{00000045-7FC6-4CAD-85F7-F7BAF8EA225D}"/>
                </c:ext>
              </c:extLst>
            </c:dLbl>
            <c:dLbl>
              <c:idx val="16"/>
              <c:delete val="1"/>
              <c:extLst>
                <c:ext xmlns:c15="http://schemas.microsoft.com/office/drawing/2012/chart" uri="{CE6537A1-D6FC-4f65-9D91-7224C49458BB}"/>
                <c:ext xmlns:c16="http://schemas.microsoft.com/office/drawing/2014/chart" uri="{C3380CC4-5D6E-409C-BE32-E72D297353CC}">
                  <c16:uniqueId val="{00000046-7FC6-4CAD-85F7-F7BAF8EA225D}"/>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7-7FC6-4CAD-85F7-F7BAF8EA225D}"/>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'Сценарио 1'!$C$33:$L$33</c:f>
              <c:numCache>
                <c:formatCode>General</c:formatCode>
                <c:ptCount val="10"/>
                <c:pt idx="0">
                  <c:v>2019</c:v>
                </c:pt>
                <c:pt idx="1">
                  <c:v>2020</c:v>
                </c:pt>
                <c:pt idx="2">
                  <c:v>2021</c:v>
                </c:pt>
                <c:pt idx="3">
                  <c:v>2022</c:v>
                </c:pt>
                <c:pt idx="4">
                  <c:v>2023</c:v>
                </c:pt>
                <c:pt idx="5">
                  <c:v>2024</c:v>
                </c:pt>
                <c:pt idx="6">
                  <c:v>2025</c:v>
                </c:pt>
                <c:pt idx="7">
                  <c:v>2026</c:v>
                </c:pt>
                <c:pt idx="8">
                  <c:v>2027</c:v>
                </c:pt>
                <c:pt idx="9">
                  <c:v>2028</c:v>
                </c:pt>
              </c:numCache>
            </c:numRef>
          </c:cat>
          <c:val>
            <c:numRef>
              <c:f>'Сценарио 1'!$C$39:$L$39</c:f>
              <c:numCache>
                <c:formatCode>#,##0.0</c:formatCode>
                <c:ptCount val="10"/>
                <c:pt idx="0">
                  <c:v>52.9</c:v>
                </c:pt>
                <c:pt idx="1">
                  <c:v>59</c:v>
                </c:pt>
                <c:pt idx="2">
                  <c:v>58.7</c:v>
                </c:pt>
                <c:pt idx="3">
                  <c:v>57.9</c:v>
                </c:pt>
                <c:pt idx="4">
                  <c:v>56</c:v>
                </c:pt>
                <c:pt idx="5">
                  <c:v>53.430246452576547</c:v>
                </c:pt>
                <c:pt idx="6">
                  <c:v>51.00135915637108</c:v>
                </c:pt>
                <c:pt idx="7">
                  <c:v>48.705616242198083</c:v>
                </c:pt>
                <c:pt idx="8">
                  <c:v>46.535719130788557</c:v>
                </c:pt>
                <c:pt idx="9">
                  <c:v>44.484769329294991</c:v>
                </c:pt>
              </c:numCache>
            </c:numRef>
          </c:val>
          <c:smooth val="1"/>
          <c:extLst>
            <c:ext xmlns:c16="http://schemas.microsoft.com/office/drawing/2014/chart" uri="{C3380CC4-5D6E-409C-BE32-E72D297353CC}">
              <c16:uniqueId val="{00000048-7FC6-4CAD-85F7-F7BAF8EA225D}"/>
            </c:ext>
          </c:extLst>
        </c:ser>
        <c:dLbls>
          <c:showLegendKey val="0"/>
          <c:showVal val="0"/>
          <c:showCatName val="0"/>
          <c:showSerName val="0"/>
          <c:showPercent val="0"/>
          <c:showBubbleSize val="0"/>
        </c:dLbls>
        <c:smooth val="0"/>
        <c:axId val="244092544"/>
        <c:axId val="244070240"/>
      </c:lineChart>
      <c:catAx>
        <c:axId val="24409254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noFill/>
            <a:round/>
          </a:ln>
          <a:effectLst/>
        </c:spPr>
        <c:txPr>
          <a:bodyPr rot="-6000000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crossAx val="244070240"/>
        <c:crosses val="autoZero"/>
        <c:auto val="1"/>
        <c:lblAlgn val="ctr"/>
        <c:lblOffset val="100"/>
        <c:noMultiLvlLbl val="0"/>
      </c:catAx>
      <c:valAx>
        <c:axId val="244070240"/>
        <c:scaling>
          <c:orientation val="minMax"/>
          <c:max val="65"/>
          <c:min val="35"/>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800" b="0" i="0" u="none" strike="noStrike" kern="1200" baseline="0">
                    <a:solidFill>
                      <a:srgbClr val="1F3864"/>
                    </a:solidFill>
                    <a:latin typeface="+mn-lt"/>
                    <a:ea typeface="+mn-ea"/>
                    <a:cs typeface="+mn-cs"/>
                  </a:defRPr>
                </a:pPr>
                <a:r>
                  <a:rPr lang="sr-Cyrl-RS" sz="800">
                    <a:solidFill>
                      <a:srgbClr val="1F3864"/>
                    </a:solidFill>
                    <a:latin typeface="+mn-lt"/>
                  </a:rPr>
                  <a:t>%</a:t>
                </a:r>
                <a:r>
                  <a:rPr lang="sr-Cyrl-RS" sz="800" b="0" i="0" u="none" strike="noStrike" kern="1200" baseline="0">
                    <a:solidFill>
                      <a:srgbClr val="1F3864"/>
                    </a:solidFill>
                    <a:latin typeface="+mn-lt"/>
                    <a:ea typeface="+mn-ea"/>
                    <a:cs typeface="+mn-cs"/>
                  </a:rPr>
                  <a:t> </a:t>
                </a:r>
                <a:r>
                  <a:rPr lang="sr-Cyrl-RS" sz="800">
                    <a:solidFill>
                      <a:srgbClr val="1F3864"/>
                    </a:solidFill>
                    <a:latin typeface="+mn-lt"/>
                  </a:rPr>
                  <a:t>БДП </a:t>
                </a:r>
                <a:endParaRPr lang="en-US" sz="800">
                  <a:solidFill>
                    <a:srgbClr val="1F3864"/>
                  </a:solidFill>
                  <a:latin typeface="+mn-lt"/>
                </a:endParaRPr>
              </a:p>
            </c:rich>
          </c:tx>
          <c:layout>
            <c:manualLayout>
              <c:xMode val="edge"/>
              <c:yMode val="edge"/>
              <c:x val="2.3067890444448003E-3"/>
              <c:y val="0.25088811572971981"/>
            </c:manualLayout>
          </c:layout>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1F3864"/>
                </a:solidFill>
                <a:latin typeface="+mn-lt"/>
                <a:ea typeface="+mn-ea"/>
                <a:cs typeface="+mn-cs"/>
              </a:defRPr>
            </a:pPr>
            <a:endParaRPr lang="en-US"/>
          </a:p>
        </c:txPr>
        <c:crossAx val="244092544"/>
        <c:crosses val="autoZero"/>
        <c:crossBetween val="between"/>
        <c:majorUnit val="5"/>
      </c:valAx>
      <c:spPr>
        <a:noFill/>
        <a:ln>
          <a:noFill/>
        </a:ln>
        <a:effectLst/>
      </c:spPr>
    </c:plotArea>
    <c:legend>
      <c:legendPos val="b"/>
      <c:legendEntry>
        <c:idx val="2"/>
        <c:txPr>
          <a:bodyPr rot="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legendEntry>
      <c:layout>
        <c:manualLayout>
          <c:xMode val="edge"/>
          <c:yMode val="edge"/>
          <c:x val="2.8163323538770813E-2"/>
          <c:y val="0.79592640816074234"/>
          <c:w val="0.96382317438746568"/>
          <c:h val="0.19809899047501311"/>
        </c:manualLayout>
      </c:layout>
      <c:overlay val="0"/>
      <c:spPr>
        <a:noFill/>
        <a:ln>
          <a:noFill/>
        </a:ln>
        <a:effectLst/>
      </c:spPr>
      <c:txPr>
        <a:bodyPr rot="0" spcFirstLastPara="1" vertOverflow="ellipsis" vert="horz" wrap="square" anchor="ctr" anchorCtr="1"/>
        <a:lstStyle/>
        <a:p>
          <a:pPr>
            <a:defRPr sz="700" b="0" i="0" u="none" strike="noStrike" kern="1200" baseline="0">
              <a:solidFill>
                <a:srgbClr val="1F3864"/>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latin typeface="+mj-lt"/>
        </a:defRPr>
      </a:pPr>
      <a:endParaRPr lang="en-US"/>
    </a:p>
  </c:txPr>
  <c:externalData r:id="rId1">
    <c:autoUpdate val="0"/>
  </c:externalData>
  <c:userShapes r:id="rId2"/>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5.0617226501430711E-2"/>
          <c:w val="0.90916365972175073"/>
          <c:h val="0.56739239433635813"/>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2017</c:v>
                </c:pt>
                <c:pt idx="1">
                  <c:v>2018</c:v>
                </c:pt>
                <c:pt idx="2">
                  <c:v>2019</c:v>
                </c:pt>
                <c:pt idx="3">
                  <c:v>2020/IX</c:v>
                </c:pt>
              </c:strCache>
            </c:strRef>
          </c:cat>
          <c:val>
            <c:numRef>
              <c:f>ucesce!$B$5:$E$5</c:f>
              <c:numCache>
                <c:formatCode>0.0%</c:formatCode>
                <c:ptCount val="4"/>
                <c:pt idx="0">
                  <c:v>0.53401060193293903</c:v>
                </c:pt>
                <c:pt idx="1">
                  <c:v>0.500709569920195</c:v>
                </c:pt>
                <c:pt idx="2">
                  <c:v>0.48740724061449198</c:v>
                </c:pt>
                <c:pt idx="3">
                  <c:v>0.53694078357934605</c:v>
                </c:pt>
              </c:numCache>
            </c:numRef>
          </c:val>
          <c:extLst>
            <c:ext xmlns:c16="http://schemas.microsoft.com/office/drawing/2014/chart" uri="{C3380CC4-5D6E-409C-BE32-E72D297353CC}">
              <c16:uniqueId val="{00000000-E5FF-44F3-977D-B0387A522DC1}"/>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2017</c:v>
                </c:pt>
                <c:pt idx="1">
                  <c:v>2018</c:v>
                </c:pt>
                <c:pt idx="2">
                  <c:v>2019</c:v>
                </c:pt>
                <c:pt idx="3">
                  <c:v>2020/IX</c:v>
                </c:pt>
              </c:strCache>
            </c:strRef>
          </c:cat>
          <c:val>
            <c:numRef>
              <c:f>ucesce!$B$6:$E$6</c:f>
              <c:numCache>
                <c:formatCode>0.0%</c:formatCode>
                <c:ptCount val="4"/>
                <c:pt idx="0">
                  <c:v>4.3871636186754701E-2</c:v>
                </c:pt>
                <c:pt idx="1">
                  <c:v>3.5509255380483502E-2</c:v>
                </c:pt>
                <c:pt idx="2">
                  <c:v>3.2302218222082103E-2</c:v>
                </c:pt>
                <c:pt idx="3">
                  <c:v>3.00355009876964E-2</c:v>
                </c:pt>
              </c:numCache>
            </c:numRef>
          </c:val>
          <c:extLst>
            <c:ext xmlns:c16="http://schemas.microsoft.com/office/drawing/2014/chart" uri="{C3380CC4-5D6E-409C-BE32-E72D297353CC}">
              <c16:uniqueId val="{00000001-E5FF-44F3-977D-B0387A522DC1}"/>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5FF-44F3-977D-B0387A522DC1}"/>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5FF-44F3-977D-B0387A522DC1}"/>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5FF-44F3-977D-B0387A522DC1}"/>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5FF-44F3-977D-B0387A522DC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2017</c:v>
                </c:pt>
                <c:pt idx="1">
                  <c:v>2018</c:v>
                </c:pt>
                <c:pt idx="2">
                  <c:v>2019</c:v>
                </c:pt>
                <c:pt idx="3">
                  <c:v>2020/IX</c:v>
                </c:pt>
              </c:strCache>
            </c:strRef>
          </c:cat>
          <c:val>
            <c:numRef>
              <c:f>ucesce!$B$7:$E$7</c:f>
              <c:numCache>
                <c:formatCode>0.0%</c:formatCode>
                <c:ptCount val="4"/>
                <c:pt idx="0">
                  <c:v>8.2838729084952507E-3</c:v>
                </c:pt>
                <c:pt idx="1">
                  <c:v>7.3120804873760903E-3</c:v>
                </c:pt>
                <c:pt idx="2">
                  <c:v>8.9174759795078804E-3</c:v>
                </c:pt>
                <c:pt idx="3">
                  <c:v>8.5798869568102301E-3</c:v>
                </c:pt>
              </c:numCache>
            </c:numRef>
          </c:val>
          <c:extLst>
            <c:ext xmlns:c16="http://schemas.microsoft.com/office/drawing/2014/chart" uri="{C3380CC4-5D6E-409C-BE32-E72D297353CC}">
              <c16:uniqueId val="{00000006-E5FF-44F3-977D-B0387A522DC1}"/>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1">
                    <a:lumMod val="65000"/>
                    <a:lumOff val="35000"/>
                  </a:schemeClr>
                </a:solidFill>
                <a:latin typeface="+mn-lt"/>
                <a:ea typeface="+mn-ea"/>
                <a:cs typeface="+mn-cs"/>
              </a:defRPr>
            </a:pPr>
            <a:endParaRPr lang="en-U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6.1162094238265845E-2"/>
          <c:y val="0.75765592081258903"/>
          <c:w val="0.88915449975532701"/>
          <c:h val="0.2407556230359097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931214270050278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2017</c:v>
                </c:pt>
                <c:pt idx="1">
                  <c:v>2018</c:v>
                </c:pt>
                <c:pt idx="2">
                  <c:v>2019</c:v>
                </c:pt>
                <c:pt idx="3">
                  <c:v>2020/IX</c:v>
                </c:pt>
              </c:strCache>
            </c:strRef>
          </c:cat>
          <c:val>
            <c:numRef>
              <c:f>valutna!$B$5:$E$5</c:f>
              <c:numCache>
                <c:formatCode>0.0%</c:formatCode>
                <c:ptCount val="4"/>
                <c:pt idx="0">
                  <c:v>0.42154645131822072</c:v>
                </c:pt>
                <c:pt idx="1">
                  <c:v>0.40641595607242059</c:v>
                </c:pt>
                <c:pt idx="2">
                  <c:v>0.44833301051551283</c:v>
                </c:pt>
                <c:pt idx="3">
                  <c:v>0.47649128970499077</c:v>
                </c:pt>
              </c:numCache>
            </c:numRef>
          </c:val>
          <c:extLst>
            <c:ext xmlns:c16="http://schemas.microsoft.com/office/drawing/2014/chart" uri="{C3380CC4-5D6E-409C-BE32-E72D297353CC}">
              <c16:uniqueId val="{00000000-563E-4D3E-BE37-47559109B197}"/>
            </c:ext>
          </c:extLst>
        </c:ser>
        <c:ser>
          <c:idx val="1"/>
          <c:order val="1"/>
          <c:tx>
            <c:strRef>
              <c:f>valutna!$A$6</c:f>
              <c:strCache>
                <c:ptCount val="1"/>
                <c:pt idx="0">
                  <c:v>USD</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2017</c:v>
                </c:pt>
                <c:pt idx="1">
                  <c:v>2018</c:v>
                </c:pt>
                <c:pt idx="2">
                  <c:v>2019</c:v>
                </c:pt>
                <c:pt idx="3">
                  <c:v>2020/IX</c:v>
                </c:pt>
              </c:strCache>
            </c:strRef>
          </c:cat>
          <c:val>
            <c:numRef>
              <c:f>valutna!$B$6:$E$6</c:f>
              <c:numCache>
                <c:formatCode>0.0%</c:formatCode>
                <c:ptCount val="4"/>
                <c:pt idx="0">
                  <c:v>0.29071708104415483</c:v>
                </c:pt>
                <c:pt idx="1">
                  <c:v>0.26123751938392553</c:v>
                </c:pt>
                <c:pt idx="2">
                  <c:v>0.19781774415122602</c:v>
                </c:pt>
                <c:pt idx="3">
                  <c:v>0.16368817641495542</c:v>
                </c:pt>
              </c:numCache>
            </c:numRef>
          </c:val>
          <c:extLst>
            <c:ext xmlns:c16="http://schemas.microsoft.com/office/drawing/2014/chart" uri="{C3380CC4-5D6E-409C-BE32-E72D297353CC}">
              <c16:uniqueId val="{00000001-563E-4D3E-BE37-47559109B197}"/>
            </c:ext>
          </c:extLst>
        </c:ser>
        <c:ser>
          <c:idx val="2"/>
          <c:order val="2"/>
          <c:tx>
            <c:strRef>
              <c:f>valutna!$A$7</c:f>
              <c:strCache>
                <c:ptCount val="1"/>
                <c:pt idx="0">
                  <c:v>RSD</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2017</c:v>
                </c:pt>
                <c:pt idx="1">
                  <c:v>2018</c:v>
                </c:pt>
                <c:pt idx="2">
                  <c:v>2019</c:v>
                </c:pt>
                <c:pt idx="3">
                  <c:v>2020/IX</c:v>
                </c:pt>
              </c:strCache>
            </c:strRef>
          </c:cat>
          <c:val>
            <c:numRef>
              <c:f>valutna!$B$7:$E$7</c:f>
              <c:numCache>
                <c:formatCode>0.0%</c:formatCode>
                <c:ptCount val="4"/>
                <c:pt idx="0">
                  <c:v>0.22903807367756407</c:v>
                </c:pt>
                <c:pt idx="1">
                  <c:v>0.25890412889768505</c:v>
                </c:pt>
                <c:pt idx="2">
                  <c:v>0.27573155342039779</c:v>
                </c:pt>
                <c:pt idx="3">
                  <c:v>0.29237042742697089</c:v>
                </c:pt>
              </c:numCache>
            </c:numRef>
          </c:val>
          <c:extLst>
            <c:ext xmlns:c16="http://schemas.microsoft.com/office/drawing/2014/chart" uri="{C3380CC4-5D6E-409C-BE32-E72D297353CC}">
              <c16:uniqueId val="{00000002-563E-4D3E-BE37-47559109B197}"/>
            </c:ext>
          </c:extLst>
        </c:ser>
        <c:ser>
          <c:idx val="3"/>
          <c:order val="3"/>
          <c:tx>
            <c:strRef>
              <c:f>valutna!$A$8</c:f>
              <c:strCache>
                <c:ptCount val="1"/>
                <c:pt idx="0">
                  <c:v>SDR</c:v>
                </c:pt>
              </c:strCache>
            </c:strRef>
          </c:tx>
          <c:spPr>
            <a:solidFill>
              <a:srgbClr val="51BBE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2017</c:v>
                </c:pt>
                <c:pt idx="1">
                  <c:v>2018</c:v>
                </c:pt>
                <c:pt idx="2">
                  <c:v>2019</c:v>
                </c:pt>
                <c:pt idx="3">
                  <c:v>2020/IX</c:v>
                </c:pt>
              </c:strCache>
            </c:strRef>
          </c:cat>
          <c:val>
            <c:numRef>
              <c:f>valutna!$B$8:$E$8</c:f>
              <c:numCache>
                <c:formatCode>0.0%</c:formatCode>
                <c:ptCount val="4"/>
                <c:pt idx="0">
                  <c:v>3.3595171603561673E-2</c:v>
                </c:pt>
                <c:pt idx="1">
                  <c:v>3.2232383859172806E-2</c:v>
                </c:pt>
                <c:pt idx="2">
                  <c:v>2.8895120057216048E-2</c:v>
                </c:pt>
                <c:pt idx="3">
                  <c:v>2.3560630119682853E-2</c:v>
                </c:pt>
              </c:numCache>
            </c:numRef>
          </c:val>
          <c:extLst>
            <c:ext xmlns:c16="http://schemas.microsoft.com/office/drawing/2014/chart" uri="{C3380CC4-5D6E-409C-BE32-E72D297353CC}">
              <c16:uniqueId val="{00000003-563E-4D3E-BE37-47559109B197}"/>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0-746F-4056-BA12-5C58E5CBAF14}"/>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63E-4D3E-BE37-47559109B197}"/>
                </c:ext>
              </c:extLst>
            </c:dLbl>
            <c:dLbl>
              <c:idx val="2"/>
              <c:layout>
                <c:manualLayout>
                  <c:x val="0"/>
                  <c:y val="-1.66821586326099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3E-4D3E-BE37-47559109B197}"/>
                </c:ext>
              </c:extLst>
            </c:dLbl>
            <c:dLbl>
              <c:idx val="3"/>
              <c:layout>
                <c:manualLayout>
                  <c:x val="0"/>
                  <c:y val="-2.273606043147045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63E-4D3E-BE37-47559109B197}"/>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2017</c:v>
                </c:pt>
                <c:pt idx="1">
                  <c:v>2018</c:v>
                </c:pt>
                <c:pt idx="2">
                  <c:v>2019</c:v>
                </c:pt>
                <c:pt idx="3">
                  <c:v>2020/IX</c:v>
                </c:pt>
              </c:strCache>
            </c:strRef>
          </c:cat>
          <c:val>
            <c:numRef>
              <c:f>valutna!$B$9:$E$9</c:f>
              <c:numCache>
                <c:formatCode>0.0%</c:formatCode>
                <c:ptCount val="4"/>
                <c:pt idx="0">
                  <c:v>2.5103222356498693E-2</c:v>
                </c:pt>
                <c:pt idx="1">
                  <c:v>4.121001178679598E-2</c:v>
                </c:pt>
                <c:pt idx="2">
                  <c:v>4.9222571855647254E-2</c:v>
                </c:pt>
                <c:pt idx="3">
                  <c:v>4.3889476333400138E-2</c:v>
                </c:pt>
              </c:numCache>
            </c:numRef>
          </c:val>
          <c:extLst>
            <c:ext xmlns:c16="http://schemas.microsoft.com/office/drawing/2014/chart" uri="{C3380CC4-5D6E-409C-BE32-E72D297353CC}">
              <c16:uniqueId val="{00000008-563E-4D3E-BE37-47559109B197}"/>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1">
                    <a:lumMod val="65000"/>
                    <a:lumOff val="35000"/>
                  </a:schemeClr>
                </a:solidFill>
                <a:latin typeface="+mn-lt"/>
                <a:ea typeface="+mn-ea"/>
                <a:cs typeface="+mn-cs"/>
              </a:defRPr>
            </a:pPr>
            <a:endParaRPr lang="en-U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461082645912174"/>
          <c:y val="0.95145864866243768"/>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2017</c:v>
                </c:pt>
                <c:pt idx="1">
                  <c:v>2018</c:v>
                </c:pt>
                <c:pt idx="2">
                  <c:v>2019</c:v>
                </c:pt>
                <c:pt idx="3">
                  <c:v>2020/IX</c:v>
                </c:pt>
              </c:strCache>
            </c:strRef>
          </c:cat>
          <c:val>
            <c:numRef>
              <c:f>kamatna!$B$5:$E$5</c:f>
              <c:numCache>
                <c:formatCode>0.0%</c:formatCode>
                <c:ptCount val="4"/>
                <c:pt idx="0">
                  <c:v>0.78942242347415104</c:v>
                </c:pt>
                <c:pt idx="1">
                  <c:v>0.80328692085923303</c:v>
                </c:pt>
                <c:pt idx="2">
                  <c:v>0.83150687493433895</c:v>
                </c:pt>
                <c:pt idx="3">
                  <c:v>0.85307050309237287</c:v>
                </c:pt>
              </c:numCache>
            </c:numRef>
          </c:val>
          <c:extLst>
            <c:ext xmlns:c16="http://schemas.microsoft.com/office/drawing/2014/chart" uri="{C3380CC4-5D6E-409C-BE32-E72D297353CC}">
              <c16:uniqueId val="{00000000-B0F5-4A1C-90A1-00D7CC588F8B}"/>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2017</c:v>
                </c:pt>
                <c:pt idx="1">
                  <c:v>2018</c:v>
                </c:pt>
                <c:pt idx="2">
                  <c:v>2019</c:v>
                </c:pt>
                <c:pt idx="3">
                  <c:v>2020/IX</c:v>
                </c:pt>
              </c:strCache>
            </c:strRef>
          </c:cat>
          <c:val>
            <c:numRef>
              <c:f>kamatna!$B$6:$E$6</c:f>
              <c:numCache>
                <c:formatCode>0.0%</c:formatCode>
                <c:ptCount val="4"/>
                <c:pt idx="0">
                  <c:v>0.21057757652584888</c:v>
                </c:pt>
                <c:pt idx="1">
                  <c:v>0.19671307914076705</c:v>
                </c:pt>
                <c:pt idx="2">
                  <c:v>0.16849312506566114</c:v>
                </c:pt>
                <c:pt idx="3">
                  <c:v>0.14692949690762711</c:v>
                </c:pt>
              </c:numCache>
            </c:numRef>
          </c:val>
          <c:extLst>
            <c:ext xmlns:c16="http://schemas.microsoft.com/office/drawing/2014/chart" uri="{C3380CC4-5D6E-409C-BE32-E72D297353CC}">
              <c16:uniqueId val="{00000001-B0F5-4A1C-90A1-00D7CC588F8B}"/>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en-U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361294621454051"/>
          <c:y val="6.1565790344303539E-2"/>
          <c:w val="0.85973720777162932"/>
          <c:h val="0.78065698309450449"/>
        </c:manualLayout>
      </c:layout>
      <c:lineChart>
        <c:grouping val="standard"/>
        <c:varyColors val="0"/>
        <c:ser>
          <c:idx val="0"/>
          <c:order val="0"/>
          <c:tx>
            <c:strRef>
              <c:f>'prosecne stope RSD'!$G$3</c:f>
              <c:strCache>
                <c:ptCount val="1"/>
                <c:pt idx="0">
                  <c:v>2014</c:v>
                </c:pt>
              </c:strCache>
            </c:strRef>
          </c:tx>
          <c:marker>
            <c:symbol val="square"/>
            <c:size val="3"/>
          </c:marker>
          <c:dLbls>
            <c:dLbl>
              <c:idx val="0"/>
              <c:layout>
                <c:manualLayout>
                  <c:x val="-4.9573958054004857E-2"/>
                  <c:y val="-3.95295153323225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6DF-4A20-A452-DD306ECE75E9}"/>
                </c:ext>
              </c:extLst>
            </c:dLbl>
            <c:dLbl>
              <c:idx val="1"/>
              <c:layout>
                <c:manualLayout>
                  <c:x val="-3.9276485788113734E-2"/>
                  <c:y val="-2.3718760071802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6DF-4A20-A452-DD306ECE75E9}"/>
                </c:ext>
              </c:extLst>
            </c:dLbl>
            <c:dLbl>
              <c:idx val="2"/>
              <c:layout>
                <c:manualLayout>
                  <c:x val="-7.8533759131501749E-2"/>
                  <c:y val="-4.3291436396537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6DF-4A20-A452-DD306ECE75E9}"/>
                </c:ext>
              </c:extLst>
            </c:dLbl>
            <c:dLbl>
              <c:idx val="3"/>
              <c:layout>
                <c:manualLayout>
                  <c:x val="-6.8178737719704535E-2"/>
                  <c:y val="-4.10342185487683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6DF-4A20-A452-DD306ECE75E9}"/>
                </c:ext>
              </c:extLst>
            </c:dLbl>
            <c:dLbl>
              <c:idx val="4"/>
              <c:layout>
                <c:manualLayout>
                  <c:x val="-8.7649184563385593E-2"/>
                  <c:y val="-5.82107623676142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6DF-4A20-A452-DD306ECE75E9}"/>
                </c:ext>
              </c:extLst>
            </c:dLbl>
            <c:dLbl>
              <c:idx val="5"/>
              <c:layout>
                <c:manualLayout>
                  <c:x val="-3.7209302325581395E-2"/>
                  <c:y val="-3.049554866374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6DF-4A20-A452-DD306ECE75E9}"/>
                </c:ext>
              </c:extLst>
            </c:dLbl>
            <c:dLbl>
              <c:idx val="6"/>
              <c:delete val="1"/>
              <c:extLst>
                <c:ext xmlns:c15="http://schemas.microsoft.com/office/drawing/2012/chart" uri="{CE6537A1-D6FC-4f65-9D91-7224C49458BB}"/>
                <c:ext xmlns:c16="http://schemas.microsoft.com/office/drawing/2014/chart" uri="{C3380CC4-5D6E-409C-BE32-E72D297353CC}">
                  <c16:uniqueId val="{00000006-86DF-4A20-A452-DD306ECE75E9}"/>
                </c:ext>
              </c:extLst>
            </c:dLbl>
            <c:dLbl>
              <c:idx val="7"/>
              <c:layout>
                <c:manualLayout>
                  <c:x val="-5.1679586563307643E-2"/>
                  <c:y val="-2.37187600718019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6DF-4A20-A452-DD306ECE75E9}"/>
                </c:ext>
              </c:extLst>
            </c:dLbl>
            <c:spPr>
              <a:noFill/>
              <a:ln>
                <a:noFill/>
              </a:ln>
              <a:effectLst/>
            </c:spPr>
            <c:txPr>
              <a:bodyPr wrap="square" lIns="38100" tIns="19050" rIns="38100" bIns="19050" anchor="ctr">
                <a:spAutoFit/>
              </a:bodyPr>
              <a:lstStyle/>
              <a:p>
                <a:pPr>
                  <a:defRPr sz="70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RSD'!$G$4:$G$12</c:f>
              <c:numCache>
                <c:formatCode>0.00%</c:formatCode>
                <c:ptCount val="9"/>
                <c:pt idx="0">
                  <c:v>7.3468533707053724E-2</c:v>
                </c:pt>
                <c:pt idx="1">
                  <c:v>7.5380391763085336E-2</c:v>
                </c:pt>
                <c:pt idx="2">
                  <c:v>8.4879368443006004E-2</c:v>
                </c:pt>
                <c:pt idx="3">
                  <c:v>9.2075564136107582E-2</c:v>
                </c:pt>
                <c:pt idx="4">
                  <c:v>0.10155991831303504</c:v>
                </c:pt>
                <c:pt idx="5">
                  <c:v>0.10931231263607823</c:v>
                </c:pt>
                <c:pt idx="6">
                  <c:v>0.11987205744538962</c:v>
                </c:pt>
                <c:pt idx="7">
                  <c:v>0.12989999999999999</c:v>
                </c:pt>
              </c:numCache>
            </c:numRef>
          </c:val>
          <c:smooth val="0"/>
          <c:extLst>
            <c:ext xmlns:c16="http://schemas.microsoft.com/office/drawing/2014/chart" uri="{C3380CC4-5D6E-409C-BE32-E72D297353CC}">
              <c16:uniqueId val="{00000008-86DF-4A20-A452-DD306ECE75E9}"/>
            </c:ext>
          </c:extLst>
        </c:ser>
        <c:ser>
          <c:idx val="1"/>
          <c:order val="1"/>
          <c:tx>
            <c:strRef>
              <c:f>'prosecne stope RSD'!$H$3</c:f>
              <c:strCache>
                <c:ptCount val="1"/>
                <c:pt idx="0">
                  <c:v>2015</c:v>
                </c:pt>
              </c:strCache>
            </c:strRef>
          </c:tx>
          <c:marker>
            <c:symbol val="square"/>
            <c:size val="3"/>
          </c:marker>
          <c:dLbls>
            <c:dLbl>
              <c:idx val="0"/>
              <c:layout>
                <c:manualLayout>
                  <c:x val="-4.3410852713178294E-2"/>
                  <c:y val="-1.01651828879151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6DF-4A20-A452-DD306ECE75E9}"/>
                </c:ext>
              </c:extLst>
            </c:dLbl>
            <c:dLbl>
              <c:idx val="1"/>
              <c:layout>
                <c:manualLayout>
                  <c:x val="2.0671834625322618E-3"/>
                  <c:y val="-3.388394295971644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6DF-4A20-A452-DD306ECE75E9}"/>
                </c:ext>
              </c:extLst>
            </c:dLbl>
            <c:dLbl>
              <c:idx val="2"/>
              <c:layout>
                <c:manualLayout>
                  <c:x val="-1.6537467700258397E-2"/>
                  <c:y val="1.35535771838867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6DF-4A20-A452-DD306ECE75E9}"/>
                </c:ext>
              </c:extLst>
            </c:dLbl>
            <c:dLbl>
              <c:idx val="3"/>
              <c:layout>
                <c:manualLayout>
                  <c:x val="-5.1679586563307491E-2"/>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6DF-4A20-A452-DD306ECE75E9}"/>
                </c:ext>
              </c:extLst>
            </c:dLbl>
            <c:dLbl>
              <c:idx val="4"/>
              <c:layout>
                <c:manualLayout>
                  <c:x val="-2.8940568475452271E-2"/>
                  <c:y val="-3.049554866374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6DF-4A20-A452-DD306ECE75E9}"/>
                </c:ext>
              </c:extLst>
            </c:dLbl>
            <c:dLbl>
              <c:idx val="5"/>
              <c:layout>
                <c:manualLayout>
                  <c:x val="6.2015503875967474E-3"/>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6DF-4A20-A452-DD306ECE75E9}"/>
                </c:ext>
              </c:extLst>
            </c:dLbl>
            <c:dLbl>
              <c:idx val="6"/>
              <c:layout>
                <c:manualLayout>
                  <c:x val="-4.9612403100775193E-2"/>
                  <c:y val="-2.37187600718019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6DF-4A20-A452-DD306ECE75E9}"/>
                </c:ext>
              </c:extLst>
            </c:dLbl>
            <c:spPr>
              <a:noFill/>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RSD'!$H$4:$H$12</c:f>
              <c:numCache>
                <c:formatCode>0.00%</c:formatCode>
                <c:ptCount val="9"/>
                <c:pt idx="0">
                  <c:v>4.9599999999999998E-2</c:v>
                </c:pt>
                <c:pt idx="1">
                  <c:v>4.4200000000000003E-2</c:v>
                </c:pt>
                <c:pt idx="2">
                  <c:v>5.9400000000000001E-2</c:v>
                </c:pt>
                <c:pt idx="3">
                  <c:v>7.0599999999999996E-2</c:v>
                </c:pt>
                <c:pt idx="4">
                  <c:v>8.6199999999999999E-2</c:v>
                </c:pt>
                <c:pt idx="5">
                  <c:v>6.5000000000000002E-2</c:v>
                </c:pt>
                <c:pt idx="6">
                  <c:v>0.11990000000000001</c:v>
                </c:pt>
              </c:numCache>
            </c:numRef>
          </c:val>
          <c:smooth val="0"/>
          <c:extLst>
            <c:ext xmlns:c16="http://schemas.microsoft.com/office/drawing/2014/chart" uri="{C3380CC4-5D6E-409C-BE32-E72D297353CC}">
              <c16:uniqueId val="{00000010-86DF-4A20-A452-DD306ECE75E9}"/>
            </c:ext>
          </c:extLst>
        </c:ser>
        <c:ser>
          <c:idx val="2"/>
          <c:order val="2"/>
          <c:tx>
            <c:strRef>
              <c:f>'prosecne stope RSD'!$I$3</c:f>
              <c:strCache>
                <c:ptCount val="1"/>
                <c:pt idx="0">
                  <c:v>2016</c:v>
                </c:pt>
              </c:strCache>
            </c:strRef>
          </c:tx>
          <c:marker>
            <c:symbol val="square"/>
            <c:size val="3"/>
          </c:marker>
          <c:dLbls>
            <c:dLbl>
              <c:idx val="0"/>
              <c:layout>
                <c:manualLayout>
                  <c:x val="-3.7209302325581395E-2"/>
                  <c:y val="3.049554866374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86DF-4A20-A452-DD306ECE75E9}"/>
                </c:ext>
              </c:extLst>
            </c:dLbl>
            <c:dLbl>
              <c:idx val="1"/>
              <c:layout>
                <c:manualLayout>
                  <c:x val="-4.3410852713178336E-2"/>
                  <c:y val="-3.7272337255688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86DF-4A20-A452-DD306ECE75E9}"/>
                </c:ext>
              </c:extLst>
            </c:dLbl>
            <c:dLbl>
              <c:idx val="2"/>
              <c:layout>
                <c:manualLayout>
                  <c:x val="-3.5142118863049097E-2"/>
                  <c:y val="-2.03303657758302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86DF-4A20-A452-DD306ECE75E9}"/>
                </c:ext>
              </c:extLst>
            </c:dLbl>
            <c:dLbl>
              <c:idx val="3"/>
              <c:layout>
                <c:manualLayout>
                  <c:x val="-4.7545219638242896E-2"/>
                  <c:y val="-3.38839429597170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86DF-4A20-A452-DD306ECE75E9}"/>
                </c:ext>
              </c:extLst>
            </c:dLbl>
            <c:dLbl>
              <c:idx val="4"/>
              <c:layout>
                <c:manualLayout>
                  <c:x val="-4.9612403100775269E-2"/>
                  <c:y val="-3.38839429597170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86DF-4A20-A452-DD306ECE75E9}"/>
                </c:ext>
              </c:extLst>
            </c:dLbl>
            <c:dLbl>
              <c:idx val="5"/>
              <c:layout>
                <c:manualLayout>
                  <c:x val="-5.5813953488372092E-2"/>
                  <c:y val="-2.71071543677735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86DF-4A20-A452-DD306ECE75E9}"/>
                </c:ext>
              </c:extLst>
            </c:dLbl>
            <c:dLbl>
              <c:idx val="6"/>
              <c:layout>
                <c:manualLayout>
                  <c:x val="-3.3074935400516793E-2"/>
                  <c:y val="-2.37187600718019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86DF-4A20-A452-DD306ECE75E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RSD'!$I$4:$I$12</c:f>
              <c:numCache>
                <c:formatCode>0.00%</c:formatCode>
                <c:ptCount val="9"/>
                <c:pt idx="0">
                  <c:v>2.7828542094455851E-2</c:v>
                </c:pt>
                <c:pt idx="1">
                  <c:v>3.134348238444587E-2</c:v>
                </c:pt>
                <c:pt idx="2">
                  <c:v>3.9337242154189392E-2</c:v>
                </c:pt>
                <c:pt idx="3">
                  <c:v>4.7811460067649983E-2</c:v>
                </c:pt>
                <c:pt idx="4">
                  <c:v>5.3818376487193224E-2</c:v>
                </c:pt>
                <c:pt idx="5">
                  <c:v>5.6809188243596612E-2</c:v>
                </c:pt>
                <c:pt idx="6">
                  <c:v>5.8299999999999998E-2</c:v>
                </c:pt>
              </c:numCache>
            </c:numRef>
          </c:val>
          <c:smooth val="0"/>
          <c:extLst>
            <c:ext xmlns:c16="http://schemas.microsoft.com/office/drawing/2014/chart" uri="{C3380CC4-5D6E-409C-BE32-E72D297353CC}">
              <c16:uniqueId val="{00000018-86DF-4A20-A452-DD306ECE75E9}"/>
            </c:ext>
          </c:extLst>
        </c:ser>
        <c:ser>
          <c:idx val="3"/>
          <c:order val="3"/>
          <c:tx>
            <c:strRef>
              <c:f>'prosecne stope RSD'!$J$3</c:f>
              <c:strCache>
                <c:ptCount val="1"/>
                <c:pt idx="0">
                  <c:v>2017</c:v>
                </c:pt>
              </c:strCache>
            </c:strRef>
          </c:tx>
          <c:marker>
            <c:symbol val="square"/>
            <c:size val="3"/>
          </c:marker>
          <c:dLbls>
            <c:dLbl>
              <c:idx val="0"/>
              <c:layout>
                <c:manualLayout>
                  <c:x val="-1.6537467700258397E-2"/>
                  <c:y val="2.37187600718018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86DF-4A20-A452-DD306ECE75E9}"/>
                </c:ext>
              </c:extLst>
            </c:dLbl>
            <c:dLbl>
              <c:idx val="2"/>
              <c:layout>
                <c:manualLayout>
                  <c:x val="-8.2687338501291983E-3"/>
                  <c:y val="1.01651828879151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86DF-4A20-A452-DD306ECE75E9}"/>
                </c:ext>
              </c:extLst>
            </c:dLbl>
            <c:dLbl>
              <c:idx val="3"/>
              <c:layout>
                <c:manualLayout>
                  <c:x val="-1.8604651162790697E-2"/>
                  <c:y val="1.35535771838868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86DF-4A20-A452-DD306ECE75E9}"/>
                </c:ext>
              </c:extLst>
            </c:dLbl>
            <c:dLbl>
              <c:idx val="4"/>
              <c:layout>
                <c:manualLayout>
                  <c:x val="2.6736020027185999E-2"/>
                  <c:y val="-5.24017719271060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86DF-4A20-A452-DD306ECE75E9}"/>
                </c:ext>
              </c:extLst>
            </c:dLbl>
            <c:dLbl>
              <c:idx val="5"/>
              <c:delete val="1"/>
              <c:extLst>
                <c:ext xmlns:c15="http://schemas.microsoft.com/office/drawing/2012/chart" uri="{CE6537A1-D6FC-4f65-9D91-7224C49458BB}"/>
                <c:ext xmlns:c16="http://schemas.microsoft.com/office/drawing/2014/chart" uri="{C3380CC4-5D6E-409C-BE32-E72D297353CC}">
                  <c16:uniqueId val="{0000001D-86DF-4A20-A452-DD306ECE75E9}"/>
                </c:ext>
              </c:extLst>
            </c:dLbl>
            <c:dLbl>
              <c:idx val="6"/>
              <c:layout>
                <c:manualLayout>
                  <c:x val="0"/>
                  <c:y val="-1.35535771838868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86DF-4A20-A452-DD306ECE75E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RSD'!$J$4:$J$12</c:f>
              <c:numCache>
                <c:formatCode>0.00%</c:formatCode>
                <c:ptCount val="9"/>
                <c:pt idx="1">
                  <c:v>2.64E-2</c:v>
                </c:pt>
                <c:pt idx="2">
                  <c:v>3.4799999999999998E-2</c:v>
                </c:pt>
                <c:pt idx="3">
                  <c:v>4.5571173144751329E-2</c:v>
                </c:pt>
                <c:pt idx="4">
                  <c:v>4.8338312800935847E-2</c:v>
                </c:pt>
                <c:pt idx="5">
                  <c:v>5.116768326523416E-2</c:v>
                </c:pt>
                <c:pt idx="6">
                  <c:v>5.3997053729532465E-2</c:v>
                </c:pt>
              </c:numCache>
            </c:numRef>
          </c:val>
          <c:smooth val="0"/>
          <c:extLst>
            <c:ext xmlns:c16="http://schemas.microsoft.com/office/drawing/2014/chart" uri="{C3380CC4-5D6E-409C-BE32-E72D297353CC}">
              <c16:uniqueId val="{0000001F-86DF-4A20-A452-DD306ECE75E9}"/>
            </c:ext>
          </c:extLst>
        </c:ser>
        <c:ser>
          <c:idx val="4"/>
          <c:order val="4"/>
          <c:tx>
            <c:strRef>
              <c:f>'prosecne stope RSD'!$K$3</c:f>
              <c:strCache>
                <c:ptCount val="1"/>
                <c:pt idx="0">
                  <c:v>2018</c:v>
                </c:pt>
              </c:strCache>
            </c:strRef>
          </c:tx>
          <c:marker>
            <c:symbol val="square"/>
            <c:size val="3"/>
          </c:marker>
          <c:dLbls>
            <c:dLbl>
              <c:idx val="0"/>
              <c:layout>
                <c:manualLayout>
                  <c:x val="-3.7209302325581395E-2"/>
                  <c:y val="2.71071543677735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86DF-4A20-A452-DD306ECE75E9}"/>
                </c:ext>
              </c:extLst>
            </c:dLbl>
            <c:dLbl>
              <c:idx val="4"/>
              <c:layout>
                <c:manualLayout>
                  <c:x val="-3.9244614547020711E-2"/>
                  <c:y val="-2.0330284801356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86DF-4A20-A452-DD306ECE75E9}"/>
                </c:ext>
              </c:extLst>
            </c:dLbl>
            <c:dLbl>
              <c:idx val="5"/>
              <c:layout>
                <c:manualLayout>
                  <c:x val="-3.0994856293118159E-2"/>
                  <c:y val="1.43007124109485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86DF-4A20-A452-DD306ECE75E9}"/>
                </c:ext>
              </c:extLst>
            </c:dLbl>
            <c:dLbl>
              <c:idx val="6"/>
              <c:delete val="1"/>
              <c:extLst>
                <c:ext xmlns:c15="http://schemas.microsoft.com/office/drawing/2012/chart" uri="{CE6537A1-D6FC-4f65-9D91-7224C49458BB}"/>
                <c:ext xmlns:c16="http://schemas.microsoft.com/office/drawing/2014/chart" uri="{C3380CC4-5D6E-409C-BE32-E72D297353CC}">
                  <c16:uniqueId val="{00000023-86DF-4A20-A452-DD306ECE75E9}"/>
                </c:ext>
              </c:extLst>
            </c:dLbl>
            <c:dLbl>
              <c:idx val="7"/>
              <c:layout>
                <c:manualLayout>
                  <c:x val="-1.5159170271874968E-16"/>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86DF-4A20-A452-DD306ECE75E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RSD'!$K$4:$K$12</c:f>
              <c:numCache>
                <c:formatCode>General</c:formatCode>
                <c:ptCount val="9"/>
                <c:pt idx="4" formatCode="0.00%">
                  <c:v>3.8278184992579532E-2</c:v>
                </c:pt>
                <c:pt idx="5" formatCode="0.00%">
                  <c:v>4.1742905834370771E-2</c:v>
                </c:pt>
                <c:pt idx="6" formatCode="0.00%">
                  <c:v>0.05</c:v>
                </c:pt>
                <c:pt idx="7" formatCode="0.00%">
                  <c:v>5.1847071771341881E-2</c:v>
                </c:pt>
              </c:numCache>
            </c:numRef>
          </c:val>
          <c:smooth val="0"/>
          <c:extLst>
            <c:ext xmlns:c16="http://schemas.microsoft.com/office/drawing/2014/chart" uri="{C3380CC4-5D6E-409C-BE32-E72D297353CC}">
              <c16:uniqueId val="{00000025-86DF-4A20-A452-DD306ECE75E9}"/>
            </c:ext>
          </c:extLst>
        </c:ser>
        <c:ser>
          <c:idx val="5"/>
          <c:order val="5"/>
          <c:tx>
            <c:strRef>
              <c:f>'prosecne stope RSD'!$L$3</c:f>
              <c:strCache>
                <c:ptCount val="1"/>
                <c:pt idx="0">
                  <c:v>2019</c:v>
                </c:pt>
              </c:strCache>
            </c:strRef>
          </c:tx>
          <c:marker>
            <c:symbol val="square"/>
            <c:size val="3"/>
          </c:marker>
          <c:dLbls>
            <c:dLbl>
              <c:idx val="0"/>
              <c:layout>
                <c:manualLayout>
                  <c:x val="-2.0671834625323016E-2"/>
                  <c:y val="2.71071543677735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86DF-4A20-A452-DD306ECE75E9}"/>
                </c:ext>
              </c:extLst>
            </c:dLbl>
            <c:dLbl>
              <c:idx val="1"/>
              <c:layout>
                <c:manualLayout>
                  <c:x val="-5.374677002583983E-2"/>
                  <c:y val="-2.7107154367773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86DF-4A20-A452-DD306ECE75E9}"/>
                </c:ext>
              </c:extLst>
            </c:dLbl>
            <c:dLbl>
              <c:idx val="2"/>
              <c:layout>
                <c:manualLayout>
                  <c:x val="-2.8940568475452271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86DF-4A20-A452-DD306ECE75E9}"/>
                </c:ext>
              </c:extLst>
            </c:dLbl>
            <c:dLbl>
              <c:idx val="3"/>
              <c:layout>
                <c:manualLayout>
                  <c:x val="-2.8940568475452195E-2"/>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86DF-4A20-A452-DD306ECE75E9}"/>
                </c:ext>
              </c:extLst>
            </c:dLbl>
            <c:dLbl>
              <c:idx val="4"/>
              <c:layout>
                <c:manualLayout>
                  <c:x val="-2.4806201550387597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86DF-4A20-A452-DD306ECE75E9}"/>
                </c:ext>
              </c:extLst>
            </c:dLbl>
            <c:dLbl>
              <c:idx val="5"/>
              <c:layout>
                <c:manualLayout>
                  <c:x val="-3.1007751937984572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86DF-4A20-A452-DD306ECE75E9}"/>
                </c:ext>
              </c:extLst>
            </c:dLbl>
            <c:dLbl>
              <c:idx val="6"/>
              <c:layout>
                <c:manualLayout>
                  <c:x val="-3.3074935400516793E-2"/>
                  <c:y val="3.7272337255688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86DF-4A20-A452-DD306ECE75E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RSD'!$L$4:$L$12</c:f>
              <c:numCache>
                <c:formatCode>General</c:formatCode>
                <c:ptCount val="9"/>
                <c:pt idx="4" formatCode="0.00%">
                  <c:v>3.73E-2</c:v>
                </c:pt>
                <c:pt idx="5" formatCode="0.00%">
                  <c:v>0.04</c:v>
                </c:pt>
                <c:pt idx="6" formatCode="0.00%">
                  <c:v>4.5658703012126066E-2</c:v>
                </c:pt>
              </c:numCache>
            </c:numRef>
          </c:val>
          <c:smooth val="0"/>
          <c:extLst>
            <c:ext xmlns:c16="http://schemas.microsoft.com/office/drawing/2014/chart" uri="{C3380CC4-5D6E-409C-BE32-E72D297353CC}">
              <c16:uniqueId val="{0000002D-86DF-4A20-A452-DD306ECE75E9}"/>
            </c:ext>
          </c:extLst>
        </c:ser>
        <c:ser>
          <c:idx val="6"/>
          <c:order val="6"/>
          <c:tx>
            <c:strRef>
              <c:f>'prosecne stope RSD'!$M$3</c:f>
              <c:strCache>
                <c:ptCount val="1"/>
                <c:pt idx="0">
                  <c:v>IX/2020</c:v>
                </c:pt>
              </c:strCache>
            </c:strRef>
          </c:tx>
          <c:dLbls>
            <c:dLbl>
              <c:idx val="2"/>
              <c:layout>
                <c:manualLayout>
                  <c:x val="0"/>
                  <c:y val="2.07039337474120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86DF-4A20-A452-DD306ECE75E9}"/>
                </c:ext>
              </c:extLst>
            </c:dLbl>
            <c:dLbl>
              <c:idx val="3"/>
              <c:layout>
                <c:manualLayout>
                  <c:x val="4.1279669762641896E-3"/>
                  <c:y val="2.48447204968944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F-86DF-4A20-A452-DD306ECE75E9}"/>
                </c:ext>
              </c:extLst>
            </c:dLbl>
            <c:dLbl>
              <c:idx val="4"/>
              <c:layout>
                <c:manualLayout>
                  <c:x val="-7.5678520320118843E-17"/>
                  <c:y val="1.24223602484472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0-86DF-4A20-A452-DD306ECE75E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RSD'!$C$4:$C$12</c:f>
              <c:strCache>
                <c:ptCount val="9"/>
                <c:pt idx="0">
                  <c:v>3M</c:v>
                </c:pt>
                <c:pt idx="1">
                  <c:v>6M</c:v>
                </c:pt>
                <c:pt idx="2">
                  <c:v>53Н</c:v>
                </c:pt>
                <c:pt idx="3">
                  <c:v>2Г</c:v>
                </c:pt>
                <c:pt idx="4">
                  <c:v>3Г</c:v>
                </c:pt>
                <c:pt idx="5">
                  <c:v>5Г</c:v>
                </c:pt>
                <c:pt idx="6">
                  <c:v>7Г</c:v>
                </c:pt>
                <c:pt idx="7">
                  <c:v>10Г</c:v>
                </c:pt>
                <c:pt idx="8">
                  <c:v>12Г</c:v>
                </c:pt>
              </c:strCache>
            </c:strRef>
          </c:cat>
          <c:val>
            <c:numRef>
              <c:f>'prosecne stope RSD'!$M$4:$M$12</c:f>
              <c:numCache>
                <c:formatCode>General</c:formatCode>
                <c:ptCount val="9"/>
                <c:pt idx="2" formatCode="0.00%">
                  <c:v>1.7999999999999999E-2</c:v>
                </c:pt>
                <c:pt idx="3" formatCode="0.00%">
                  <c:v>2.0199999999999999E-2</c:v>
                </c:pt>
                <c:pt idx="4" formatCode="0.00%">
                  <c:v>2.1499999999999998E-2</c:v>
                </c:pt>
                <c:pt idx="5" formatCode="0.00%">
                  <c:v>2.6200000000000001E-2</c:v>
                </c:pt>
                <c:pt idx="8" formatCode="0.00%">
                  <c:v>3.7999999999999999E-2</c:v>
                </c:pt>
              </c:numCache>
            </c:numRef>
          </c:val>
          <c:smooth val="0"/>
          <c:extLst>
            <c:ext xmlns:c16="http://schemas.microsoft.com/office/drawing/2014/chart" uri="{C3380CC4-5D6E-409C-BE32-E72D297353CC}">
              <c16:uniqueId val="{00000031-86DF-4A20-A452-DD306ECE75E9}"/>
            </c:ext>
          </c:extLst>
        </c:ser>
        <c:dLbls>
          <c:showLegendKey val="0"/>
          <c:showVal val="0"/>
          <c:showCatName val="0"/>
          <c:showSerName val="0"/>
          <c:showPercent val="0"/>
          <c:showBubbleSize val="0"/>
        </c:dLbls>
        <c:marker val="1"/>
        <c:smooth val="0"/>
        <c:axId val="244109952"/>
        <c:axId val="244120288"/>
      </c:lineChart>
      <c:catAx>
        <c:axId val="244109952"/>
        <c:scaling>
          <c:orientation val="minMax"/>
        </c:scaling>
        <c:delete val="0"/>
        <c:axPos val="b"/>
        <c:numFmt formatCode="General" sourceLinked="0"/>
        <c:majorTickMark val="out"/>
        <c:minorTickMark val="none"/>
        <c:tickLblPos val="nextTo"/>
        <c:crossAx val="244120288"/>
        <c:crosses val="autoZero"/>
        <c:auto val="1"/>
        <c:lblAlgn val="ctr"/>
        <c:lblOffset val="100"/>
        <c:noMultiLvlLbl val="0"/>
      </c:catAx>
      <c:valAx>
        <c:axId val="244120288"/>
        <c:scaling>
          <c:orientation val="minMax"/>
        </c:scaling>
        <c:delete val="0"/>
        <c:axPos val="l"/>
        <c:majorGridlines>
          <c:spPr>
            <a:ln>
              <a:noFill/>
            </a:ln>
          </c:spPr>
        </c:majorGridlines>
        <c:numFmt formatCode="0.0%" sourceLinked="0"/>
        <c:majorTickMark val="out"/>
        <c:minorTickMark val="none"/>
        <c:tickLblPos val="nextTo"/>
        <c:crossAx val="244109952"/>
        <c:crosses val="autoZero"/>
        <c:crossBetween val="between"/>
      </c:valAx>
      <c:spPr>
        <a:noFill/>
        <a:ln>
          <a:noFill/>
        </a:ln>
      </c:spPr>
    </c:plotArea>
    <c:legend>
      <c:legendPos val="r"/>
      <c:layout>
        <c:manualLayout>
          <c:xMode val="edge"/>
          <c:yMode val="edge"/>
          <c:x val="0.18701808785529717"/>
          <c:y val="0.91592966867373449"/>
          <c:w val="0.59686725991694178"/>
          <c:h val="8.4070368033853995E-2"/>
        </c:manualLayout>
      </c:layout>
      <c:overlay val="0"/>
    </c:legend>
    <c:plotVisOnly val="1"/>
    <c:dispBlanksAs val="gap"/>
    <c:showDLblsOverMax val="0"/>
  </c:chart>
  <c:spPr>
    <a:noFill/>
    <a:ln>
      <a:noFill/>
    </a:ln>
  </c:spPr>
  <c:txPr>
    <a:bodyPr/>
    <a:lstStyle/>
    <a:p>
      <a:pPr>
        <a:defRPr sz="600"/>
      </a:pPr>
      <a:endParaRPr lang="en-US"/>
    </a:p>
  </c:txPr>
  <c:externalData r:id="rId1">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019431101392969E-2"/>
          <c:y val="5.140046622244443E-2"/>
          <c:w val="0.88876267204682668"/>
          <c:h val="0.78052818397700274"/>
        </c:manualLayout>
      </c:layout>
      <c:lineChart>
        <c:grouping val="standard"/>
        <c:varyColors val="0"/>
        <c:ser>
          <c:idx val="5"/>
          <c:order val="3"/>
          <c:tx>
            <c:strRef>
              <c:f>'prosecne stope EUR'!$G$3</c:f>
              <c:strCache>
                <c:ptCount val="1"/>
                <c:pt idx="0">
                  <c:v>2014</c:v>
                </c:pt>
              </c:strCache>
            </c:strRef>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EUR'!$G$4:$G$10</c:f>
              <c:numCache>
                <c:formatCode>0.00%</c:formatCode>
                <c:ptCount val="7"/>
                <c:pt idx="0">
                  <c:v>3.0418185954225487E-2</c:v>
                </c:pt>
                <c:pt idx="1">
                  <c:v>3.9104744879831482E-2</c:v>
                </c:pt>
                <c:pt idx="2">
                  <c:v>4.7138205908340364E-2</c:v>
                </c:pt>
                <c:pt idx="3">
                  <c:v>4.9891847307430133E-2</c:v>
                </c:pt>
                <c:pt idx="4">
                  <c:v>5.5E-2</c:v>
                </c:pt>
              </c:numCache>
            </c:numRef>
          </c:val>
          <c:smooth val="0"/>
          <c:extLst>
            <c:ext xmlns:c16="http://schemas.microsoft.com/office/drawing/2014/chart" uri="{C3380CC4-5D6E-409C-BE32-E72D297353CC}">
              <c16:uniqueId val="{00000000-4E99-4349-891D-708816B3C54E}"/>
            </c:ext>
          </c:extLst>
        </c:ser>
        <c:ser>
          <c:idx val="0"/>
          <c:order val="4"/>
          <c:tx>
            <c:strRef>
              <c:f>'prosecne stope EUR'!$H$3</c:f>
              <c:strCache>
                <c:ptCount val="1"/>
                <c:pt idx="0">
                  <c:v>2015</c:v>
                </c:pt>
              </c:strCache>
            </c:strRef>
          </c:tx>
          <c:dLbls>
            <c:dLbl>
              <c:idx val="3"/>
              <c:layout>
                <c:manualLayout>
                  <c:x val="-3.3768661082969727E-2"/>
                  <c:y val="-5.505709222244657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EUR'!$H$4:$H$10</c:f>
              <c:numCache>
                <c:formatCode>0.00%</c:formatCode>
                <c:ptCount val="7"/>
                <c:pt idx="0">
                  <c:v>1.83E-2</c:v>
                </c:pt>
                <c:pt idx="1">
                  <c:v>2.6700000000000002E-2</c:v>
                </c:pt>
                <c:pt idx="2">
                  <c:v>0.04</c:v>
                </c:pt>
                <c:pt idx="3">
                  <c:v>4.4900000000000002E-2</c:v>
                </c:pt>
                <c:pt idx="4">
                  <c:v>4.48E-2</c:v>
                </c:pt>
              </c:numCache>
            </c:numRef>
          </c:val>
          <c:smooth val="0"/>
          <c:extLst>
            <c:ext xmlns:c16="http://schemas.microsoft.com/office/drawing/2014/chart" uri="{C3380CC4-5D6E-409C-BE32-E72D297353CC}">
              <c16:uniqueId val="{00000002-4E99-4349-891D-708816B3C54E}"/>
            </c:ext>
          </c:extLst>
        </c:ser>
        <c:ser>
          <c:idx val="1"/>
          <c:order val="5"/>
          <c:tx>
            <c:strRef>
              <c:f>'prosecne stope EUR'!$I$3</c:f>
              <c:strCache>
                <c:ptCount val="1"/>
                <c:pt idx="0">
                  <c:v>2016</c:v>
                </c:pt>
              </c:strCache>
            </c:strRef>
          </c:tx>
          <c:dLbls>
            <c:dLbl>
              <c:idx val="4"/>
              <c:layout>
                <c:manualLayout>
                  <c:x val="-8.7301573662421311E-4"/>
                  <c:y val="-5.04206974128233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EUR'!$I$4:$I$10</c:f>
              <c:numCache>
                <c:formatCode>0.00%</c:formatCode>
                <c:ptCount val="7"/>
                <c:pt idx="0">
                  <c:v>9.4417358622498043E-3</c:v>
                </c:pt>
                <c:pt idx="1">
                  <c:v>1.3644036041361296E-2</c:v>
                </c:pt>
                <c:pt idx="2">
                  <c:v>2.9759600523163947E-2</c:v>
                </c:pt>
                <c:pt idx="3">
                  <c:v>3.1357142857142854E-2</c:v>
                </c:pt>
                <c:pt idx="4">
                  <c:v>4.2000000000000003E-2</c:v>
                </c:pt>
                <c:pt idx="6">
                  <c:v>4.2000000000000003E-2</c:v>
                </c:pt>
              </c:numCache>
            </c:numRef>
          </c:val>
          <c:smooth val="0"/>
          <c:extLst>
            <c:ext xmlns:c16="http://schemas.microsoft.com/office/drawing/2014/chart" uri="{C3380CC4-5D6E-409C-BE32-E72D297353CC}">
              <c16:uniqueId val="{00000004-4E99-4349-891D-708816B3C54E}"/>
            </c:ext>
          </c:extLst>
        </c:ser>
        <c:ser>
          <c:idx val="6"/>
          <c:order val="6"/>
          <c:tx>
            <c:strRef>
              <c:f>'prosecne stope EUR'!$J$3</c:f>
              <c:strCache>
                <c:ptCount val="1"/>
                <c:pt idx="0">
                  <c:v>2017</c:v>
                </c:pt>
              </c:strCache>
            </c:strRef>
          </c:tx>
          <c:dLbls>
            <c:dLbl>
              <c:idx val="0"/>
              <c:layout>
                <c:manualLayout>
                  <c:x val="-7.5397963789558167E-2"/>
                  <c:y val="-1.48489131166296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E99-4349-891D-708816B3C54E}"/>
                </c:ext>
              </c:extLst>
            </c:dLbl>
            <c:dLbl>
              <c:idx val="1"/>
              <c:layout>
                <c:manualLayout>
                  <c:x val="1.3015870982397358E-2"/>
                  <c:y val="-2.5023872015998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E99-4349-891D-708816B3C54E}"/>
                </c:ext>
              </c:extLst>
            </c:dLbl>
            <c:dLbl>
              <c:idx val="4"/>
              <c:layout>
                <c:manualLayout>
                  <c:x val="9.0476176341054808E-3"/>
                  <c:y val="-2.184926884139482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EUR'!$J$4:$J$10</c:f>
              <c:numCache>
                <c:formatCode>0.00%</c:formatCode>
                <c:ptCount val="7"/>
                <c:pt idx="0">
                  <c:v>6.2635145185452766E-3</c:v>
                </c:pt>
                <c:pt idx="1">
                  <c:v>1.0360033899389172E-2</c:v>
                </c:pt>
                <c:pt idx="2">
                  <c:v>1.8649799295294825E-2</c:v>
                </c:pt>
                <c:pt idx="3">
                  <c:v>2.6212040071733351E-2</c:v>
                </c:pt>
                <c:pt idx="4">
                  <c:v>0.04</c:v>
                </c:pt>
                <c:pt idx="6">
                  <c:v>4.2000000000000003E-2</c:v>
                </c:pt>
              </c:numCache>
            </c:numRef>
          </c:val>
          <c:smooth val="0"/>
          <c:extLst>
            <c:ext xmlns:c16="http://schemas.microsoft.com/office/drawing/2014/chart" uri="{C3380CC4-5D6E-409C-BE32-E72D297353CC}">
              <c16:uniqueId val="{00000008-4E99-4349-891D-708816B3C54E}"/>
            </c:ext>
          </c:extLst>
        </c:ser>
        <c:ser>
          <c:idx val="7"/>
          <c:order val="7"/>
          <c:tx>
            <c:strRef>
              <c:f>'prosecne stope EUR'!$K$3</c:f>
              <c:strCache>
                <c:ptCount val="1"/>
                <c:pt idx="0">
                  <c:v>2018</c:v>
                </c:pt>
              </c:strCache>
            </c:strRef>
          </c:tx>
          <c:dLbls>
            <c:dLbl>
              <c:idx val="0"/>
              <c:layout>
                <c:manualLayout>
                  <c:x val="-6.4365069309294254E-2"/>
                  <c:y val="1.94205724284463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E99-4349-891D-708816B3C54E}"/>
                </c:ext>
              </c:extLst>
            </c:dLbl>
            <c:dLbl>
              <c:idx val="1"/>
              <c:layout>
                <c:manualLayout>
                  <c:x val="5.079364285813604E-3"/>
                  <c:y val="9.896762904636920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E99-4349-891D-708816B3C54E}"/>
                </c:ext>
              </c:extLst>
            </c:dLbl>
            <c:dLbl>
              <c:idx val="3"/>
              <c:layout>
                <c:manualLayout>
                  <c:x val="7.0634909599595428E-3"/>
                  <c:y val="6.722159730033629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E99-4349-891D-708816B3C54E}"/>
                </c:ext>
              </c:extLst>
            </c:dLbl>
            <c:dLbl>
              <c:idx val="4"/>
              <c:layout>
                <c:manualLayout>
                  <c:x val="-3.8014945584031373E-2"/>
                  <c:y val="-4.36610808264351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EUR'!$K$4:$K$10</c:f>
              <c:numCache>
                <c:formatCode>0.00%</c:formatCode>
                <c:ptCount val="7"/>
                <c:pt idx="0">
                  <c:v>4.5989898989898994E-3</c:v>
                </c:pt>
                <c:pt idx="1">
                  <c:v>8.7888787429136698E-3</c:v>
                </c:pt>
                <c:pt idx="2">
                  <c:v>1.2512238579642383E-2</c:v>
                </c:pt>
                <c:pt idx="3">
                  <c:v>1.8924744210098623E-2</c:v>
                </c:pt>
                <c:pt idx="4">
                  <c:v>3.5000000000000003E-2</c:v>
                </c:pt>
              </c:numCache>
            </c:numRef>
          </c:val>
          <c:smooth val="0"/>
          <c:extLst>
            <c:ext xmlns:c16="http://schemas.microsoft.com/office/drawing/2014/chart" uri="{C3380CC4-5D6E-409C-BE32-E72D297353CC}">
              <c16:uniqueId val="{0000000D-4E99-4349-891D-708816B3C54E}"/>
            </c:ext>
          </c:extLst>
        </c:ser>
        <c:ser>
          <c:idx val="8"/>
          <c:order val="8"/>
          <c:tx>
            <c:strRef>
              <c:f>'prosecne stope EUR'!$L$3</c:f>
              <c:strCache>
                <c:ptCount val="1"/>
                <c:pt idx="0">
                  <c:v>2019</c:v>
                </c:pt>
              </c:strCache>
            </c:strRef>
          </c:tx>
          <c:dLbls>
            <c:dLbl>
              <c:idx val="1"/>
              <c:layout>
                <c:manualLayout>
                  <c:x val="-7.2301576005878054E-2"/>
                  <c:y val="-2.801649793775894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E99-4349-891D-708816B3C54E}"/>
                </c:ext>
              </c:extLst>
            </c:dLbl>
            <c:dLbl>
              <c:idx val="2"/>
              <c:layout>
                <c:manualLayout>
                  <c:x val="-2.9522376581908229E-2"/>
                  <c:y val="2.47149875496332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4E99-4349-891D-708816B3C54E}"/>
                </c:ext>
              </c:extLst>
            </c:dLbl>
            <c:dLbl>
              <c:idx val="4"/>
              <c:layout>
                <c:manualLayout>
                  <c:x val="-1.2537238577661869E-2"/>
                  <c:y val="-4.36610808264351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E99-4349-891D-708816B3C54E}"/>
                </c:ext>
              </c:extLst>
            </c:dLbl>
            <c:dLbl>
              <c:idx val="6"/>
              <c:layout>
                <c:manualLayout>
                  <c:x val="-3.7824029958038685E-2"/>
                  <c:y val="4.750701034165601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EUR'!$L$4:$L$10</c:f>
              <c:numCache>
                <c:formatCode>0.00%</c:formatCode>
                <c:ptCount val="7"/>
                <c:pt idx="1">
                  <c:v>0.01</c:v>
                </c:pt>
                <c:pt idx="2">
                  <c:v>1.2500000000000001E-2</c:v>
                </c:pt>
                <c:pt idx="3">
                  <c:v>1.7468554713468955E-2</c:v>
                </c:pt>
                <c:pt idx="4">
                  <c:v>3.2500000000000001E-2</c:v>
                </c:pt>
                <c:pt idx="6">
                  <c:v>3.5999999999999997E-2</c:v>
                </c:pt>
              </c:numCache>
            </c:numRef>
          </c:val>
          <c:smooth val="0"/>
          <c:extLst>
            <c:ext xmlns:c16="http://schemas.microsoft.com/office/drawing/2014/chart" uri="{C3380CC4-5D6E-409C-BE32-E72D297353CC}">
              <c16:uniqueId val="{00000012-4E99-4349-891D-708816B3C54E}"/>
            </c:ext>
          </c:extLst>
        </c:ser>
        <c:ser>
          <c:idx val="9"/>
          <c:order val="9"/>
          <c:tx>
            <c:strRef>
              <c:f>'prosecne stope EUR'!$M$3</c:f>
              <c:strCache>
                <c:ptCount val="1"/>
                <c:pt idx="0">
                  <c:v>IX/2020</c:v>
                </c:pt>
              </c:strCache>
            </c:strRef>
          </c:tx>
          <c:dLbls>
            <c:dLbl>
              <c:idx val="1"/>
              <c:layout>
                <c:manualLayout>
                  <c:x val="-6.6349195983440204E-2"/>
                  <c:y val="-1.232545931758530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4E99-4349-891D-708816B3C54E}"/>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'prosecne stope EUR'!$C$4:$C$10</c:f>
              <c:strCache>
                <c:ptCount val="7"/>
                <c:pt idx="0">
                  <c:v>53Н</c:v>
                </c:pt>
                <c:pt idx="1">
                  <c:v>2Г</c:v>
                </c:pt>
                <c:pt idx="2">
                  <c:v>3Г</c:v>
                </c:pt>
                <c:pt idx="3">
                  <c:v>5Г</c:v>
                </c:pt>
                <c:pt idx="4">
                  <c:v>10Г</c:v>
                </c:pt>
                <c:pt idx="5">
                  <c:v>12г</c:v>
                </c:pt>
                <c:pt idx="6">
                  <c:v>15Г</c:v>
                </c:pt>
              </c:strCache>
            </c:strRef>
          </c:cat>
          <c:val>
            <c:numRef>
              <c:f>'prosecne stope EUR'!$M$4:$M$10</c:f>
              <c:numCache>
                <c:formatCode>0.00%</c:formatCode>
                <c:ptCount val="7"/>
                <c:pt idx="1">
                  <c:v>5.0000000000000001E-3</c:v>
                </c:pt>
                <c:pt idx="3">
                  <c:v>0.01</c:v>
                </c:pt>
                <c:pt idx="5">
                  <c:v>1.89E-2</c:v>
                </c:pt>
              </c:numCache>
            </c:numRef>
          </c:val>
          <c:smooth val="0"/>
          <c:extLst>
            <c:ext xmlns:c16="http://schemas.microsoft.com/office/drawing/2014/chart" uri="{C3380CC4-5D6E-409C-BE32-E72D297353CC}">
              <c16:uniqueId val="{00000014-4E99-4349-891D-708816B3C54E}"/>
            </c:ext>
          </c:extLst>
        </c:ser>
        <c:dLbls>
          <c:dLblPos val="t"/>
          <c:showLegendKey val="0"/>
          <c:showVal val="1"/>
          <c:showCatName val="0"/>
          <c:showSerName val="0"/>
          <c:showPercent val="0"/>
          <c:showBubbleSize val="0"/>
        </c:dLbls>
        <c:marker val="1"/>
        <c:smooth val="0"/>
        <c:axId val="244119200"/>
        <c:axId val="244119744"/>
        <c:extLst>
          <c:ext xmlns:c15="http://schemas.microsoft.com/office/drawing/2012/chart" uri="{02D57815-91ED-43cb-92C2-25804820EDAC}">
            <c15:filteredLineSeries>
              <c15:ser>
                <c:idx val="2"/>
                <c:order val="0"/>
                <c:tx>
                  <c:strRef>
                    <c:extLst>
                      <c:ext uri="{02D57815-91ED-43cb-92C2-25804820EDAC}">
                        <c15:formulaRef>
                          <c15:sqref>'prosecne stope EUR'!$D$3</c15:sqref>
                        </c15:formulaRef>
                      </c:ext>
                    </c:extLst>
                    <c:strCache>
                      <c:ptCount val="1"/>
                      <c:pt idx="0">
                        <c:v>2011</c:v>
                      </c:pt>
                    </c:strCache>
                  </c:strRef>
                </c:tx>
                <c:marker>
                  <c:symbol val="square"/>
                  <c:size val="3"/>
                </c:marker>
                <c:dLbls>
                  <c:spPr>
                    <a:noFill/>
                    <a:ln>
                      <a:noFill/>
                    </a:ln>
                    <a:effectLst/>
                  </c:spPr>
                  <c:dLblPos val="t"/>
                  <c:showLegendKey val="0"/>
                  <c:showVal val="1"/>
                  <c:showCatName val="0"/>
                  <c:showSerName val="0"/>
                  <c:showPercent val="0"/>
                  <c:showBubbleSize val="0"/>
                  <c:showLeaderLines val="0"/>
                  <c:extLst>
                    <c:ext uri="{CE6537A1-D6FC-4f65-9D91-7224C49458BB}">
                      <c15:showLeaderLines val="1"/>
                    </c:ext>
                  </c:extLst>
                </c:dLbls>
                <c:cat>
                  <c:strRef>
                    <c:extLst>
                      <c:ext uri="{02D57815-91ED-43cb-92C2-25804820EDAC}">
                        <c15:formulaRef>
                          <c15:sqref>'prosecne stope EUR'!$C$4:$C$10</c15:sqref>
                        </c15:formulaRef>
                      </c:ext>
                    </c:extLst>
                    <c:strCache>
                      <c:ptCount val="7"/>
                      <c:pt idx="0">
                        <c:v>53Н</c:v>
                      </c:pt>
                      <c:pt idx="1">
                        <c:v>2Г</c:v>
                      </c:pt>
                      <c:pt idx="2">
                        <c:v>3Г</c:v>
                      </c:pt>
                      <c:pt idx="3">
                        <c:v>5Г</c:v>
                      </c:pt>
                      <c:pt idx="4">
                        <c:v>10Г</c:v>
                      </c:pt>
                      <c:pt idx="5">
                        <c:v>12г</c:v>
                      </c:pt>
                      <c:pt idx="6">
                        <c:v>15Г</c:v>
                      </c:pt>
                    </c:strCache>
                  </c:strRef>
                </c:cat>
                <c:val>
                  <c:numRef>
                    <c:extLst>
                      <c:ext uri="{02D57815-91ED-43cb-92C2-25804820EDAC}">
                        <c15:formulaRef>
                          <c15:sqref>'prosecne stope EUR'!$D$4:$D$10</c15:sqref>
                        </c15:formulaRef>
                      </c:ext>
                    </c:extLst>
                    <c:numCache>
                      <c:formatCode>General</c:formatCode>
                      <c:ptCount val="7"/>
                      <c:pt idx="0" formatCode="0.00%">
                        <c:v>4.48E-2</c:v>
                      </c:pt>
                      <c:pt idx="2" formatCode="0.00%">
                        <c:v>0.05</c:v>
                      </c:pt>
                    </c:numCache>
                  </c:numRef>
                </c:val>
                <c:smooth val="0"/>
                <c:extLst>
                  <c:ext xmlns:c16="http://schemas.microsoft.com/office/drawing/2014/chart" uri="{C3380CC4-5D6E-409C-BE32-E72D297353CC}">
                    <c16:uniqueId val="{00000015-4E99-4349-891D-708816B3C54E}"/>
                  </c:ext>
                </c:extLst>
              </c15:ser>
            </c15:filteredLineSeries>
            <c15:filteredLineSeries>
              <c15:ser>
                <c:idx val="3"/>
                <c:order val="1"/>
                <c:tx>
                  <c:strRef>
                    <c:extLst xmlns:c15="http://schemas.microsoft.com/office/drawing/2012/chart">
                      <c:ext xmlns:c15="http://schemas.microsoft.com/office/drawing/2012/chart" uri="{02D57815-91ED-43cb-92C2-25804820EDAC}">
                        <c15:formulaRef>
                          <c15:sqref>'prosecne stope EUR'!$E$3</c15:sqref>
                        </c15:formulaRef>
                      </c:ext>
                    </c:extLst>
                    <c:strCache>
                      <c:ptCount val="1"/>
                      <c:pt idx="0">
                        <c:v>2012</c:v>
                      </c:pt>
                    </c:strCache>
                  </c:strRef>
                </c:tx>
                <c:marker>
                  <c:symbol val="square"/>
                  <c:size val="3"/>
                </c:marker>
                <c:dLbls>
                  <c:spPr>
                    <a:noFill/>
                    <a:ln>
                      <a:noFill/>
                    </a:ln>
                    <a:effectLst/>
                  </c:sp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ext>
                  </c:extLst>
                </c:dLbls>
                <c:cat>
                  <c:strRef>
                    <c:extLst xmlns:c15="http://schemas.microsoft.com/office/drawing/2012/chart">
                      <c:ext xmlns:c15="http://schemas.microsoft.com/office/drawing/2012/chart" uri="{02D57815-91ED-43cb-92C2-25804820EDAC}">
                        <c15:formulaRef>
                          <c15:sqref>'prosecne stope EUR'!$C$4:$C$10</c15:sqref>
                        </c15:formulaRef>
                      </c:ext>
                    </c:extLst>
                    <c:strCache>
                      <c:ptCount val="7"/>
                      <c:pt idx="0">
                        <c:v>53Н</c:v>
                      </c:pt>
                      <c:pt idx="1">
                        <c:v>2Г</c:v>
                      </c:pt>
                      <c:pt idx="2">
                        <c:v>3Г</c:v>
                      </c:pt>
                      <c:pt idx="3">
                        <c:v>5Г</c:v>
                      </c:pt>
                      <c:pt idx="4">
                        <c:v>10Г</c:v>
                      </c:pt>
                      <c:pt idx="5">
                        <c:v>12г</c:v>
                      </c:pt>
                      <c:pt idx="6">
                        <c:v>15Г</c:v>
                      </c:pt>
                    </c:strCache>
                  </c:strRef>
                </c:cat>
                <c:val>
                  <c:numRef>
                    <c:extLst xmlns:c15="http://schemas.microsoft.com/office/drawing/2012/chart">
                      <c:ext xmlns:c15="http://schemas.microsoft.com/office/drawing/2012/chart" uri="{02D57815-91ED-43cb-92C2-25804820EDAC}">
                        <c15:formulaRef>
                          <c15:sqref>'prosecne stope EUR'!$E$4:$E$10</c15:sqref>
                        </c15:formulaRef>
                      </c:ext>
                    </c:extLst>
                    <c:numCache>
                      <c:formatCode>0.00%</c:formatCode>
                      <c:ptCount val="7"/>
                      <c:pt idx="0">
                        <c:v>0.06</c:v>
                      </c:pt>
                      <c:pt idx="1">
                        <c:v>5.67E-2</c:v>
                      </c:pt>
                    </c:numCache>
                  </c:numRef>
                </c:val>
                <c:smooth val="0"/>
                <c:extLst xmlns:c15="http://schemas.microsoft.com/office/drawing/2012/chart">
                  <c:ext xmlns:c16="http://schemas.microsoft.com/office/drawing/2014/chart" uri="{C3380CC4-5D6E-409C-BE32-E72D297353CC}">
                    <c16:uniqueId val="{00000016-4E99-4349-891D-708816B3C54E}"/>
                  </c:ext>
                </c:extLst>
              </c15:ser>
            </c15:filteredLineSeries>
            <c15:filteredLineSeries>
              <c15:ser>
                <c:idx val="4"/>
                <c:order val="2"/>
                <c:tx>
                  <c:strRef>
                    <c:extLst xmlns:c15="http://schemas.microsoft.com/office/drawing/2012/chart">
                      <c:ext xmlns:c15="http://schemas.microsoft.com/office/drawing/2012/chart" uri="{02D57815-91ED-43cb-92C2-25804820EDAC}">
                        <c15:formulaRef>
                          <c15:sqref>'prosecne stope EUR'!$F$3</c15:sqref>
                        </c15:formulaRef>
                      </c:ext>
                    </c:extLst>
                    <c:strCache>
                      <c:ptCount val="1"/>
                      <c:pt idx="0">
                        <c:v>2013</c:v>
                      </c:pt>
                    </c:strCache>
                  </c:strRef>
                </c:tx>
                <c:marker>
                  <c:symbol val="square"/>
                  <c:size val="3"/>
                </c:marker>
                <c:dLbls>
                  <c:spPr>
                    <a:noFill/>
                    <a:ln>
                      <a:noFill/>
                    </a:ln>
                    <a:effectLst/>
                  </c:sp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ext>
                  </c:extLst>
                </c:dLbls>
                <c:cat>
                  <c:strRef>
                    <c:extLst xmlns:c15="http://schemas.microsoft.com/office/drawing/2012/chart">
                      <c:ext xmlns:c15="http://schemas.microsoft.com/office/drawing/2012/chart" uri="{02D57815-91ED-43cb-92C2-25804820EDAC}">
                        <c15:formulaRef>
                          <c15:sqref>'prosecne stope EUR'!$C$4:$C$10</c15:sqref>
                        </c15:formulaRef>
                      </c:ext>
                    </c:extLst>
                    <c:strCache>
                      <c:ptCount val="7"/>
                      <c:pt idx="0">
                        <c:v>53Н</c:v>
                      </c:pt>
                      <c:pt idx="1">
                        <c:v>2Г</c:v>
                      </c:pt>
                      <c:pt idx="2">
                        <c:v>3Г</c:v>
                      </c:pt>
                      <c:pt idx="3">
                        <c:v>5Г</c:v>
                      </c:pt>
                      <c:pt idx="4">
                        <c:v>10Г</c:v>
                      </c:pt>
                      <c:pt idx="5">
                        <c:v>12г</c:v>
                      </c:pt>
                      <c:pt idx="6">
                        <c:v>15Г</c:v>
                      </c:pt>
                    </c:strCache>
                  </c:strRef>
                </c:cat>
                <c:val>
                  <c:numRef>
                    <c:extLst xmlns:c15="http://schemas.microsoft.com/office/drawing/2012/chart">
                      <c:ext xmlns:c15="http://schemas.microsoft.com/office/drawing/2012/chart" uri="{02D57815-91ED-43cb-92C2-25804820EDAC}">
                        <c15:formulaRef>
                          <c15:sqref>'prosecne stope EUR'!$F$4:$F$10</c15:sqref>
                        </c15:formulaRef>
                      </c:ext>
                    </c:extLst>
                    <c:numCache>
                      <c:formatCode>0.00%</c:formatCode>
                      <c:ptCount val="7"/>
                      <c:pt idx="0">
                        <c:v>3.5900000000000001E-2</c:v>
                      </c:pt>
                      <c:pt idx="1">
                        <c:v>4.5199999999999997E-2</c:v>
                      </c:pt>
                      <c:pt idx="2">
                        <c:v>4.8000000000000001E-2</c:v>
                      </c:pt>
                      <c:pt idx="3">
                        <c:v>5.2200000000000003E-2</c:v>
                      </c:pt>
                    </c:numCache>
                  </c:numRef>
                </c:val>
                <c:smooth val="0"/>
                <c:extLst xmlns:c15="http://schemas.microsoft.com/office/drawing/2012/chart">
                  <c:ext xmlns:c16="http://schemas.microsoft.com/office/drawing/2014/chart" uri="{C3380CC4-5D6E-409C-BE32-E72D297353CC}">
                    <c16:uniqueId val="{00000017-4E99-4349-891D-708816B3C54E}"/>
                  </c:ext>
                </c:extLst>
              </c15:ser>
            </c15:filteredLineSeries>
          </c:ext>
        </c:extLst>
      </c:lineChart>
      <c:catAx>
        <c:axId val="244119200"/>
        <c:scaling>
          <c:orientation val="minMax"/>
        </c:scaling>
        <c:delete val="0"/>
        <c:axPos val="b"/>
        <c:numFmt formatCode="General" sourceLinked="1"/>
        <c:majorTickMark val="out"/>
        <c:minorTickMark val="none"/>
        <c:tickLblPos val="nextTo"/>
        <c:crossAx val="244119744"/>
        <c:crosses val="autoZero"/>
        <c:auto val="1"/>
        <c:lblAlgn val="ctr"/>
        <c:lblOffset val="100"/>
        <c:noMultiLvlLbl val="0"/>
      </c:catAx>
      <c:valAx>
        <c:axId val="244119744"/>
        <c:scaling>
          <c:orientation val="minMax"/>
        </c:scaling>
        <c:delete val="0"/>
        <c:axPos val="l"/>
        <c:numFmt formatCode="0.0%" sourceLinked="0"/>
        <c:majorTickMark val="out"/>
        <c:minorTickMark val="none"/>
        <c:tickLblPos val="nextTo"/>
        <c:crossAx val="244119200"/>
        <c:crosses val="autoZero"/>
        <c:crossBetween val="between"/>
      </c:valAx>
      <c:spPr>
        <a:noFill/>
      </c:spPr>
    </c:plotArea>
    <c:legend>
      <c:legendPos val="r"/>
      <c:layout>
        <c:manualLayout>
          <c:xMode val="edge"/>
          <c:yMode val="edge"/>
          <c:x val="0.19441646603628021"/>
          <c:y val="0.88935230848165236"/>
          <c:w val="0.6473658296405711"/>
          <c:h val="0.11064758466353712"/>
        </c:manualLayout>
      </c:layout>
      <c:overlay val="0"/>
    </c:legend>
    <c:plotVisOnly val="1"/>
    <c:dispBlanksAs val="gap"/>
    <c:showDLblsOverMax val="0"/>
  </c:chart>
  <c:spPr>
    <a:noFill/>
    <a:ln>
      <a:noFill/>
    </a:ln>
  </c:spPr>
  <c:txPr>
    <a:bodyPr/>
    <a:lstStyle/>
    <a:p>
      <a:pPr>
        <a:defRPr sz="600">
          <a:latin typeface="+mn-lt"/>
          <a:cs typeface="Arial" panose="020B0604020202020204" pitchFamily="34" charset="0"/>
        </a:defRPr>
      </a:pPr>
      <a:endParaRPr lang="en-US"/>
    </a:p>
  </c:txPr>
  <c:externalData r:id="rId1">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8674652847881194E-2"/>
          <c:y val="6.7832020997375342E-2"/>
          <c:w val="0.84648641975308669"/>
          <c:h val="0.69632222222222218"/>
        </c:manualLayout>
      </c:layout>
      <c:areaChart>
        <c:grouping val="standard"/>
        <c:varyColors val="0"/>
        <c:ser>
          <c:idx val="0"/>
          <c:order val="0"/>
          <c:tx>
            <c:strRef>
              <c:f>'[Hartije od vrednosti na medjunarodnom trzistu SAJT (2).xlsx]EUROBOND 2021 offline'!$B$4</c:f>
              <c:strCache>
                <c:ptCount val="1"/>
                <c:pt idx="0">
                  <c:v>Цена на затварању</c:v>
                </c:pt>
              </c:strCache>
            </c:strRef>
          </c:tx>
          <c:spPr>
            <a:solidFill>
              <a:srgbClr val="4472C4">
                <a:lumMod val="75000"/>
              </a:srgbClr>
            </a:solidFill>
            <a:ln w="25400">
              <a:noFill/>
            </a:ln>
          </c:spPr>
          <c:cat>
            <c:numRef>
              <c:f>'[Hartije od vrednosti na medjunarodnom trzistu SAJT (2).xlsx]EUROBOND 2021 offline'!$A$6:$A$607</c:f>
              <c:numCache>
                <c:formatCode>dd\/mm\/yy</c:formatCode>
                <c:ptCount val="602"/>
                <c:pt idx="0">
                  <c:v>44133</c:v>
                </c:pt>
                <c:pt idx="1">
                  <c:v>44132</c:v>
                </c:pt>
                <c:pt idx="2">
                  <c:v>44131</c:v>
                </c:pt>
                <c:pt idx="3">
                  <c:v>44130</c:v>
                </c:pt>
                <c:pt idx="4">
                  <c:v>44127</c:v>
                </c:pt>
                <c:pt idx="5">
                  <c:v>44126</c:v>
                </c:pt>
                <c:pt idx="6">
                  <c:v>44125</c:v>
                </c:pt>
                <c:pt idx="7">
                  <c:v>44124</c:v>
                </c:pt>
                <c:pt idx="8">
                  <c:v>44123</c:v>
                </c:pt>
                <c:pt idx="9">
                  <c:v>44120</c:v>
                </c:pt>
                <c:pt idx="10">
                  <c:v>44119</c:v>
                </c:pt>
                <c:pt idx="11">
                  <c:v>44118</c:v>
                </c:pt>
                <c:pt idx="12">
                  <c:v>44117</c:v>
                </c:pt>
                <c:pt idx="13">
                  <c:v>44116</c:v>
                </c:pt>
                <c:pt idx="14">
                  <c:v>44113</c:v>
                </c:pt>
                <c:pt idx="15">
                  <c:v>44112</c:v>
                </c:pt>
                <c:pt idx="16">
                  <c:v>44111</c:v>
                </c:pt>
                <c:pt idx="17">
                  <c:v>44110</c:v>
                </c:pt>
                <c:pt idx="18">
                  <c:v>44109</c:v>
                </c:pt>
                <c:pt idx="19">
                  <c:v>44106</c:v>
                </c:pt>
                <c:pt idx="20">
                  <c:v>44105</c:v>
                </c:pt>
                <c:pt idx="21">
                  <c:v>44104</c:v>
                </c:pt>
                <c:pt idx="22">
                  <c:v>44103</c:v>
                </c:pt>
                <c:pt idx="23">
                  <c:v>44102</c:v>
                </c:pt>
                <c:pt idx="24">
                  <c:v>44099</c:v>
                </c:pt>
                <c:pt idx="25">
                  <c:v>44098</c:v>
                </c:pt>
                <c:pt idx="26">
                  <c:v>44097</c:v>
                </c:pt>
                <c:pt idx="27">
                  <c:v>44096</c:v>
                </c:pt>
                <c:pt idx="28">
                  <c:v>44095</c:v>
                </c:pt>
                <c:pt idx="29">
                  <c:v>44092</c:v>
                </c:pt>
                <c:pt idx="30">
                  <c:v>44091</c:v>
                </c:pt>
                <c:pt idx="31">
                  <c:v>44090</c:v>
                </c:pt>
                <c:pt idx="32">
                  <c:v>44089</c:v>
                </c:pt>
                <c:pt idx="33">
                  <c:v>44088</c:v>
                </c:pt>
                <c:pt idx="34">
                  <c:v>44085</c:v>
                </c:pt>
                <c:pt idx="35">
                  <c:v>44084</c:v>
                </c:pt>
                <c:pt idx="36">
                  <c:v>44083</c:v>
                </c:pt>
                <c:pt idx="37">
                  <c:v>44082</c:v>
                </c:pt>
                <c:pt idx="38">
                  <c:v>44081</c:v>
                </c:pt>
                <c:pt idx="39">
                  <c:v>44078</c:v>
                </c:pt>
                <c:pt idx="40">
                  <c:v>44077</c:v>
                </c:pt>
                <c:pt idx="41">
                  <c:v>44076</c:v>
                </c:pt>
                <c:pt idx="42">
                  <c:v>44075</c:v>
                </c:pt>
                <c:pt idx="43">
                  <c:v>44074</c:v>
                </c:pt>
                <c:pt idx="44">
                  <c:v>44071</c:v>
                </c:pt>
                <c:pt idx="45">
                  <c:v>44070</c:v>
                </c:pt>
                <c:pt idx="46">
                  <c:v>44069</c:v>
                </c:pt>
                <c:pt idx="47">
                  <c:v>44068</c:v>
                </c:pt>
                <c:pt idx="48">
                  <c:v>44067</c:v>
                </c:pt>
                <c:pt idx="49">
                  <c:v>44064</c:v>
                </c:pt>
                <c:pt idx="50">
                  <c:v>44063</c:v>
                </c:pt>
                <c:pt idx="51">
                  <c:v>44062</c:v>
                </c:pt>
                <c:pt idx="52">
                  <c:v>44061</c:v>
                </c:pt>
                <c:pt idx="53">
                  <c:v>44060</c:v>
                </c:pt>
                <c:pt idx="54">
                  <c:v>44057</c:v>
                </c:pt>
                <c:pt idx="55">
                  <c:v>44056</c:v>
                </c:pt>
                <c:pt idx="56">
                  <c:v>44055</c:v>
                </c:pt>
                <c:pt idx="57">
                  <c:v>44054</c:v>
                </c:pt>
                <c:pt idx="58">
                  <c:v>44053</c:v>
                </c:pt>
                <c:pt idx="59">
                  <c:v>44050</c:v>
                </c:pt>
                <c:pt idx="60">
                  <c:v>44049</c:v>
                </c:pt>
                <c:pt idx="61">
                  <c:v>44048</c:v>
                </c:pt>
                <c:pt idx="62">
                  <c:v>44047</c:v>
                </c:pt>
                <c:pt idx="63">
                  <c:v>44046</c:v>
                </c:pt>
                <c:pt idx="64">
                  <c:v>44043</c:v>
                </c:pt>
                <c:pt idx="65">
                  <c:v>44042</c:v>
                </c:pt>
                <c:pt idx="66">
                  <c:v>44041</c:v>
                </c:pt>
                <c:pt idx="67">
                  <c:v>44040</c:v>
                </c:pt>
                <c:pt idx="68">
                  <c:v>44039</c:v>
                </c:pt>
                <c:pt idx="69">
                  <c:v>44036</c:v>
                </c:pt>
                <c:pt idx="70">
                  <c:v>44035</c:v>
                </c:pt>
                <c:pt idx="71">
                  <c:v>44034</c:v>
                </c:pt>
                <c:pt idx="72">
                  <c:v>44033</c:v>
                </c:pt>
                <c:pt idx="73">
                  <c:v>44032</c:v>
                </c:pt>
                <c:pt idx="74">
                  <c:v>44029</c:v>
                </c:pt>
                <c:pt idx="75">
                  <c:v>44028</c:v>
                </c:pt>
                <c:pt idx="76">
                  <c:v>44027</c:v>
                </c:pt>
                <c:pt idx="77">
                  <c:v>44026</c:v>
                </c:pt>
                <c:pt idx="78">
                  <c:v>44025</c:v>
                </c:pt>
                <c:pt idx="79">
                  <c:v>44022</c:v>
                </c:pt>
                <c:pt idx="80">
                  <c:v>44021</c:v>
                </c:pt>
                <c:pt idx="81">
                  <c:v>44020</c:v>
                </c:pt>
                <c:pt idx="82">
                  <c:v>44019</c:v>
                </c:pt>
                <c:pt idx="83">
                  <c:v>44018</c:v>
                </c:pt>
                <c:pt idx="84">
                  <c:v>44015</c:v>
                </c:pt>
                <c:pt idx="85">
                  <c:v>44014</c:v>
                </c:pt>
                <c:pt idx="86">
                  <c:v>44013</c:v>
                </c:pt>
                <c:pt idx="87">
                  <c:v>44012</c:v>
                </c:pt>
                <c:pt idx="88">
                  <c:v>44011</c:v>
                </c:pt>
                <c:pt idx="89">
                  <c:v>44008</c:v>
                </c:pt>
                <c:pt idx="90">
                  <c:v>44007</c:v>
                </c:pt>
                <c:pt idx="91">
                  <c:v>44006</c:v>
                </c:pt>
                <c:pt idx="92">
                  <c:v>44005</c:v>
                </c:pt>
                <c:pt idx="93">
                  <c:v>44004</c:v>
                </c:pt>
                <c:pt idx="94">
                  <c:v>44001</c:v>
                </c:pt>
                <c:pt idx="95">
                  <c:v>44000</c:v>
                </c:pt>
                <c:pt idx="96">
                  <c:v>43999</c:v>
                </c:pt>
                <c:pt idx="97">
                  <c:v>43998</c:v>
                </c:pt>
                <c:pt idx="98">
                  <c:v>43997</c:v>
                </c:pt>
                <c:pt idx="99">
                  <c:v>43994</c:v>
                </c:pt>
                <c:pt idx="100">
                  <c:v>43993</c:v>
                </c:pt>
                <c:pt idx="101">
                  <c:v>43992</c:v>
                </c:pt>
                <c:pt idx="102">
                  <c:v>43991</c:v>
                </c:pt>
                <c:pt idx="103">
                  <c:v>43990</c:v>
                </c:pt>
                <c:pt idx="104">
                  <c:v>43987</c:v>
                </c:pt>
                <c:pt idx="105">
                  <c:v>43986</c:v>
                </c:pt>
                <c:pt idx="106">
                  <c:v>43985</c:v>
                </c:pt>
                <c:pt idx="107">
                  <c:v>43984</c:v>
                </c:pt>
                <c:pt idx="108">
                  <c:v>43983</c:v>
                </c:pt>
                <c:pt idx="109">
                  <c:v>43980</c:v>
                </c:pt>
                <c:pt idx="110">
                  <c:v>43979</c:v>
                </c:pt>
                <c:pt idx="111">
                  <c:v>43978</c:v>
                </c:pt>
                <c:pt idx="112">
                  <c:v>43977</c:v>
                </c:pt>
                <c:pt idx="113">
                  <c:v>43976</c:v>
                </c:pt>
                <c:pt idx="114">
                  <c:v>43973</c:v>
                </c:pt>
                <c:pt idx="115">
                  <c:v>43972</c:v>
                </c:pt>
                <c:pt idx="116">
                  <c:v>43971</c:v>
                </c:pt>
                <c:pt idx="117">
                  <c:v>43970</c:v>
                </c:pt>
                <c:pt idx="118">
                  <c:v>43969</c:v>
                </c:pt>
                <c:pt idx="119">
                  <c:v>43966</c:v>
                </c:pt>
                <c:pt idx="120">
                  <c:v>43965</c:v>
                </c:pt>
                <c:pt idx="121">
                  <c:v>43964</c:v>
                </c:pt>
                <c:pt idx="122">
                  <c:v>43963</c:v>
                </c:pt>
                <c:pt idx="123">
                  <c:v>43962</c:v>
                </c:pt>
                <c:pt idx="124">
                  <c:v>43959</c:v>
                </c:pt>
                <c:pt idx="125">
                  <c:v>43958</c:v>
                </c:pt>
                <c:pt idx="126">
                  <c:v>43957</c:v>
                </c:pt>
                <c:pt idx="127">
                  <c:v>43956</c:v>
                </c:pt>
                <c:pt idx="128">
                  <c:v>43955</c:v>
                </c:pt>
                <c:pt idx="129">
                  <c:v>43952</c:v>
                </c:pt>
                <c:pt idx="130">
                  <c:v>43951</c:v>
                </c:pt>
                <c:pt idx="131">
                  <c:v>43950</c:v>
                </c:pt>
                <c:pt idx="132">
                  <c:v>43949</c:v>
                </c:pt>
                <c:pt idx="133">
                  <c:v>43948</c:v>
                </c:pt>
                <c:pt idx="134">
                  <c:v>43945</c:v>
                </c:pt>
                <c:pt idx="135">
                  <c:v>43944</c:v>
                </c:pt>
                <c:pt idx="136">
                  <c:v>43943</c:v>
                </c:pt>
                <c:pt idx="137">
                  <c:v>43942</c:v>
                </c:pt>
                <c:pt idx="138">
                  <c:v>43941</c:v>
                </c:pt>
                <c:pt idx="139">
                  <c:v>43938</c:v>
                </c:pt>
                <c:pt idx="140">
                  <c:v>43937</c:v>
                </c:pt>
                <c:pt idx="141">
                  <c:v>43936</c:v>
                </c:pt>
                <c:pt idx="142">
                  <c:v>43935</c:v>
                </c:pt>
                <c:pt idx="143">
                  <c:v>43930</c:v>
                </c:pt>
                <c:pt idx="144">
                  <c:v>43929</c:v>
                </c:pt>
                <c:pt idx="145">
                  <c:v>43928</c:v>
                </c:pt>
                <c:pt idx="146">
                  <c:v>43927</c:v>
                </c:pt>
                <c:pt idx="147">
                  <c:v>43924</c:v>
                </c:pt>
                <c:pt idx="148">
                  <c:v>43923</c:v>
                </c:pt>
                <c:pt idx="149">
                  <c:v>43922</c:v>
                </c:pt>
                <c:pt idx="150">
                  <c:v>43921</c:v>
                </c:pt>
                <c:pt idx="151">
                  <c:v>43920</c:v>
                </c:pt>
                <c:pt idx="152">
                  <c:v>43917</c:v>
                </c:pt>
                <c:pt idx="153">
                  <c:v>43916</c:v>
                </c:pt>
                <c:pt idx="154">
                  <c:v>43915</c:v>
                </c:pt>
                <c:pt idx="155">
                  <c:v>43914</c:v>
                </c:pt>
                <c:pt idx="156">
                  <c:v>43913</c:v>
                </c:pt>
                <c:pt idx="157">
                  <c:v>43910</c:v>
                </c:pt>
                <c:pt idx="158">
                  <c:v>43909</c:v>
                </c:pt>
                <c:pt idx="159">
                  <c:v>43908</c:v>
                </c:pt>
                <c:pt idx="160">
                  <c:v>43907</c:v>
                </c:pt>
                <c:pt idx="161">
                  <c:v>43906</c:v>
                </c:pt>
                <c:pt idx="162">
                  <c:v>43903</c:v>
                </c:pt>
                <c:pt idx="163">
                  <c:v>43902</c:v>
                </c:pt>
                <c:pt idx="164">
                  <c:v>43901</c:v>
                </c:pt>
                <c:pt idx="165">
                  <c:v>43900</c:v>
                </c:pt>
                <c:pt idx="166">
                  <c:v>43899</c:v>
                </c:pt>
                <c:pt idx="167">
                  <c:v>43896</c:v>
                </c:pt>
                <c:pt idx="168">
                  <c:v>43895</c:v>
                </c:pt>
                <c:pt idx="169">
                  <c:v>43894</c:v>
                </c:pt>
                <c:pt idx="170">
                  <c:v>43893</c:v>
                </c:pt>
                <c:pt idx="171">
                  <c:v>43892</c:v>
                </c:pt>
                <c:pt idx="172">
                  <c:v>43889</c:v>
                </c:pt>
                <c:pt idx="173">
                  <c:v>43888</c:v>
                </c:pt>
                <c:pt idx="174">
                  <c:v>43887</c:v>
                </c:pt>
                <c:pt idx="175">
                  <c:v>43886</c:v>
                </c:pt>
                <c:pt idx="176">
                  <c:v>43885</c:v>
                </c:pt>
                <c:pt idx="177">
                  <c:v>43882</c:v>
                </c:pt>
                <c:pt idx="178">
                  <c:v>43881</c:v>
                </c:pt>
                <c:pt idx="179">
                  <c:v>43880</c:v>
                </c:pt>
                <c:pt idx="180">
                  <c:v>43879</c:v>
                </c:pt>
                <c:pt idx="181">
                  <c:v>43878</c:v>
                </c:pt>
                <c:pt idx="182">
                  <c:v>43875</c:v>
                </c:pt>
                <c:pt idx="183">
                  <c:v>43874</c:v>
                </c:pt>
                <c:pt idx="184">
                  <c:v>43873</c:v>
                </c:pt>
                <c:pt idx="185">
                  <c:v>43872</c:v>
                </c:pt>
                <c:pt idx="186">
                  <c:v>43871</c:v>
                </c:pt>
                <c:pt idx="187">
                  <c:v>43868</c:v>
                </c:pt>
                <c:pt idx="188">
                  <c:v>43867</c:v>
                </c:pt>
                <c:pt idx="189">
                  <c:v>43866</c:v>
                </c:pt>
                <c:pt idx="190">
                  <c:v>43865</c:v>
                </c:pt>
                <c:pt idx="191">
                  <c:v>43864</c:v>
                </c:pt>
                <c:pt idx="192">
                  <c:v>43861</c:v>
                </c:pt>
                <c:pt idx="193">
                  <c:v>43860</c:v>
                </c:pt>
                <c:pt idx="194">
                  <c:v>43859</c:v>
                </c:pt>
                <c:pt idx="195">
                  <c:v>43858</c:v>
                </c:pt>
                <c:pt idx="196">
                  <c:v>43857</c:v>
                </c:pt>
                <c:pt idx="197">
                  <c:v>43854</c:v>
                </c:pt>
                <c:pt idx="198">
                  <c:v>43853</c:v>
                </c:pt>
                <c:pt idx="199">
                  <c:v>43852</c:v>
                </c:pt>
                <c:pt idx="200">
                  <c:v>43851</c:v>
                </c:pt>
                <c:pt idx="201">
                  <c:v>43850</c:v>
                </c:pt>
                <c:pt idx="202">
                  <c:v>43847</c:v>
                </c:pt>
                <c:pt idx="203">
                  <c:v>43846</c:v>
                </c:pt>
                <c:pt idx="204">
                  <c:v>43845</c:v>
                </c:pt>
                <c:pt idx="205">
                  <c:v>43844</c:v>
                </c:pt>
                <c:pt idx="206">
                  <c:v>43843</c:v>
                </c:pt>
                <c:pt idx="207">
                  <c:v>43840</c:v>
                </c:pt>
                <c:pt idx="208">
                  <c:v>43839</c:v>
                </c:pt>
                <c:pt idx="209">
                  <c:v>43838</c:v>
                </c:pt>
                <c:pt idx="210">
                  <c:v>43837</c:v>
                </c:pt>
                <c:pt idx="211">
                  <c:v>43836</c:v>
                </c:pt>
                <c:pt idx="212">
                  <c:v>43833</c:v>
                </c:pt>
                <c:pt idx="213">
                  <c:v>43832</c:v>
                </c:pt>
                <c:pt idx="214">
                  <c:v>43830</c:v>
                </c:pt>
                <c:pt idx="215">
                  <c:v>43829</c:v>
                </c:pt>
                <c:pt idx="216">
                  <c:v>43826</c:v>
                </c:pt>
                <c:pt idx="217">
                  <c:v>43823</c:v>
                </c:pt>
                <c:pt idx="218">
                  <c:v>43822</c:v>
                </c:pt>
                <c:pt idx="219">
                  <c:v>43819</c:v>
                </c:pt>
                <c:pt idx="220">
                  <c:v>43818</c:v>
                </c:pt>
                <c:pt idx="221">
                  <c:v>43817</c:v>
                </c:pt>
                <c:pt idx="222">
                  <c:v>43816</c:v>
                </c:pt>
                <c:pt idx="223">
                  <c:v>43815</c:v>
                </c:pt>
                <c:pt idx="224">
                  <c:v>43812</c:v>
                </c:pt>
                <c:pt idx="225">
                  <c:v>43811</c:v>
                </c:pt>
                <c:pt idx="226">
                  <c:v>43810</c:v>
                </c:pt>
                <c:pt idx="227">
                  <c:v>43809</c:v>
                </c:pt>
                <c:pt idx="228">
                  <c:v>43808</c:v>
                </c:pt>
                <c:pt idx="229">
                  <c:v>43805</c:v>
                </c:pt>
                <c:pt idx="230">
                  <c:v>43804</c:v>
                </c:pt>
                <c:pt idx="231">
                  <c:v>43803</c:v>
                </c:pt>
                <c:pt idx="232">
                  <c:v>43802</c:v>
                </c:pt>
                <c:pt idx="233">
                  <c:v>43801</c:v>
                </c:pt>
                <c:pt idx="234">
                  <c:v>43798</c:v>
                </c:pt>
                <c:pt idx="235">
                  <c:v>43797</c:v>
                </c:pt>
                <c:pt idx="236">
                  <c:v>43796</c:v>
                </c:pt>
                <c:pt idx="237">
                  <c:v>43795</c:v>
                </c:pt>
                <c:pt idx="238">
                  <c:v>43794</c:v>
                </c:pt>
                <c:pt idx="239">
                  <c:v>43791</c:v>
                </c:pt>
                <c:pt idx="240">
                  <c:v>43790</c:v>
                </c:pt>
                <c:pt idx="241">
                  <c:v>43789</c:v>
                </c:pt>
                <c:pt idx="242">
                  <c:v>43788</c:v>
                </c:pt>
                <c:pt idx="243">
                  <c:v>43787</c:v>
                </c:pt>
                <c:pt idx="244">
                  <c:v>43784</c:v>
                </c:pt>
                <c:pt idx="245">
                  <c:v>43783</c:v>
                </c:pt>
                <c:pt idx="246">
                  <c:v>43782</c:v>
                </c:pt>
                <c:pt idx="247">
                  <c:v>43781</c:v>
                </c:pt>
                <c:pt idx="248">
                  <c:v>43780</c:v>
                </c:pt>
                <c:pt idx="249">
                  <c:v>43777</c:v>
                </c:pt>
                <c:pt idx="250">
                  <c:v>43776</c:v>
                </c:pt>
                <c:pt idx="251">
                  <c:v>43775</c:v>
                </c:pt>
                <c:pt idx="252">
                  <c:v>43774</c:v>
                </c:pt>
                <c:pt idx="253">
                  <c:v>43773</c:v>
                </c:pt>
                <c:pt idx="254">
                  <c:v>43770</c:v>
                </c:pt>
                <c:pt idx="255">
                  <c:v>43769</c:v>
                </c:pt>
                <c:pt idx="256">
                  <c:v>43768</c:v>
                </c:pt>
                <c:pt idx="257">
                  <c:v>43767</c:v>
                </c:pt>
                <c:pt idx="258">
                  <c:v>43766</c:v>
                </c:pt>
                <c:pt idx="259">
                  <c:v>43763</c:v>
                </c:pt>
                <c:pt idx="260">
                  <c:v>43762</c:v>
                </c:pt>
                <c:pt idx="261">
                  <c:v>43761</c:v>
                </c:pt>
                <c:pt idx="262">
                  <c:v>43760</c:v>
                </c:pt>
                <c:pt idx="263">
                  <c:v>43759</c:v>
                </c:pt>
                <c:pt idx="264">
                  <c:v>43756</c:v>
                </c:pt>
                <c:pt idx="265">
                  <c:v>43755</c:v>
                </c:pt>
                <c:pt idx="266">
                  <c:v>43754</c:v>
                </c:pt>
                <c:pt idx="267">
                  <c:v>43753</c:v>
                </c:pt>
                <c:pt idx="268">
                  <c:v>43752</c:v>
                </c:pt>
                <c:pt idx="269">
                  <c:v>43749</c:v>
                </c:pt>
                <c:pt idx="270">
                  <c:v>43748</c:v>
                </c:pt>
                <c:pt idx="271">
                  <c:v>43747</c:v>
                </c:pt>
                <c:pt idx="272">
                  <c:v>43746</c:v>
                </c:pt>
                <c:pt idx="273">
                  <c:v>43745</c:v>
                </c:pt>
                <c:pt idx="274">
                  <c:v>43742</c:v>
                </c:pt>
                <c:pt idx="275">
                  <c:v>43741</c:v>
                </c:pt>
                <c:pt idx="276">
                  <c:v>43740</c:v>
                </c:pt>
                <c:pt idx="277">
                  <c:v>43739</c:v>
                </c:pt>
                <c:pt idx="278">
                  <c:v>43738</c:v>
                </c:pt>
                <c:pt idx="279">
                  <c:v>43735</c:v>
                </c:pt>
                <c:pt idx="280">
                  <c:v>43734</c:v>
                </c:pt>
                <c:pt idx="281">
                  <c:v>43733</c:v>
                </c:pt>
                <c:pt idx="282">
                  <c:v>43732</c:v>
                </c:pt>
                <c:pt idx="283">
                  <c:v>43731</c:v>
                </c:pt>
                <c:pt idx="284">
                  <c:v>43728</c:v>
                </c:pt>
                <c:pt idx="285">
                  <c:v>43727</c:v>
                </c:pt>
                <c:pt idx="286">
                  <c:v>43726</c:v>
                </c:pt>
                <c:pt idx="287">
                  <c:v>43725</c:v>
                </c:pt>
                <c:pt idx="288">
                  <c:v>43724</c:v>
                </c:pt>
                <c:pt idx="289">
                  <c:v>43721</c:v>
                </c:pt>
                <c:pt idx="290">
                  <c:v>43720</c:v>
                </c:pt>
                <c:pt idx="291">
                  <c:v>43719</c:v>
                </c:pt>
                <c:pt idx="292">
                  <c:v>43718</c:v>
                </c:pt>
                <c:pt idx="293">
                  <c:v>43717</c:v>
                </c:pt>
                <c:pt idx="294">
                  <c:v>43714</c:v>
                </c:pt>
                <c:pt idx="295">
                  <c:v>43713</c:v>
                </c:pt>
                <c:pt idx="296">
                  <c:v>43712</c:v>
                </c:pt>
                <c:pt idx="297">
                  <c:v>43711</c:v>
                </c:pt>
                <c:pt idx="298">
                  <c:v>43710</c:v>
                </c:pt>
                <c:pt idx="299">
                  <c:v>43707</c:v>
                </c:pt>
                <c:pt idx="300">
                  <c:v>43706</c:v>
                </c:pt>
                <c:pt idx="301">
                  <c:v>43705</c:v>
                </c:pt>
                <c:pt idx="302">
                  <c:v>43704</c:v>
                </c:pt>
                <c:pt idx="303">
                  <c:v>43703</c:v>
                </c:pt>
                <c:pt idx="304">
                  <c:v>43700</c:v>
                </c:pt>
                <c:pt idx="305">
                  <c:v>43699</c:v>
                </c:pt>
                <c:pt idx="306">
                  <c:v>43698</c:v>
                </c:pt>
                <c:pt idx="307">
                  <c:v>43697</c:v>
                </c:pt>
                <c:pt idx="308">
                  <c:v>43696</c:v>
                </c:pt>
                <c:pt idx="309">
                  <c:v>43693</c:v>
                </c:pt>
                <c:pt idx="310">
                  <c:v>43692</c:v>
                </c:pt>
                <c:pt idx="311">
                  <c:v>43691</c:v>
                </c:pt>
                <c:pt idx="312">
                  <c:v>43690</c:v>
                </c:pt>
                <c:pt idx="313">
                  <c:v>43689</c:v>
                </c:pt>
                <c:pt idx="314">
                  <c:v>43686</c:v>
                </c:pt>
                <c:pt idx="315">
                  <c:v>43685</c:v>
                </c:pt>
                <c:pt idx="316">
                  <c:v>43684</c:v>
                </c:pt>
                <c:pt idx="317">
                  <c:v>43683</c:v>
                </c:pt>
                <c:pt idx="318">
                  <c:v>43682</c:v>
                </c:pt>
                <c:pt idx="319">
                  <c:v>43679</c:v>
                </c:pt>
                <c:pt idx="320">
                  <c:v>43678</c:v>
                </c:pt>
                <c:pt idx="321">
                  <c:v>43677</c:v>
                </c:pt>
                <c:pt idx="322">
                  <c:v>43676</c:v>
                </c:pt>
                <c:pt idx="323">
                  <c:v>43675</c:v>
                </c:pt>
                <c:pt idx="324">
                  <c:v>43672</c:v>
                </c:pt>
                <c:pt idx="325">
                  <c:v>43671</c:v>
                </c:pt>
                <c:pt idx="326">
                  <c:v>43670</c:v>
                </c:pt>
                <c:pt idx="327">
                  <c:v>43669</c:v>
                </c:pt>
                <c:pt idx="328">
                  <c:v>43668</c:v>
                </c:pt>
                <c:pt idx="329">
                  <c:v>43665</c:v>
                </c:pt>
                <c:pt idx="330">
                  <c:v>43664</c:v>
                </c:pt>
                <c:pt idx="331">
                  <c:v>43663</c:v>
                </c:pt>
                <c:pt idx="332">
                  <c:v>43662</c:v>
                </c:pt>
                <c:pt idx="333">
                  <c:v>43661</c:v>
                </c:pt>
                <c:pt idx="334">
                  <c:v>43658</c:v>
                </c:pt>
                <c:pt idx="335">
                  <c:v>43657</c:v>
                </c:pt>
                <c:pt idx="336">
                  <c:v>43656</c:v>
                </c:pt>
                <c:pt idx="337">
                  <c:v>43655</c:v>
                </c:pt>
                <c:pt idx="338">
                  <c:v>43654</c:v>
                </c:pt>
                <c:pt idx="339">
                  <c:v>43651</c:v>
                </c:pt>
                <c:pt idx="340">
                  <c:v>43650</c:v>
                </c:pt>
                <c:pt idx="341">
                  <c:v>43649</c:v>
                </c:pt>
                <c:pt idx="342">
                  <c:v>43648</c:v>
                </c:pt>
                <c:pt idx="343">
                  <c:v>43647</c:v>
                </c:pt>
                <c:pt idx="344">
                  <c:v>43644</c:v>
                </c:pt>
                <c:pt idx="345">
                  <c:v>43643</c:v>
                </c:pt>
                <c:pt idx="346">
                  <c:v>43642</c:v>
                </c:pt>
                <c:pt idx="347">
                  <c:v>43641</c:v>
                </c:pt>
                <c:pt idx="348">
                  <c:v>43640</c:v>
                </c:pt>
                <c:pt idx="349">
                  <c:v>43637</c:v>
                </c:pt>
                <c:pt idx="350">
                  <c:v>43636</c:v>
                </c:pt>
                <c:pt idx="351">
                  <c:v>43635</c:v>
                </c:pt>
                <c:pt idx="352">
                  <c:v>43634</c:v>
                </c:pt>
                <c:pt idx="353">
                  <c:v>43633</c:v>
                </c:pt>
                <c:pt idx="354">
                  <c:v>43630</c:v>
                </c:pt>
                <c:pt idx="355">
                  <c:v>43629</c:v>
                </c:pt>
                <c:pt idx="356">
                  <c:v>43628</c:v>
                </c:pt>
                <c:pt idx="357">
                  <c:v>43627</c:v>
                </c:pt>
                <c:pt idx="358">
                  <c:v>43626</c:v>
                </c:pt>
                <c:pt idx="359">
                  <c:v>43623</c:v>
                </c:pt>
                <c:pt idx="360">
                  <c:v>43622</c:v>
                </c:pt>
                <c:pt idx="361">
                  <c:v>43621</c:v>
                </c:pt>
                <c:pt idx="362">
                  <c:v>43620</c:v>
                </c:pt>
                <c:pt idx="363">
                  <c:v>43619</c:v>
                </c:pt>
                <c:pt idx="364">
                  <c:v>43616</c:v>
                </c:pt>
                <c:pt idx="365">
                  <c:v>43615</c:v>
                </c:pt>
                <c:pt idx="366">
                  <c:v>43614</c:v>
                </c:pt>
                <c:pt idx="367">
                  <c:v>43613</c:v>
                </c:pt>
                <c:pt idx="368">
                  <c:v>43612</c:v>
                </c:pt>
                <c:pt idx="369">
                  <c:v>43609</c:v>
                </c:pt>
                <c:pt idx="370">
                  <c:v>43608</c:v>
                </c:pt>
                <c:pt idx="371">
                  <c:v>43607</c:v>
                </c:pt>
                <c:pt idx="372">
                  <c:v>43606</c:v>
                </c:pt>
                <c:pt idx="373">
                  <c:v>43605</c:v>
                </c:pt>
                <c:pt idx="374">
                  <c:v>43602</c:v>
                </c:pt>
                <c:pt idx="375">
                  <c:v>43601</c:v>
                </c:pt>
                <c:pt idx="376">
                  <c:v>43600</c:v>
                </c:pt>
                <c:pt idx="377">
                  <c:v>43599</c:v>
                </c:pt>
                <c:pt idx="378">
                  <c:v>43598</c:v>
                </c:pt>
                <c:pt idx="379">
                  <c:v>43595</c:v>
                </c:pt>
                <c:pt idx="380">
                  <c:v>43594</c:v>
                </c:pt>
                <c:pt idx="381">
                  <c:v>43593</c:v>
                </c:pt>
                <c:pt idx="382">
                  <c:v>43592</c:v>
                </c:pt>
                <c:pt idx="383">
                  <c:v>43591</c:v>
                </c:pt>
                <c:pt idx="384">
                  <c:v>43588</c:v>
                </c:pt>
                <c:pt idx="385">
                  <c:v>43587</c:v>
                </c:pt>
                <c:pt idx="386">
                  <c:v>43586</c:v>
                </c:pt>
                <c:pt idx="387">
                  <c:v>43585</c:v>
                </c:pt>
                <c:pt idx="388">
                  <c:v>43584</c:v>
                </c:pt>
                <c:pt idx="389">
                  <c:v>43581</c:v>
                </c:pt>
                <c:pt idx="390">
                  <c:v>43580</c:v>
                </c:pt>
                <c:pt idx="391">
                  <c:v>43579</c:v>
                </c:pt>
                <c:pt idx="392">
                  <c:v>43578</c:v>
                </c:pt>
                <c:pt idx="393">
                  <c:v>43573</c:v>
                </c:pt>
                <c:pt idx="394">
                  <c:v>43572</c:v>
                </c:pt>
                <c:pt idx="395">
                  <c:v>43571</c:v>
                </c:pt>
                <c:pt idx="396">
                  <c:v>43570</c:v>
                </c:pt>
                <c:pt idx="397">
                  <c:v>43567</c:v>
                </c:pt>
                <c:pt idx="398">
                  <c:v>43566</c:v>
                </c:pt>
                <c:pt idx="399">
                  <c:v>43565</c:v>
                </c:pt>
                <c:pt idx="400">
                  <c:v>43564</c:v>
                </c:pt>
                <c:pt idx="401">
                  <c:v>43563</c:v>
                </c:pt>
                <c:pt idx="402">
                  <c:v>43560</c:v>
                </c:pt>
                <c:pt idx="403">
                  <c:v>43559</c:v>
                </c:pt>
                <c:pt idx="404">
                  <c:v>43558</c:v>
                </c:pt>
                <c:pt idx="405">
                  <c:v>43557</c:v>
                </c:pt>
                <c:pt idx="406">
                  <c:v>43556</c:v>
                </c:pt>
                <c:pt idx="407">
                  <c:v>43553</c:v>
                </c:pt>
                <c:pt idx="408">
                  <c:v>43552</c:v>
                </c:pt>
                <c:pt idx="409">
                  <c:v>43551</c:v>
                </c:pt>
                <c:pt idx="410">
                  <c:v>43550</c:v>
                </c:pt>
                <c:pt idx="411">
                  <c:v>43549</c:v>
                </c:pt>
                <c:pt idx="412">
                  <c:v>43546</c:v>
                </c:pt>
                <c:pt idx="413">
                  <c:v>43545</c:v>
                </c:pt>
                <c:pt idx="414">
                  <c:v>43544</c:v>
                </c:pt>
                <c:pt idx="415">
                  <c:v>43543</c:v>
                </c:pt>
                <c:pt idx="416">
                  <c:v>43542</c:v>
                </c:pt>
                <c:pt idx="417">
                  <c:v>43539</c:v>
                </c:pt>
                <c:pt idx="418">
                  <c:v>43538</c:v>
                </c:pt>
                <c:pt idx="419">
                  <c:v>43537</c:v>
                </c:pt>
                <c:pt idx="420">
                  <c:v>43536</c:v>
                </c:pt>
                <c:pt idx="421">
                  <c:v>43535</c:v>
                </c:pt>
                <c:pt idx="422">
                  <c:v>43532</c:v>
                </c:pt>
                <c:pt idx="423">
                  <c:v>43531</c:v>
                </c:pt>
                <c:pt idx="424">
                  <c:v>43530</c:v>
                </c:pt>
                <c:pt idx="425">
                  <c:v>43529</c:v>
                </c:pt>
                <c:pt idx="426">
                  <c:v>43528</c:v>
                </c:pt>
                <c:pt idx="427">
                  <c:v>43525</c:v>
                </c:pt>
                <c:pt idx="428">
                  <c:v>43524</c:v>
                </c:pt>
                <c:pt idx="429">
                  <c:v>43523</c:v>
                </c:pt>
                <c:pt idx="430">
                  <c:v>43522</c:v>
                </c:pt>
                <c:pt idx="431">
                  <c:v>43521</c:v>
                </c:pt>
                <c:pt idx="432">
                  <c:v>43518</c:v>
                </c:pt>
                <c:pt idx="433">
                  <c:v>43517</c:v>
                </c:pt>
                <c:pt idx="434">
                  <c:v>43516</c:v>
                </c:pt>
                <c:pt idx="435">
                  <c:v>43515</c:v>
                </c:pt>
                <c:pt idx="436">
                  <c:v>43514</c:v>
                </c:pt>
                <c:pt idx="437">
                  <c:v>43511</c:v>
                </c:pt>
                <c:pt idx="438">
                  <c:v>43510</c:v>
                </c:pt>
                <c:pt idx="439">
                  <c:v>43509</c:v>
                </c:pt>
                <c:pt idx="440">
                  <c:v>43508</c:v>
                </c:pt>
                <c:pt idx="441">
                  <c:v>43507</c:v>
                </c:pt>
                <c:pt idx="442">
                  <c:v>43504</c:v>
                </c:pt>
                <c:pt idx="443">
                  <c:v>43503</c:v>
                </c:pt>
                <c:pt idx="444">
                  <c:v>43502</c:v>
                </c:pt>
                <c:pt idx="445">
                  <c:v>43501</c:v>
                </c:pt>
                <c:pt idx="446">
                  <c:v>43500</c:v>
                </c:pt>
                <c:pt idx="447">
                  <c:v>43497</c:v>
                </c:pt>
                <c:pt idx="448">
                  <c:v>43496</c:v>
                </c:pt>
                <c:pt idx="449">
                  <c:v>43495</c:v>
                </c:pt>
                <c:pt idx="450">
                  <c:v>43494</c:v>
                </c:pt>
                <c:pt idx="451">
                  <c:v>43493</c:v>
                </c:pt>
                <c:pt idx="452">
                  <c:v>43490</c:v>
                </c:pt>
                <c:pt idx="453">
                  <c:v>43489</c:v>
                </c:pt>
                <c:pt idx="454">
                  <c:v>43488</c:v>
                </c:pt>
                <c:pt idx="455">
                  <c:v>43487</c:v>
                </c:pt>
                <c:pt idx="456">
                  <c:v>43486</c:v>
                </c:pt>
                <c:pt idx="457">
                  <c:v>43483</c:v>
                </c:pt>
                <c:pt idx="458">
                  <c:v>43482</c:v>
                </c:pt>
                <c:pt idx="459">
                  <c:v>43481</c:v>
                </c:pt>
                <c:pt idx="460">
                  <c:v>43480</c:v>
                </c:pt>
                <c:pt idx="461">
                  <c:v>43479</c:v>
                </c:pt>
                <c:pt idx="462">
                  <c:v>43476</c:v>
                </c:pt>
                <c:pt idx="463">
                  <c:v>43475</c:v>
                </c:pt>
                <c:pt idx="464">
                  <c:v>43474</c:v>
                </c:pt>
                <c:pt idx="465">
                  <c:v>43473</c:v>
                </c:pt>
                <c:pt idx="466">
                  <c:v>43472</c:v>
                </c:pt>
                <c:pt idx="467">
                  <c:v>43469</c:v>
                </c:pt>
                <c:pt idx="468">
                  <c:v>43468</c:v>
                </c:pt>
                <c:pt idx="469">
                  <c:v>43467</c:v>
                </c:pt>
                <c:pt idx="470">
                  <c:v>43465</c:v>
                </c:pt>
                <c:pt idx="471">
                  <c:v>43462</c:v>
                </c:pt>
                <c:pt idx="472">
                  <c:v>43461</c:v>
                </c:pt>
                <c:pt idx="473">
                  <c:v>43458</c:v>
                </c:pt>
                <c:pt idx="474">
                  <c:v>43455</c:v>
                </c:pt>
                <c:pt idx="475">
                  <c:v>43454</c:v>
                </c:pt>
                <c:pt idx="476">
                  <c:v>43453</c:v>
                </c:pt>
                <c:pt idx="477">
                  <c:v>43452</c:v>
                </c:pt>
                <c:pt idx="478">
                  <c:v>43451</c:v>
                </c:pt>
                <c:pt idx="479">
                  <c:v>43448</c:v>
                </c:pt>
                <c:pt idx="480">
                  <c:v>43447</c:v>
                </c:pt>
                <c:pt idx="481">
                  <c:v>43446</c:v>
                </c:pt>
                <c:pt idx="482">
                  <c:v>43445</c:v>
                </c:pt>
                <c:pt idx="483">
                  <c:v>43444</c:v>
                </c:pt>
                <c:pt idx="484">
                  <c:v>43441</c:v>
                </c:pt>
                <c:pt idx="485">
                  <c:v>43440</c:v>
                </c:pt>
                <c:pt idx="486">
                  <c:v>43439</c:v>
                </c:pt>
                <c:pt idx="487">
                  <c:v>43438</c:v>
                </c:pt>
                <c:pt idx="488">
                  <c:v>43437</c:v>
                </c:pt>
                <c:pt idx="489">
                  <c:v>43434</c:v>
                </c:pt>
                <c:pt idx="490">
                  <c:v>43433</c:v>
                </c:pt>
                <c:pt idx="491">
                  <c:v>43432</c:v>
                </c:pt>
                <c:pt idx="492">
                  <c:v>43431</c:v>
                </c:pt>
                <c:pt idx="493">
                  <c:v>43430</c:v>
                </c:pt>
                <c:pt idx="494">
                  <c:v>43427</c:v>
                </c:pt>
                <c:pt idx="495">
                  <c:v>43426</c:v>
                </c:pt>
                <c:pt idx="496">
                  <c:v>43425</c:v>
                </c:pt>
                <c:pt idx="497">
                  <c:v>43424</c:v>
                </c:pt>
                <c:pt idx="498">
                  <c:v>43423</c:v>
                </c:pt>
                <c:pt idx="499">
                  <c:v>43420</c:v>
                </c:pt>
                <c:pt idx="500">
                  <c:v>43419</c:v>
                </c:pt>
                <c:pt idx="501">
                  <c:v>43418</c:v>
                </c:pt>
                <c:pt idx="502">
                  <c:v>43417</c:v>
                </c:pt>
                <c:pt idx="503">
                  <c:v>43416</c:v>
                </c:pt>
                <c:pt idx="504">
                  <c:v>43413</c:v>
                </c:pt>
                <c:pt idx="505">
                  <c:v>43412</c:v>
                </c:pt>
                <c:pt idx="506">
                  <c:v>43411</c:v>
                </c:pt>
                <c:pt idx="507">
                  <c:v>43410</c:v>
                </c:pt>
                <c:pt idx="508">
                  <c:v>43409</c:v>
                </c:pt>
                <c:pt idx="509">
                  <c:v>43406</c:v>
                </c:pt>
                <c:pt idx="510">
                  <c:v>43405</c:v>
                </c:pt>
                <c:pt idx="511">
                  <c:v>43404</c:v>
                </c:pt>
                <c:pt idx="512">
                  <c:v>43403</c:v>
                </c:pt>
                <c:pt idx="513">
                  <c:v>43402</c:v>
                </c:pt>
                <c:pt idx="514">
                  <c:v>43399</c:v>
                </c:pt>
                <c:pt idx="515">
                  <c:v>43398</c:v>
                </c:pt>
                <c:pt idx="516">
                  <c:v>43397</c:v>
                </c:pt>
                <c:pt idx="517">
                  <c:v>43396</c:v>
                </c:pt>
                <c:pt idx="518">
                  <c:v>43395</c:v>
                </c:pt>
                <c:pt idx="519">
                  <c:v>43392</c:v>
                </c:pt>
                <c:pt idx="520">
                  <c:v>43391</c:v>
                </c:pt>
                <c:pt idx="521">
                  <c:v>43390</c:v>
                </c:pt>
                <c:pt idx="522">
                  <c:v>43389</c:v>
                </c:pt>
                <c:pt idx="523">
                  <c:v>43388</c:v>
                </c:pt>
                <c:pt idx="524">
                  <c:v>43385</c:v>
                </c:pt>
                <c:pt idx="525">
                  <c:v>43384</c:v>
                </c:pt>
                <c:pt idx="526">
                  <c:v>43383</c:v>
                </c:pt>
                <c:pt idx="527">
                  <c:v>43382</c:v>
                </c:pt>
                <c:pt idx="528">
                  <c:v>43381</c:v>
                </c:pt>
                <c:pt idx="529">
                  <c:v>43378</c:v>
                </c:pt>
                <c:pt idx="530">
                  <c:v>43377</c:v>
                </c:pt>
                <c:pt idx="531">
                  <c:v>43376</c:v>
                </c:pt>
                <c:pt idx="532">
                  <c:v>43375</c:v>
                </c:pt>
                <c:pt idx="533">
                  <c:v>43374</c:v>
                </c:pt>
                <c:pt idx="534">
                  <c:v>43371</c:v>
                </c:pt>
                <c:pt idx="535">
                  <c:v>43370</c:v>
                </c:pt>
                <c:pt idx="536">
                  <c:v>43369</c:v>
                </c:pt>
                <c:pt idx="537">
                  <c:v>43368</c:v>
                </c:pt>
                <c:pt idx="538">
                  <c:v>43367</c:v>
                </c:pt>
                <c:pt idx="539">
                  <c:v>43364</c:v>
                </c:pt>
                <c:pt idx="540">
                  <c:v>43363</c:v>
                </c:pt>
                <c:pt idx="541">
                  <c:v>43362</c:v>
                </c:pt>
                <c:pt idx="542">
                  <c:v>43361</c:v>
                </c:pt>
                <c:pt idx="543">
                  <c:v>43360</c:v>
                </c:pt>
                <c:pt idx="544">
                  <c:v>43357</c:v>
                </c:pt>
                <c:pt idx="545">
                  <c:v>43356</c:v>
                </c:pt>
                <c:pt idx="546">
                  <c:v>43355</c:v>
                </c:pt>
                <c:pt idx="547">
                  <c:v>43354</c:v>
                </c:pt>
                <c:pt idx="548">
                  <c:v>43353</c:v>
                </c:pt>
                <c:pt idx="549">
                  <c:v>43350</c:v>
                </c:pt>
                <c:pt idx="550">
                  <c:v>43349</c:v>
                </c:pt>
                <c:pt idx="551">
                  <c:v>43348</c:v>
                </c:pt>
                <c:pt idx="552">
                  <c:v>43347</c:v>
                </c:pt>
                <c:pt idx="553">
                  <c:v>43346</c:v>
                </c:pt>
                <c:pt idx="554">
                  <c:v>43343</c:v>
                </c:pt>
                <c:pt idx="555">
                  <c:v>43342</c:v>
                </c:pt>
                <c:pt idx="556">
                  <c:v>43341</c:v>
                </c:pt>
                <c:pt idx="557">
                  <c:v>43340</c:v>
                </c:pt>
                <c:pt idx="558">
                  <c:v>43339</c:v>
                </c:pt>
                <c:pt idx="559">
                  <c:v>43336</c:v>
                </c:pt>
                <c:pt idx="560">
                  <c:v>43335</c:v>
                </c:pt>
                <c:pt idx="561">
                  <c:v>43334</c:v>
                </c:pt>
                <c:pt idx="562">
                  <c:v>43333</c:v>
                </c:pt>
                <c:pt idx="563">
                  <c:v>43332</c:v>
                </c:pt>
                <c:pt idx="564">
                  <c:v>43329</c:v>
                </c:pt>
                <c:pt idx="565">
                  <c:v>43328</c:v>
                </c:pt>
                <c:pt idx="566">
                  <c:v>43327</c:v>
                </c:pt>
                <c:pt idx="567">
                  <c:v>43326</c:v>
                </c:pt>
                <c:pt idx="568">
                  <c:v>43325</c:v>
                </c:pt>
                <c:pt idx="569">
                  <c:v>43322</c:v>
                </c:pt>
                <c:pt idx="570">
                  <c:v>43321</c:v>
                </c:pt>
                <c:pt idx="571">
                  <c:v>43320</c:v>
                </c:pt>
                <c:pt idx="572">
                  <c:v>43319</c:v>
                </c:pt>
                <c:pt idx="573">
                  <c:v>43318</c:v>
                </c:pt>
                <c:pt idx="574">
                  <c:v>43315</c:v>
                </c:pt>
                <c:pt idx="575">
                  <c:v>43314</c:v>
                </c:pt>
                <c:pt idx="576">
                  <c:v>43313</c:v>
                </c:pt>
                <c:pt idx="577">
                  <c:v>43312</c:v>
                </c:pt>
                <c:pt idx="578">
                  <c:v>43311</c:v>
                </c:pt>
                <c:pt idx="579">
                  <c:v>43308</c:v>
                </c:pt>
                <c:pt idx="580">
                  <c:v>43307</c:v>
                </c:pt>
                <c:pt idx="581">
                  <c:v>43306</c:v>
                </c:pt>
                <c:pt idx="582">
                  <c:v>43305</c:v>
                </c:pt>
                <c:pt idx="583">
                  <c:v>43304</c:v>
                </c:pt>
                <c:pt idx="584">
                  <c:v>43301</c:v>
                </c:pt>
                <c:pt idx="585">
                  <c:v>43300</c:v>
                </c:pt>
                <c:pt idx="586">
                  <c:v>43299</c:v>
                </c:pt>
                <c:pt idx="587">
                  <c:v>43298</c:v>
                </c:pt>
                <c:pt idx="588">
                  <c:v>43297</c:v>
                </c:pt>
                <c:pt idx="589">
                  <c:v>43294</c:v>
                </c:pt>
                <c:pt idx="590">
                  <c:v>43293</c:v>
                </c:pt>
                <c:pt idx="591">
                  <c:v>43292</c:v>
                </c:pt>
                <c:pt idx="592">
                  <c:v>43291</c:v>
                </c:pt>
                <c:pt idx="593">
                  <c:v>43290</c:v>
                </c:pt>
                <c:pt idx="594">
                  <c:v>43287</c:v>
                </c:pt>
                <c:pt idx="595">
                  <c:v>43286</c:v>
                </c:pt>
                <c:pt idx="596">
                  <c:v>43285</c:v>
                </c:pt>
                <c:pt idx="597">
                  <c:v>43284</c:v>
                </c:pt>
                <c:pt idx="598">
                  <c:v>43283</c:v>
                </c:pt>
                <c:pt idx="599">
                  <c:v>43280</c:v>
                </c:pt>
                <c:pt idx="600">
                  <c:v>43279</c:v>
                </c:pt>
                <c:pt idx="601">
                  <c:v>43278</c:v>
                </c:pt>
              </c:numCache>
            </c:numRef>
          </c:cat>
          <c:val>
            <c:numRef>
              <c:f>'[Hartije od vrednosti na medjunarodnom trzistu SAJT (2).xlsx]EUROBOND 2021 offline'!$B$6:$B$607</c:f>
              <c:numCache>
                <c:formatCode>#,##0.000</c:formatCode>
                <c:ptCount val="602"/>
                <c:pt idx="0">
                  <c:v>105.809</c:v>
                </c:pt>
                <c:pt idx="1">
                  <c:v>105.791</c:v>
                </c:pt>
                <c:pt idx="2">
                  <c:v>105.806</c:v>
                </c:pt>
                <c:pt idx="3">
                  <c:v>105.809</c:v>
                </c:pt>
                <c:pt idx="4">
                  <c:v>105.73399999999999</c:v>
                </c:pt>
                <c:pt idx="5">
                  <c:v>105.815</c:v>
                </c:pt>
                <c:pt idx="6">
                  <c:v>105.828</c:v>
                </c:pt>
                <c:pt idx="7">
                  <c:v>105.848</c:v>
                </c:pt>
                <c:pt idx="8">
                  <c:v>105.81399999999999</c:v>
                </c:pt>
                <c:pt idx="9">
                  <c:v>105.88500000000001</c:v>
                </c:pt>
                <c:pt idx="10">
                  <c:v>105.884</c:v>
                </c:pt>
                <c:pt idx="11">
                  <c:v>105.872</c:v>
                </c:pt>
                <c:pt idx="12">
                  <c:v>105.92400000000001</c:v>
                </c:pt>
                <c:pt idx="13">
                  <c:v>105.919</c:v>
                </c:pt>
                <c:pt idx="14">
                  <c:v>105.91500000000001</c:v>
                </c:pt>
                <c:pt idx="15">
                  <c:v>105.907</c:v>
                </c:pt>
                <c:pt idx="16">
                  <c:v>105.935</c:v>
                </c:pt>
                <c:pt idx="17">
                  <c:v>105.941</c:v>
                </c:pt>
                <c:pt idx="18">
                  <c:v>105.93600000000001</c:v>
                </c:pt>
                <c:pt idx="19">
                  <c:v>105.938</c:v>
                </c:pt>
                <c:pt idx="20">
                  <c:v>105.95399999999999</c:v>
                </c:pt>
                <c:pt idx="21">
                  <c:v>105.958</c:v>
                </c:pt>
                <c:pt idx="22">
                  <c:v>105.97799999999999</c:v>
                </c:pt>
                <c:pt idx="23">
                  <c:v>106.004</c:v>
                </c:pt>
                <c:pt idx="24">
                  <c:v>105.968</c:v>
                </c:pt>
                <c:pt idx="25">
                  <c:v>106.008</c:v>
                </c:pt>
                <c:pt idx="26">
                  <c:v>106.06100000000001</c:v>
                </c:pt>
                <c:pt idx="27">
                  <c:v>106.02200000000001</c:v>
                </c:pt>
                <c:pt idx="28">
                  <c:v>106.02500000000001</c:v>
                </c:pt>
                <c:pt idx="29">
                  <c:v>106.048</c:v>
                </c:pt>
                <c:pt idx="30">
                  <c:v>106.14400000000001</c:v>
                </c:pt>
                <c:pt idx="31">
                  <c:v>106.08799999999999</c:v>
                </c:pt>
                <c:pt idx="32">
                  <c:v>106.128</c:v>
                </c:pt>
                <c:pt idx="33">
                  <c:v>106.137</c:v>
                </c:pt>
                <c:pt idx="34">
                  <c:v>106.17400000000001</c:v>
                </c:pt>
                <c:pt idx="35">
                  <c:v>106.179</c:v>
                </c:pt>
                <c:pt idx="36">
                  <c:v>106.146</c:v>
                </c:pt>
                <c:pt idx="37">
                  <c:v>106.154</c:v>
                </c:pt>
                <c:pt idx="38">
                  <c:v>106.10599999999999</c:v>
                </c:pt>
                <c:pt idx="39">
                  <c:v>106.208</c:v>
                </c:pt>
                <c:pt idx="40">
                  <c:v>106.176</c:v>
                </c:pt>
                <c:pt idx="41">
                  <c:v>106.176</c:v>
                </c:pt>
                <c:pt idx="42">
                  <c:v>106.167</c:v>
                </c:pt>
                <c:pt idx="43">
                  <c:v>106.28700000000001</c:v>
                </c:pt>
                <c:pt idx="44">
                  <c:v>106.241</c:v>
                </c:pt>
                <c:pt idx="45">
                  <c:v>106.40600000000001</c:v>
                </c:pt>
                <c:pt idx="46">
                  <c:v>106.426</c:v>
                </c:pt>
                <c:pt idx="47">
                  <c:v>106.423</c:v>
                </c:pt>
                <c:pt idx="48">
                  <c:v>106.444</c:v>
                </c:pt>
                <c:pt idx="49">
                  <c:v>106.43</c:v>
                </c:pt>
                <c:pt idx="50">
                  <c:v>106.45099999999999</c:v>
                </c:pt>
                <c:pt idx="51">
                  <c:v>106.45399999999999</c:v>
                </c:pt>
                <c:pt idx="52">
                  <c:v>106.434</c:v>
                </c:pt>
                <c:pt idx="53">
                  <c:v>106.476</c:v>
                </c:pt>
                <c:pt idx="54">
                  <c:v>106.523</c:v>
                </c:pt>
                <c:pt idx="55">
                  <c:v>106.506</c:v>
                </c:pt>
                <c:pt idx="56">
                  <c:v>106.521</c:v>
                </c:pt>
                <c:pt idx="57">
                  <c:v>106.596</c:v>
                </c:pt>
                <c:pt idx="58">
                  <c:v>106.545</c:v>
                </c:pt>
                <c:pt idx="59">
                  <c:v>106.54900000000001</c:v>
                </c:pt>
                <c:pt idx="60">
                  <c:v>106.518</c:v>
                </c:pt>
                <c:pt idx="61">
                  <c:v>106.56100000000001</c:v>
                </c:pt>
                <c:pt idx="62">
                  <c:v>106.554</c:v>
                </c:pt>
                <c:pt idx="63">
                  <c:v>106.536</c:v>
                </c:pt>
                <c:pt idx="64">
                  <c:v>106.596</c:v>
                </c:pt>
                <c:pt idx="65">
                  <c:v>106.605</c:v>
                </c:pt>
                <c:pt idx="66">
                  <c:v>106.625</c:v>
                </c:pt>
                <c:pt idx="67">
                  <c:v>106.624</c:v>
                </c:pt>
                <c:pt idx="68">
                  <c:v>106.63200000000001</c:v>
                </c:pt>
                <c:pt idx="69">
                  <c:v>106.639</c:v>
                </c:pt>
                <c:pt idx="70">
                  <c:v>106.69199999999999</c:v>
                </c:pt>
                <c:pt idx="71">
                  <c:v>106.643</c:v>
                </c:pt>
                <c:pt idx="72">
                  <c:v>106.623</c:v>
                </c:pt>
                <c:pt idx="73">
                  <c:v>106.623</c:v>
                </c:pt>
                <c:pt idx="74">
                  <c:v>106.60299999999999</c:v>
                </c:pt>
                <c:pt idx="75">
                  <c:v>106.58799999999999</c:v>
                </c:pt>
                <c:pt idx="76">
                  <c:v>106.587</c:v>
                </c:pt>
                <c:pt idx="77">
                  <c:v>106.589</c:v>
                </c:pt>
                <c:pt idx="78">
                  <c:v>106.577</c:v>
                </c:pt>
                <c:pt idx="79">
                  <c:v>106.577</c:v>
                </c:pt>
                <c:pt idx="80">
                  <c:v>106.64</c:v>
                </c:pt>
                <c:pt idx="81">
                  <c:v>106.694</c:v>
                </c:pt>
                <c:pt idx="82">
                  <c:v>106.699</c:v>
                </c:pt>
                <c:pt idx="83">
                  <c:v>106.69499999999999</c:v>
                </c:pt>
                <c:pt idx="84">
                  <c:v>106.651</c:v>
                </c:pt>
                <c:pt idx="85">
                  <c:v>106.67100000000001</c:v>
                </c:pt>
                <c:pt idx="86">
                  <c:v>106.64</c:v>
                </c:pt>
                <c:pt idx="87">
                  <c:v>106.64700000000001</c:v>
                </c:pt>
                <c:pt idx="88">
                  <c:v>106.59699999999999</c:v>
                </c:pt>
                <c:pt idx="89">
                  <c:v>106.56699999999999</c:v>
                </c:pt>
                <c:pt idx="90">
                  <c:v>106.532</c:v>
                </c:pt>
                <c:pt idx="91">
                  <c:v>106.547</c:v>
                </c:pt>
                <c:pt idx="92">
                  <c:v>106.48099999999999</c:v>
                </c:pt>
                <c:pt idx="93">
                  <c:v>106.479</c:v>
                </c:pt>
                <c:pt idx="94">
                  <c:v>106.46899999999999</c:v>
                </c:pt>
                <c:pt idx="95">
                  <c:v>106.473</c:v>
                </c:pt>
                <c:pt idx="96">
                  <c:v>106.473</c:v>
                </c:pt>
                <c:pt idx="97">
                  <c:v>106.435</c:v>
                </c:pt>
                <c:pt idx="98">
                  <c:v>106.377</c:v>
                </c:pt>
                <c:pt idx="99">
                  <c:v>106.485</c:v>
                </c:pt>
                <c:pt idx="100">
                  <c:v>106.46899999999999</c:v>
                </c:pt>
                <c:pt idx="101">
                  <c:v>106.46599999999999</c:v>
                </c:pt>
                <c:pt idx="102">
                  <c:v>106.526</c:v>
                </c:pt>
                <c:pt idx="103">
                  <c:v>106.54</c:v>
                </c:pt>
                <c:pt idx="104">
                  <c:v>106.53100000000001</c:v>
                </c:pt>
                <c:pt idx="105">
                  <c:v>106.51300000000001</c:v>
                </c:pt>
                <c:pt idx="106">
                  <c:v>106.611</c:v>
                </c:pt>
                <c:pt idx="107">
                  <c:v>106.64400000000001</c:v>
                </c:pt>
                <c:pt idx="108">
                  <c:v>106.60899999999999</c:v>
                </c:pt>
                <c:pt idx="109">
                  <c:v>106.58</c:v>
                </c:pt>
                <c:pt idx="110">
                  <c:v>106.371</c:v>
                </c:pt>
                <c:pt idx="111">
                  <c:v>106.215</c:v>
                </c:pt>
                <c:pt idx="112">
                  <c:v>106.11499999999999</c:v>
                </c:pt>
                <c:pt idx="113">
                  <c:v>105.85599999999999</c:v>
                </c:pt>
                <c:pt idx="114">
                  <c:v>105.922</c:v>
                </c:pt>
                <c:pt idx="115">
                  <c:v>105.846</c:v>
                </c:pt>
                <c:pt idx="116">
                  <c:v>105.77200000000001</c:v>
                </c:pt>
                <c:pt idx="117">
                  <c:v>105.729</c:v>
                </c:pt>
                <c:pt idx="118">
                  <c:v>105.714</c:v>
                </c:pt>
                <c:pt idx="119">
                  <c:v>105.624</c:v>
                </c:pt>
                <c:pt idx="120">
                  <c:v>105.64</c:v>
                </c:pt>
                <c:pt idx="121">
                  <c:v>105.691</c:v>
                </c:pt>
                <c:pt idx="122">
                  <c:v>105.7</c:v>
                </c:pt>
                <c:pt idx="123">
                  <c:v>105.575</c:v>
                </c:pt>
                <c:pt idx="124">
                  <c:v>105.325</c:v>
                </c:pt>
                <c:pt idx="125">
                  <c:v>105.17</c:v>
                </c:pt>
                <c:pt idx="126">
                  <c:v>105.04900000000001</c:v>
                </c:pt>
                <c:pt idx="127">
                  <c:v>105.188</c:v>
                </c:pt>
                <c:pt idx="128">
                  <c:v>105.02</c:v>
                </c:pt>
                <c:pt idx="129">
                  <c:v>105.039</c:v>
                </c:pt>
                <c:pt idx="130">
                  <c:v>104.899</c:v>
                </c:pt>
                <c:pt idx="131">
                  <c:v>104.828</c:v>
                </c:pt>
                <c:pt idx="132">
                  <c:v>104.613</c:v>
                </c:pt>
                <c:pt idx="133">
                  <c:v>104.71599999999999</c:v>
                </c:pt>
                <c:pt idx="134">
                  <c:v>104.788</c:v>
                </c:pt>
                <c:pt idx="135">
                  <c:v>104.79900000000001</c:v>
                </c:pt>
                <c:pt idx="136">
                  <c:v>104.797</c:v>
                </c:pt>
                <c:pt idx="137">
                  <c:v>104.828</c:v>
                </c:pt>
                <c:pt idx="138">
                  <c:v>104.899</c:v>
                </c:pt>
                <c:pt idx="139">
                  <c:v>105.02500000000001</c:v>
                </c:pt>
                <c:pt idx="140">
                  <c:v>105.03100000000001</c:v>
                </c:pt>
                <c:pt idx="141">
                  <c:v>105.024</c:v>
                </c:pt>
                <c:pt idx="142">
                  <c:v>104.84699999999999</c:v>
                </c:pt>
                <c:pt idx="143">
                  <c:v>104.63200000000001</c:v>
                </c:pt>
                <c:pt idx="144">
                  <c:v>104.64400000000001</c:v>
                </c:pt>
                <c:pt idx="145">
                  <c:v>104.654</c:v>
                </c:pt>
                <c:pt idx="146">
                  <c:v>104.679</c:v>
                </c:pt>
                <c:pt idx="147">
                  <c:v>104.90900000000001</c:v>
                </c:pt>
                <c:pt idx="148">
                  <c:v>104.90300000000001</c:v>
                </c:pt>
                <c:pt idx="149">
                  <c:v>104.952</c:v>
                </c:pt>
                <c:pt idx="150">
                  <c:v>104.994</c:v>
                </c:pt>
                <c:pt idx="151">
                  <c:v>105.04600000000001</c:v>
                </c:pt>
                <c:pt idx="152">
                  <c:v>105.14100000000001</c:v>
                </c:pt>
                <c:pt idx="153">
                  <c:v>105.16200000000001</c:v>
                </c:pt>
                <c:pt idx="154">
                  <c:v>105.19499999999999</c:v>
                </c:pt>
                <c:pt idx="155">
                  <c:v>105.357</c:v>
                </c:pt>
                <c:pt idx="156">
                  <c:v>105.952</c:v>
                </c:pt>
                <c:pt idx="157">
                  <c:v>106.19199999999999</c:v>
                </c:pt>
                <c:pt idx="158">
                  <c:v>106.55500000000001</c:v>
                </c:pt>
                <c:pt idx="159">
                  <c:v>106.789</c:v>
                </c:pt>
                <c:pt idx="160">
                  <c:v>107.121</c:v>
                </c:pt>
                <c:pt idx="161">
                  <c:v>107.473</c:v>
                </c:pt>
                <c:pt idx="162">
                  <c:v>107.971</c:v>
                </c:pt>
                <c:pt idx="163">
                  <c:v>108.23099999999999</c:v>
                </c:pt>
                <c:pt idx="164">
                  <c:v>108.355</c:v>
                </c:pt>
                <c:pt idx="165">
                  <c:v>108.539</c:v>
                </c:pt>
                <c:pt idx="166">
                  <c:v>108.593</c:v>
                </c:pt>
                <c:pt idx="167">
                  <c:v>108.57899999999999</c:v>
                </c:pt>
                <c:pt idx="168">
                  <c:v>108.634</c:v>
                </c:pt>
                <c:pt idx="169">
                  <c:v>108.569</c:v>
                </c:pt>
                <c:pt idx="170">
                  <c:v>108.458</c:v>
                </c:pt>
                <c:pt idx="171">
                  <c:v>108.267</c:v>
                </c:pt>
                <c:pt idx="172">
                  <c:v>108.336</c:v>
                </c:pt>
                <c:pt idx="173">
                  <c:v>108.35899999999999</c:v>
                </c:pt>
                <c:pt idx="174">
                  <c:v>108.395</c:v>
                </c:pt>
                <c:pt idx="175">
                  <c:v>108.405</c:v>
                </c:pt>
                <c:pt idx="176">
                  <c:v>108.40600000000001</c:v>
                </c:pt>
                <c:pt idx="177">
                  <c:v>108.392</c:v>
                </c:pt>
                <c:pt idx="178">
                  <c:v>108.40600000000001</c:v>
                </c:pt>
                <c:pt idx="179">
                  <c:v>108.425</c:v>
                </c:pt>
                <c:pt idx="180">
                  <c:v>108.425</c:v>
                </c:pt>
                <c:pt idx="181">
                  <c:v>108.38800000000001</c:v>
                </c:pt>
                <c:pt idx="182">
                  <c:v>108.426</c:v>
                </c:pt>
                <c:pt idx="183">
                  <c:v>108.428</c:v>
                </c:pt>
                <c:pt idx="184">
                  <c:v>108.42400000000001</c:v>
                </c:pt>
                <c:pt idx="185">
                  <c:v>108.438</c:v>
                </c:pt>
                <c:pt idx="186">
                  <c:v>108.488</c:v>
                </c:pt>
                <c:pt idx="187">
                  <c:v>108.488</c:v>
                </c:pt>
                <c:pt idx="188">
                  <c:v>108.512</c:v>
                </c:pt>
                <c:pt idx="189">
                  <c:v>108.51900000000001</c:v>
                </c:pt>
                <c:pt idx="190">
                  <c:v>108.562</c:v>
                </c:pt>
                <c:pt idx="191">
                  <c:v>108.551</c:v>
                </c:pt>
                <c:pt idx="192">
                  <c:v>108.60599999999999</c:v>
                </c:pt>
                <c:pt idx="193">
                  <c:v>108.587</c:v>
                </c:pt>
                <c:pt idx="194">
                  <c:v>108.587</c:v>
                </c:pt>
                <c:pt idx="195">
                  <c:v>108.575</c:v>
                </c:pt>
                <c:pt idx="196">
                  <c:v>108.596</c:v>
                </c:pt>
                <c:pt idx="197">
                  <c:v>108.666</c:v>
                </c:pt>
                <c:pt idx="198">
                  <c:v>108.7</c:v>
                </c:pt>
                <c:pt idx="199">
                  <c:v>108.7</c:v>
                </c:pt>
                <c:pt idx="200">
                  <c:v>108.72499999999999</c:v>
                </c:pt>
                <c:pt idx="201">
                  <c:v>108.66200000000001</c:v>
                </c:pt>
                <c:pt idx="202">
                  <c:v>108.72499999999999</c:v>
                </c:pt>
                <c:pt idx="203">
                  <c:v>108.783</c:v>
                </c:pt>
                <c:pt idx="204">
                  <c:v>108.8</c:v>
                </c:pt>
                <c:pt idx="205">
                  <c:v>108.8</c:v>
                </c:pt>
                <c:pt idx="206">
                  <c:v>108.8</c:v>
                </c:pt>
                <c:pt idx="207">
                  <c:v>108.849</c:v>
                </c:pt>
                <c:pt idx="208">
                  <c:v>108.908</c:v>
                </c:pt>
                <c:pt idx="209">
                  <c:v>108.902</c:v>
                </c:pt>
                <c:pt idx="210">
                  <c:v>108.929</c:v>
                </c:pt>
                <c:pt idx="211">
                  <c:v>108.9</c:v>
                </c:pt>
                <c:pt idx="212">
                  <c:v>108.9</c:v>
                </c:pt>
                <c:pt idx="213">
                  <c:v>108.996</c:v>
                </c:pt>
                <c:pt idx="214">
                  <c:v>108.994</c:v>
                </c:pt>
                <c:pt idx="215">
                  <c:v>108.994</c:v>
                </c:pt>
                <c:pt idx="216">
                  <c:v>109.11499999999999</c:v>
                </c:pt>
                <c:pt idx="217">
                  <c:v>109.14400000000001</c:v>
                </c:pt>
                <c:pt idx="218">
                  <c:v>109.087</c:v>
                </c:pt>
                <c:pt idx="219">
                  <c:v>109.09399999999999</c:v>
                </c:pt>
                <c:pt idx="220">
                  <c:v>109.05800000000001</c:v>
                </c:pt>
                <c:pt idx="221">
                  <c:v>109.063</c:v>
                </c:pt>
                <c:pt idx="222">
                  <c:v>109.06100000000001</c:v>
                </c:pt>
                <c:pt idx="223">
                  <c:v>109.059</c:v>
                </c:pt>
                <c:pt idx="224">
                  <c:v>108.95</c:v>
                </c:pt>
                <c:pt idx="225">
                  <c:v>108.95</c:v>
                </c:pt>
                <c:pt idx="226">
                  <c:v>109.104</c:v>
                </c:pt>
                <c:pt idx="227">
                  <c:v>109.063</c:v>
                </c:pt>
                <c:pt idx="228">
                  <c:v>109.125</c:v>
                </c:pt>
                <c:pt idx="229">
                  <c:v>109.152</c:v>
                </c:pt>
                <c:pt idx="230">
                  <c:v>109.151</c:v>
                </c:pt>
                <c:pt idx="231">
                  <c:v>109.149</c:v>
                </c:pt>
                <c:pt idx="232">
                  <c:v>109.143</c:v>
                </c:pt>
                <c:pt idx="233">
                  <c:v>109.166</c:v>
                </c:pt>
                <c:pt idx="234">
                  <c:v>109.22</c:v>
                </c:pt>
                <c:pt idx="235">
                  <c:v>109.24299999999999</c:v>
                </c:pt>
                <c:pt idx="236">
                  <c:v>109.23399999999999</c:v>
                </c:pt>
                <c:pt idx="237">
                  <c:v>109.24</c:v>
                </c:pt>
                <c:pt idx="238">
                  <c:v>109.25</c:v>
                </c:pt>
                <c:pt idx="239">
                  <c:v>109.26600000000001</c:v>
                </c:pt>
                <c:pt idx="240">
                  <c:v>109.255</c:v>
                </c:pt>
                <c:pt idx="241">
                  <c:v>109.261</c:v>
                </c:pt>
                <c:pt idx="242">
                  <c:v>109.261</c:v>
                </c:pt>
                <c:pt idx="243">
                  <c:v>109.202</c:v>
                </c:pt>
                <c:pt idx="244">
                  <c:v>109.123</c:v>
                </c:pt>
                <c:pt idx="245">
                  <c:v>109.125</c:v>
                </c:pt>
                <c:pt idx="246">
                  <c:v>109.117</c:v>
                </c:pt>
                <c:pt idx="247">
                  <c:v>109.13</c:v>
                </c:pt>
                <c:pt idx="248">
                  <c:v>109.123</c:v>
                </c:pt>
                <c:pt idx="249">
                  <c:v>109.166</c:v>
                </c:pt>
                <c:pt idx="250">
                  <c:v>109.259</c:v>
                </c:pt>
                <c:pt idx="251">
                  <c:v>109.294</c:v>
                </c:pt>
                <c:pt idx="252">
                  <c:v>109.28100000000001</c:v>
                </c:pt>
                <c:pt idx="253">
                  <c:v>109.28400000000001</c:v>
                </c:pt>
                <c:pt idx="254">
                  <c:v>109.31399999999999</c:v>
                </c:pt>
                <c:pt idx="255">
                  <c:v>109.29900000000001</c:v>
                </c:pt>
                <c:pt idx="256">
                  <c:v>109.288</c:v>
                </c:pt>
                <c:pt idx="257">
                  <c:v>109.279</c:v>
                </c:pt>
                <c:pt idx="258">
                  <c:v>109.241</c:v>
                </c:pt>
                <c:pt idx="259">
                  <c:v>109.233</c:v>
                </c:pt>
                <c:pt idx="260">
                  <c:v>109.286</c:v>
                </c:pt>
                <c:pt idx="261">
                  <c:v>109.298</c:v>
                </c:pt>
                <c:pt idx="262">
                  <c:v>109.267</c:v>
                </c:pt>
                <c:pt idx="263">
                  <c:v>109.315</c:v>
                </c:pt>
                <c:pt idx="264">
                  <c:v>109.316</c:v>
                </c:pt>
                <c:pt idx="265">
                  <c:v>109.38</c:v>
                </c:pt>
                <c:pt idx="266">
                  <c:v>109.38</c:v>
                </c:pt>
                <c:pt idx="267">
                  <c:v>109.399</c:v>
                </c:pt>
                <c:pt idx="268">
                  <c:v>109.51</c:v>
                </c:pt>
                <c:pt idx="269">
                  <c:v>109.482</c:v>
                </c:pt>
                <c:pt idx="270">
                  <c:v>109.473</c:v>
                </c:pt>
                <c:pt idx="271">
                  <c:v>109.476</c:v>
                </c:pt>
                <c:pt idx="272">
                  <c:v>109.49</c:v>
                </c:pt>
                <c:pt idx="273">
                  <c:v>109.47</c:v>
                </c:pt>
                <c:pt idx="274">
                  <c:v>109.521</c:v>
                </c:pt>
                <c:pt idx="275">
                  <c:v>109.47499999999999</c:v>
                </c:pt>
                <c:pt idx="276">
                  <c:v>109.452</c:v>
                </c:pt>
                <c:pt idx="277">
                  <c:v>109.426</c:v>
                </c:pt>
                <c:pt idx="278">
                  <c:v>109.44799999999999</c:v>
                </c:pt>
                <c:pt idx="279">
                  <c:v>109.44199999999999</c:v>
                </c:pt>
                <c:pt idx="280">
                  <c:v>109.44199999999999</c:v>
                </c:pt>
                <c:pt idx="281">
                  <c:v>109.461</c:v>
                </c:pt>
                <c:pt idx="282">
                  <c:v>109.518</c:v>
                </c:pt>
                <c:pt idx="283">
                  <c:v>109.45699999999999</c:v>
                </c:pt>
                <c:pt idx="284">
                  <c:v>109.47799999999999</c:v>
                </c:pt>
                <c:pt idx="285">
                  <c:v>109.422</c:v>
                </c:pt>
                <c:pt idx="286">
                  <c:v>109.41200000000001</c:v>
                </c:pt>
                <c:pt idx="287">
                  <c:v>109.477</c:v>
                </c:pt>
                <c:pt idx="288">
                  <c:v>109.477</c:v>
                </c:pt>
                <c:pt idx="289">
                  <c:v>109.392</c:v>
                </c:pt>
                <c:pt idx="290">
                  <c:v>109.56100000000001</c:v>
                </c:pt>
                <c:pt idx="291">
                  <c:v>109.52500000000001</c:v>
                </c:pt>
                <c:pt idx="292">
                  <c:v>109.602</c:v>
                </c:pt>
                <c:pt idx="293">
                  <c:v>109.7</c:v>
                </c:pt>
                <c:pt idx="294">
                  <c:v>109.703</c:v>
                </c:pt>
                <c:pt idx="295">
                  <c:v>109.709</c:v>
                </c:pt>
                <c:pt idx="296">
                  <c:v>109.694</c:v>
                </c:pt>
                <c:pt idx="297">
                  <c:v>109.611</c:v>
                </c:pt>
                <c:pt idx="298">
                  <c:v>109.61499999999999</c:v>
                </c:pt>
                <c:pt idx="299">
                  <c:v>109.596</c:v>
                </c:pt>
                <c:pt idx="300">
                  <c:v>109.563</c:v>
                </c:pt>
                <c:pt idx="301">
                  <c:v>109.57299999999999</c:v>
                </c:pt>
                <c:pt idx="302">
                  <c:v>109.56699999999999</c:v>
                </c:pt>
                <c:pt idx="303">
                  <c:v>109.482</c:v>
                </c:pt>
                <c:pt idx="304">
                  <c:v>109.566</c:v>
                </c:pt>
                <c:pt idx="305">
                  <c:v>109.547</c:v>
                </c:pt>
                <c:pt idx="306">
                  <c:v>109.535</c:v>
                </c:pt>
                <c:pt idx="307">
                  <c:v>109.55800000000001</c:v>
                </c:pt>
                <c:pt idx="308">
                  <c:v>109.617</c:v>
                </c:pt>
                <c:pt idx="309">
                  <c:v>109.621</c:v>
                </c:pt>
                <c:pt idx="310">
                  <c:v>109.601</c:v>
                </c:pt>
                <c:pt idx="311">
                  <c:v>109.54600000000001</c:v>
                </c:pt>
                <c:pt idx="312">
                  <c:v>109.536</c:v>
                </c:pt>
                <c:pt idx="313">
                  <c:v>109.508</c:v>
                </c:pt>
                <c:pt idx="314">
                  <c:v>109.604</c:v>
                </c:pt>
                <c:pt idx="315">
                  <c:v>109.467</c:v>
                </c:pt>
                <c:pt idx="316">
                  <c:v>109.483</c:v>
                </c:pt>
                <c:pt idx="317">
                  <c:v>109.465</c:v>
                </c:pt>
                <c:pt idx="318">
                  <c:v>109.57599999999999</c:v>
                </c:pt>
                <c:pt idx="319">
                  <c:v>109.533</c:v>
                </c:pt>
                <c:pt idx="320">
                  <c:v>109.554</c:v>
                </c:pt>
                <c:pt idx="321">
                  <c:v>109.488</c:v>
                </c:pt>
                <c:pt idx="322">
                  <c:v>109.518</c:v>
                </c:pt>
                <c:pt idx="323">
                  <c:v>109.55800000000001</c:v>
                </c:pt>
                <c:pt idx="324">
                  <c:v>109.578</c:v>
                </c:pt>
                <c:pt idx="325">
                  <c:v>109.598</c:v>
                </c:pt>
                <c:pt idx="326">
                  <c:v>109.60899999999999</c:v>
                </c:pt>
                <c:pt idx="327">
                  <c:v>109.602</c:v>
                </c:pt>
                <c:pt idx="328">
                  <c:v>109.616</c:v>
                </c:pt>
                <c:pt idx="329">
                  <c:v>109.59399999999999</c:v>
                </c:pt>
                <c:pt idx="330">
                  <c:v>109.649</c:v>
                </c:pt>
                <c:pt idx="331">
                  <c:v>109.627</c:v>
                </c:pt>
                <c:pt idx="332">
                  <c:v>109.616</c:v>
                </c:pt>
                <c:pt idx="333">
                  <c:v>109.688</c:v>
                </c:pt>
                <c:pt idx="334">
                  <c:v>109.595</c:v>
                </c:pt>
                <c:pt idx="335">
                  <c:v>109.59399999999999</c:v>
                </c:pt>
                <c:pt idx="336">
                  <c:v>109.619</c:v>
                </c:pt>
                <c:pt idx="337">
                  <c:v>109.637</c:v>
                </c:pt>
                <c:pt idx="338">
                  <c:v>109.68300000000001</c:v>
                </c:pt>
                <c:pt idx="339">
                  <c:v>109.702</c:v>
                </c:pt>
                <c:pt idx="340">
                  <c:v>109.72499999999999</c:v>
                </c:pt>
                <c:pt idx="341">
                  <c:v>109.75</c:v>
                </c:pt>
                <c:pt idx="342">
                  <c:v>109.744</c:v>
                </c:pt>
                <c:pt idx="343">
                  <c:v>109.712</c:v>
                </c:pt>
                <c:pt idx="344">
                  <c:v>109.721</c:v>
                </c:pt>
                <c:pt idx="345">
                  <c:v>109.70699999999999</c:v>
                </c:pt>
                <c:pt idx="346">
                  <c:v>109.721</c:v>
                </c:pt>
                <c:pt idx="347">
                  <c:v>109.904</c:v>
                </c:pt>
                <c:pt idx="348">
                  <c:v>109.952</c:v>
                </c:pt>
                <c:pt idx="349">
                  <c:v>110.027</c:v>
                </c:pt>
                <c:pt idx="350">
                  <c:v>109.99</c:v>
                </c:pt>
                <c:pt idx="351">
                  <c:v>109.785</c:v>
                </c:pt>
                <c:pt idx="352">
                  <c:v>109.767</c:v>
                </c:pt>
                <c:pt idx="353">
                  <c:v>109.733</c:v>
                </c:pt>
                <c:pt idx="354">
                  <c:v>109.71299999999999</c:v>
                </c:pt>
                <c:pt idx="355">
                  <c:v>109.72</c:v>
                </c:pt>
                <c:pt idx="356">
                  <c:v>109.69199999999999</c:v>
                </c:pt>
                <c:pt idx="357">
                  <c:v>109.63800000000001</c:v>
                </c:pt>
                <c:pt idx="358">
                  <c:v>109.569</c:v>
                </c:pt>
                <c:pt idx="359">
                  <c:v>109.417</c:v>
                </c:pt>
                <c:pt idx="360">
                  <c:v>109.315</c:v>
                </c:pt>
                <c:pt idx="361">
                  <c:v>109.28700000000001</c:v>
                </c:pt>
                <c:pt idx="362">
                  <c:v>109.09699999999999</c:v>
                </c:pt>
                <c:pt idx="363">
                  <c:v>108.949</c:v>
                </c:pt>
                <c:pt idx="364">
                  <c:v>108.964</c:v>
                </c:pt>
                <c:pt idx="365">
                  <c:v>108.946</c:v>
                </c:pt>
                <c:pt idx="366">
                  <c:v>108.92</c:v>
                </c:pt>
                <c:pt idx="367">
                  <c:v>108.908</c:v>
                </c:pt>
                <c:pt idx="368">
                  <c:v>108.861</c:v>
                </c:pt>
                <c:pt idx="369">
                  <c:v>108.908</c:v>
                </c:pt>
                <c:pt idx="370">
                  <c:v>108.971</c:v>
                </c:pt>
                <c:pt idx="371">
                  <c:v>108.938</c:v>
                </c:pt>
                <c:pt idx="372">
                  <c:v>108.938</c:v>
                </c:pt>
                <c:pt idx="373">
                  <c:v>108.87</c:v>
                </c:pt>
                <c:pt idx="374">
                  <c:v>108.887</c:v>
                </c:pt>
                <c:pt idx="375">
                  <c:v>108.952</c:v>
                </c:pt>
                <c:pt idx="376">
                  <c:v>108.932</c:v>
                </c:pt>
                <c:pt idx="377">
                  <c:v>108.983</c:v>
                </c:pt>
                <c:pt idx="378">
                  <c:v>108.965</c:v>
                </c:pt>
                <c:pt idx="379">
                  <c:v>108.94799999999999</c:v>
                </c:pt>
                <c:pt idx="380">
                  <c:v>108.952</c:v>
                </c:pt>
                <c:pt idx="381">
                  <c:v>108.96</c:v>
                </c:pt>
                <c:pt idx="382">
                  <c:v>108.958</c:v>
                </c:pt>
                <c:pt idx="383">
                  <c:v>108.983</c:v>
                </c:pt>
                <c:pt idx="384">
                  <c:v>108.94199999999999</c:v>
                </c:pt>
                <c:pt idx="385">
                  <c:v>108.94199999999999</c:v>
                </c:pt>
                <c:pt idx="386">
                  <c:v>108.952</c:v>
                </c:pt>
                <c:pt idx="387">
                  <c:v>108.919</c:v>
                </c:pt>
                <c:pt idx="388">
                  <c:v>108.83499999999999</c:v>
                </c:pt>
                <c:pt idx="389">
                  <c:v>108.813</c:v>
                </c:pt>
                <c:pt idx="390">
                  <c:v>108.78700000000001</c:v>
                </c:pt>
                <c:pt idx="391">
                  <c:v>108.804</c:v>
                </c:pt>
                <c:pt idx="392">
                  <c:v>108.767</c:v>
                </c:pt>
                <c:pt idx="393">
                  <c:v>108.747</c:v>
                </c:pt>
                <c:pt idx="394">
                  <c:v>108.65600000000001</c:v>
                </c:pt>
                <c:pt idx="395">
                  <c:v>108.68899999999999</c:v>
                </c:pt>
                <c:pt idx="396">
                  <c:v>108.675</c:v>
                </c:pt>
                <c:pt idx="397">
                  <c:v>108.68</c:v>
                </c:pt>
                <c:pt idx="398">
                  <c:v>108.69</c:v>
                </c:pt>
                <c:pt idx="399">
                  <c:v>108.70699999999999</c:v>
                </c:pt>
                <c:pt idx="400">
                  <c:v>108.726</c:v>
                </c:pt>
                <c:pt idx="401">
                  <c:v>108.736</c:v>
                </c:pt>
                <c:pt idx="402">
                  <c:v>108.755</c:v>
                </c:pt>
                <c:pt idx="403">
                  <c:v>108.76300000000001</c:v>
                </c:pt>
                <c:pt idx="404">
                  <c:v>108.748</c:v>
                </c:pt>
                <c:pt idx="405">
                  <c:v>108.68</c:v>
                </c:pt>
                <c:pt idx="406">
                  <c:v>108.762</c:v>
                </c:pt>
                <c:pt idx="407">
                  <c:v>108.72499999999999</c:v>
                </c:pt>
                <c:pt idx="408">
                  <c:v>108.702</c:v>
                </c:pt>
                <c:pt idx="409">
                  <c:v>108.72499999999999</c:v>
                </c:pt>
                <c:pt idx="410">
                  <c:v>108.759</c:v>
                </c:pt>
                <c:pt idx="411">
                  <c:v>108.61</c:v>
                </c:pt>
                <c:pt idx="412">
                  <c:v>108.607</c:v>
                </c:pt>
                <c:pt idx="413">
                  <c:v>108.53</c:v>
                </c:pt>
                <c:pt idx="414">
                  <c:v>108.47199999999999</c:v>
                </c:pt>
                <c:pt idx="415">
                  <c:v>108.399</c:v>
                </c:pt>
                <c:pt idx="416">
                  <c:v>108.425</c:v>
                </c:pt>
                <c:pt idx="417">
                  <c:v>108.425</c:v>
                </c:pt>
                <c:pt idx="418">
                  <c:v>108.43899999999999</c:v>
                </c:pt>
                <c:pt idx="419">
                  <c:v>108.389</c:v>
                </c:pt>
                <c:pt idx="420">
                  <c:v>108.482</c:v>
                </c:pt>
                <c:pt idx="421">
                  <c:v>108.477</c:v>
                </c:pt>
                <c:pt idx="422">
                  <c:v>108.438</c:v>
                </c:pt>
                <c:pt idx="423">
                  <c:v>108.483</c:v>
                </c:pt>
                <c:pt idx="424">
                  <c:v>108.417</c:v>
                </c:pt>
                <c:pt idx="425">
                  <c:v>108.417</c:v>
                </c:pt>
                <c:pt idx="426">
                  <c:v>108.504</c:v>
                </c:pt>
                <c:pt idx="427">
                  <c:v>108.5</c:v>
                </c:pt>
                <c:pt idx="428">
                  <c:v>108.468</c:v>
                </c:pt>
                <c:pt idx="429">
                  <c:v>108.364</c:v>
                </c:pt>
                <c:pt idx="430">
                  <c:v>108.39100000000001</c:v>
                </c:pt>
                <c:pt idx="431">
                  <c:v>108.357</c:v>
                </c:pt>
                <c:pt idx="432">
                  <c:v>108.389</c:v>
                </c:pt>
                <c:pt idx="433">
                  <c:v>108.375</c:v>
                </c:pt>
                <c:pt idx="434">
                  <c:v>108.483</c:v>
                </c:pt>
                <c:pt idx="435">
                  <c:v>108.518</c:v>
                </c:pt>
                <c:pt idx="436">
                  <c:v>108.498</c:v>
                </c:pt>
                <c:pt idx="437">
                  <c:v>108.486</c:v>
                </c:pt>
                <c:pt idx="438">
                  <c:v>108.55800000000001</c:v>
                </c:pt>
                <c:pt idx="439">
                  <c:v>108.557</c:v>
                </c:pt>
                <c:pt idx="440">
                  <c:v>108.583</c:v>
                </c:pt>
                <c:pt idx="441">
                  <c:v>108.554</c:v>
                </c:pt>
                <c:pt idx="442">
                  <c:v>108.666</c:v>
                </c:pt>
                <c:pt idx="443">
                  <c:v>108.794</c:v>
                </c:pt>
                <c:pt idx="444">
                  <c:v>108.95399999999999</c:v>
                </c:pt>
                <c:pt idx="445">
                  <c:v>108.91500000000001</c:v>
                </c:pt>
                <c:pt idx="446">
                  <c:v>108.82</c:v>
                </c:pt>
                <c:pt idx="447">
                  <c:v>108.895</c:v>
                </c:pt>
                <c:pt idx="448">
                  <c:v>108.861</c:v>
                </c:pt>
                <c:pt idx="449">
                  <c:v>108.64400000000001</c:v>
                </c:pt>
                <c:pt idx="450">
                  <c:v>108.58499999999999</c:v>
                </c:pt>
                <c:pt idx="451">
                  <c:v>108.471</c:v>
                </c:pt>
                <c:pt idx="452">
                  <c:v>108.283</c:v>
                </c:pt>
                <c:pt idx="453">
                  <c:v>108.285</c:v>
                </c:pt>
                <c:pt idx="454">
                  <c:v>108.217</c:v>
                </c:pt>
                <c:pt idx="455">
                  <c:v>108.175</c:v>
                </c:pt>
                <c:pt idx="456">
                  <c:v>108.196</c:v>
                </c:pt>
                <c:pt idx="457">
                  <c:v>108.158</c:v>
                </c:pt>
                <c:pt idx="458">
                  <c:v>108.087</c:v>
                </c:pt>
                <c:pt idx="459">
                  <c:v>108.092</c:v>
                </c:pt>
                <c:pt idx="460">
                  <c:v>108.108</c:v>
                </c:pt>
                <c:pt idx="461">
                  <c:v>108.03700000000001</c:v>
                </c:pt>
                <c:pt idx="462">
                  <c:v>108.086</c:v>
                </c:pt>
                <c:pt idx="463">
                  <c:v>108.077</c:v>
                </c:pt>
                <c:pt idx="464">
                  <c:v>108.09399999999999</c:v>
                </c:pt>
                <c:pt idx="465">
                  <c:v>108.07299999999999</c:v>
                </c:pt>
                <c:pt idx="466">
                  <c:v>108.11</c:v>
                </c:pt>
                <c:pt idx="467">
                  <c:v>108.063</c:v>
                </c:pt>
                <c:pt idx="468">
                  <c:v>108.04</c:v>
                </c:pt>
                <c:pt idx="469">
                  <c:v>107.971</c:v>
                </c:pt>
                <c:pt idx="470">
                  <c:v>107.863</c:v>
                </c:pt>
                <c:pt idx="471">
                  <c:v>107.965</c:v>
                </c:pt>
                <c:pt idx="472">
                  <c:v>107.922</c:v>
                </c:pt>
                <c:pt idx="473">
                  <c:v>107.833</c:v>
                </c:pt>
                <c:pt idx="474">
                  <c:v>107.804</c:v>
                </c:pt>
                <c:pt idx="475">
                  <c:v>107.852</c:v>
                </c:pt>
                <c:pt idx="476">
                  <c:v>107.81</c:v>
                </c:pt>
                <c:pt idx="477">
                  <c:v>107.801</c:v>
                </c:pt>
                <c:pt idx="478">
                  <c:v>107.60599999999999</c:v>
                </c:pt>
                <c:pt idx="479">
                  <c:v>107.729</c:v>
                </c:pt>
                <c:pt idx="480">
                  <c:v>107.55</c:v>
                </c:pt>
                <c:pt idx="481">
                  <c:v>107.547</c:v>
                </c:pt>
                <c:pt idx="482">
                  <c:v>107.545</c:v>
                </c:pt>
                <c:pt idx="483">
                  <c:v>107.518</c:v>
                </c:pt>
                <c:pt idx="484">
                  <c:v>107.48</c:v>
                </c:pt>
                <c:pt idx="485">
                  <c:v>107.383</c:v>
                </c:pt>
                <c:pt idx="486">
                  <c:v>107.32299999999999</c:v>
                </c:pt>
                <c:pt idx="487">
                  <c:v>107.402</c:v>
                </c:pt>
                <c:pt idx="488">
                  <c:v>107.396</c:v>
                </c:pt>
                <c:pt idx="489">
                  <c:v>107.31100000000001</c:v>
                </c:pt>
                <c:pt idx="490">
                  <c:v>107.301</c:v>
                </c:pt>
                <c:pt idx="491">
                  <c:v>107.277</c:v>
                </c:pt>
                <c:pt idx="492">
                  <c:v>107.369</c:v>
                </c:pt>
                <c:pt idx="493">
                  <c:v>107.364</c:v>
                </c:pt>
                <c:pt idx="494">
                  <c:v>107.339</c:v>
                </c:pt>
                <c:pt idx="495">
                  <c:v>107.416</c:v>
                </c:pt>
                <c:pt idx="496">
                  <c:v>107.41500000000001</c:v>
                </c:pt>
                <c:pt idx="497">
                  <c:v>107.42700000000001</c:v>
                </c:pt>
                <c:pt idx="498">
                  <c:v>107.483</c:v>
                </c:pt>
                <c:pt idx="499">
                  <c:v>107.605</c:v>
                </c:pt>
                <c:pt idx="500">
                  <c:v>107.613</c:v>
                </c:pt>
                <c:pt idx="501">
                  <c:v>107.715</c:v>
                </c:pt>
                <c:pt idx="502">
                  <c:v>107.72</c:v>
                </c:pt>
                <c:pt idx="503">
                  <c:v>107.69799999999999</c:v>
                </c:pt>
                <c:pt idx="504">
                  <c:v>107.77500000000001</c:v>
                </c:pt>
                <c:pt idx="505">
                  <c:v>107.755</c:v>
                </c:pt>
                <c:pt idx="506">
                  <c:v>107.87</c:v>
                </c:pt>
                <c:pt idx="507">
                  <c:v>107.886</c:v>
                </c:pt>
                <c:pt idx="508">
                  <c:v>107.877</c:v>
                </c:pt>
                <c:pt idx="509">
                  <c:v>107.9</c:v>
                </c:pt>
                <c:pt idx="510">
                  <c:v>107.96299999999999</c:v>
                </c:pt>
                <c:pt idx="511">
                  <c:v>108.01600000000001</c:v>
                </c:pt>
                <c:pt idx="512">
                  <c:v>108.163</c:v>
                </c:pt>
                <c:pt idx="513">
                  <c:v>108.158</c:v>
                </c:pt>
                <c:pt idx="514">
                  <c:v>108.203</c:v>
                </c:pt>
                <c:pt idx="515">
                  <c:v>108.23399999999999</c:v>
                </c:pt>
                <c:pt idx="516">
                  <c:v>108.358</c:v>
                </c:pt>
                <c:pt idx="517">
                  <c:v>108.371</c:v>
                </c:pt>
                <c:pt idx="518">
                  <c:v>108.42100000000001</c:v>
                </c:pt>
                <c:pt idx="519">
                  <c:v>108.49299999999999</c:v>
                </c:pt>
                <c:pt idx="520">
                  <c:v>108.483</c:v>
                </c:pt>
                <c:pt idx="521">
                  <c:v>108.49299999999999</c:v>
                </c:pt>
                <c:pt idx="522">
                  <c:v>108.598</c:v>
                </c:pt>
                <c:pt idx="523">
                  <c:v>108.60599999999999</c:v>
                </c:pt>
                <c:pt idx="524">
                  <c:v>108.696</c:v>
                </c:pt>
                <c:pt idx="525">
                  <c:v>108.77200000000001</c:v>
                </c:pt>
                <c:pt idx="526">
                  <c:v>108.729</c:v>
                </c:pt>
                <c:pt idx="527">
                  <c:v>108.764</c:v>
                </c:pt>
                <c:pt idx="528">
                  <c:v>108.80800000000001</c:v>
                </c:pt>
                <c:pt idx="529">
                  <c:v>108.83499999999999</c:v>
                </c:pt>
                <c:pt idx="530">
                  <c:v>108.884</c:v>
                </c:pt>
                <c:pt idx="531">
                  <c:v>109.017</c:v>
                </c:pt>
                <c:pt idx="532">
                  <c:v>109</c:v>
                </c:pt>
                <c:pt idx="533">
                  <c:v>109.018</c:v>
                </c:pt>
                <c:pt idx="534">
                  <c:v>108.992</c:v>
                </c:pt>
                <c:pt idx="535">
                  <c:v>109.02</c:v>
                </c:pt>
                <c:pt idx="536">
                  <c:v>108.93</c:v>
                </c:pt>
                <c:pt idx="537">
                  <c:v>108.88500000000001</c:v>
                </c:pt>
                <c:pt idx="538">
                  <c:v>108.911</c:v>
                </c:pt>
                <c:pt idx="539">
                  <c:v>108.90600000000001</c:v>
                </c:pt>
                <c:pt idx="540">
                  <c:v>108.902</c:v>
                </c:pt>
                <c:pt idx="541">
                  <c:v>108.91800000000001</c:v>
                </c:pt>
                <c:pt idx="542">
                  <c:v>108.976</c:v>
                </c:pt>
                <c:pt idx="543">
                  <c:v>109.032</c:v>
                </c:pt>
                <c:pt idx="544">
                  <c:v>108.96899999999999</c:v>
                </c:pt>
                <c:pt idx="545">
                  <c:v>108.98</c:v>
                </c:pt>
                <c:pt idx="546">
                  <c:v>108.999</c:v>
                </c:pt>
                <c:pt idx="547">
                  <c:v>108.958</c:v>
                </c:pt>
                <c:pt idx="548">
                  <c:v>109.02200000000001</c:v>
                </c:pt>
                <c:pt idx="549">
                  <c:v>109.06100000000001</c:v>
                </c:pt>
                <c:pt idx="550">
                  <c:v>109.104</c:v>
                </c:pt>
                <c:pt idx="551">
                  <c:v>108.991</c:v>
                </c:pt>
                <c:pt idx="552">
                  <c:v>108.995</c:v>
                </c:pt>
                <c:pt idx="553">
                  <c:v>109.017</c:v>
                </c:pt>
                <c:pt idx="554">
                  <c:v>108.938</c:v>
                </c:pt>
                <c:pt idx="555">
                  <c:v>108.938</c:v>
                </c:pt>
                <c:pt idx="556">
                  <c:v>109.04300000000001</c:v>
                </c:pt>
                <c:pt idx="557">
                  <c:v>108.949</c:v>
                </c:pt>
                <c:pt idx="558">
                  <c:v>108.80200000000001</c:v>
                </c:pt>
                <c:pt idx="559">
                  <c:v>108.93899999999999</c:v>
                </c:pt>
                <c:pt idx="560">
                  <c:v>109.035</c:v>
                </c:pt>
                <c:pt idx="561">
                  <c:v>108.932</c:v>
                </c:pt>
                <c:pt idx="562">
                  <c:v>108.916</c:v>
                </c:pt>
                <c:pt idx="563">
                  <c:v>108.97199999999999</c:v>
                </c:pt>
                <c:pt idx="564">
                  <c:v>109.101</c:v>
                </c:pt>
                <c:pt idx="565">
                  <c:v>108.958</c:v>
                </c:pt>
                <c:pt idx="566">
                  <c:v>109.014</c:v>
                </c:pt>
                <c:pt idx="567">
                  <c:v>108.99</c:v>
                </c:pt>
                <c:pt idx="568">
                  <c:v>109.01300000000001</c:v>
                </c:pt>
                <c:pt idx="569">
                  <c:v>109.264</c:v>
                </c:pt>
                <c:pt idx="570">
                  <c:v>109.226</c:v>
                </c:pt>
                <c:pt idx="571">
                  <c:v>109.26300000000001</c:v>
                </c:pt>
                <c:pt idx="572">
                  <c:v>109.29</c:v>
                </c:pt>
                <c:pt idx="573">
                  <c:v>109.35899999999999</c:v>
                </c:pt>
                <c:pt idx="574">
                  <c:v>109.428</c:v>
                </c:pt>
                <c:pt idx="575">
                  <c:v>109.408</c:v>
                </c:pt>
                <c:pt idx="576">
                  <c:v>109.437</c:v>
                </c:pt>
                <c:pt idx="577">
                  <c:v>109.55500000000001</c:v>
                </c:pt>
                <c:pt idx="578">
                  <c:v>109.53</c:v>
                </c:pt>
                <c:pt idx="579">
                  <c:v>109.504</c:v>
                </c:pt>
                <c:pt idx="580">
                  <c:v>109.52</c:v>
                </c:pt>
                <c:pt idx="581">
                  <c:v>109.505</c:v>
                </c:pt>
                <c:pt idx="582">
                  <c:v>109.538</c:v>
                </c:pt>
                <c:pt idx="583">
                  <c:v>109.55</c:v>
                </c:pt>
                <c:pt idx="584">
                  <c:v>109.581</c:v>
                </c:pt>
                <c:pt idx="585">
                  <c:v>109.60299999999999</c:v>
                </c:pt>
                <c:pt idx="586">
                  <c:v>109.622</c:v>
                </c:pt>
                <c:pt idx="587">
                  <c:v>109.59099999999999</c:v>
                </c:pt>
                <c:pt idx="588">
                  <c:v>109.61</c:v>
                </c:pt>
                <c:pt idx="589">
                  <c:v>109.62</c:v>
                </c:pt>
                <c:pt idx="590">
                  <c:v>109.60599999999999</c:v>
                </c:pt>
                <c:pt idx="591">
                  <c:v>109.621</c:v>
                </c:pt>
                <c:pt idx="592">
                  <c:v>109.56100000000001</c:v>
                </c:pt>
                <c:pt idx="593">
                  <c:v>109.515</c:v>
                </c:pt>
                <c:pt idx="594">
                  <c:v>109.5</c:v>
                </c:pt>
                <c:pt idx="595">
                  <c:v>109.42400000000001</c:v>
                </c:pt>
                <c:pt idx="596">
                  <c:v>109.33799999999999</c:v>
                </c:pt>
                <c:pt idx="597">
                  <c:v>109.384</c:v>
                </c:pt>
                <c:pt idx="598">
                  <c:v>109.254</c:v>
                </c:pt>
                <c:pt idx="599">
                  <c:v>109.35299999999999</c:v>
                </c:pt>
                <c:pt idx="600">
                  <c:v>109.342</c:v>
                </c:pt>
                <c:pt idx="601">
                  <c:v>109.44799999999999</c:v>
                </c:pt>
              </c:numCache>
            </c:numRef>
          </c:val>
          <c:extLst>
            <c:ext xmlns:c16="http://schemas.microsoft.com/office/drawing/2014/chart" uri="{C3380CC4-5D6E-409C-BE32-E72D297353CC}">
              <c16:uniqueId val="{00000000-BC87-429F-B6E3-451B86B43E28}"/>
            </c:ext>
          </c:extLst>
        </c:ser>
        <c:dLbls>
          <c:showLegendKey val="0"/>
          <c:showVal val="0"/>
          <c:showCatName val="0"/>
          <c:showSerName val="0"/>
          <c:showPercent val="0"/>
          <c:showBubbleSize val="0"/>
        </c:dLbls>
        <c:axId val="377174464"/>
        <c:axId val="377174856"/>
      </c:areaChart>
      <c:lineChart>
        <c:grouping val="standard"/>
        <c:varyColors val="0"/>
        <c:ser>
          <c:idx val="1"/>
          <c:order val="1"/>
          <c:tx>
            <c:strRef>
              <c:f>'[Hartije od vrednosti na medjunarodnom trzistu SAJT (2).xlsx]EUROBOND 2021 offline'!$C$4</c:f>
              <c:strCache>
                <c:ptCount val="1"/>
                <c:pt idx="0">
                  <c:v>Срењни принос до доспећа</c:v>
                </c:pt>
              </c:strCache>
            </c:strRef>
          </c:tx>
          <c:marker>
            <c:symbol val="none"/>
          </c:marker>
          <c:cat>
            <c:numRef>
              <c:f>'[Hartije od vrednosti na medjunarodnom trzistu SAJT (2).xlsx]EUROBOND 2021 offline'!$A$6:$A$607</c:f>
              <c:numCache>
                <c:formatCode>dd\/mm\/yy</c:formatCode>
                <c:ptCount val="602"/>
                <c:pt idx="0">
                  <c:v>44133</c:v>
                </c:pt>
                <c:pt idx="1">
                  <c:v>44132</c:v>
                </c:pt>
                <c:pt idx="2">
                  <c:v>44131</c:v>
                </c:pt>
                <c:pt idx="3">
                  <c:v>44130</c:v>
                </c:pt>
                <c:pt idx="4">
                  <c:v>44127</c:v>
                </c:pt>
                <c:pt idx="5">
                  <c:v>44126</c:v>
                </c:pt>
                <c:pt idx="6">
                  <c:v>44125</c:v>
                </c:pt>
                <c:pt idx="7">
                  <c:v>44124</c:v>
                </c:pt>
                <c:pt idx="8">
                  <c:v>44123</c:v>
                </c:pt>
                <c:pt idx="9">
                  <c:v>44120</c:v>
                </c:pt>
                <c:pt idx="10">
                  <c:v>44119</c:v>
                </c:pt>
                <c:pt idx="11">
                  <c:v>44118</c:v>
                </c:pt>
                <c:pt idx="12">
                  <c:v>44117</c:v>
                </c:pt>
                <c:pt idx="13">
                  <c:v>44116</c:v>
                </c:pt>
                <c:pt idx="14">
                  <c:v>44113</c:v>
                </c:pt>
                <c:pt idx="15">
                  <c:v>44112</c:v>
                </c:pt>
                <c:pt idx="16">
                  <c:v>44111</c:v>
                </c:pt>
                <c:pt idx="17">
                  <c:v>44110</c:v>
                </c:pt>
                <c:pt idx="18">
                  <c:v>44109</c:v>
                </c:pt>
                <c:pt idx="19">
                  <c:v>44106</c:v>
                </c:pt>
                <c:pt idx="20">
                  <c:v>44105</c:v>
                </c:pt>
                <c:pt idx="21">
                  <c:v>44104</c:v>
                </c:pt>
                <c:pt idx="22">
                  <c:v>44103</c:v>
                </c:pt>
                <c:pt idx="23">
                  <c:v>44102</c:v>
                </c:pt>
                <c:pt idx="24">
                  <c:v>44099</c:v>
                </c:pt>
                <c:pt idx="25">
                  <c:v>44098</c:v>
                </c:pt>
                <c:pt idx="26">
                  <c:v>44097</c:v>
                </c:pt>
                <c:pt idx="27">
                  <c:v>44096</c:v>
                </c:pt>
                <c:pt idx="28">
                  <c:v>44095</c:v>
                </c:pt>
                <c:pt idx="29">
                  <c:v>44092</c:v>
                </c:pt>
                <c:pt idx="30">
                  <c:v>44091</c:v>
                </c:pt>
                <c:pt idx="31">
                  <c:v>44090</c:v>
                </c:pt>
                <c:pt idx="32">
                  <c:v>44089</c:v>
                </c:pt>
                <c:pt idx="33">
                  <c:v>44088</c:v>
                </c:pt>
                <c:pt idx="34">
                  <c:v>44085</c:v>
                </c:pt>
                <c:pt idx="35">
                  <c:v>44084</c:v>
                </c:pt>
                <c:pt idx="36">
                  <c:v>44083</c:v>
                </c:pt>
                <c:pt idx="37">
                  <c:v>44082</c:v>
                </c:pt>
                <c:pt idx="38">
                  <c:v>44081</c:v>
                </c:pt>
                <c:pt idx="39">
                  <c:v>44078</c:v>
                </c:pt>
                <c:pt idx="40">
                  <c:v>44077</c:v>
                </c:pt>
                <c:pt idx="41">
                  <c:v>44076</c:v>
                </c:pt>
                <c:pt idx="42">
                  <c:v>44075</c:v>
                </c:pt>
                <c:pt idx="43">
                  <c:v>44074</c:v>
                </c:pt>
                <c:pt idx="44">
                  <c:v>44071</c:v>
                </c:pt>
                <c:pt idx="45">
                  <c:v>44070</c:v>
                </c:pt>
                <c:pt idx="46">
                  <c:v>44069</c:v>
                </c:pt>
                <c:pt idx="47">
                  <c:v>44068</c:v>
                </c:pt>
                <c:pt idx="48">
                  <c:v>44067</c:v>
                </c:pt>
                <c:pt idx="49">
                  <c:v>44064</c:v>
                </c:pt>
                <c:pt idx="50">
                  <c:v>44063</c:v>
                </c:pt>
                <c:pt idx="51">
                  <c:v>44062</c:v>
                </c:pt>
                <c:pt idx="52">
                  <c:v>44061</c:v>
                </c:pt>
                <c:pt idx="53">
                  <c:v>44060</c:v>
                </c:pt>
                <c:pt idx="54">
                  <c:v>44057</c:v>
                </c:pt>
                <c:pt idx="55">
                  <c:v>44056</c:v>
                </c:pt>
                <c:pt idx="56">
                  <c:v>44055</c:v>
                </c:pt>
                <c:pt idx="57">
                  <c:v>44054</c:v>
                </c:pt>
                <c:pt idx="58">
                  <c:v>44053</c:v>
                </c:pt>
                <c:pt idx="59">
                  <c:v>44050</c:v>
                </c:pt>
                <c:pt idx="60">
                  <c:v>44049</c:v>
                </c:pt>
                <c:pt idx="61">
                  <c:v>44048</c:v>
                </c:pt>
                <c:pt idx="62">
                  <c:v>44047</c:v>
                </c:pt>
                <c:pt idx="63">
                  <c:v>44046</c:v>
                </c:pt>
                <c:pt idx="64">
                  <c:v>44043</c:v>
                </c:pt>
                <c:pt idx="65">
                  <c:v>44042</c:v>
                </c:pt>
                <c:pt idx="66">
                  <c:v>44041</c:v>
                </c:pt>
                <c:pt idx="67">
                  <c:v>44040</c:v>
                </c:pt>
                <c:pt idx="68">
                  <c:v>44039</c:v>
                </c:pt>
                <c:pt idx="69">
                  <c:v>44036</c:v>
                </c:pt>
                <c:pt idx="70">
                  <c:v>44035</c:v>
                </c:pt>
                <c:pt idx="71">
                  <c:v>44034</c:v>
                </c:pt>
                <c:pt idx="72">
                  <c:v>44033</c:v>
                </c:pt>
                <c:pt idx="73">
                  <c:v>44032</c:v>
                </c:pt>
                <c:pt idx="74">
                  <c:v>44029</c:v>
                </c:pt>
                <c:pt idx="75">
                  <c:v>44028</c:v>
                </c:pt>
                <c:pt idx="76">
                  <c:v>44027</c:v>
                </c:pt>
                <c:pt idx="77">
                  <c:v>44026</c:v>
                </c:pt>
                <c:pt idx="78">
                  <c:v>44025</c:v>
                </c:pt>
                <c:pt idx="79">
                  <c:v>44022</c:v>
                </c:pt>
                <c:pt idx="80">
                  <c:v>44021</c:v>
                </c:pt>
                <c:pt idx="81">
                  <c:v>44020</c:v>
                </c:pt>
                <c:pt idx="82">
                  <c:v>44019</c:v>
                </c:pt>
                <c:pt idx="83">
                  <c:v>44018</c:v>
                </c:pt>
                <c:pt idx="84">
                  <c:v>44015</c:v>
                </c:pt>
                <c:pt idx="85">
                  <c:v>44014</c:v>
                </c:pt>
                <c:pt idx="86">
                  <c:v>44013</c:v>
                </c:pt>
                <c:pt idx="87">
                  <c:v>44012</c:v>
                </c:pt>
                <c:pt idx="88">
                  <c:v>44011</c:v>
                </c:pt>
                <c:pt idx="89">
                  <c:v>44008</c:v>
                </c:pt>
                <c:pt idx="90">
                  <c:v>44007</c:v>
                </c:pt>
                <c:pt idx="91">
                  <c:v>44006</c:v>
                </c:pt>
                <c:pt idx="92">
                  <c:v>44005</c:v>
                </c:pt>
                <c:pt idx="93">
                  <c:v>44004</c:v>
                </c:pt>
                <c:pt idx="94">
                  <c:v>44001</c:v>
                </c:pt>
                <c:pt idx="95">
                  <c:v>44000</c:v>
                </c:pt>
                <c:pt idx="96">
                  <c:v>43999</c:v>
                </c:pt>
                <c:pt idx="97">
                  <c:v>43998</c:v>
                </c:pt>
                <c:pt idx="98">
                  <c:v>43997</c:v>
                </c:pt>
                <c:pt idx="99">
                  <c:v>43994</c:v>
                </c:pt>
                <c:pt idx="100">
                  <c:v>43993</c:v>
                </c:pt>
                <c:pt idx="101">
                  <c:v>43992</c:v>
                </c:pt>
                <c:pt idx="102">
                  <c:v>43991</c:v>
                </c:pt>
                <c:pt idx="103">
                  <c:v>43990</c:v>
                </c:pt>
                <c:pt idx="104">
                  <c:v>43987</c:v>
                </c:pt>
                <c:pt idx="105">
                  <c:v>43986</c:v>
                </c:pt>
                <c:pt idx="106">
                  <c:v>43985</c:v>
                </c:pt>
                <c:pt idx="107">
                  <c:v>43984</c:v>
                </c:pt>
                <c:pt idx="108">
                  <c:v>43983</c:v>
                </c:pt>
                <c:pt idx="109">
                  <c:v>43980</c:v>
                </c:pt>
                <c:pt idx="110">
                  <c:v>43979</c:v>
                </c:pt>
                <c:pt idx="111">
                  <c:v>43978</c:v>
                </c:pt>
                <c:pt idx="112">
                  <c:v>43977</c:v>
                </c:pt>
                <c:pt idx="113">
                  <c:v>43976</c:v>
                </c:pt>
                <c:pt idx="114">
                  <c:v>43973</c:v>
                </c:pt>
                <c:pt idx="115">
                  <c:v>43972</c:v>
                </c:pt>
                <c:pt idx="116">
                  <c:v>43971</c:v>
                </c:pt>
                <c:pt idx="117">
                  <c:v>43970</c:v>
                </c:pt>
                <c:pt idx="118">
                  <c:v>43969</c:v>
                </c:pt>
                <c:pt idx="119">
                  <c:v>43966</c:v>
                </c:pt>
                <c:pt idx="120">
                  <c:v>43965</c:v>
                </c:pt>
                <c:pt idx="121">
                  <c:v>43964</c:v>
                </c:pt>
                <c:pt idx="122">
                  <c:v>43963</c:v>
                </c:pt>
                <c:pt idx="123">
                  <c:v>43962</c:v>
                </c:pt>
                <c:pt idx="124">
                  <c:v>43959</c:v>
                </c:pt>
                <c:pt idx="125">
                  <c:v>43958</c:v>
                </c:pt>
                <c:pt idx="126">
                  <c:v>43957</c:v>
                </c:pt>
                <c:pt idx="127">
                  <c:v>43956</c:v>
                </c:pt>
                <c:pt idx="128">
                  <c:v>43955</c:v>
                </c:pt>
                <c:pt idx="129">
                  <c:v>43952</c:v>
                </c:pt>
                <c:pt idx="130">
                  <c:v>43951</c:v>
                </c:pt>
                <c:pt idx="131">
                  <c:v>43950</c:v>
                </c:pt>
                <c:pt idx="132">
                  <c:v>43949</c:v>
                </c:pt>
                <c:pt idx="133">
                  <c:v>43948</c:v>
                </c:pt>
                <c:pt idx="134">
                  <c:v>43945</c:v>
                </c:pt>
                <c:pt idx="135">
                  <c:v>43944</c:v>
                </c:pt>
                <c:pt idx="136">
                  <c:v>43943</c:v>
                </c:pt>
                <c:pt idx="137">
                  <c:v>43942</c:v>
                </c:pt>
                <c:pt idx="138">
                  <c:v>43941</c:v>
                </c:pt>
                <c:pt idx="139">
                  <c:v>43938</c:v>
                </c:pt>
                <c:pt idx="140">
                  <c:v>43937</c:v>
                </c:pt>
                <c:pt idx="141">
                  <c:v>43936</c:v>
                </c:pt>
                <c:pt idx="142">
                  <c:v>43935</c:v>
                </c:pt>
                <c:pt idx="143">
                  <c:v>43930</c:v>
                </c:pt>
                <c:pt idx="144">
                  <c:v>43929</c:v>
                </c:pt>
                <c:pt idx="145">
                  <c:v>43928</c:v>
                </c:pt>
                <c:pt idx="146">
                  <c:v>43927</c:v>
                </c:pt>
                <c:pt idx="147">
                  <c:v>43924</c:v>
                </c:pt>
                <c:pt idx="148">
                  <c:v>43923</c:v>
                </c:pt>
                <c:pt idx="149">
                  <c:v>43922</c:v>
                </c:pt>
                <c:pt idx="150">
                  <c:v>43921</c:v>
                </c:pt>
                <c:pt idx="151">
                  <c:v>43920</c:v>
                </c:pt>
                <c:pt idx="152">
                  <c:v>43917</c:v>
                </c:pt>
                <c:pt idx="153">
                  <c:v>43916</c:v>
                </c:pt>
                <c:pt idx="154">
                  <c:v>43915</c:v>
                </c:pt>
                <c:pt idx="155">
                  <c:v>43914</c:v>
                </c:pt>
                <c:pt idx="156">
                  <c:v>43913</c:v>
                </c:pt>
                <c:pt idx="157">
                  <c:v>43910</c:v>
                </c:pt>
                <c:pt idx="158">
                  <c:v>43909</c:v>
                </c:pt>
                <c:pt idx="159">
                  <c:v>43908</c:v>
                </c:pt>
                <c:pt idx="160">
                  <c:v>43907</c:v>
                </c:pt>
                <c:pt idx="161">
                  <c:v>43906</c:v>
                </c:pt>
                <c:pt idx="162">
                  <c:v>43903</c:v>
                </c:pt>
                <c:pt idx="163">
                  <c:v>43902</c:v>
                </c:pt>
                <c:pt idx="164">
                  <c:v>43901</c:v>
                </c:pt>
                <c:pt idx="165">
                  <c:v>43900</c:v>
                </c:pt>
                <c:pt idx="166">
                  <c:v>43899</c:v>
                </c:pt>
                <c:pt idx="167">
                  <c:v>43896</c:v>
                </c:pt>
                <c:pt idx="168">
                  <c:v>43895</c:v>
                </c:pt>
                <c:pt idx="169">
                  <c:v>43894</c:v>
                </c:pt>
                <c:pt idx="170">
                  <c:v>43893</c:v>
                </c:pt>
                <c:pt idx="171">
                  <c:v>43892</c:v>
                </c:pt>
                <c:pt idx="172">
                  <c:v>43889</c:v>
                </c:pt>
                <c:pt idx="173">
                  <c:v>43888</c:v>
                </c:pt>
                <c:pt idx="174">
                  <c:v>43887</c:v>
                </c:pt>
                <c:pt idx="175">
                  <c:v>43886</c:v>
                </c:pt>
                <c:pt idx="176">
                  <c:v>43885</c:v>
                </c:pt>
                <c:pt idx="177">
                  <c:v>43882</c:v>
                </c:pt>
                <c:pt idx="178">
                  <c:v>43881</c:v>
                </c:pt>
                <c:pt idx="179">
                  <c:v>43880</c:v>
                </c:pt>
                <c:pt idx="180">
                  <c:v>43879</c:v>
                </c:pt>
                <c:pt idx="181">
                  <c:v>43878</c:v>
                </c:pt>
                <c:pt idx="182">
                  <c:v>43875</c:v>
                </c:pt>
                <c:pt idx="183">
                  <c:v>43874</c:v>
                </c:pt>
                <c:pt idx="184">
                  <c:v>43873</c:v>
                </c:pt>
                <c:pt idx="185">
                  <c:v>43872</c:v>
                </c:pt>
                <c:pt idx="186">
                  <c:v>43871</c:v>
                </c:pt>
                <c:pt idx="187">
                  <c:v>43868</c:v>
                </c:pt>
                <c:pt idx="188">
                  <c:v>43867</c:v>
                </c:pt>
                <c:pt idx="189">
                  <c:v>43866</c:v>
                </c:pt>
                <c:pt idx="190">
                  <c:v>43865</c:v>
                </c:pt>
                <c:pt idx="191">
                  <c:v>43864</c:v>
                </c:pt>
                <c:pt idx="192">
                  <c:v>43861</c:v>
                </c:pt>
                <c:pt idx="193">
                  <c:v>43860</c:v>
                </c:pt>
                <c:pt idx="194">
                  <c:v>43859</c:v>
                </c:pt>
                <c:pt idx="195">
                  <c:v>43858</c:v>
                </c:pt>
                <c:pt idx="196">
                  <c:v>43857</c:v>
                </c:pt>
                <c:pt idx="197">
                  <c:v>43854</c:v>
                </c:pt>
                <c:pt idx="198">
                  <c:v>43853</c:v>
                </c:pt>
                <c:pt idx="199">
                  <c:v>43852</c:v>
                </c:pt>
                <c:pt idx="200">
                  <c:v>43851</c:v>
                </c:pt>
                <c:pt idx="201">
                  <c:v>43850</c:v>
                </c:pt>
                <c:pt idx="202">
                  <c:v>43847</c:v>
                </c:pt>
                <c:pt idx="203">
                  <c:v>43846</c:v>
                </c:pt>
                <c:pt idx="204">
                  <c:v>43845</c:v>
                </c:pt>
                <c:pt idx="205">
                  <c:v>43844</c:v>
                </c:pt>
                <c:pt idx="206">
                  <c:v>43843</c:v>
                </c:pt>
                <c:pt idx="207">
                  <c:v>43840</c:v>
                </c:pt>
                <c:pt idx="208">
                  <c:v>43839</c:v>
                </c:pt>
                <c:pt idx="209">
                  <c:v>43838</c:v>
                </c:pt>
                <c:pt idx="210">
                  <c:v>43837</c:v>
                </c:pt>
                <c:pt idx="211">
                  <c:v>43836</c:v>
                </c:pt>
                <c:pt idx="212">
                  <c:v>43833</c:v>
                </c:pt>
                <c:pt idx="213">
                  <c:v>43832</c:v>
                </c:pt>
                <c:pt idx="214">
                  <c:v>43830</c:v>
                </c:pt>
                <c:pt idx="215">
                  <c:v>43829</c:v>
                </c:pt>
                <c:pt idx="216">
                  <c:v>43826</c:v>
                </c:pt>
                <c:pt idx="217">
                  <c:v>43823</c:v>
                </c:pt>
                <c:pt idx="218">
                  <c:v>43822</c:v>
                </c:pt>
                <c:pt idx="219">
                  <c:v>43819</c:v>
                </c:pt>
                <c:pt idx="220">
                  <c:v>43818</c:v>
                </c:pt>
                <c:pt idx="221">
                  <c:v>43817</c:v>
                </c:pt>
                <c:pt idx="222">
                  <c:v>43816</c:v>
                </c:pt>
                <c:pt idx="223">
                  <c:v>43815</c:v>
                </c:pt>
                <c:pt idx="224">
                  <c:v>43812</c:v>
                </c:pt>
                <c:pt idx="225">
                  <c:v>43811</c:v>
                </c:pt>
                <c:pt idx="226">
                  <c:v>43810</c:v>
                </c:pt>
                <c:pt idx="227">
                  <c:v>43809</c:v>
                </c:pt>
                <c:pt idx="228">
                  <c:v>43808</c:v>
                </c:pt>
                <c:pt idx="229">
                  <c:v>43805</c:v>
                </c:pt>
                <c:pt idx="230">
                  <c:v>43804</c:v>
                </c:pt>
                <c:pt idx="231">
                  <c:v>43803</c:v>
                </c:pt>
                <c:pt idx="232">
                  <c:v>43802</c:v>
                </c:pt>
                <c:pt idx="233">
                  <c:v>43801</c:v>
                </c:pt>
                <c:pt idx="234">
                  <c:v>43798</c:v>
                </c:pt>
                <c:pt idx="235">
                  <c:v>43797</c:v>
                </c:pt>
                <c:pt idx="236">
                  <c:v>43796</c:v>
                </c:pt>
                <c:pt idx="237">
                  <c:v>43795</c:v>
                </c:pt>
                <c:pt idx="238">
                  <c:v>43794</c:v>
                </c:pt>
                <c:pt idx="239">
                  <c:v>43791</c:v>
                </c:pt>
                <c:pt idx="240">
                  <c:v>43790</c:v>
                </c:pt>
                <c:pt idx="241">
                  <c:v>43789</c:v>
                </c:pt>
                <c:pt idx="242">
                  <c:v>43788</c:v>
                </c:pt>
                <c:pt idx="243">
                  <c:v>43787</c:v>
                </c:pt>
                <c:pt idx="244">
                  <c:v>43784</c:v>
                </c:pt>
                <c:pt idx="245">
                  <c:v>43783</c:v>
                </c:pt>
                <c:pt idx="246">
                  <c:v>43782</c:v>
                </c:pt>
                <c:pt idx="247">
                  <c:v>43781</c:v>
                </c:pt>
                <c:pt idx="248">
                  <c:v>43780</c:v>
                </c:pt>
                <c:pt idx="249">
                  <c:v>43777</c:v>
                </c:pt>
                <c:pt idx="250">
                  <c:v>43776</c:v>
                </c:pt>
                <c:pt idx="251">
                  <c:v>43775</c:v>
                </c:pt>
                <c:pt idx="252">
                  <c:v>43774</c:v>
                </c:pt>
                <c:pt idx="253">
                  <c:v>43773</c:v>
                </c:pt>
                <c:pt idx="254">
                  <c:v>43770</c:v>
                </c:pt>
                <c:pt idx="255">
                  <c:v>43769</c:v>
                </c:pt>
                <c:pt idx="256">
                  <c:v>43768</c:v>
                </c:pt>
                <c:pt idx="257">
                  <c:v>43767</c:v>
                </c:pt>
                <c:pt idx="258">
                  <c:v>43766</c:v>
                </c:pt>
                <c:pt idx="259">
                  <c:v>43763</c:v>
                </c:pt>
                <c:pt idx="260">
                  <c:v>43762</c:v>
                </c:pt>
                <c:pt idx="261">
                  <c:v>43761</c:v>
                </c:pt>
                <c:pt idx="262">
                  <c:v>43760</c:v>
                </c:pt>
                <c:pt idx="263">
                  <c:v>43759</c:v>
                </c:pt>
                <c:pt idx="264">
                  <c:v>43756</c:v>
                </c:pt>
                <c:pt idx="265">
                  <c:v>43755</c:v>
                </c:pt>
                <c:pt idx="266">
                  <c:v>43754</c:v>
                </c:pt>
                <c:pt idx="267">
                  <c:v>43753</c:v>
                </c:pt>
                <c:pt idx="268">
                  <c:v>43752</c:v>
                </c:pt>
                <c:pt idx="269">
                  <c:v>43749</c:v>
                </c:pt>
                <c:pt idx="270">
                  <c:v>43748</c:v>
                </c:pt>
                <c:pt idx="271">
                  <c:v>43747</c:v>
                </c:pt>
                <c:pt idx="272">
                  <c:v>43746</c:v>
                </c:pt>
                <c:pt idx="273">
                  <c:v>43745</c:v>
                </c:pt>
                <c:pt idx="274">
                  <c:v>43742</c:v>
                </c:pt>
                <c:pt idx="275">
                  <c:v>43741</c:v>
                </c:pt>
                <c:pt idx="276">
                  <c:v>43740</c:v>
                </c:pt>
                <c:pt idx="277">
                  <c:v>43739</c:v>
                </c:pt>
                <c:pt idx="278">
                  <c:v>43738</c:v>
                </c:pt>
                <c:pt idx="279">
                  <c:v>43735</c:v>
                </c:pt>
                <c:pt idx="280">
                  <c:v>43734</c:v>
                </c:pt>
                <c:pt idx="281">
                  <c:v>43733</c:v>
                </c:pt>
                <c:pt idx="282">
                  <c:v>43732</c:v>
                </c:pt>
                <c:pt idx="283">
                  <c:v>43731</c:v>
                </c:pt>
                <c:pt idx="284">
                  <c:v>43728</c:v>
                </c:pt>
                <c:pt idx="285">
                  <c:v>43727</c:v>
                </c:pt>
                <c:pt idx="286">
                  <c:v>43726</c:v>
                </c:pt>
                <c:pt idx="287">
                  <c:v>43725</c:v>
                </c:pt>
                <c:pt idx="288">
                  <c:v>43724</c:v>
                </c:pt>
                <c:pt idx="289">
                  <c:v>43721</c:v>
                </c:pt>
                <c:pt idx="290">
                  <c:v>43720</c:v>
                </c:pt>
                <c:pt idx="291">
                  <c:v>43719</c:v>
                </c:pt>
                <c:pt idx="292">
                  <c:v>43718</c:v>
                </c:pt>
                <c:pt idx="293">
                  <c:v>43717</c:v>
                </c:pt>
                <c:pt idx="294">
                  <c:v>43714</c:v>
                </c:pt>
                <c:pt idx="295">
                  <c:v>43713</c:v>
                </c:pt>
                <c:pt idx="296">
                  <c:v>43712</c:v>
                </c:pt>
                <c:pt idx="297">
                  <c:v>43711</c:v>
                </c:pt>
                <c:pt idx="298">
                  <c:v>43710</c:v>
                </c:pt>
                <c:pt idx="299">
                  <c:v>43707</c:v>
                </c:pt>
                <c:pt idx="300">
                  <c:v>43706</c:v>
                </c:pt>
                <c:pt idx="301">
                  <c:v>43705</c:v>
                </c:pt>
                <c:pt idx="302">
                  <c:v>43704</c:v>
                </c:pt>
                <c:pt idx="303">
                  <c:v>43703</c:v>
                </c:pt>
                <c:pt idx="304">
                  <c:v>43700</c:v>
                </c:pt>
                <c:pt idx="305">
                  <c:v>43699</c:v>
                </c:pt>
                <c:pt idx="306">
                  <c:v>43698</c:v>
                </c:pt>
                <c:pt idx="307">
                  <c:v>43697</c:v>
                </c:pt>
                <c:pt idx="308">
                  <c:v>43696</c:v>
                </c:pt>
                <c:pt idx="309">
                  <c:v>43693</c:v>
                </c:pt>
                <c:pt idx="310">
                  <c:v>43692</c:v>
                </c:pt>
                <c:pt idx="311">
                  <c:v>43691</c:v>
                </c:pt>
                <c:pt idx="312">
                  <c:v>43690</c:v>
                </c:pt>
                <c:pt idx="313">
                  <c:v>43689</c:v>
                </c:pt>
                <c:pt idx="314">
                  <c:v>43686</c:v>
                </c:pt>
                <c:pt idx="315">
                  <c:v>43685</c:v>
                </c:pt>
                <c:pt idx="316">
                  <c:v>43684</c:v>
                </c:pt>
                <c:pt idx="317">
                  <c:v>43683</c:v>
                </c:pt>
                <c:pt idx="318">
                  <c:v>43682</c:v>
                </c:pt>
                <c:pt idx="319">
                  <c:v>43679</c:v>
                </c:pt>
                <c:pt idx="320">
                  <c:v>43678</c:v>
                </c:pt>
                <c:pt idx="321">
                  <c:v>43677</c:v>
                </c:pt>
                <c:pt idx="322">
                  <c:v>43676</c:v>
                </c:pt>
                <c:pt idx="323">
                  <c:v>43675</c:v>
                </c:pt>
                <c:pt idx="324">
                  <c:v>43672</c:v>
                </c:pt>
                <c:pt idx="325">
                  <c:v>43671</c:v>
                </c:pt>
                <c:pt idx="326">
                  <c:v>43670</c:v>
                </c:pt>
                <c:pt idx="327">
                  <c:v>43669</c:v>
                </c:pt>
                <c:pt idx="328">
                  <c:v>43668</c:v>
                </c:pt>
                <c:pt idx="329">
                  <c:v>43665</c:v>
                </c:pt>
                <c:pt idx="330">
                  <c:v>43664</c:v>
                </c:pt>
                <c:pt idx="331">
                  <c:v>43663</c:v>
                </c:pt>
                <c:pt idx="332">
                  <c:v>43662</c:v>
                </c:pt>
                <c:pt idx="333">
                  <c:v>43661</c:v>
                </c:pt>
                <c:pt idx="334">
                  <c:v>43658</c:v>
                </c:pt>
                <c:pt idx="335">
                  <c:v>43657</c:v>
                </c:pt>
                <c:pt idx="336">
                  <c:v>43656</c:v>
                </c:pt>
                <c:pt idx="337">
                  <c:v>43655</c:v>
                </c:pt>
                <c:pt idx="338">
                  <c:v>43654</c:v>
                </c:pt>
                <c:pt idx="339">
                  <c:v>43651</c:v>
                </c:pt>
                <c:pt idx="340">
                  <c:v>43650</c:v>
                </c:pt>
                <c:pt idx="341">
                  <c:v>43649</c:v>
                </c:pt>
                <c:pt idx="342">
                  <c:v>43648</c:v>
                </c:pt>
                <c:pt idx="343">
                  <c:v>43647</c:v>
                </c:pt>
                <c:pt idx="344">
                  <c:v>43644</c:v>
                </c:pt>
                <c:pt idx="345">
                  <c:v>43643</c:v>
                </c:pt>
                <c:pt idx="346">
                  <c:v>43642</c:v>
                </c:pt>
                <c:pt idx="347">
                  <c:v>43641</c:v>
                </c:pt>
                <c:pt idx="348">
                  <c:v>43640</c:v>
                </c:pt>
                <c:pt idx="349">
                  <c:v>43637</c:v>
                </c:pt>
                <c:pt idx="350">
                  <c:v>43636</c:v>
                </c:pt>
                <c:pt idx="351">
                  <c:v>43635</c:v>
                </c:pt>
                <c:pt idx="352">
                  <c:v>43634</c:v>
                </c:pt>
                <c:pt idx="353">
                  <c:v>43633</c:v>
                </c:pt>
                <c:pt idx="354">
                  <c:v>43630</c:v>
                </c:pt>
                <c:pt idx="355">
                  <c:v>43629</c:v>
                </c:pt>
                <c:pt idx="356">
                  <c:v>43628</c:v>
                </c:pt>
                <c:pt idx="357">
                  <c:v>43627</c:v>
                </c:pt>
                <c:pt idx="358">
                  <c:v>43626</c:v>
                </c:pt>
                <c:pt idx="359">
                  <c:v>43623</c:v>
                </c:pt>
                <c:pt idx="360">
                  <c:v>43622</c:v>
                </c:pt>
                <c:pt idx="361">
                  <c:v>43621</c:v>
                </c:pt>
                <c:pt idx="362">
                  <c:v>43620</c:v>
                </c:pt>
                <c:pt idx="363">
                  <c:v>43619</c:v>
                </c:pt>
                <c:pt idx="364">
                  <c:v>43616</c:v>
                </c:pt>
                <c:pt idx="365">
                  <c:v>43615</c:v>
                </c:pt>
                <c:pt idx="366">
                  <c:v>43614</c:v>
                </c:pt>
                <c:pt idx="367">
                  <c:v>43613</c:v>
                </c:pt>
                <c:pt idx="368">
                  <c:v>43612</c:v>
                </c:pt>
                <c:pt idx="369">
                  <c:v>43609</c:v>
                </c:pt>
                <c:pt idx="370">
                  <c:v>43608</c:v>
                </c:pt>
                <c:pt idx="371">
                  <c:v>43607</c:v>
                </c:pt>
                <c:pt idx="372">
                  <c:v>43606</c:v>
                </c:pt>
                <c:pt idx="373">
                  <c:v>43605</c:v>
                </c:pt>
                <c:pt idx="374">
                  <c:v>43602</c:v>
                </c:pt>
                <c:pt idx="375">
                  <c:v>43601</c:v>
                </c:pt>
                <c:pt idx="376">
                  <c:v>43600</c:v>
                </c:pt>
                <c:pt idx="377">
                  <c:v>43599</c:v>
                </c:pt>
                <c:pt idx="378">
                  <c:v>43598</c:v>
                </c:pt>
                <c:pt idx="379">
                  <c:v>43595</c:v>
                </c:pt>
                <c:pt idx="380">
                  <c:v>43594</c:v>
                </c:pt>
                <c:pt idx="381">
                  <c:v>43593</c:v>
                </c:pt>
                <c:pt idx="382">
                  <c:v>43592</c:v>
                </c:pt>
                <c:pt idx="383">
                  <c:v>43591</c:v>
                </c:pt>
                <c:pt idx="384">
                  <c:v>43588</c:v>
                </c:pt>
                <c:pt idx="385">
                  <c:v>43587</c:v>
                </c:pt>
                <c:pt idx="386">
                  <c:v>43586</c:v>
                </c:pt>
                <c:pt idx="387">
                  <c:v>43585</c:v>
                </c:pt>
                <c:pt idx="388">
                  <c:v>43584</c:v>
                </c:pt>
                <c:pt idx="389">
                  <c:v>43581</c:v>
                </c:pt>
                <c:pt idx="390">
                  <c:v>43580</c:v>
                </c:pt>
                <c:pt idx="391">
                  <c:v>43579</c:v>
                </c:pt>
                <c:pt idx="392">
                  <c:v>43578</c:v>
                </c:pt>
                <c:pt idx="393">
                  <c:v>43573</c:v>
                </c:pt>
                <c:pt idx="394">
                  <c:v>43572</c:v>
                </c:pt>
                <c:pt idx="395">
                  <c:v>43571</c:v>
                </c:pt>
                <c:pt idx="396">
                  <c:v>43570</c:v>
                </c:pt>
                <c:pt idx="397">
                  <c:v>43567</c:v>
                </c:pt>
                <c:pt idx="398">
                  <c:v>43566</c:v>
                </c:pt>
                <c:pt idx="399">
                  <c:v>43565</c:v>
                </c:pt>
                <c:pt idx="400">
                  <c:v>43564</c:v>
                </c:pt>
                <c:pt idx="401">
                  <c:v>43563</c:v>
                </c:pt>
                <c:pt idx="402">
                  <c:v>43560</c:v>
                </c:pt>
                <c:pt idx="403">
                  <c:v>43559</c:v>
                </c:pt>
                <c:pt idx="404">
                  <c:v>43558</c:v>
                </c:pt>
                <c:pt idx="405">
                  <c:v>43557</c:v>
                </c:pt>
                <c:pt idx="406">
                  <c:v>43556</c:v>
                </c:pt>
                <c:pt idx="407">
                  <c:v>43553</c:v>
                </c:pt>
                <c:pt idx="408">
                  <c:v>43552</c:v>
                </c:pt>
                <c:pt idx="409">
                  <c:v>43551</c:v>
                </c:pt>
                <c:pt idx="410">
                  <c:v>43550</c:v>
                </c:pt>
                <c:pt idx="411">
                  <c:v>43549</c:v>
                </c:pt>
                <c:pt idx="412">
                  <c:v>43546</c:v>
                </c:pt>
                <c:pt idx="413">
                  <c:v>43545</c:v>
                </c:pt>
                <c:pt idx="414">
                  <c:v>43544</c:v>
                </c:pt>
                <c:pt idx="415">
                  <c:v>43543</c:v>
                </c:pt>
                <c:pt idx="416">
                  <c:v>43542</c:v>
                </c:pt>
                <c:pt idx="417">
                  <c:v>43539</c:v>
                </c:pt>
                <c:pt idx="418">
                  <c:v>43538</c:v>
                </c:pt>
                <c:pt idx="419">
                  <c:v>43537</c:v>
                </c:pt>
                <c:pt idx="420">
                  <c:v>43536</c:v>
                </c:pt>
                <c:pt idx="421">
                  <c:v>43535</c:v>
                </c:pt>
                <c:pt idx="422">
                  <c:v>43532</c:v>
                </c:pt>
                <c:pt idx="423">
                  <c:v>43531</c:v>
                </c:pt>
                <c:pt idx="424">
                  <c:v>43530</c:v>
                </c:pt>
                <c:pt idx="425">
                  <c:v>43529</c:v>
                </c:pt>
                <c:pt idx="426">
                  <c:v>43528</c:v>
                </c:pt>
                <c:pt idx="427">
                  <c:v>43525</c:v>
                </c:pt>
                <c:pt idx="428">
                  <c:v>43524</c:v>
                </c:pt>
                <c:pt idx="429">
                  <c:v>43523</c:v>
                </c:pt>
                <c:pt idx="430">
                  <c:v>43522</c:v>
                </c:pt>
                <c:pt idx="431">
                  <c:v>43521</c:v>
                </c:pt>
                <c:pt idx="432">
                  <c:v>43518</c:v>
                </c:pt>
                <c:pt idx="433">
                  <c:v>43517</c:v>
                </c:pt>
                <c:pt idx="434">
                  <c:v>43516</c:v>
                </c:pt>
                <c:pt idx="435">
                  <c:v>43515</c:v>
                </c:pt>
                <c:pt idx="436">
                  <c:v>43514</c:v>
                </c:pt>
                <c:pt idx="437">
                  <c:v>43511</c:v>
                </c:pt>
                <c:pt idx="438">
                  <c:v>43510</c:v>
                </c:pt>
                <c:pt idx="439">
                  <c:v>43509</c:v>
                </c:pt>
                <c:pt idx="440">
                  <c:v>43508</c:v>
                </c:pt>
                <c:pt idx="441">
                  <c:v>43507</c:v>
                </c:pt>
                <c:pt idx="442">
                  <c:v>43504</c:v>
                </c:pt>
                <c:pt idx="443">
                  <c:v>43503</c:v>
                </c:pt>
                <c:pt idx="444">
                  <c:v>43502</c:v>
                </c:pt>
                <c:pt idx="445">
                  <c:v>43501</c:v>
                </c:pt>
                <c:pt idx="446">
                  <c:v>43500</c:v>
                </c:pt>
                <c:pt idx="447">
                  <c:v>43497</c:v>
                </c:pt>
                <c:pt idx="448">
                  <c:v>43496</c:v>
                </c:pt>
                <c:pt idx="449">
                  <c:v>43495</c:v>
                </c:pt>
                <c:pt idx="450">
                  <c:v>43494</c:v>
                </c:pt>
                <c:pt idx="451">
                  <c:v>43493</c:v>
                </c:pt>
                <c:pt idx="452">
                  <c:v>43490</c:v>
                </c:pt>
                <c:pt idx="453">
                  <c:v>43489</c:v>
                </c:pt>
                <c:pt idx="454">
                  <c:v>43488</c:v>
                </c:pt>
                <c:pt idx="455">
                  <c:v>43487</c:v>
                </c:pt>
                <c:pt idx="456">
                  <c:v>43486</c:v>
                </c:pt>
                <c:pt idx="457">
                  <c:v>43483</c:v>
                </c:pt>
                <c:pt idx="458">
                  <c:v>43482</c:v>
                </c:pt>
                <c:pt idx="459">
                  <c:v>43481</c:v>
                </c:pt>
                <c:pt idx="460">
                  <c:v>43480</c:v>
                </c:pt>
                <c:pt idx="461">
                  <c:v>43479</c:v>
                </c:pt>
                <c:pt idx="462">
                  <c:v>43476</c:v>
                </c:pt>
                <c:pt idx="463">
                  <c:v>43475</c:v>
                </c:pt>
                <c:pt idx="464">
                  <c:v>43474</c:v>
                </c:pt>
                <c:pt idx="465">
                  <c:v>43473</c:v>
                </c:pt>
                <c:pt idx="466">
                  <c:v>43472</c:v>
                </c:pt>
                <c:pt idx="467">
                  <c:v>43469</c:v>
                </c:pt>
                <c:pt idx="468">
                  <c:v>43468</c:v>
                </c:pt>
                <c:pt idx="469">
                  <c:v>43467</c:v>
                </c:pt>
                <c:pt idx="470">
                  <c:v>43465</c:v>
                </c:pt>
                <c:pt idx="471">
                  <c:v>43462</c:v>
                </c:pt>
                <c:pt idx="472">
                  <c:v>43461</c:v>
                </c:pt>
                <c:pt idx="473">
                  <c:v>43458</c:v>
                </c:pt>
                <c:pt idx="474">
                  <c:v>43455</c:v>
                </c:pt>
                <c:pt idx="475">
                  <c:v>43454</c:v>
                </c:pt>
                <c:pt idx="476">
                  <c:v>43453</c:v>
                </c:pt>
                <c:pt idx="477">
                  <c:v>43452</c:v>
                </c:pt>
                <c:pt idx="478">
                  <c:v>43451</c:v>
                </c:pt>
                <c:pt idx="479">
                  <c:v>43448</c:v>
                </c:pt>
                <c:pt idx="480">
                  <c:v>43447</c:v>
                </c:pt>
                <c:pt idx="481">
                  <c:v>43446</c:v>
                </c:pt>
                <c:pt idx="482">
                  <c:v>43445</c:v>
                </c:pt>
                <c:pt idx="483">
                  <c:v>43444</c:v>
                </c:pt>
                <c:pt idx="484">
                  <c:v>43441</c:v>
                </c:pt>
                <c:pt idx="485">
                  <c:v>43440</c:v>
                </c:pt>
                <c:pt idx="486">
                  <c:v>43439</c:v>
                </c:pt>
                <c:pt idx="487">
                  <c:v>43438</c:v>
                </c:pt>
                <c:pt idx="488">
                  <c:v>43437</c:v>
                </c:pt>
                <c:pt idx="489">
                  <c:v>43434</c:v>
                </c:pt>
                <c:pt idx="490">
                  <c:v>43433</c:v>
                </c:pt>
                <c:pt idx="491">
                  <c:v>43432</c:v>
                </c:pt>
                <c:pt idx="492">
                  <c:v>43431</c:v>
                </c:pt>
                <c:pt idx="493">
                  <c:v>43430</c:v>
                </c:pt>
                <c:pt idx="494">
                  <c:v>43427</c:v>
                </c:pt>
                <c:pt idx="495">
                  <c:v>43426</c:v>
                </c:pt>
                <c:pt idx="496">
                  <c:v>43425</c:v>
                </c:pt>
                <c:pt idx="497">
                  <c:v>43424</c:v>
                </c:pt>
                <c:pt idx="498">
                  <c:v>43423</c:v>
                </c:pt>
                <c:pt idx="499">
                  <c:v>43420</c:v>
                </c:pt>
                <c:pt idx="500">
                  <c:v>43419</c:v>
                </c:pt>
                <c:pt idx="501">
                  <c:v>43418</c:v>
                </c:pt>
                <c:pt idx="502">
                  <c:v>43417</c:v>
                </c:pt>
                <c:pt idx="503">
                  <c:v>43416</c:v>
                </c:pt>
                <c:pt idx="504">
                  <c:v>43413</c:v>
                </c:pt>
                <c:pt idx="505">
                  <c:v>43412</c:v>
                </c:pt>
                <c:pt idx="506">
                  <c:v>43411</c:v>
                </c:pt>
                <c:pt idx="507">
                  <c:v>43410</c:v>
                </c:pt>
                <c:pt idx="508">
                  <c:v>43409</c:v>
                </c:pt>
                <c:pt idx="509">
                  <c:v>43406</c:v>
                </c:pt>
                <c:pt idx="510">
                  <c:v>43405</c:v>
                </c:pt>
                <c:pt idx="511">
                  <c:v>43404</c:v>
                </c:pt>
                <c:pt idx="512">
                  <c:v>43403</c:v>
                </c:pt>
                <c:pt idx="513">
                  <c:v>43402</c:v>
                </c:pt>
                <c:pt idx="514">
                  <c:v>43399</c:v>
                </c:pt>
                <c:pt idx="515">
                  <c:v>43398</c:v>
                </c:pt>
                <c:pt idx="516">
                  <c:v>43397</c:v>
                </c:pt>
                <c:pt idx="517">
                  <c:v>43396</c:v>
                </c:pt>
                <c:pt idx="518">
                  <c:v>43395</c:v>
                </c:pt>
                <c:pt idx="519">
                  <c:v>43392</c:v>
                </c:pt>
                <c:pt idx="520">
                  <c:v>43391</c:v>
                </c:pt>
                <c:pt idx="521">
                  <c:v>43390</c:v>
                </c:pt>
                <c:pt idx="522">
                  <c:v>43389</c:v>
                </c:pt>
                <c:pt idx="523">
                  <c:v>43388</c:v>
                </c:pt>
                <c:pt idx="524">
                  <c:v>43385</c:v>
                </c:pt>
                <c:pt idx="525">
                  <c:v>43384</c:v>
                </c:pt>
                <c:pt idx="526">
                  <c:v>43383</c:v>
                </c:pt>
                <c:pt idx="527">
                  <c:v>43382</c:v>
                </c:pt>
                <c:pt idx="528">
                  <c:v>43381</c:v>
                </c:pt>
                <c:pt idx="529">
                  <c:v>43378</c:v>
                </c:pt>
                <c:pt idx="530">
                  <c:v>43377</c:v>
                </c:pt>
                <c:pt idx="531">
                  <c:v>43376</c:v>
                </c:pt>
                <c:pt idx="532">
                  <c:v>43375</c:v>
                </c:pt>
                <c:pt idx="533">
                  <c:v>43374</c:v>
                </c:pt>
                <c:pt idx="534">
                  <c:v>43371</c:v>
                </c:pt>
                <c:pt idx="535">
                  <c:v>43370</c:v>
                </c:pt>
                <c:pt idx="536">
                  <c:v>43369</c:v>
                </c:pt>
                <c:pt idx="537">
                  <c:v>43368</c:v>
                </c:pt>
                <c:pt idx="538">
                  <c:v>43367</c:v>
                </c:pt>
                <c:pt idx="539">
                  <c:v>43364</c:v>
                </c:pt>
                <c:pt idx="540">
                  <c:v>43363</c:v>
                </c:pt>
                <c:pt idx="541">
                  <c:v>43362</c:v>
                </c:pt>
                <c:pt idx="542">
                  <c:v>43361</c:v>
                </c:pt>
                <c:pt idx="543">
                  <c:v>43360</c:v>
                </c:pt>
                <c:pt idx="544">
                  <c:v>43357</c:v>
                </c:pt>
                <c:pt idx="545">
                  <c:v>43356</c:v>
                </c:pt>
                <c:pt idx="546">
                  <c:v>43355</c:v>
                </c:pt>
                <c:pt idx="547">
                  <c:v>43354</c:v>
                </c:pt>
                <c:pt idx="548">
                  <c:v>43353</c:v>
                </c:pt>
                <c:pt idx="549">
                  <c:v>43350</c:v>
                </c:pt>
                <c:pt idx="550">
                  <c:v>43349</c:v>
                </c:pt>
                <c:pt idx="551">
                  <c:v>43348</c:v>
                </c:pt>
                <c:pt idx="552">
                  <c:v>43347</c:v>
                </c:pt>
                <c:pt idx="553">
                  <c:v>43346</c:v>
                </c:pt>
                <c:pt idx="554">
                  <c:v>43343</c:v>
                </c:pt>
                <c:pt idx="555">
                  <c:v>43342</c:v>
                </c:pt>
                <c:pt idx="556">
                  <c:v>43341</c:v>
                </c:pt>
                <c:pt idx="557">
                  <c:v>43340</c:v>
                </c:pt>
                <c:pt idx="558">
                  <c:v>43339</c:v>
                </c:pt>
                <c:pt idx="559">
                  <c:v>43336</c:v>
                </c:pt>
                <c:pt idx="560">
                  <c:v>43335</c:v>
                </c:pt>
                <c:pt idx="561">
                  <c:v>43334</c:v>
                </c:pt>
                <c:pt idx="562">
                  <c:v>43333</c:v>
                </c:pt>
                <c:pt idx="563">
                  <c:v>43332</c:v>
                </c:pt>
                <c:pt idx="564">
                  <c:v>43329</c:v>
                </c:pt>
                <c:pt idx="565">
                  <c:v>43328</c:v>
                </c:pt>
                <c:pt idx="566">
                  <c:v>43327</c:v>
                </c:pt>
                <c:pt idx="567">
                  <c:v>43326</c:v>
                </c:pt>
                <c:pt idx="568">
                  <c:v>43325</c:v>
                </c:pt>
                <c:pt idx="569">
                  <c:v>43322</c:v>
                </c:pt>
                <c:pt idx="570">
                  <c:v>43321</c:v>
                </c:pt>
                <c:pt idx="571">
                  <c:v>43320</c:v>
                </c:pt>
                <c:pt idx="572">
                  <c:v>43319</c:v>
                </c:pt>
                <c:pt idx="573">
                  <c:v>43318</c:v>
                </c:pt>
                <c:pt idx="574">
                  <c:v>43315</c:v>
                </c:pt>
                <c:pt idx="575">
                  <c:v>43314</c:v>
                </c:pt>
                <c:pt idx="576">
                  <c:v>43313</c:v>
                </c:pt>
                <c:pt idx="577">
                  <c:v>43312</c:v>
                </c:pt>
                <c:pt idx="578">
                  <c:v>43311</c:v>
                </c:pt>
                <c:pt idx="579">
                  <c:v>43308</c:v>
                </c:pt>
                <c:pt idx="580">
                  <c:v>43307</c:v>
                </c:pt>
                <c:pt idx="581">
                  <c:v>43306</c:v>
                </c:pt>
                <c:pt idx="582">
                  <c:v>43305</c:v>
                </c:pt>
                <c:pt idx="583">
                  <c:v>43304</c:v>
                </c:pt>
                <c:pt idx="584">
                  <c:v>43301</c:v>
                </c:pt>
                <c:pt idx="585">
                  <c:v>43300</c:v>
                </c:pt>
                <c:pt idx="586">
                  <c:v>43299</c:v>
                </c:pt>
                <c:pt idx="587">
                  <c:v>43298</c:v>
                </c:pt>
                <c:pt idx="588">
                  <c:v>43297</c:v>
                </c:pt>
                <c:pt idx="589">
                  <c:v>43294</c:v>
                </c:pt>
                <c:pt idx="590">
                  <c:v>43293</c:v>
                </c:pt>
                <c:pt idx="591">
                  <c:v>43292</c:v>
                </c:pt>
                <c:pt idx="592">
                  <c:v>43291</c:v>
                </c:pt>
                <c:pt idx="593">
                  <c:v>43290</c:v>
                </c:pt>
                <c:pt idx="594">
                  <c:v>43287</c:v>
                </c:pt>
                <c:pt idx="595">
                  <c:v>43286</c:v>
                </c:pt>
                <c:pt idx="596">
                  <c:v>43285</c:v>
                </c:pt>
                <c:pt idx="597">
                  <c:v>43284</c:v>
                </c:pt>
                <c:pt idx="598">
                  <c:v>43283</c:v>
                </c:pt>
                <c:pt idx="599">
                  <c:v>43280</c:v>
                </c:pt>
                <c:pt idx="600">
                  <c:v>43279</c:v>
                </c:pt>
                <c:pt idx="601">
                  <c:v>43278</c:v>
                </c:pt>
              </c:numCache>
            </c:numRef>
          </c:cat>
          <c:val>
            <c:numRef>
              <c:f>'[Hartije od vrednosti na medjunarodnom trzistu SAJT (2).xlsx]EUROBOND 2021 offline'!$C$6:$C$607</c:f>
              <c:numCache>
                <c:formatCode>#,##0.000</c:formatCode>
                <c:ptCount val="602"/>
                <c:pt idx="0">
                  <c:v>0.79800000000000004</c:v>
                </c:pt>
                <c:pt idx="1">
                  <c:v>0.85399999999999998</c:v>
                </c:pt>
                <c:pt idx="2">
                  <c:v>0.85699999999999998</c:v>
                </c:pt>
                <c:pt idx="3">
                  <c:v>0.873</c:v>
                </c:pt>
                <c:pt idx="4">
                  <c:v>0.96899999999999997</c:v>
                </c:pt>
                <c:pt idx="5">
                  <c:v>0.90300000000000002</c:v>
                </c:pt>
                <c:pt idx="6">
                  <c:v>0.94399999999999995</c:v>
                </c:pt>
                <c:pt idx="7">
                  <c:v>0.94099999999999995</c:v>
                </c:pt>
                <c:pt idx="8">
                  <c:v>0.99399999999999999</c:v>
                </c:pt>
                <c:pt idx="9">
                  <c:v>0.93899999999999995</c:v>
                </c:pt>
                <c:pt idx="10">
                  <c:v>0.95699999999999996</c:v>
                </c:pt>
                <c:pt idx="11">
                  <c:v>1.022</c:v>
                </c:pt>
                <c:pt idx="12">
                  <c:v>0.98699999999999999</c:v>
                </c:pt>
                <c:pt idx="13">
                  <c:v>1.0089999999999999</c:v>
                </c:pt>
                <c:pt idx="14">
                  <c:v>1.0129999999999999</c:v>
                </c:pt>
                <c:pt idx="15">
                  <c:v>1.0389999999999999</c:v>
                </c:pt>
                <c:pt idx="16">
                  <c:v>1.079</c:v>
                </c:pt>
                <c:pt idx="17">
                  <c:v>1.0900000000000001</c:v>
                </c:pt>
                <c:pt idx="18">
                  <c:v>1.111</c:v>
                </c:pt>
                <c:pt idx="19">
                  <c:v>1.1259999999999999</c:v>
                </c:pt>
                <c:pt idx="20">
                  <c:v>1.127</c:v>
                </c:pt>
                <c:pt idx="21">
                  <c:v>1.1719999999999999</c:v>
                </c:pt>
                <c:pt idx="22">
                  <c:v>1.169</c:v>
                </c:pt>
                <c:pt idx="23">
                  <c:v>1.1599999999999999</c:v>
                </c:pt>
                <c:pt idx="24">
                  <c:v>1.2110000000000001</c:v>
                </c:pt>
                <c:pt idx="25">
                  <c:v>1.1879999999999999</c:v>
                </c:pt>
                <c:pt idx="26">
                  <c:v>1.1850000000000001</c:v>
                </c:pt>
                <c:pt idx="27">
                  <c:v>1.238</c:v>
                </c:pt>
                <c:pt idx="28">
                  <c:v>1.2509999999999999</c:v>
                </c:pt>
                <c:pt idx="29">
                  <c:v>1.2450000000000001</c:v>
                </c:pt>
                <c:pt idx="30">
                  <c:v>1.169</c:v>
                </c:pt>
                <c:pt idx="31">
                  <c:v>1.268</c:v>
                </c:pt>
                <c:pt idx="32">
                  <c:v>1.246</c:v>
                </c:pt>
                <c:pt idx="33">
                  <c:v>1.2530000000000001</c:v>
                </c:pt>
                <c:pt idx="34">
                  <c:v>1.234</c:v>
                </c:pt>
                <c:pt idx="35">
                  <c:v>1.244</c:v>
                </c:pt>
                <c:pt idx="36">
                  <c:v>1.32</c:v>
                </c:pt>
                <c:pt idx="37">
                  <c:v>1.3280000000000001</c:v>
                </c:pt>
                <c:pt idx="38">
                  <c:v>1.3860000000000001</c:v>
                </c:pt>
                <c:pt idx="39">
                  <c:v>1.2929999999999999</c:v>
                </c:pt>
                <c:pt idx="40">
                  <c:v>1.337</c:v>
                </c:pt>
                <c:pt idx="41">
                  <c:v>1.395</c:v>
                </c:pt>
                <c:pt idx="42">
                  <c:v>1.4179999999999999</c:v>
                </c:pt>
                <c:pt idx="43">
                  <c:v>1.3240000000000001</c:v>
                </c:pt>
                <c:pt idx="44">
                  <c:v>1.38</c:v>
                </c:pt>
                <c:pt idx="45">
                  <c:v>1.246</c:v>
                </c:pt>
                <c:pt idx="46">
                  <c:v>1.258</c:v>
                </c:pt>
                <c:pt idx="47">
                  <c:v>1.2749999999999999</c:v>
                </c:pt>
                <c:pt idx="48">
                  <c:v>1.2709999999999999</c:v>
                </c:pt>
                <c:pt idx="49">
                  <c:v>1.2969999999999999</c:v>
                </c:pt>
                <c:pt idx="50">
                  <c:v>1.2929999999999999</c:v>
                </c:pt>
                <c:pt idx="51">
                  <c:v>1.333</c:v>
                </c:pt>
                <c:pt idx="52">
                  <c:v>1.365</c:v>
                </c:pt>
                <c:pt idx="53">
                  <c:v>1.3420000000000001</c:v>
                </c:pt>
                <c:pt idx="54">
                  <c:v>1.3149999999999999</c:v>
                </c:pt>
                <c:pt idx="55">
                  <c:v>1.3439999999999999</c:v>
                </c:pt>
                <c:pt idx="56">
                  <c:v>1.3719999999999999</c:v>
                </c:pt>
                <c:pt idx="57">
                  <c:v>1.3220000000000001</c:v>
                </c:pt>
                <c:pt idx="58">
                  <c:v>1.379</c:v>
                </c:pt>
                <c:pt idx="59">
                  <c:v>1.389</c:v>
                </c:pt>
                <c:pt idx="60">
                  <c:v>1.429</c:v>
                </c:pt>
                <c:pt idx="61">
                  <c:v>1.4330000000000001</c:v>
                </c:pt>
                <c:pt idx="62">
                  <c:v>1.452</c:v>
                </c:pt>
                <c:pt idx="63">
                  <c:v>1.4809999999999999</c:v>
                </c:pt>
                <c:pt idx="64">
                  <c:v>1.444</c:v>
                </c:pt>
                <c:pt idx="65">
                  <c:v>1.4490000000000001</c:v>
                </c:pt>
                <c:pt idx="66">
                  <c:v>1.472</c:v>
                </c:pt>
                <c:pt idx="67">
                  <c:v>1.4729999999999999</c:v>
                </c:pt>
                <c:pt idx="68">
                  <c:v>1.4790000000000001</c:v>
                </c:pt>
                <c:pt idx="69">
                  <c:v>1.486</c:v>
                </c:pt>
                <c:pt idx="70">
                  <c:v>1.4550000000000001</c:v>
                </c:pt>
                <c:pt idx="71">
                  <c:v>1.534</c:v>
                </c:pt>
                <c:pt idx="72">
                  <c:v>1.5629999999999999</c:v>
                </c:pt>
                <c:pt idx="73">
                  <c:v>1.5760000000000001</c:v>
                </c:pt>
                <c:pt idx="74">
                  <c:v>1.605</c:v>
                </c:pt>
                <c:pt idx="75">
                  <c:v>1.629</c:v>
                </c:pt>
                <c:pt idx="76">
                  <c:v>1.667</c:v>
                </c:pt>
                <c:pt idx="77">
                  <c:v>1.6779999999999999</c:v>
                </c:pt>
                <c:pt idx="78">
                  <c:v>1.6989999999999998</c:v>
                </c:pt>
                <c:pt idx="79">
                  <c:v>1.7109999999999999</c:v>
                </c:pt>
                <c:pt idx="80">
                  <c:v>1.673</c:v>
                </c:pt>
                <c:pt idx="81">
                  <c:v>1.6659999999999999</c:v>
                </c:pt>
                <c:pt idx="82">
                  <c:v>1.6739999999999999</c:v>
                </c:pt>
                <c:pt idx="83">
                  <c:v>1.6890000000000001</c:v>
                </c:pt>
                <c:pt idx="84">
                  <c:v>1.736</c:v>
                </c:pt>
                <c:pt idx="85">
                  <c:v>1.72</c:v>
                </c:pt>
                <c:pt idx="86">
                  <c:v>1.756</c:v>
                </c:pt>
                <c:pt idx="87">
                  <c:v>1.7970000000000002</c:v>
                </c:pt>
                <c:pt idx="88">
                  <c:v>1.8479999999999999</c:v>
                </c:pt>
                <c:pt idx="89">
                  <c:v>1.883</c:v>
                </c:pt>
                <c:pt idx="90">
                  <c:v>1.921</c:v>
                </c:pt>
                <c:pt idx="91">
                  <c:v>1.9430000000000001</c:v>
                </c:pt>
                <c:pt idx="92">
                  <c:v>2.0049999999999999</c:v>
                </c:pt>
                <c:pt idx="93">
                  <c:v>2.0169999999999999</c:v>
                </c:pt>
                <c:pt idx="94">
                  <c:v>2.036</c:v>
                </c:pt>
                <c:pt idx="95">
                  <c:v>2.044</c:v>
                </c:pt>
                <c:pt idx="96">
                  <c:v>2.0760000000000001</c:v>
                </c:pt>
                <c:pt idx="97">
                  <c:v>2.1150000000000002</c:v>
                </c:pt>
                <c:pt idx="98">
                  <c:v>2.17</c:v>
                </c:pt>
                <c:pt idx="99">
                  <c:v>2.0979999999999999</c:v>
                </c:pt>
                <c:pt idx="100">
                  <c:v>2.121</c:v>
                </c:pt>
                <c:pt idx="101">
                  <c:v>2.1539999999999999</c:v>
                </c:pt>
                <c:pt idx="102">
                  <c:v>2.12</c:v>
                </c:pt>
                <c:pt idx="103">
                  <c:v>2.1189999999999998</c:v>
                </c:pt>
                <c:pt idx="104">
                  <c:v>2.1360000000000001</c:v>
                </c:pt>
                <c:pt idx="105">
                  <c:v>2.16</c:v>
                </c:pt>
                <c:pt idx="106">
                  <c:v>2.1179999999999999</c:v>
                </c:pt>
                <c:pt idx="107">
                  <c:v>2.1040000000000001</c:v>
                </c:pt>
                <c:pt idx="108">
                  <c:v>2.14</c:v>
                </c:pt>
                <c:pt idx="109">
                  <c:v>2.1709999999999998</c:v>
                </c:pt>
                <c:pt idx="110">
                  <c:v>2.335</c:v>
                </c:pt>
                <c:pt idx="111">
                  <c:v>2.4689999999999999</c:v>
                </c:pt>
                <c:pt idx="112">
                  <c:v>2.552</c:v>
                </c:pt>
                <c:pt idx="113">
                  <c:v>2.7519999999999998</c:v>
                </c:pt>
                <c:pt idx="114">
                  <c:v>2.7029999999999998</c:v>
                </c:pt>
                <c:pt idx="115">
                  <c:v>2.7679999999999998</c:v>
                </c:pt>
                <c:pt idx="116">
                  <c:v>2.8570000000000002</c:v>
                </c:pt>
                <c:pt idx="117">
                  <c:v>2.8970000000000002</c:v>
                </c:pt>
                <c:pt idx="118">
                  <c:v>2.9159999999999999</c:v>
                </c:pt>
                <c:pt idx="119">
                  <c:v>2.99</c:v>
                </c:pt>
                <c:pt idx="120">
                  <c:v>2.9870000000000001</c:v>
                </c:pt>
                <c:pt idx="121">
                  <c:v>2.9740000000000002</c:v>
                </c:pt>
                <c:pt idx="122">
                  <c:v>2.976</c:v>
                </c:pt>
                <c:pt idx="123">
                  <c:v>3.0739999999999998</c:v>
                </c:pt>
                <c:pt idx="124">
                  <c:v>3.262</c:v>
                </c:pt>
                <c:pt idx="125">
                  <c:v>3.3810000000000002</c:v>
                </c:pt>
                <c:pt idx="126">
                  <c:v>3.49</c:v>
                </c:pt>
                <c:pt idx="127">
                  <c:v>3.3980000000000001</c:v>
                </c:pt>
                <c:pt idx="128">
                  <c:v>3.5249999999999999</c:v>
                </c:pt>
                <c:pt idx="129">
                  <c:v>3.5190000000000001</c:v>
                </c:pt>
                <c:pt idx="130">
                  <c:v>3.6259999999999999</c:v>
                </c:pt>
                <c:pt idx="131">
                  <c:v>3.6970000000000001</c:v>
                </c:pt>
                <c:pt idx="132">
                  <c:v>3.8559999999999999</c:v>
                </c:pt>
                <c:pt idx="133">
                  <c:v>3.7890000000000001</c:v>
                </c:pt>
                <c:pt idx="134">
                  <c:v>3.7450000000000001</c:v>
                </c:pt>
                <c:pt idx="135">
                  <c:v>3.7439999999999998</c:v>
                </c:pt>
                <c:pt idx="136">
                  <c:v>3.7650000000000001</c:v>
                </c:pt>
                <c:pt idx="137">
                  <c:v>3.7490000000000001</c:v>
                </c:pt>
                <c:pt idx="138">
                  <c:v>3.706</c:v>
                </c:pt>
                <c:pt idx="139">
                  <c:v>3.625</c:v>
                </c:pt>
                <c:pt idx="140">
                  <c:v>3.6269999999999998</c:v>
                </c:pt>
                <c:pt idx="141">
                  <c:v>3.6520000000000001</c:v>
                </c:pt>
                <c:pt idx="142">
                  <c:v>3.7810000000000001</c:v>
                </c:pt>
                <c:pt idx="143">
                  <c:v>3.9420000000000002</c:v>
                </c:pt>
                <c:pt idx="144">
                  <c:v>3.94</c:v>
                </c:pt>
                <c:pt idx="145">
                  <c:v>3.9569999999999999</c:v>
                </c:pt>
                <c:pt idx="146">
                  <c:v>3.9459999999999997</c:v>
                </c:pt>
                <c:pt idx="147">
                  <c:v>3.7949999999999999</c:v>
                </c:pt>
                <c:pt idx="148">
                  <c:v>3.806</c:v>
                </c:pt>
                <c:pt idx="149">
                  <c:v>3.7909999999999999</c:v>
                </c:pt>
                <c:pt idx="150">
                  <c:v>3.7690000000000001</c:v>
                </c:pt>
                <c:pt idx="151">
                  <c:v>3.74</c:v>
                </c:pt>
                <c:pt idx="152">
                  <c:v>3.6829999999999998</c:v>
                </c:pt>
                <c:pt idx="153">
                  <c:v>3.6680000000000001</c:v>
                </c:pt>
                <c:pt idx="154">
                  <c:v>3.665</c:v>
                </c:pt>
                <c:pt idx="155">
                  <c:v>3.5640000000000001</c:v>
                </c:pt>
                <c:pt idx="156">
                  <c:v>3.177</c:v>
                </c:pt>
                <c:pt idx="157">
                  <c:v>3.0270000000000001</c:v>
                </c:pt>
                <c:pt idx="158">
                  <c:v>2.7970000000000002</c:v>
                </c:pt>
                <c:pt idx="159">
                  <c:v>2.669</c:v>
                </c:pt>
                <c:pt idx="160">
                  <c:v>2.4630000000000001</c:v>
                </c:pt>
                <c:pt idx="161">
                  <c:v>2.246</c:v>
                </c:pt>
                <c:pt idx="162">
                  <c:v>1.9390000000000001</c:v>
                </c:pt>
                <c:pt idx="163">
                  <c:v>1.784</c:v>
                </c:pt>
                <c:pt idx="164">
                  <c:v>1.734</c:v>
                </c:pt>
                <c:pt idx="165">
                  <c:v>1.6280000000000001</c:v>
                </c:pt>
                <c:pt idx="166">
                  <c:v>1.6040000000000001</c:v>
                </c:pt>
                <c:pt idx="167">
                  <c:v>1.6219999999999999</c:v>
                </c:pt>
                <c:pt idx="168">
                  <c:v>1.597</c:v>
                </c:pt>
                <c:pt idx="169">
                  <c:v>1.665</c:v>
                </c:pt>
                <c:pt idx="170">
                  <c:v>1.7429999999999999</c:v>
                </c:pt>
                <c:pt idx="171">
                  <c:v>1.87</c:v>
                </c:pt>
                <c:pt idx="172">
                  <c:v>1.8359999999999999</c:v>
                </c:pt>
                <c:pt idx="173">
                  <c:v>1.831</c:v>
                </c:pt>
                <c:pt idx="174">
                  <c:v>1.8439999999999999</c:v>
                </c:pt>
                <c:pt idx="175">
                  <c:v>1.847</c:v>
                </c:pt>
                <c:pt idx="176">
                  <c:v>1.855</c:v>
                </c:pt>
                <c:pt idx="177">
                  <c:v>1.8719999999999999</c:v>
                </c:pt>
                <c:pt idx="178">
                  <c:v>1.873</c:v>
                </c:pt>
                <c:pt idx="179">
                  <c:v>1.887</c:v>
                </c:pt>
                <c:pt idx="180">
                  <c:v>1.8959999999999999</c:v>
                </c:pt>
                <c:pt idx="181">
                  <c:v>1.9260000000000002</c:v>
                </c:pt>
                <c:pt idx="182">
                  <c:v>1.9039999999999999</c:v>
                </c:pt>
                <c:pt idx="183">
                  <c:v>1.911</c:v>
                </c:pt>
                <c:pt idx="184">
                  <c:v>1.9470000000000001</c:v>
                </c:pt>
                <c:pt idx="185">
                  <c:v>1.9470000000000001</c:v>
                </c:pt>
                <c:pt idx="186">
                  <c:v>1.9260000000000002</c:v>
                </c:pt>
                <c:pt idx="187">
                  <c:v>1.9350000000000001</c:v>
                </c:pt>
                <c:pt idx="188">
                  <c:v>1.929</c:v>
                </c:pt>
                <c:pt idx="189">
                  <c:v>1.95</c:v>
                </c:pt>
                <c:pt idx="190">
                  <c:v>1.9330000000000001</c:v>
                </c:pt>
                <c:pt idx="191">
                  <c:v>1.948</c:v>
                </c:pt>
                <c:pt idx="192">
                  <c:v>1.9239999999999999</c:v>
                </c:pt>
                <c:pt idx="193">
                  <c:v>1.9430000000000001</c:v>
                </c:pt>
                <c:pt idx="194">
                  <c:v>1.968</c:v>
                </c:pt>
                <c:pt idx="195">
                  <c:v>1.9750000000000001</c:v>
                </c:pt>
                <c:pt idx="196">
                  <c:v>1.9710000000000001</c:v>
                </c:pt>
                <c:pt idx="197">
                  <c:v>1.9379999999999999</c:v>
                </c:pt>
                <c:pt idx="198">
                  <c:v>1.927</c:v>
                </c:pt>
                <c:pt idx="199">
                  <c:v>1.952</c:v>
                </c:pt>
                <c:pt idx="200">
                  <c:v>1.9449999999999998</c:v>
                </c:pt>
                <c:pt idx="201">
                  <c:v>1.99</c:v>
                </c:pt>
                <c:pt idx="202">
                  <c:v>1.9529999999999998</c:v>
                </c:pt>
                <c:pt idx="203">
                  <c:v>1.9279999999999999</c:v>
                </c:pt>
                <c:pt idx="204">
                  <c:v>1.9510000000000001</c:v>
                </c:pt>
                <c:pt idx="205">
                  <c:v>1.9590000000000001</c:v>
                </c:pt>
                <c:pt idx="206">
                  <c:v>1.9670000000000001</c:v>
                </c:pt>
                <c:pt idx="207">
                  <c:v>1.9470000000000001</c:v>
                </c:pt>
                <c:pt idx="208">
                  <c:v>1.9220000000000002</c:v>
                </c:pt>
                <c:pt idx="209">
                  <c:v>1.9489999999999998</c:v>
                </c:pt>
                <c:pt idx="210">
                  <c:v>1.9419999999999999</c:v>
                </c:pt>
                <c:pt idx="211">
                  <c:v>1.966</c:v>
                </c:pt>
                <c:pt idx="212">
                  <c:v>1.974</c:v>
                </c:pt>
                <c:pt idx="213">
                  <c:v>1.9279999999999999</c:v>
                </c:pt>
                <c:pt idx="214">
                  <c:v>1.9529999999999998</c:v>
                </c:pt>
                <c:pt idx="215">
                  <c:v>1.9609999999999999</c:v>
                </c:pt>
                <c:pt idx="216">
                  <c:v>1.9100000000000001</c:v>
                </c:pt>
                <c:pt idx="217">
                  <c:v>1.917</c:v>
                </c:pt>
                <c:pt idx="218">
                  <c:v>1.9569999999999999</c:v>
                </c:pt>
                <c:pt idx="219">
                  <c:v>1.968</c:v>
                </c:pt>
                <c:pt idx="220">
                  <c:v>1.996</c:v>
                </c:pt>
                <c:pt idx="221">
                  <c:v>2.016</c:v>
                </c:pt>
                <c:pt idx="222">
                  <c:v>2.0249999999999999</c:v>
                </c:pt>
                <c:pt idx="223">
                  <c:v>2.0329999999999999</c:v>
                </c:pt>
                <c:pt idx="224">
                  <c:v>2.1</c:v>
                </c:pt>
                <c:pt idx="225">
                  <c:v>2.1070000000000002</c:v>
                </c:pt>
                <c:pt idx="226">
                  <c:v>2.0459999999999998</c:v>
                </c:pt>
                <c:pt idx="227">
                  <c:v>2.0760000000000001</c:v>
                </c:pt>
                <c:pt idx="228">
                  <c:v>2.0499999999999998</c:v>
                </c:pt>
                <c:pt idx="229">
                  <c:v>2.0430000000000001</c:v>
                </c:pt>
                <c:pt idx="230">
                  <c:v>2.0510000000000002</c:v>
                </c:pt>
                <c:pt idx="231">
                  <c:v>2.0739999999999998</c:v>
                </c:pt>
                <c:pt idx="232">
                  <c:v>2.085</c:v>
                </c:pt>
                <c:pt idx="233">
                  <c:v>2.08</c:v>
                </c:pt>
                <c:pt idx="234">
                  <c:v>2.0590000000000002</c:v>
                </c:pt>
                <c:pt idx="235">
                  <c:v>2.0539999999999998</c:v>
                </c:pt>
                <c:pt idx="236">
                  <c:v>2.0590000000000002</c:v>
                </c:pt>
                <c:pt idx="237">
                  <c:v>2.077</c:v>
                </c:pt>
                <c:pt idx="238">
                  <c:v>2.0870000000000002</c:v>
                </c:pt>
                <c:pt idx="239">
                  <c:v>2.085</c:v>
                </c:pt>
                <c:pt idx="240">
                  <c:v>2.0979999999999999</c:v>
                </c:pt>
                <c:pt idx="241">
                  <c:v>2.117</c:v>
                </c:pt>
                <c:pt idx="242">
                  <c:v>2.1240000000000001</c:v>
                </c:pt>
                <c:pt idx="243">
                  <c:v>2.1619999999999999</c:v>
                </c:pt>
                <c:pt idx="244">
                  <c:v>2.21</c:v>
                </c:pt>
                <c:pt idx="245">
                  <c:v>2.2160000000000002</c:v>
                </c:pt>
                <c:pt idx="246">
                  <c:v>2.2410000000000001</c:v>
                </c:pt>
                <c:pt idx="247">
                  <c:v>2.2410000000000001</c:v>
                </c:pt>
                <c:pt idx="248">
                  <c:v>2.2519999999999998</c:v>
                </c:pt>
                <c:pt idx="249">
                  <c:v>2.2290000000000001</c:v>
                </c:pt>
                <c:pt idx="250">
                  <c:v>2.1880000000000002</c:v>
                </c:pt>
                <c:pt idx="251">
                  <c:v>2.198</c:v>
                </c:pt>
                <c:pt idx="252">
                  <c:v>2.2109999999999999</c:v>
                </c:pt>
                <c:pt idx="253">
                  <c:v>2.2170000000000001</c:v>
                </c:pt>
                <c:pt idx="254">
                  <c:v>2.2080000000000002</c:v>
                </c:pt>
                <c:pt idx="255">
                  <c:v>2.2229999999999999</c:v>
                </c:pt>
                <c:pt idx="256">
                  <c:v>2.2490000000000001</c:v>
                </c:pt>
                <c:pt idx="257">
                  <c:v>2.2599999999999998</c:v>
                </c:pt>
                <c:pt idx="258">
                  <c:v>2.2789999999999999</c:v>
                </c:pt>
                <c:pt idx="259">
                  <c:v>2.29</c:v>
                </c:pt>
                <c:pt idx="260">
                  <c:v>2.27</c:v>
                </c:pt>
                <c:pt idx="261">
                  <c:v>2.2839999999999998</c:v>
                </c:pt>
                <c:pt idx="262">
                  <c:v>2.306</c:v>
                </c:pt>
                <c:pt idx="263">
                  <c:v>2.2890000000000001</c:v>
                </c:pt>
                <c:pt idx="264">
                  <c:v>2.2949999999999999</c:v>
                </c:pt>
                <c:pt idx="265">
                  <c:v>2.2690000000000001</c:v>
                </c:pt>
                <c:pt idx="266">
                  <c:v>2.2890000000000001</c:v>
                </c:pt>
                <c:pt idx="267">
                  <c:v>2.286</c:v>
                </c:pt>
                <c:pt idx="268">
                  <c:v>2.238</c:v>
                </c:pt>
                <c:pt idx="269">
                  <c:v>2.2519999999999998</c:v>
                </c:pt>
                <c:pt idx="270">
                  <c:v>2.2629999999999999</c:v>
                </c:pt>
                <c:pt idx="271">
                  <c:v>2.2869999999999999</c:v>
                </c:pt>
                <c:pt idx="272">
                  <c:v>2.2869999999999999</c:v>
                </c:pt>
                <c:pt idx="273">
                  <c:v>2.3029999999999999</c:v>
                </c:pt>
                <c:pt idx="274">
                  <c:v>2.2850000000000001</c:v>
                </c:pt>
                <c:pt idx="275">
                  <c:v>2.3140000000000001</c:v>
                </c:pt>
                <c:pt idx="276">
                  <c:v>2.3439999999999999</c:v>
                </c:pt>
                <c:pt idx="277">
                  <c:v>2.363</c:v>
                </c:pt>
                <c:pt idx="278">
                  <c:v>2.359</c:v>
                </c:pt>
                <c:pt idx="279">
                  <c:v>2.3679999999999999</c:v>
                </c:pt>
                <c:pt idx="280">
                  <c:v>2.375</c:v>
                </c:pt>
                <c:pt idx="281">
                  <c:v>2.3839999999999999</c:v>
                </c:pt>
                <c:pt idx="282">
                  <c:v>2.363</c:v>
                </c:pt>
                <c:pt idx="283">
                  <c:v>2.3980000000000001</c:v>
                </c:pt>
                <c:pt idx="284">
                  <c:v>2.3940000000000001</c:v>
                </c:pt>
                <c:pt idx="285">
                  <c:v>2.4279999999999999</c:v>
                </c:pt>
                <c:pt idx="286">
                  <c:v>2.4510000000000001</c:v>
                </c:pt>
                <c:pt idx="287">
                  <c:v>2.4249999999999998</c:v>
                </c:pt>
                <c:pt idx="288">
                  <c:v>2.431</c:v>
                </c:pt>
                <c:pt idx="289">
                  <c:v>2.4779999999999998</c:v>
                </c:pt>
                <c:pt idx="290">
                  <c:v>2.403</c:v>
                </c:pt>
                <c:pt idx="291">
                  <c:v>2.4380000000000002</c:v>
                </c:pt>
                <c:pt idx="292">
                  <c:v>2.4079999999999999</c:v>
                </c:pt>
                <c:pt idx="293">
                  <c:v>2.367</c:v>
                </c:pt>
                <c:pt idx="294">
                  <c:v>2.3719999999999999</c:v>
                </c:pt>
                <c:pt idx="295">
                  <c:v>2.375</c:v>
                </c:pt>
                <c:pt idx="296">
                  <c:v>2.4</c:v>
                </c:pt>
                <c:pt idx="297">
                  <c:v>2.4449999999999998</c:v>
                </c:pt>
                <c:pt idx="298">
                  <c:v>2.4489999999999998</c:v>
                </c:pt>
                <c:pt idx="299">
                  <c:v>2.4580000000000002</c:v>
                </c:pt>
                <c:pt idx="300">
                  <c:v>2.4790000000000001</c:v>
                </c:pt>
                <c:pt idx="301">
                  <c:v>2.492</c:v>
                </c:pt>
                <c:pt idx="302">
                  <c:v>2.5009999999999999</c:v>
                </c:pt>
                <c:pt idx="303">
                  <c:v>2.5460000000000003</c:v>
                </c:pt>
                <c:pt idx="304">
                  <c:v>2.5129999999999999</c:v>
                </c:pt>
                <c:pt idx="305">
                  <c:v>2.5270000000000001</c:v>
                </c:pt>
                <c:pt idx="306">
                  <c:v>2.5499999999999998</c:v>
                </c:pt>
                <c:pt idx="307">
                  <c:v>2.5449999999999999</c:v>
                </c:pt>
                <c:pt idx="308">
                  <c:v>2.5230000000000001</c:v>
                </c:pt>
                <c:pt idx="309">
                  <c:v>2.5270000000000001</c:v>
                </c:pt>
                <c:pt idx="310">
                  <c:v>2.5419999999999998</c:v>
                </c:pt>
                <c:pt idx="311">
                  <c:v>2.5840000000000001</c:v>
                </c:pt>
                <c:pt idx="312">
                  <c:v>2.5949999999999998</c:v>
                </c:pt>
                <c:pt idx="313">
                  <c:v>2.613</c:v>
                </c:pt>
                <c:pt idx="314">
                  <c:v>2.5750000000000002</c:v>
                </c:pt>
                <c:pt idx="315">
                  <c:v>2.6429999999999998</c:v>
                </c:pt>
                <c:pt idx="316">
                  <c:v>2.6520000000000001</c:v>
                </c:pt>
                <c:pt idx="317">
                  <c:v>2.6659999999999999</c:v>
                </c:pt>
                <c:pt idx="318">
                  <c:v>2.621</c:v>
                </c:pt>
                <c:pt idx="319">
                  <c:v>2.6459999999999999</c:v>
                </c:pt>
                <c:pt idx="320">
                  <c:v>2.641</c:v>
                </c:pt>
                <c:pt idx="321">
                  <c:v>2.6879999999999997</c:v>
                </c:pt>
                <c:pt idx="322">
                  <c:v>2.6790000000000003</c:v>
                </c:pt>
                <c:pt idx="323">
                  <c:v>2.6669999999999998</c:v>
                </c:pt>
                <c:pt idx="324">
                  <c:v>2.6579999999999999</c:v>
                </c:pt>
                <c:pt idx="325">
                  <c:v>2.6539999999999999</c:v>
                </c:pt>
                <c:pt idx="326">
                  <c:v>2.665</c:v>
                </c:pt>
                <c:pt idx="327">
                  <c:v>2.6739999999999999</c:v>
                </c:pt>
                <c:pt idx="328">
                  <c:v>2.673</c:v>
                </c:pt>
                <c:pt idx="329">
                  <c:v>2.6879999999999997</c:v>
                </c:pt>
                <c:pt idx="330">
                  <c:v>2.669</c:v>
                </c:pt>
                <c:pt idx="331">
                  <c:v>2.694</c:v>
                </c:pt>
                <c:pt idx="332">
                  <c:v>2.7039999999999997</c:v>
                </c:pt>
                <c:pt idx="333">
                  <c:v>2.6779999999999999</c:v>
                </c:pt>
                <c:pt idx="334">
                  <c:v>2.7240000000000002</c:v>
                </c:pt>
                <c:pt idx="335">
                  <c:v>2.73</c:v>
                </c:pt>
                <c:pt idx="336">
                  <c:v>2.734</c:v>
                </c:pt>
                <c:pt idx="337">
                  <c:v>2.7320000000000002</c:v>
                </c:pt>
                <c:pt idx="338">
                  <c:v>2.7160000000000002</c:v>
                </c:pt>
                <c:pt idx="339">
                  <c:v>2.7130000000000001</c:v>
                </c:pt>
                <c:pt idx="340">
                  <c:v>2.7080000000000002</c:v>
                </c:pt>
                <c:pt idx="341">
                  <c:v>2.6970000000000001</c:v>
                </c:pt>
                <c:pt idx="342">
                  <c:v>2.7160000000000002</c:v>
                </c:pt>
                <c:pt idx="343">
                  <c:v>2.74</c:v>
                </c:pt>
                <c:pt idx="344">
                  <c:v>2.7410000000000001</c:v>
                </c:pt>
                <c:pt idx="345">
                  <c:v>2.7519999999999998</c:v>
                </c:pt>
                <c:pt idx="346">
                  <c:v>2.7610000000000001</c:v>
                </c:pt>
                <c:pt idx="347">
                  <c:v>2.6870000000000003</c:v>
                </c:pt>
                <c:pt idx="348">
                  <c:v>2.6710000000000003</c:v>
                </c:pt>
                <c:pt idx="349">
                  <c:v>2.6440000000000001</c:v>
                </c:pt>
                <c:pt idx="350">
                  <c:v>2.665</c:v>
                </c:pt>
                <c:pt idx="351">
                  <c:v>2.7690000000000001</c:v>
                </c:pt>
                <c:pt idx="352">
                  <c:v>2.782</c:v>
                </c:pt>
                <c:pt idx="353">
                  <c:v>2.8010000000000002</c:v>
                </c:pt>
                <c:pt idx="354">
                  <c:v>2.8149999999999999</c:v>
                </c:pt>
                <c:pt idx="355">
                  <c:v>2.8170000000000002</c:v>
                </c:pt>
                <c:pt idx="356">
                  <c:v>2.843</c:v>
                </c:pt>
                <c:pt idx="357">
                  <c:v>2.871</c:v>
                </c:pt>
                <c:pt idx="358">
                  <c:v>2.9060000000000001</c:v>
                </c:pt>
                <c:pt idx="359">
                  <c:v>2.976</c:v>
                </c:pt>
                <c:pt idx="360">
                  <c:v>3.024</c:v>
                </c:pt>
                <c:pt idx="361">
                  <c:v>3.05</c:v>
                </c:pt>
                <c:pt idx="362">
                  <c:v>3.1360000000000001</c:v>
                </c:pt>
                <c:pt idx="363">
                  <c:v>3.2029999999999998</c:v>
                </c:pt>
                <c:pt idx="364">
                  <c:v>3.2010000000000001</c:v>
                </c:pt>
                <c:pt idx="365">
                  <c:v>3.214</c:v>
                </c:pt>
                <c:pt idx="366">
                  <c:v>3.238</c:v>
                </c:pt>
                <c:pt idx="367">
                  <c:v>3.2429999999999999</c:v>
                </c:pt>
                <c:pt idx="368">
                  <c:v>3.2669999999999999</c:v>
                </c:pt>
                <c:pt idx="369">
                  <c:v>3.2469999999999999</c:v>
                </c:pt>
                <c:pt idx="370">
                  <c:v>3.2250000000000001</c:v>
                </c:pt>
                <c:pt idx="371">
                  <c:v>3.2560000000000002</c:v>
                </c:pt>
                <c:pt idx="372">
                  <c:v>3.2610000000000001</c:v>
                </c:pt>
                <c:pt idx="373">
                  <c:v>3.294</c:v>
                </c:pt>
                <c:pt idx="374">
                  <c:v>3.2909999999999999</c:v>
                </c:pt>
                <c:pt idx="375">
                  <c:v>3.2679999999999998</c:v>
                </c:pt>
                <c:pt idx="376">
                  <c:v>3.2890000000000001</c:v>
                </c:pt>
                <c:pt idx="377">
                  <c:v>3.2720000000000002</c:v>
                </c:pt>
                <c:pt idx="378">
                  <c:v>3.2839999999999998</c:v>
                </c:pt>
                <c:pt idx="379">
                  <c:v>3.2949999999999999</c:v>
                </c:pt>
                <c:pt idx="380">
                  <c:v>3.298</c:v>
                </c:pt>
                <c:pt idx="381">
                  <c:v>3.3069999999999999</c:v>
                </c:pt>
                <c:pt idx="382">
                  <c:v>3.3119999999999998</c:v>
                </c:pt>
                <c:pt idx="383">
                  <c:v>3.306</c:v>
                </c:pt>
                <c:pt idx="384">
                  <c:v>3.327</c:v>
                </c:pt>
                <c:pt idx="385">
                  <c:v>3.331</c:v>
                </c:pt>
                <c:pt idx="386">
                  <c:v>3.34</c:v>
                </c:pt>
                <c:pt idx="387">
                  <c:v>3.3580000000000001</c:v>
                </c:pt>
                <c:pt idx="388">
                  <c:v>3.3959999999999999</c:v>
                </c:pt>
                <c:pt idx="389">
                  <c:v>3.41</c:v>
                </c:pt>
                <c:pt idx="390">
                  <c:v>3.4239999999999999</c:v>
                </c:pt>
                <c:pt idx="391">
                  <c:v>3.4289999999999998</c:v>
                </c:pt>
                <c:pt idx="392">
                  <c:v>3.4489999999999998</c:v>
                </c:pt>
                <c:pt idx="393">
                  <c:v>3.4649999999999999</c:v>
                </c:pt>
                <c:pt idx="394">
                  <c:v>3.5060000000000002</c:v>
                </c:pt>
                <c:pt idx="395">
                  <c:v>3.508</c:v>
                </c:pt>
                <c:pt idx="396">
                  <c:v>3.5179999999999998</c:v>
                </c:pt>
                <c:pt idx="397">
                  <c:v>3.52</c:v>
                </c:pt>
                <c:pt idx="398">
                  <c:v>3.52</c:v>
                </c:pt>
                <c:pt idx="399">
                  <c:v>3.524</c:v>
                </c:pt>
                <c:pt idx="400">
                  <c:v>3.5209999999999999</c:v>
                </c:pt>
                <c:pt idx="401">
                  <c:v>3.52</c:v>
                </c:pt>
                <c:pt idx="402">
                  <c:v>3.5169999999999999</c:v>
                </c:pt>
                <c:pt idx="403">
                  <c:v>3.5169999999999999</c:v>
                </c:pt>
                <c:pt idx="404">
                  <c:v>3.5350000000000001</c:v>
                </c:pt>
                <c:pt idx="405">
                  <c:v>3.5659999999999998</c:v>
                </c:pt>
                <c:pt idx="406">
                  <c:v>3.5369999999999999</c:v>
                </c:pt>
                <c:pt idx="407">
                  <c:v>3.556</c:v>
                </c:pt>
                <c:pt idx="408">
                  <c:v>3.569</c:v>
                </c:pt>
                <c:pt idx="409">
                  <c:v>3.5670000000000002</c:v>
                </c:pt>
                <c:pt idx="410">
                  <c:v>3.5569999999999999</c:v>
                </c:pt>
                <c:pt idx="411">
                  <c:v>3.621</c:v>
                </c:pt>
                <c:pt idx="412">
                  <c:v>3.625</c:v>
                </c:pt>
                <c:pt idx="413">
                  <c:v>3.66</c:v>
                </c:pt>
                <c:pt idx="414">
                  <c:v>3.6930000000000001</c:v>
                </c:pt>
                <c:pt idx="415">
                  <c:v>3.726</c:v>
                </c:pt>
                <c:pt idx="416">
                  <c:v>3.7189999999999999</c:v>
                </c:pt>
                <c:pt idx="417">
                  <c:v>3.722</c:v>
                </c:pt>
                <c:pt idx="418">
                  <c:v>3.7199999999999998</c:v>
                </c:pt>
                <c:pt idx="419">
                  <c:v>3.7509999999999999</c:v>
                </c:pt>
                <c:pt idx="420">
                  <c:v>3.7170000000000001</c:v>
                </c:pt>
                <c:pt idx="421">
                  <c:v>3.7229999999999999</c:v>
                </c:pt>
                <c:pt idx="422">
                  <c:v>3.7410000000000001</c:v>
                </c:pt>
                <c:pt idx="423">
                  <c:v>3.7269999999999999</c:v>
                </c:pt>
                <c:pt idx="424">
                  <c:v>3.7629999999999999</c:v>
                </c:pt>
                <c:pt idx="425">
                  <c:v>3.7669999999999999</c:v>
                </c:pt>
                <c:pt idx="426">
                  <c:v>3.7359999999999998</c:v>
                </c:pt>
                <c:pt idx="427">
                  <c:v>3.7410000000000001</c:v>
                </c:pt>
                <c:pt idx="428">
                  <c:v>3.7570000000000001</c:v>
                </c:pt>
                <c:pt idx="429">
                  <c:v>3.8069999999999999</c:v>
                </c:pt>
                <c:pt idx="430">
                  <c:v>3.8069999999999999</c:v>
                </c:pt>
                <c:pt idx="431">
                  <c:v>3.823</c:v>
                </c:pt>
                <c:pt idx="432">
                  <c:v>3.8140000000000001</c:v>
                </c:pt>
                <c:pt idx="433">
                  <c:v>3.823</c:v>
                </c:pt>
                <c:pt idx="434">
                  <c:v>3.7909999999999999</c:v>
                </c:pt>
                <c:pt idx="435">
                  <c:v>3.7810000000000001</c:v>
                </c:pt>
                <c:pt idx="436">
                  <c:v>3.7919999999999998</c:v>
                </c:pt>
                <c:pt idx="437">
                  <c:v>3.7960000000000003</c:v>
                </c:pt>
                <c:pt idx="438">
                  <c:v>3.7720000000000002</c:v>
                </c:pt>
                <c:pt idx="439">
                  <c:v>3.7850000000000001</c:v>
                </c:pt>
                <c:pt idx="440">
                  <c:v>3.7789999999999999</c:v>
                </c:pt>
                <c:pt idx="441">
                  <c:v>3.7930000000000001</c:v>
                </c:pt>
                <c:pt idx="442">
                  <c:v>3.7530000000000001</c:v>
                </c:pt>
                <c:pt idx="443">
                  <c:v>3.7080000000000002</c:v>
                </c:pt>
                <c:pt idx="444">
                  <c:v>3.657</c:v>
                </c:pt>
                <c:pt idx="445">
                  <c:v>3.6749999999999998</c:v>
                </c:pt>
                <c:pt idx="446">
                  <c:v>3.7149999999999999</c:v>
                </c:pt>
                <c:pt idx="447">
                  <c:v>3.6890000000000001</c:v>
                </c:pt>
                <c:pt idx="448">
                  <c:v>3.706</c:v>
                </c:pt>
                <c:pt idx="449">
                  <c:v>3.798</c:v>
                </c:pt>
                <c:pt idx="450">
                  <c:v>3.823</c:v>
                </c:pt>
                <c:pt idx="451">
                  <c:v>3.8660000000000001</c:v>
                </c:pt>
                <c:pt idx="452">
                  <c:v>3.9409999999999998</c:v>
                </c:pt>
                <c:pt idx="453">
                  <c:v>3.9430000000000001</c:v>
                </c:pt>
                <c:pt idx="454">
                  <c:v>3.9779999999999998</c:v>
                </c:pt>
                <c:pt idx="455">
                  <c:v>3.9969999999999999</c:v>
                </c:pt>
                <c:pt idx="456">
                  <c:v>3.992</c:v>
                </c:pt>
                <c:pt idx="457">
                  <c:v>4.0069999999999997</c:v>
                </c:pt>
                <c:pt idx="458">
                  <c:v>4.0359999999999996</c:v>
                </c:pt>
                <c:pt idx="459">
                  <c:v>4.0460000000000003</c:v>
                </c:pt>
                <c:pt idx="460">
                  <c:v>4.0430000000000001</c:v>
                </c:pt>
                <c:pt idx="461">
                  <c:v>4.0730000000000004</c:v>
                </c:pt>
                <c:pt idx="462">
                  <c:v>4.0579999999999998</c:v>
                </c:pt>
                <c:pt idx="463">
                  <c:v>4.0640000000000001</c:v>
                </c:pt>
                <c:pt idx="464">
                  <c:v>4.0659999999999998</c:v>
                </c:pt>
                <c:pt idx="465">
                  <c:v>4.077</c:v>
                </c:pt>
                <c:pt idx="466">
                  <c:v>4.0659999999999998</c:v>
                </c:pt>
                <c:pt idx="467">
                  <c:v>4.0869999999999997</c:v>
                </c:pt>
                <c:pt idx="468">
                  <c:v>4.0979999999999999</c:v>
                </c:pt>
                <c:pt idx="469">
                  <c:v>4.1319999999999997</c:v>
                </c:pt>
                <c:pt idx="470">
                  <c:v>4.1749999999999998</c:v>
                </c:pt>
                <c:pt idx="471">
                  <c:v>4.1399999999999997</c:v>
                </c:pt>
                <c:pt idx="472">
                  <c:v>4.1619999999999999</c:v>
                </c:pt>
                <c:pt idx="473">
                  <c:v>4.2030000000000003</c:v>
                </c:pt>
                <c:pt idx="474">
                  <c:v>4.2169999999999996</c:v>
                </c:pt>
                <c:pt idx="475">
                  <c:v>4.2050000000000001</c:v>
                </c:pt>
                <c:pt idx="476">
                  <c:v>4.2279999999999998</c:v>
                </c:pt>
                <c:pt idx="477">
                  <c:v>4.234</c:v>
                </c:pt>
                <c:pt idx="478">
                  <c:v>4.3090000000000002</c:v>
                </c:pt>
                <c:pt idx="479">
                  <c:v>4.266</c:v>
                </c:pt>
                <c:pt idx="480">
                  <c:v>4.335</c:v>
                </c:pt>
                <c:pt idx="481">
                  <c:v>4.3440000000000003</c:v>
                </c:pt>
                <c:pt idx="482">
                  <c:v>4.3469999999999995</c:v>
                </c:pt>
                <c:pt idx="483">
                  <c:v>4.3600000000000003</c:v>
                </c:pt>
                <c:pt idx="484">
                  <c:v>4.3760000000000003</c:v>
                </c:pt>
                <c:pt idx="485">
                  <c:v>4.4139999999999997</c:v>
                </c:pt>
                <c:pt idx="486">
                  <c:v>4.444</c:v>
                </c:pt>
                <c:pt idx="487">
                  <c:v>4.4180000000000001</c:v>
                </c:pt>
                <c:pt idx="488">
                  <c:v>4.4219999999999997</c:v>
                </c:pt>
                <c:pt idx="489">
                  <c:v>4.4560000000000004</c:v>
                </c:pt>
                <c:pt idx="490">
                  <c:v>4.4619999999999997</c:v>
                </c:pt>
                <c:pt idx="491">
                  <c:v>4.4779999999999998</c:v>
                </c:pt>
                <c:pt idx="492">
                  <c:v>4.4470000000000001</c:v>
                </c:pt>
                <c:pt idx="493">
                  <c:v>4.4509999999999996</c:v>
                </c:pt>
                <c:pt idx="494">
                  <c:v>4.4630000000000001</c:v>
                </c:pt>
                <c:pt idx="495">
                  <c:v>4.4379999999999997</c:v>
                </c:pt>
                <c:pt idx="496">
                  <c:v>4.4379999999999997</c:v>
                </c:pt>
                <c:pt idx="497">
                  <c:v>4.4409999999999998</c:v>
                </c:pt>
                <c:pt idx="498">
                  <c:v>4.4260000000000002</c:v>
                </c:pt>
                <c:pt idx="499">
                  <c:v>4.3840000000000003</c:v>
                </c:pt>
                <c:pt idx="500">
                  <c:v>4.3840000000000003</c:v>
                </c:pt>
                <c:pt idx="501">
                  <c:v>4.3550000000000004</c:v>
                </c:pt>
                <c:pt idx="502">
                  <c:v>4.3559999999999999</c:v>
                </c:pt>
                <c:pt idx="503">
                  <c:v>4.3659999999999997</c:v>
                </c:pt>
                <c:pt idx="504">
                  <c:v>4.3390000000000004</c:v>
                </c:pt>
                <c:pt idx="505">
                  <c:v>4.3490000000000002</c:v>
                </c:pt>
                <c:pt idx="506">
                  <c:v>4.3179999999999996</c:v>
                </c:pt>
                <c:pt idx="507">
                  <c:v>4.3150000000000004</c:v>
                </c:pt>
                <c:pt idx="508">
                  <c:v>4.3209999999999997</c:v>
                </c:pt>
                <c:pt idx="509">
                  <c:v>4.3150000000000004</c:v>
                </c:pt>
                <c:pt idx="510">
                  <c:v>4.2949999999999999</c:v>
                </c:pt>
                <c:pt idx="511">
                  <c:v>4.2839999999999998</c:v>
                </c:pt>
                <c:pt idx="512">
                  <c:v>4.2350000000000003</c:v>
                </c:pt>
                <c:pt idx="513">
                  <c:v>4.24</c:v>
                </c:pt>
                <c:pt idx="514">
                  <c:v>4.2240000000000002</c:v>
                </c:pt>
                <c:pt idx="515">
                  <c:v>4.2149999999999999</c:v>
                </c:pt>
                <c:pt idx="516">
                  <c:v>4.18</c:v>
                </c:pt>
                <c:pt idx="517">
                  <c:v>4.1779999999999999</c:v>
                </c:pt>
                <c:pt idx="518">
                  <c:v>4.1630000000000003</c:v>
                </c:pt>
                <c:pt idx="519">
                  <c:v>4.141</c:v>
                </c:pt>
                <c:pt idx="520">
                  <c:v>4.1470000000000002</c:v>
                </c:pt>
                <c:pt idx="521">
                  <c:v>4.1520000000000001</c:v>
                </c:pt>
                <c:pt idx="522">
                  <c:v>4.1180000000000003</c:v>
                </c:pt>
                <c:pt idx="523">
                  <c:v>4.1180000000000003</c:v>
                </c:pt>
                <c:pt idx="524">
                  <c:v>4.09</c:v>
                </c:pt>
                <c:pt idx="525">
                  <c:v>4.0659999999999998</c:v>
                </c:pt>
                <c:pt idx="526">
                  <c:v>4.0890000000000004</c:v>
                </c:pt>
                <c:pt idx="527">
                  <c:v>4.08</c:v>
                </c:pt>
                <c:pt idx="528">
                  <c:v>4.0670000000000002</c:v>
                </c:pt>
                <c:pt idx="529">
                  <c:v>4.0579999999999998</c:v>
                </c:pt>
                <c:pt idx="530">
                  <c:v>4.0439999999999996</c:v>
                </c:pt>
                <c:pt idx="531">
                  <c:v>4.01</c:v>
                </c:pt>
                <c:pt idx="532">
                  <c:v>4.0179999999999998</c:v>
                </c:pt>
                <c:pt idx="533">
                  <c:v>4.0149999999999997</c:v>
                </c:pt>
                <c:pt idx="534">
                  <c:v>4.0259999999999998</c:v>
                </c:pt>
                <c:pt idx="535">
                  <c:v>4.0199999999999996</c:v>
                </c:pt>
                <c:pt idx="536">
                  <c:v>4.0579999999999998</c:v>
                </c:pt>
                <c:pt idx="537">
                  <c:v>4.0759999999999996</c:v>
                </c:pt>
                <c:pt idx="538">
                  <c:v>4.07</c:v>
                </c:pt>
                <c:pt idx="539">
                  <c:v>4.0739999999999998</c:v>
                </c:pt>
                <c:pt idx="540">
                  <c:v>4.0780000000000003</c:v>
                </c:pt>
                <c:pt idx="541">
                  <c:v>4.08</c:v>
                </c:pt>
                <c:pt idx="542">
                  <c:v>4.0629999999999997</c:v>
                </c:pt>
                <c:pt idx="543">
                  <c:v>4.0469999999999997</c:v>
                </c:pt>
                <c:pt idx="544">
                  <c:v>4.0709999999999997</c:v>
                </c:pt>
                <c:pt idx="545">
                  <c:v>4.07</c:v>
                </c:pt>
                <c:pt idx="546">
                  <c:v>4.0709999999999997</c:v>
                </c:pt>
                <c:pt idx="547">
                  <c:v>4.0869999999999997</c:v>
                </c:pt>
                <c:pt idx="548">
                  <c:v>4.0679999999999996</c:v>
                </c:pt>
                <c:pt idx="549">
                  <c:v>4.0579999999999998</c:v>
                </c:pt>
                <c:pt idx="550">
                  <c:v>4.0460000000000003</c:v>
                </c:pt>
                <c:pt idx="551">
                  <c:v>4.0910000000000002</c:v>
                </c:pt>
                <c:pt idx="552">
                  <c:v>4.0919999999999996</c:v>
                </c:pt>
                <c:pt idx="553">
                  <c:v>4.0880000000000001</c:v>
                </c:pt>
                <c:pt idx="554">
                  <c:v>4.1139999999999999</c:v>
                </c:pt>
                <c:pt idx="555">
                  <c:v>4.1159999999999997</c:v>
                </c:pt>
                <c:pt idx="556">
                  <c:v>4.0910000000000002</c:v>
                </c:pt>
                <c:pt idx="557">
                  <c:v>4.1219999999999999</c:v>
                </c:pt>
                <c:pt idx="558">
                  <c:v>4.1740000000000004</c:v>
                </c:pt>
                <c:pt idx="559">
                  <c:v>4.1310000000000002</c:v>
                </c:pt>
                <c:pt idx="560">
                  <c:v>4.101</c:v>
                </c:pt>
                <c:pt idx="561">
                  <c:v>4.1429999999999998</c:v>
                </c:pt>
                <c:pt idx="562">
                  <c:v>4.1509999999999998</c:v>
                </c:pt>
                <c:pt idx="563">
                  <c:v>4.1349999999999998</c:v>
                </c:pt>
                <c:pt idx="564">
                  <c:v>4.0949999999999998</c:v>
                </c:pt>
                <c:pt idx="565">
                  <c:v>4.1440000000000001</c:v>
                </c:pt>
                <c:pt idx="566">
                  <c:v>4.133</c:v>
                </c:pt>
                <c:pt idx="567">
                  <c:v>4.1429999999999998</c:v>
                </c:pt>
                <c:pt idx="568">
                  <c:v>4.1379999999999999</c:v>
                </c:pt>
                <c:pt idx="569">
                  <c:v>4.0590000000000002</c:v>
                </c:pt>
                <c:pt idx="570">
                  <c:v>4.0730000000000004</c:v>
                </c:pt>
                <c:pt idx="571">
                  <c:v>4.069</c:v>
                </c:pt>
                <c:pt idx="572">
                  <c:v>4.0629999999999997</c:v>
                </c:pt>
                <c:pt idx="573">
                  <c:v>4.0430000000000001</c:v>
                </c:pt>
                <c:pt idx="574">
                  <c:v>4.0229999999999997</c:v>
                </c:pt>
                <c:pt idx="575">
                  <c:v>4.032</c:v>
                </c:pt>
                <c:pt idx="576">
                  <c:v>4.03</c:v>
                </c:pt>
                <c:pt idx="577">
                  <c:v>3.9939999999999998</c:v>
                </c:pt>
                <c:pt idx="578">
                  <c:v>4.0049999999999999</c:v>
                </c:pt>
                <c:pt idx="579">
                  <c:v>4.016</c:v>
                </c:pt>
                <c:pt idx="580">
                  <c:v>4.0110000000000001</c:v>
                </c:pt>
                <c:pt idx="581">
                  <c:v>4.0229999999999997</c:v>
                </c:pt>
                <c:pt idx="582">
                  <c:v>4.0149999999999997</c:v>
                </c:pt>
                <c:pt idx="583">
                  <c:v>4.0140000000000002</c:v>
                </c:pt>
                <c:pt idx="584">
                  <c:v>4.0060000000000002</c:v>
                </c:pt>
                <c:pt idx="585">
                  <c:v>4.0019999999999998</c:v>
                </c:pt>
                <c:pt idx="586">
                  <c:v>4.0030000000000001</c:v>
                </c:pt>
                <c:pt idx="587">
                  <c:v>4.0149999999999997</c:v>
                </c:pt>
                <c:pt idx="588">
                  <c:v>4.0119999999999996</c:v>
                </c:pt>
                <c:pt idx="589">
                  <c:v>4.0110000000000001</c:v>
                </c:pt>
                <c:pt idx="590">
                  <c:v>4.0179999999999998</c:v>
                </c:pt>
                <c:pt idx="591">
                  <c:v>4.0209999999999999</c:v>
                </c:pt>
                <c:pt idx="592">
                  <c:v>4.0419999999999998</c:v>
                </c:pt>
                <c:pt idx="593">
                  <c:v>4.0590000000000002</c:v>
                </c:pt>
                <c:pt idx="594">
                  <c:v>4.0659999999999998</c:v>
                </c:pt>
                <c:pt idx="595">
                  <c:v>4.093</c:v>
                </c:pt>
                <c:pt idx="596">
                  <c:v>4.1269999999999998</c:v>
                </c:pt>
                <c:pt idx="597">
                  <c:v>4.1130000000000004</c:v>
                </c:pt>
                <c:pt idx="598">
                  <c:v>4.1559999999999997</c:v>
                </c:pt>
                <c:pt idx="599">
                  <c:v>4.13</c:v>
                </c:pt>
                <c:pt idx="600">
                  <c:v>4.1349999999999998</c:v>
                </c:pt>
                <c:pt idx="601">
                  <c:v>4.109</c:v>
                </c:pt>
              </c:numCache>
            </c:numRef>
          </c:val>
          <c:smooth val="0"/>
          <c:extLst>
            <c:ext xmlns:c16="http://schemas.microsoft.com/office/drawing/2014/chart" uri="{C3380CC4-5D6E-409C-BE32-E72D297353CC}">
              <c16:uniqueId val="{00000001-BC87-429F-B6E3-451B86B43E28}"/>
            </c:ext>
          </c:extLst>
        </c:ser>
        <c:dLbls>
          <c:showLegendKey val="0"/>
          <c:showVal val="0"/>
          <c:showCatName val="0"/>
          <c:showSerName val="0"/>
          <c:showPercent val="0"/>
          <c:showBubbleSize val="0"/>
        </c:dLbls>
        <c:marker val="1"/>
        <c:smooth val="0"/>
        <c:axId val="377175640"/>
        <c:axId val="377175248"/>
      </c:lineChart>
      <c:dateAx>
        <c:axId val="377174464"/>
        <c:scaling>
          <c:orientation val="minMax"/>
          <c:max val="44104"/>
          <c:min val="43708"/>
        </c:scaling>
        <c:delete val="0"/>
        <c:axPos val="b"/>
        <c:numFmt formatCode="dd\/mm\/yy" sourceLinked="0"/>
        <c:majorTickMark val="out"/>
        <c:minorTickMark val="none"/>
        <c:tickLblPos val="nextTo"/>
        <c:txPr>
          <a:bodyPr rot="-2700000"/>
          <a:lstStyle/>
          <a:p>
            <a:pPr>
              <a:defRPr sz="600"/>
            </a:pPr>
            <a:endParaRPr lang="en-US"/>
          </a:p>
        </c:txPr>
        <c:crossAx val="377174856"/>
        <c:crosses val="autoZero"/>
        <c:auto val="1"/>
        <c:lblOffset val="100"/>
        <c:baseTimeUnit val="days"/>
        <c:majorUnit val="1"/>
        <c:majorTimeUnit val="months"/>
      </c:dateAx>
      <c:valAx>
        <c:axId val="377174856"/>
        <c:scaling>
          <c:orientation val="minMax"/>
          <c:max val="121"/>
          <c:min val="96"/>
        </c:scaling>
        <c:delete val="0"/>
        <c:axPos val="l"/>
        <c:numFmt formatCode="#,##0\ [$$-409]" sourceLinked="0"/>
        <c:majorTickMark val="out"/>
        <c:minorTickMark val="none"/>
        <c:tickLblPos val="nextTo"/>
        <c:txPr>
          <a:bodyPr/>
          <a:lstStyle/>
          <a:p>
            <a:pPr>
              <a:defRPr sz="600"/>
            </a:pPr>
            <a:endParaRPr lang="en-US"/>
          </a:p>
        </c:txPr>
        <c:crossAx val="377174464"/>
        <c:crosses val="autoZero"/>
        <c:crossBetween val="between"/>
        <c:majorUnit val="2"/>
      </c:valAx>
      <c:valAx>
        <c:axId val="377175248"/>
        <c:scaling>
          <c:orientation val="minMax"/>
          <c:max val="7"/>
          <c:min val="0.8"/>
        </c:scaling>
        <c:delete val="0"/>
        <c:axPos val="r"/>
        <c:numFmt formatCode="#,##0.00" sourceLinked="0"/>
        <c:majorTickMark val="out"/>
        <c:minorTickMark val="none"/>
        <c:tickLblPos val="nextTo"/>
        <c:txPr>
          <a:bodyPr/>
          <a:lstStyle/>
          <a:p>
            <a:pPr>
              <a:defRPr sz="600"/>
            </a:pPr>
            <a:endParaRPr lang="en-US"/>
          </a:p>
        </c:txPr>
        <c:crossAx val="377175640"/>
        <c:crosses val="max"/>
        <c:crossBetween val="between"/>
        <c:majorUnit val="0.4"/>
      </c:valAx>
      <c:dateAx>
        <c:axId val="377175640"/>
        <c:scaling>
          <c:orientation val="minMax"/>
        </c:scaling>
        <c:delete val="1"/>
        <c:axPos val="b"/>
        <c:numFmt formatCode="dd\/mm\/yy" sourceLinked="1"/>
        <c:majorTickMark val="out"/>
        <c:minorTickMark val="none"/>
        <c:tickLblPos val="none"/>
        <c:crossAx val="377175248"/>
        <c:crosses val="autoZero"/>
        <c:auto val="1"/>
        <c:lblOffset val="100"/>
        <c:baseTimeUnit val="days"/>
      </c:dateAx>
    </c:plotArea>
    <c:legend>
      <c:legendPos val="r"/>
      <c:layout>
        <c:manualLayout>
          <c:xMode val="edge"/>
          <c:yMode val="edge"/>
          <c:x val="6.8305628463108767E-2"/>
          <c:y val="0.94025092592590431"/>
          <c:w val="0.90211723534558175"/>
          <c:h val="5.9446296296297024E-2"/>
        </c:manualLayout>
      </c:layout>
      <c:overlay val="0"/>
      <c:txPr>
        <a:bodyPr/>
        <a:lstStyle/>
        <a:p>
          <a:pPr>
            <a:defRPr sz="600"/>
          </a:pPr>
          <a:endParaRPr lang="en-US"/>
        </a:p>
      </c:txPr>
    </c:legend>
    <c:plotVisOnly val="1"/>
    <c:dispBlanksAs val="gap"/>
    <c:showDLblsOverMax val="0"/>
  </c:chart>
  <c:spPr>
    <a:ln>
      <a:noFill/>
    </a:ln>
  </c:spPr>
  <c:txPr>
    <a:bodyPr/>
    <a:lstStyle/>
    <a:p>
      <a:pPr>
        <a:defRPr sz="800">
          <a:latin typeface="+mn-lt"/>
          <a:cs typeface="Times New Roman" pitchFamily="18" charset="0"/>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50007290755323"/>
          <c:y val="5.7468752529281852E-2"/>
          <c:w val="0.7442898804316127"/>
          <c:h val="0.61017031461375693"/>
        </c:manualLayout>
      </c:layout>
      <c:areaChart>
        <c:grouping val="standard"/>
        <c:varyColors val="0"/>
        <c:ser>
          <c:idx val="0"/>
          <c:order val="0"/>
          <c:tx>
            <c:strRef>
              <c:f>'[Copy of Hartije od vrednosti na medjunarodnom trzistu SAJT.xlsx]EUROBOND 2029 offline'!$B$4</c:f>
              <c:strCache>
                <c:ptCount val="1"/>
                <c:pt idx="0">
                  <c:v>Цена на затварању</c:v>
                </c:pt>
              </c:strCache>
            </c:strRef>
          </c:tx>
          <c:spPr>
            <a:solidFill>
              <a:schemeClr val="accent1">
                <a:lumMod val="75000"/>
              </a:schemeClr>
            </a:solidFill>
            <a:ln w="25400">
              <a:noFill/>
            </a:ln>
          </c:spPr>
          <c:cat>
            <c:numRef>
              <c:f>'[Copy of Hartije od vrednosti na medjunarodnom trzistu SAJT.xlsx]EUROBOND 2029 offline'!$A$6:$A$333</c:f>
              <c:numCache>
                <c:formatCode>dd\/mm\/yy</c:formatCode>
                <c:ptCount val="328"/>
                <c:pt idx="0">
                  <c:v>44104</c:v>
                </c:pt>
                <c:pt idx="1">
                  <c:v>44103</c:v>
                </c:pt>
                <c:pt idx="2">
                  <c:v>44102</c:v>
                </c:pt>
                <c:pt idx="3">
                  <c:v>44099</c:v>
                </c:pt>
                <c:pt idx="4">
                  <c:v>44098</c:v>
                </c:pt>
                <c:pt idx="5">
                  <c:v>44097</c:v>
                </c:pt>
                <c:pt idx="6">
                  <c:v>44096</c:v>
                </c:pt>
                <c:pt idx="7">
                  <c:v>44095</c:v>
                </c:pt>
                <c:pt idx="8">
                  <c:v>44092</c:v>
                </c:pt>
                <c:pt idx="9">
                  <c:v>44091</c:v>
                </c:pt>
                <c:pt idx="10">
                  <c:v>44090</c:v>
                </c:pt>
                <c:pt idx="11">
                  <c:v>44089</c:v>
                </c:pt>
                <c:pt idx="12">
                  <c:v>44088</c:v>
                </c:pt>
                <c:pt idx="13">
                  <c:v>44085</c:v>
                </c:pt>
                <c:pt idx="14">
                  <c:v>44084</c:v>
                </c:pt>
                <c:pt idx="15">
                  <c:v>44083</c:v>
                </c:pt>
                <c:pt idx="16">
                  <c:v>44082</c:v>
                </c:pt>
                <c:pt idx="17">
                  <c:v>44081</c:v>
                </c:pt>
                <c:pt idx="18">
                  <c:v>44078</c:v>
                </c:pt>
                <c:pt idx="19">
                  <c:v>44077</c:v>
                </c:pt>
                <c:pt idx="20">
                  <c:v>44076</c:v>
                </c:pt>
                <c:pt idx="21">
                  <c:v>44075</c:v>
                </c:pt>
                <c:pt idx="22">
                  <c:v>44074</c:v>
                </c:pt>
                <c:pt idx="23">
                  <c:v>44071</c:v>
                </c:pt>
                <c:pt idx="24">
                  <c:v>44070</c:v>
                </c:pt>
                <c:pt idx="25">
                  <c:v>44069</c:v>
                </c:pt>
                <c:pt idx="26">
                  <c:v>44068</c:v>
                </c:pt>
                <c:pt idx="27">
                  <c:v>44067</c:v>
                </c:pt>
                <c:pt idx="28">
                  <c:v>44064</c:v>
                </c:pt>
                <c:pt idx="29">
                  <c:v>44063</c:v>
                </c:pt>
                <c:pt idx="30">
                  <c:v>44062</c:v>
                </c:pt>
                <c:pt idx="31">
                  <c:v>44061</c:v>
                </c:pt>
                <c:pt idx="32">
                  <c:v>44060</c:v>
                </c:pt>
                <c:pt idx="33">
                  <c:v>44057</c:v>
                </c:pt>
                <c:pt idx="34">
                  <c:v>44056</c:v>
                </c:pt>
                <c:pt idx="35">
                  <c:v>44055</c:v>
                </c:pt>
                <c:pt idx="36">
                  <c:v>44054</c:v>
                </c:pt>
                <c:pt idx="37">
                  <c:v>44053</c:v>
                </c:pt>
                <c:pt idx="38">
                  <c:v>44050</c:v>
                </c:pt>
                <c:pt idx="39">
                  <c:v>44049</c:v>
                </c:pt>
                <c:pt idx="40">
                  <c:v>44048</c:v>
                </c:pt>
                <c:pt idx="41">
                  <c:v>44047</c:v>
                </c:pt>
                <c:pt idx="42">
                  <c:v>44046</c:v>
                </c:pt>
                <c:pt idx="43">
                  <c:v>44043</c:v>
                </c:pt>
                <c:pt idx="44">
                  <c:v>44042</c:v>
                </c:pt>
                <c:pt idx="45">
                  <c:v>44041</c:v>
                </c:pt>
                <c:pt idx="46">
                  <c:v>44040</c:v>
                </c:pt>
                <c:pt idx="47">
                  <c:v>44039</c:v>
                </c:pt>
                <c:pt idx="48">
                  <c:v>44036</c:v>
                </c:pt>
                <c:pt idx="49">
                  <c:v>44035</c:v>
                </c:pt>
                <c:pt idx="50">
                  <c:v>44034</c:v>
                </c:pt>
                <c:pt idx="51">
                  <c:v>44033</c:v>
                </c:pt>
                <c:pt idx="52">
                  <c:v>44032</c:v>
                </c:pt>
                <c:pt idx="53">
                  <c:v>44029</c:v>
                </c:pt>
                <c:pt idx="54">
                  <c:v>44028</c:v>
                </c:pt>
                <c:pt idx="55">
                  <c:v>44027</c:v>
                </c:pt>
                <c:pt idx="56">
                  <c:v>44026</c:v>
                </c:pt>
                <c:pt idx="57">
                  <c:v>44025</c:v>
                </c:pt>
                <c:pt idx="58">
                  <c:v>44022</c:v>
                </c:pt>
                <c:pt idx="59">
                  <c:v>44021</c:v>
                </c:pt>
                <c:pt idx="60">
                  <c:v>44020</c:v>
                </c:pt>
                <c:pt idx="61">
                  <c:v>44019</c:v>
                </c:pt>
                <c:pt idx="62">
                  <c:v>44018</c:v>
                </c:pt>
                <c:pt idx="63">
                  <c:v>44015</c:v>
                </c:pt>
                <c:pt idx="64">
                  <c:v>44014</c:v>
                </c:pt>
                <c:pt idx="65">
                  <c:v>44013</c:v>
                </c:pt>
                <c:pt idx="66">
                  <c:v>44012</c:v>
                </c:pt>
                <c:pt idx="67">
                  <c:v>44011</c:v>
                </c:pt>
                <c:pt idx="68">
                  <c:v>44008</c:v>
                </c:pt>
                <c:pt idx="69">
                  <c:v>44007</c:v>
                </c:pt>
                <c:pt idx="70">
                  <c:v>44006</c:v>
                </c:pt>
                <c:pt idx="71">
                  <c:v>44005</c:v>
                </c:pt>
                <c:pt idx="72">
                  <c:v>44004</c:v>
                </c:pt>
                <c:pt idx="73">
                  <c:v>44001</c:v>
                </c:pt>
                <c:pt idx="74">
                  <c:v>44000</c:v>
                </c:pt>
                <c:pt idx="75">
                  <c:v>43999</c:v>
                </c:pt>
                <c:pt idx="76">
                  <c:v>43998</c:v>
                </c:pt>
                <c:pt idx="77">
                  <c:v>43997</c:v>
                </c:pt>
                <c:pt idx="78">
                  <c:v>43994</c:v>
                </c:pt>
                <c:pt idx="79">
                  <c:v>43993</c:v>
                </c:pt>
                <c:pt idx="80">
                  <c:v>43992</c:v>
                </c:pt>
                <c:pt idx="81">
                  <c:v>43991</c:v>
                </c:pt>
                <c:pt idx="82">
                  <c:v>43990</c:v>
                </c:pt>
                <c:pt idx="83">
                  <c:v>43987</c:v>
                </c:pt>
                <c:pt idx="84">
                  <c:v>43986</c:v>
                </c:pt>
                <c:pt idx="85">
                  <c:v>43985</c:v>
                </c:pt>
                <c:pt idx="86">
                  <c:v>43984</c:v>
                </c:pt>
                <c:pt idx="87">
                  <c:v>43983</c:v>
                </c:pt>
                <c:pt idx="88">
                  <c:v>43980</c:v>
                </c:pt>
                <c:pt idx="89">
                  <c:v>43979</c:v>
                </c:pt>
                <c:pt idx="90">
                  <c:v>43978</c:v>
                </c:pt>
                <c:pt idx="91">
                  <c:v>43977</c:v>
                </c:pt>
                <c:pt idx="92">
                  <c:v>43976</c:v>
                </c:pt>
                <c:pt idx="93">
                  <c:v>43973</c:v>
                </c:pt>
                <c:pt idx="94">
                  <c:v>43972</c:v>
                </c:pt>
                <c:pt idx="95">
                  <c:v>43971</c:v>
                </c:pt>
                <c:pt idx="96">
                  <c:v>43970</c:v>
                </c:pt>
                <c:pt idx="97">
                  <c:v>43969</c:v>
                </c:pt>
                <c:pt idx="98">
                  <c:v>43966</c:v>
                </c:pt>
                <c:pt idx="99">
                  <c:v>43965</c:v>
                </c:pt>
                <c:pt idx="100">
                  <c:v>43964</c:v>
                </c:pt>
                <c:pt idx="101">
                  <c:v>43963</c:v>
                </c:pt>
                <c:pt idx="102">
                  <c:v>43962</c:v>
                </c:pt>
                <c:pt idx="103">
                  <c:v>43959</c:v>
                </c:pt>
                <c:pt idx="104">
                  <c:v>43958</c:v>
                </c:pt>
                <c:pt idx="105">
                  <c:v>43957</c:v>
                </c:pt>
                <c:pt idx="106">
                  <c:v>43956</c:v>
                </c:pt>
                <c:pt idx="107">
                  <c:v>43955</c:v>
                </c:pt>
                <c:pt idx="108">
                  <c:v>43951</c:v>
                </c:pt>
                <c:pt idx="109">
                  <c:v>43950</c:v>
                </c:pt>
                <c:pt idx="110">
                  <c:v>43949</c:v>
                </c:pt>
                <c:pt idx="111">
                  <c:v>43948</c:v>
                </c:pt>
                <c:pt idx="112">
                  <c:v>43945</c:v>
                </c:pt>
                <c:pt idx="113">
                  <c:v>43944</c:v>
                </c:pt>
                <c:pt idx="114">
                  <c:v>43943</c:v>
                </c:pt>
                <c:pt idx="115">
                  <c:v>43942</c:v>
                </c:pt>
                <c:pt idx="116">
                  <c:v>43941</c:v>
                </c:pt>
                <c:pt idx="117">
                  <c:v>43938</c:v>
                </c:pt>
                <c:pt idx="118">
                  <c:v>43937</c:v>
                </c:pt>
                <c:pt idx="119">
                  <c:v>43936</c:v>
                </c:pt>
                <c:pt idx="120">
                  <c:v>43935</c:v>
                </c:pt>
                <c:pt idx="121">
                  <c:v>43930</c:v>
                </c:pt>
                <c:pt idx="122">
                  <c:v>43929</c:v>
                </c:pt>
                <c:pt idx="123">
                  <c:v>43928</c:v>
                </c:pt>
                <c:pt idx="124">
                  <c:v>43927</c:v>
                </c:pt>
                <c:pt idx="125">
                  <c:v>43924</c:v>
                </c:pt>
                <c:pt idx="126">
                  <c:v>43923</c:v>
                </c:pt>
                <c:pt idx="127">
                  <c:v>43922</c:v>
                </c:pt>
                <c:pt idx="128">
                  <c:v>43921</c:v>
                </c:pt>
                <c:pt idx="129">
                  <c:v>43920</c:v>
                </c:pt>
                <c:pt idx="130">
                  <c:v>43917</c:v>
                </c:pt>
                <c:pt idx="131">
                  <c:v>43916</c:v>
                </c:pt>
                <c:pt idx="132">
                  <c:v>43915</c:v>
                </c:pt>
                <c:pt idx="133">
                  <c:v>43914</c:v>
                </c:pt>
                <c:pt idx="134">
                  <c:v>43913</c:v>
                </c:pt>
                <c:pt idx="135">
                  <c:v>43910</c:v>
                </c:pt>
                <c:pt idx="136">
                  <c:v>43909</c:v>
                </c:pt>
                <c:pt idx="137">
                  <c:v>43908</c:v>
                </c:pt>
                <c:pt idx="138">
                  <c:v>43907</c:v>
                </c:pt>
                <c:pt idx="139">
                  <c:v>43906</c:v>
                </c:pt>
                <c:pt idx="140">
                  <c:v>43903</c:v>
                </c:pt>
                <c:pt idx="141">
                  <c:v>43902</c:v>
                </c:pt>
                <c:pt idx="142">
                  <c:v>43901</c:v>
                </c:pt>
                <c:pt idx="143">
                  <c:v>43900</c:v>
                </c:pt>
                <c:pt idx="144">
                  <c:v>43899</c:v>
                </c:pt>
                <c:pt idx="145">
                  <c:v>43896</c:v>
                </c:pt>
                <c:pt idx="146">
                  <c:v>43895</c:v>
                </c:pt>
                <c:pt idx="147">
                  <c:v>43894</c:v>
                </c:pt>
                <c:pt idx="148">
                  <c:v>43893</c:v>
                </c:pt>
                <c:pt idx="149">
                  <c:v>43892</c:v>
                </c:pt>
                <c:pt idx="150">
                  <c:v>43889</c:v>
                </c:pt>
                <c:pt idx="151">
                  <c:v>43888</c:v>
                </c:pt>
                <c:pt idx="152">
                  <c:v>43887</c:v>
                </c:pt>
                <c:pt idx="153">
                  <c:v>43886</c:v>
                </c:pt>
                <c:pt idx="154">
                  <c:v>43885</c:v>
                </c:pt>
                <c:pt idx="155">
                  <c:v>43882</c:v>
                </c:pt>
                <c:pt idx="156">
                  <c:v>43881</c:v>
                </c:pt>
                <c:pt idx="157">
                  <c:v>43880</c:v>
                </c:pt>
                <c:pt idx="158">
                  <c:v>43879</c:v>
                </c:pt>
                <c:pt idx="159">
                  <c:v>43878</c:v>
                </c:pt>
                <c:pt idx="160">
                  <c:v>43875</c:v>
                </c:pt>
                <c:pt idx="161">
                  <c:v>43874</c:v>
                </c:pt>
                <c:pt idx="162">
                  <c:v>43873</c:v>
                </c:pt>
                <c:pt idx="163">
                  <c:v>43872</c:v>
                </c:pt>
                <c:pt idx="164">
                  <c:v>43871</c:v>
                </c:pt>
                <c:pt idx="165">
                  <c:v>43868</c:v>
                </c:pt>
                <c:pt idx="166">
                  <c:v>43867</c:v>
                </c:pt>
                <c:pt idx="167">
                  <c:v>43866</c:v>
                </c:pt>
                <c:pt idx="168">
                  <c:v>43865</c:v>
                </c:pt>
                <c:pt idx="169">
                  <c:v>43864</c:v>
                </c:pt>
                <c:pt idx="170">
                  <c:v>43861</c:v>
                </c:pt>
                <c:pt idx="171">
                  <c:v>43860</c:v>
                </c:pt>
                <c:pt idx="172">
                  <c:v>43859</c:v>
                </c:pt>
                <c:pt idx="173">
                  <c:v>43858</c:v>
                </c:pt>
                <c:pt idx="174">
                  <c:v>43857</c:v>
                </c:pt>
                <c:pt idx="175">
                  <c:v>43854</c:v>
                </c:pt>
                <c:pt idx="176">
                  <c:v>43853</c:v>
                </c:pt>
                <c:pt idx="177">
                  <c:v>43852</c:v>
                </c:pt>
                <c:pt idx="178">
                  <c:v>43851</c:v>
                </c:pt>
                <c:pt idx="179">
                  <c:v>43850</c:v>
                </c:pt>
                <c:pt idx="180">
                  <c:v>43847</c:v>
                </c:pt>
                <c:pt idx="181">
                  <c:v>43846</c:v>
                </c:pt>
                <c:pt idx="182">
                  <c:v>43845</c:v>
                </c:pt>
                <c:pt idx="183">
                  <c:v>43844</c:v>
                </c:pt>
                <c:pt idx="184">
                  <c:v>43843</c:v>
                </c:pt>
                <c:pt idx="185">
                  <c:v>43840</c:v>
                </c:pt>
                <c:pt idx="186">
                  <c:v>43839</c:v>
                </c:pt>
                <c:pt idx="187">
                  <c:v>43838</c:v>
                </c:pt>
                <c:pt idx="188">
                  <c:v>43837</c:v>
                </c:pt>
                <c:pt idx="189">
                  <c:v>43836</c:v>
                </c:pt>
                <c:pt idx="190">
                  <c:v>43833</c:v>
                </c:pt>
                <c:pt idx="191">
                  <c:v>43832</c:v>
                </c:pt>
                <c:pt idx="192">
                  <c:v>43830</c:v>
                </c:pt>
                <c:pt idx="193">
                  <c:v>43829</c:v>
                </c:pt>
                <c:pt idx="194">
                  <c:v>43826</c:v>
                </c:pt>
                <c:pt idx="195">
                  <c:v>43823</c:v>
                </c:pt>
                <c:pt idx="196">
                  <c:v>43822</c:v>
                </c:pt>
                <c:pt idx="197">
                  <c:v>43819</c:v>
                </c:pt>
                <c:pt idx="198">
                  <c:v>43818</c:v>
                </c:pt>
                <c:pt idx="199">
                  <c:v>43817</c:v>
                </c:pt>
                <c:pt idx="200">
                  <c:v>43816</c:v>
                </c:pt>
                <c:pt idx="201">
                  <c:v>43815</c:v>
                </c:pt>
                <c:pt idx="202">
                  <c:v>43812</c:v>
                </c:pt>
                <c:pt idx="203">
                  <c:v>43811</c:v>
                </c:pt>
                <c:pt idx="204">
                  <c:v>43810</c:v>
                </c:pt>
                <c:pt idx="205">
                  <c:v>43809</c:v>
                </c:pt>
                <c:pt idx="206">
                  <c:v>43808</c:v>
                </c:pt>
                <c:pt idx="207">
                  <c:v>43805</c:v>
                </c:pt>
                <c:pt idx="208">
                  <c:v>43804</c:v>
                </c:pt>
                <c:pt idx="209">
                  <c:v>43803</c:v>
                </c:pt>
                <c:pt idx="210">
                  <c:v>43802</c:v>
                </c:pt>
                <c:pt idx="211">
                  <c:v>43801</c:v>
                </c:pt>
                <c:pt idx="212">
                  <c:v>43798</c:v>
                </c:pt>
                <c:pt idx="213">
                  <c:v>43797</c:v>
                </c:pt>
                <c:pt idx="214">
                  <c:v>43796</c:v>
                </c:pt>
                <c:pt idx="215">
                  <c:v>43795</c:v>
                </c:pt>
                <c:pt idx="216">
                  <c:v>43794</c:v>
                </c:pt>
                <c:pt idx="217">
                  <c:v>43791</c:v>
                </c:pt>
                <c:pt idx="218">
                  <c:v>43790</c:v>
                </c:pt>
                <c:pt idx="219">
                  <c:v>43789</c:v>
                </c:pt>
                <c:pt idx="220">
                  <c:v>43788</c:v>
                </c:pt>
                <c:pt idx="221">
                  <c:v>43787</c:v>
                </c:pt>
                <c:pt idx="222">
                  <c:v>43784</c:v>
                </c:pt>
                <c:pt idx="223">
                  <c:v>43783</c:v>
                </c:pt>
                <c:pt idx="224">
                  <c:v>43782</c:v>
                </c:pt>
                <c:pt idx="225">
                  <c:v>43781</c:v>
                </c:pt>
                <c:pt idx="226">
                  <c:v>43780</c:v>
                </c:pt>
                <c:pt idx="227">
                  <c:v>43777</c:v>
                </c:pt>
                <c:pt idx="228">
                  <c:v>43776</c:v>
                </c:pt>
                <c:pt idx="229">
                  <c:v>43775</c:v>
                </c:pt>
                <c:pt idx="230">
                  <c:v>43774</c:v>
                </c:pt>
                <c:pt idx="231">
                  <c:v>43773</c:v>
                </c:pt>
                <c:pt idx="232">
                  <c:v>43770</c:v>
                </c:pt>
                <c:pt idx="233">
                  <c:v>43769</c:v>
                </c:pt>
                <c:pt idx="234">
                  <c:v>43768</c:v>
                </c:pt>
                <c:pt idx="235">
                  <c:v>43767</c:v>
                </c:pt>
                <c:pt idx="236">
                  <c:v>43766</c:v>
                </c:pt>
                <c:pt idx="237">
                  <c:v>43763</c:v>
                </c:pt>
                <c:pt idx="238">
                  <c:v>43762</c:v>
                </c:pt>
                <c:pt idx="239">
                  <c:v>43761</c:v>
                </c:pt>
                <c:pt idx="240">
                  <c:v>43760</c:v>
                </c:pt>
                <c:pt idx="241">
                  <c:v>43759</c:v>
                </c:pt>
                <c:pt idx="242">
                  <c:v>43756</c:v>
                </c:pt>
                <c:pt idx="243">
                  <c:v>43755</c:v>
                </c:pt>
                <c:pt idx="244">
                  <c:v>43754</c:v>
                </c:pt>
                <c:pt idx="245">
                  <c:v>43753</c:v>
                </c:pt>
                <c:pt idx="246">
                  <c:v>43752</c:v>
                </c:pt>
                <c:pt idx="247">
                  <c:v>43749</c:v>
                </c:pt>
                <c:pt idx="248">
                  <c:v>43748</c:v>
                </c:pt>
                <c:pt idx="249">
                  <c:v>43747</c:v>
                </c:pt>
                <c:pt idx="250">
                  <c:v>43746</c:v>
                </c:pt>
                <c:pt idx="251">
                  <c:v>43745</c:v>
                </c:pt>
                <c:pt idx="252">
                  <c:v>43742</c:v>
                </c:pt>
                <c:pt idx="253">
                  <c:v>43741</c:v>
                </c:pt>
                <c:pt idx="254">
                  <c:v>43740</c:v>
                </c:pt>
                <c:pt idx="255">
                  <c:v>43739</c:v>
                </c:pt>
                <c:pt idx="256">
                  <c:v>43738</c:v>
                </c:pt>
                <c:pt idx="257">
                  <c:v>43735</c:v>
                </c:pt>
                <c:pt idx="258">
                  <c:v>43734</c:v>
                </c:pt>
                <c:pt idx="259">
                  <c:v>43733</c:v>
                </c:pt>
                <c:pt idx="260">
                  <c:v>43732</c:v>
                </c:pt>
                <c:pt idx="261">
                  <c:v>43731</c:v>
                </c:pt>
                <c:pt idx="262">
                  <c:v>43728</c:v>
                </c:pt>
                <c:pt idx="263">
                  <c:v>43727</c:v>
                </c:pt>
                <c:pt idx="264">
                  <c:v>43726</c:v>
                </c:pt>
                <c:pt idx="265">
                  <c:v>43725</c:v>
                </c:pt>
                <c:pt idx="266">
                  <c:v>43724</c:v>
                </c:pt>
                <c:pt idx="267">
                  <c:v>43721</c:v>
                </c:pt>
                <c:pt idx="268">
                  <c:v>43720</c:v>
                </c:pt>
                <c:pt idx="269">
                  <c:v>43719</c:v>
                </c:pt>
                <c:pt idx="270">
                  <c:v>43718</c:v>
                </c:pt>
                <c:pt idx="271">
                  <c:v>43717</c:v>
                </c:pt>
                <c:pt idx="272">
                  <c:v>43714</c:v>
                </c:pt>
                <c:pt idx="273">
                  <c:v>43713</c:v>
                </c:pt>
                <c:pt idx="274">
                  <c:v>43712</c:v>
                </c:pt>
                <c:pt idx="275">
                  <c:v>43711</c:v>
                </c:pt>
                <c:pt idx="276">
                  <c:v>43710</c:v>
                </c:pt>
                <c:pt idx="277">
                  <c:v>43707</c:v>
                </c:pt>
                <c:pt idx="278">
                  <c:v>43706</c:v>
                </c:pt>
                <c:pt idx="279">
                  <c:v>43705</c:v>
                </c:pt>
                <c:pt idx="280">
                  <c:v>43704</c:v>
                </c:pt>
                <c:pt idx="281">
                  <c:v>43703</c:v>
                </c:pt>
                <c:pt idx="282">
                  <c:v>43700</c:v>
                </c:pt>
                <c:pt idx="283">
                  <c:v>43699</c:v>
                </c:pt>
                <c:pt idx="284">
                  <c:v>43698</c:v>
                </c:pt>
                <c:pt idx="285">
                  <c:v>43697</c:v>
                </c:pt>
                <c:pt idx="286">
                  <c:v>43696</c:v>
                </c:pt>
                <c:pt idx="287">
                  <c:v>43693</c:v>
                </c:pt>
                <c:pt idx="288">
                  <c:v>43692</c:v>
                </c:pt>
                <c:pt idx="289">
                  <c:v>43691</c:v>
                </c:pt>
                <c:pt idx="290">
                  <c:v>43690</c:v>
                </c:pt>
                <c:pt idx="291">
                  <c:v>43689</c:v>
                </c:pt>
                <c:pt idx="292">
                  <c:v>43686</c:v>
                </c:pt>
                <c:pt idx="293">
                  <c:v>43685</c:v>
                </c:pt>
                <c:pt idx="294">
                  <c:v>43684</c:v>
                </c:pt>
                <c:pt idx="295">
                  <c:v>43683</c:v>
                </c:pt>
                <c:pt idx="296">
                  <c:v>43682</c:v>
                </c:pt>
                <c:pt idx="297">
                  <c:v>43679</c:v>
                </c:pt>
                <c:pt idx="298">
                  <c:v>43678</c:v>
                </c:pt>
                <c:pt idx="299">
                  <c:v>43677</c:v>
                </c:pt>
                <c:pt idx="300">
                  <c:v>43676</c:v>
                </c:pt>
                <c:pt idx="301">
                  <c:v>43675</c:v>
                </c:pt>
                <c:pt idx="302">
                  <c:v>43672</c:v>
                </c:pt>
                <c:pt idx="303">
                  <c:v>43671</c:v>
                </c:pt>
                <c:pt idx="304">
                  <c:v>43670</c:v>
                </c:pt>
                <c:pt idx="305">
                  <c:v>43669</c:v>
                </c:pt>
                <c:pt idx="306">
                  <c:v>43668</c:v>
                </c:pt>
                <c:pt idx="307">
                  <c:v>43665</c:v>
                </c:pt>
                <c:pt idx="308">
                  <c:v>43664</c:v>
                </c:pt>
                <c:pt idx="309">
                  <c:v>43663</c:v>
                </c:pt>
                <c:pt idx="310">
                  <c:v>43662</c:v>
                </c:pt>
                <c:pt idx="311">
                  <c:v>43661</c:v>
                </c:pt>
                <c:pt idx="312">
                  <c:v>43658</c:v>
                </c:pt>
                <c:pt idx="313">
                  <c:v>43657</c:v>
                </c:pt>
                <c:pt idx="314">
                  <c:v>43656</c:v>
                </c:pt>
                <c:pt idx="315">
                  <c:v>43655</c:v>
                </c:pt>
                <c:pt idx="316">
                  <c:v>43654</c:v>
                </c:pt>
                <c:pt idx="317">
                  <c:v>43651</c:v>
                </c:pt>
                <c:pt idx="318">
                  <c:v>43650</c:v>
                </c:pt>
                <c:pt idx="319">
                  <c:v>43649</c:v>
                </c:pt>
                <c:pt idx="320">
                  <c:v>43648</c:v>
                </c:pt>
                <c:pt idx="321">
                  <c:v>43647</c:v>
                </c:pt>
                <c:pt idx="322">
                  <c:v>43644</c:v>
                </c:pt>
                <c:pt idx="323">
                  <c:v>43643</c:v>
                </c:pt>
                <c:pt idx="324">
                  <c:v>43642</c:v>
                </c:pt>
                <c:pt idx="325">
                  <c:v>43641</c:v>
                </c:pt>
                <c:pt idx="326">
                  <c:v>43640</c:v>
                </c:pt>
                <c:pt idx="327">
                  <c:v>43637</c:v>
                </c:pt>
              </c:numCache>
            </c:numRef>
          </c:cat>
          <c:val>
            <c:numRef>
              <c:f>'[Copy of Hartije od vrednosti na medjunarodnom trzistu SAJT.xlsx]EUROBOND 2029 offline'!$B$6:$B$333</c:f>
              <c:numCache>
                <c:formatCode>#,##0.000</c:formatCode>
                <c:ptCount val="328"/>
                <c:pt idx="0">
                  <c:v>96.781000000000006</c:v>
                </c:pt>
                <c:pt idx="1">
                  <c:v>96.908000000000001</c:v>
                </c:pt>
                <c:pt idx="2">
                  <c:v>97.247</c:v>
                </c:pt>
                <c:pt idx="3">
                  <c:v>97.278000000000006</c:v>
                </c:pt>
                <c:pt idx="4">
                  <c:v>97.332999999999998</c:v>
                </c:pt>
                <c:pt idx="5">
                  <c:v>97.694000000000003</c:v>
                </c:pt>
                <c:pt idx="6">
                  <c:v>97.798000000000002</c:v>
                </c:pt>
                <c:pt idx="7">
                  <c:v>97.962999999999994</c:v>
                </c:pt>
                <c:pt idx="8">
                  <c:v>98.263999999999996</c:v>
                </c:pt>
                <c:pt idx="9">
                  <c:v>98.281999999999996</c:v>
                </c:pt>
                <c:pt idx="10">
                  <c:v>98.346000000000004</c:v>
                </c:pt>
                <c:pt idx="11">
                  <c:v>98.328000000000003</c:v>
                </c:pt>
                <c:pt idx="12">
                  <c:v>98.051000000000002</c:v>
                </c:pt>
                <c:pt idx="13">
                  <c:v>97.906000000000006</c:v>
                </c:pt>
                <c:pt idx="14">
                  <c:v>97.789000000000001</c:v>
                </c:pt>
                <c:pt idx="15">
                  <c:v>97.724000000000004</c:v>
                </c:pt>
                <c:pt idx="16">
                  <c:v>97.67</c:v>
                </c:pt>
                <c:pt idx="17">
                  <c:v>97.683000000000007</c:v>
                </c:pt>
                <c:pt idx="18">
                  <c:v>97.593000000000004</c:v>
                </c:pt>
                <c:pt idx="19">
                  <c:v>97.468999999999994</c:v>
                </c:pt>
                <c:pt idx="20">
                  <c:v>97.204999999999998</c:v>
                </c:pt>
                <c:pt idx="21">
                  <c:v>96.962999999999994</c:v>
                </c:pt>
                <c:pt idx="22">
                  <c:v>96.850999999999999</c:v>
                </c:pt>
                <c:pt idx="23">
                  <c:v>96.825000000000003</c:v>
                </c:pt>
                <c:pt idx="24">
                  <c:v>96.838999999999999</c:v>
                </c:pt>
                <c:pt idx="25">
                  <c:v>96.786000000000001</c:v>
                </c:pt>
                <c:pt idx="26">
                  <c:v>96.82</c:v>
                </c:pt>
                <c:pt idx="27">
                  <c:v>96.808000000000007</c:v>
                </c:pt>
                <c:pt idx="28">
                  <c:v>96.777000000000001</c:v>
                </c:pt>
                <c:pt idx="29">
                  <c:v>96.754000000000005</c:v>
                </c:pt>
                <c:pt idx="30">
                  <c:v>96.742000000000004</c:v>
                </c:pt>
                <c:pt idx="31">
                  <c:v>96.713999999999999</c:v>
                </c:pt>
                <c:pt idx="32">
                  <c:v>96.784999999999997</c:v>
                </c:pt>
                <c:pt idx="33">
                  <c:v>96.683999999999997</c:v>
                </c:pt>
                <c:pt idx="34">
                  <c:v>96.724000000000004</c:v>
                </c:pt>
                <c:pt idx="35">
                  <c:v>96.582999999999998</c:v>
                </c:pt>
                <c:pt idx="36">
                  <c:v>96.623999999999995</c:v>
                </c:pt>
                <c:pt idx="37">
                  <c:v>96.611000000000004</c:v>
                </c:pt>
                <c:pt idx="38">
                  <c:v>96.527000000000001</c:v>
                </c:pt>
                <c:pt idx="39">
                  <c:v>96.353999999999999</c:v>
                </c:pt>
                <c:pt idx="40">
                  <c:v>96.183000000000007</c:v>
                </c:pt>
                <c:pt idx="41">
                  <c:v>95.938999999999993</c:v>
                </c:pt>
                <c:pt idx="42">
                  <c:v>95.846000000000004</c:v>
                </c:pt>
                <c:pt idx="43">
                  <c:v>95.846999999999994</c:v>
                </c:pt>
                <c:pt idx="44">
                  <c:v>95.888000000000005</c:v>
                </c:pt>
                <c:pt idx="45">
                  <c:v>96.102000000000004</c:v>
                </c:pt>
                <c:pt idx="46">
                  <c:v>96.111999999999995</c:v>
                </c:pt>
                <c:pt idx="47">
                  <c:v>96.227000000000004</c:v>
                </c:pt>
                <c:pt idx="48">
                  <c:v>96.316000000000003</c:v>
                </c:pt>
                <c:pt idx="49">
                  <c:v>96.650999999999996</c:v>
                </c:pt>
                <c:pt idx="50">
                  <c:v>95.927000000000007</c:v>
                </c:pt>
                <c:pt idx="51">
                  <c:v>95.506</c:v>
                </c:pt>
                <c:pt idx="52">
                  <c:v>95.135999999999996</c:v>
                </c:pt>
                <c:pt idx="53">
                  <c:v>94.844999999999999</c:v>
                </c:pt>
                <c:pt idx="54">
                  <c:v>94.637</c:v>
                </c:pt>
                <c:pt idx="55">
                  <c:v>94.551000000000002</c:v>
                </c:pt>
                <c:pt idx="56">
                  <c:v>94.430999999999997</c:v>
                </c:pt>
                <c:pt idx="57">
                  <c:v>94.551000000000002</c:v>
                </c:pt>
                <c:pt idx="58">
                  <c:v>94.563999999999993</c:v>
                </c:pt>
                <c:pt idx="59">
                  <c:v>94.915999999999997</c:v>
                </c:pt>
                <c:pt idx="60">
                  <c:v>95.16</c:v>
                </c:pt>
                <c:pt idx="61">
                  <c:v>95.218000000000004</c:v>
                </c:pt>
                <c:pt idx="62">
                  <c:v>94.891999999999996</c:v>
                </c:pt>
                <c:pt idx="63">
                  <c:v>94.453999999999994</c:v>
                </c:pt>
                <c:pt idx="64">
                  <c:v>94.405000000000001</c:v>
                </c:pt>
                <c:pt idx="65">
                  <c:v>94.111000000000004</c:v>
                </c:pt>
                <c:pt idx="66">
                  <c:v>94.006</c:v>
                </c:pt>
                <c:pt idx="67">
                  <c:v>93.915999999999997</c:v>
                </c:pt>
                <c:pt idx="68">
                  <c:v>93.92</c:v>
                </c:pt>
                <c:pt idx="69">
                  <c:v>93.852000000000004</c:v>
                </c:pt>
                <c:pt idx="70">
                  <c:v>93.944999999999993</c:v>
                </c:pt>
                <c:pt idx="71">
                  <c:v>94.024000000000001</c:v>
                </c:pt>
                <c:pt idx="72">
                  <c:v>93.947000000000003</c:v>
                </c:pt>
                <c:pt idx="73">
                  <c:v>93.798000000000002</c:v>
                </c:pt>
                <c:pt idx="74">
                  <c:v>93.748999999999995</c:v>
                </c:pt>
                <c:pt idx="75">
                  <c:v>93.725999999999999</c:v>
                </c:pt>
                <c:pt idx="76">
                  <c:v>93.623000000000005</c:v>
                </c:pt>
                <c:pt idx="77">
                  <c:v>92.88</c:v>
                </c:pt>
                <c:pt idx="78">
                  <c:v>93.358000000000004</c:v>
                </c:pt>
                <c:pt idx="79">
                  <c:v>93.394000000000005</c:v>
                </c:pt>
                <c:pt idx="80">
                  <c:v>93.739000000000004</c:v>
                </c:pt>
                <c:pt idx="81">
                  <c:v>94.284999999999997</c:v>
                </c:pt>
                <c:pt idx="82">
                  <c:v>94.605000000000004</c:v>
                </c:pt>
                <c:pt idx="83">
                  <c:v>94.513000000000005</c:v>
                </c:pt>
                <c:pt idx="84">
                  <c:v>94.554000000000002</c:v>
                </c:pt>
                <c:pt idx="85">
                  <c:v>95.084000000000003</c:v>
                </c:pt>
                <c:pt idx="86">
                  <c:v>95.004999999999995</c:v>
                </c:pt>
                <c:pt idx="87">
                  <c:v>94.716999999999999</c:v>
                </c:pt>
                <c:pt idx="88">
                  <c:v>94.171000000000006</c:v>
                </c:pt>
                <c:pt idx="89">
                  <c:v>92.135000000000005</c:v>
                </c:pt>
                <c:pt idx="90">
                  <c:v>90.239000000000004</c:v>
                </c:pt>
                <c:pt idx="91">
                  <c:v>89.108000000000004</c:v>
                </c:pt>
                <c:pt idx="92">
                  <c:v>88.587000000000003</c:v>
                </c:pt>
                <c:pt idx="93">
                  <c:v>88.634</c:v>
                </c:pt>
                <c:pt idx="94">
                  <c:v>88.551000000000002</c:v>
                </c:pt>
                <c:pt idx="95">
                  <c:v>88.421999999999997</c:v>
                </c:pt>
                <c:pt idx="96">
                  <c:v>88.138000000000005</c:v>
                </c:pt>
                <c:pt idx="97">
                  <c:v>87.869</c:v>
                </c:pt>
                <c:pt idx="98">
                  <c:v>87.762</c:v>
                </c:pt>
                <c:pt idx="99">
                  <c:v>88.045000000000002</c:v>
                </c:pt>
                <c:pt idx="100">
                  <c:v>88.603999999999999</c:v>
                </c:pt>
                <c:pt idx="101">
                  <c:v>88.662000000000006</c:v>
                </c:pt>
                <c:pt idx="102">
                  <c:v>88.623999999999995</c:v>
                </c:pt>
                <c:pt idx="103">
                  <c:v>88.218000000000004</c:v>
                </c:pt>
                <c:pt idx="104">
                  <c:v>88.138000000000005</c:v>
                </c:pt>
                <c:pt idx="105">
                  <c:v>87.275999999999996</c:v>
                </c:pt>
                <c:pt idx="106">
                  <c:v>87.171999999999997</c:v>
                </c:pt>
                <c:pt idx="107">
                  <c:v>86.376999999999995</c:v>
                </c:pt>
                <c:pt idx="108">
                  <c:v>86.600999999999999</c:v>
                </c:pt>
                <c:pt idx="109">
                  <c:v>86.638000000000005</c:v>
                </c:pt>
                <c:pt idx="110">
                  <c:v>86.790999999999997</c:v>
                </c:pt>
                <c:pt idx="111">
                  <c:v>86.938999999999993</c:v>
                </c:pt>
                <c:pt idx="112">
                  <c:v>87.341999999999999</c:v>
                </c:pt>
                <c:pt idx="113">
                  <c:v>87.51</c:v>
                </c:pt>
                <c:pt idx="114">
                  <c:v>88.275999999999996</c:v>
                </c:pt>
                <c:pt idx="115">
                  <c:v>88.608999999999995</c:v>
                </c:pt>
                <c:pt idx="116">
                  <c:v>88.975999999999999</c:v>
                </c:pt>
                <c:pt idx="117">
                  <c:v>89.498000000000005</c:v>
                </c:pt>
                <c:pt idx="118">
                  <c:v>90.158000000000001</c:v>
                </c:pt>
                <c:pt idx="119">
                  <c:v>90.275999999999996</c:v>
                </c:pt>
                <c:pt idx="120">
                  <c:v>90.263999999999996</c:v>
                </c:pt>
                <c:pt idx="121">
                  <c:v>90.108000000000004</c:v>
                </c:pt>
                <c:pt idx="122">
                  <c:v>90.209000000000003</c:v>
                </c:pt>
                <c:pt idx="123">
                  <c:v>90.411000000000001</c:v>
                </c:pt>
                <c:pt idx="124">
                  <c:v>90.480999999999995</c:v>
                </c:pt>
                <c:pt idx="125">
                  <c:v>90.543999999999997</c:v>
                </c:pt>
                <c:pt idx="126">
                  <c:v>90.706999999999994</c:v>
                </c:pt>
                <c:pt idx="127">
                  <c:v>91.501999999999995</c:v>
                </c:pt>
                <c:pt idx="128">
                  <c:v>91.85</c:v>
                </c:pt>
                <c:pt idx="129">
                  <c:v>92.350999999999999</c:v>
                </c:pt>
                <c:pt idx="130">
                  <c:v>93.363</c:v>
                </c:pt>
                <c:pt idx="131">
                  <c:v>93.795000000000002</c:v>
                </c:pt>
                <c:pt idx="132">
                  <c:v>94.085999999999999</c:v>
                </c:pt>
                <c:pt idx="133">
                  <c:v>94.245999999999995</c:v>
                </c:pt>
                <c:pt idx="134">
                  <c:v>94.825000000000003</c:v>
                </c:pt>
                <c:pt idx="135">
                  <c:v>95.622</c:v>
                </c:pt>
                <c:pt idx="136">
                  <c:v>95.989000000000004</c:v>
                </c:pt>
                <c:pt idx="137">
                  <c:v>96.578000000000003</c:v>
                </c:pt>
                <c:pt idx="138">
                  <c:v>97.566000000000003</c:v>
                </c:pt>
                <c:pt idx="139">
                  <c:v>98.021000000000001</c:v>
                </c:pt>
                <c:pt idx="140">
                  <c:v>99.558999999999997</c:v>
                </c:pt>
                <c:pt idx="141">
                  <c:v>100.426</c:v>
                </c:pt>
                <c:pt idx="142">
                  <c:v>102.181</c:v>
                </c:pt>
                <c:pt idx="143">
                  <c:v>102.611</c:v>
                </c:pt>
                <c:pt idx="144">
                  <c:v>102.723</c:v>
                </c:pt>
                <c:pt idx="145">
                  <c:v>103.623</c:v>
                </c:pt>
                <c:pt idx="146">
                  <c:v>103.971</c:v>
                </c:pt>
                <c:pt idx="147">
                  <c:v>104.337</c:v>
                </c:pt>
                <c:pt idx="148">
                  <c:v>103.456</c:v>
                </c:pt>
                <c:pt idx="149">
                  <c:v>102.399</c:v>
                </c:pt>
                <c:pt idx="150">
                  <c:v>102.867</c:v>
                </c:pt>
                <c:pt idx="151">
                  <c:v>104.017</c:v>
                </c:pt>
                <c:pt idx="152">
                  <c:v>104.669</c:v>
                </c:pt>
                <c:pt idx="153">
                  <c:v>104.98399999999999</c:v>
                </c:pt>
                <c:pt idx="154">
                  <c:v>105.072</c:v>
                </c:pt>
                <c:pt idx="155">
                  <c:v>105.208</c:v>
                </c:pt>
                <c:pt idx="156">
                  <c:v>105.13500000000001</c:v>
                </c:pt>
                <c:pt idx="157">
                  <c:v>104.947</c:v>
                </c:pt>
                <c:pt idx="158">
                  <c:v>104.77500000000001</c:v>
                </c:pt>
                <c:pt idx="159">
                  <c:v>104.651</c:v>
                </c:pt>
                <c:pt idx="160">
                  <c:v>104.65</c:v>
                </c:pt>
                <c:pt idx="161">
                  <c:v>104.61499999999999</c:v>
                </c:pt>
                <c:pt idx="162">
                  <c:v>104.374</c:v>
                </c:pt>
                <c:pt idx="163">
                  <c:v>104.28100000000001</c:v>
                </c:pt>
                <c:pt idx="164">
                  <c:v>104.181</c:v>
                </c:pt>
                <c:pt idx="165">
                  <c:v>104.114</c:v>
                </c:pt>
                <c:pt idx="166">
                  <c:v>103.789</c:v>
                </c:pt>
                <c:pt idx="167">
                  <c:v>103.23699999999999</c:v>
                </c:pt>
                <c:pt idx="168">
                  <c:v>103.051</c:v>
                </c:pt>
                <c:pt idx="169">
                  <c:v>103.02800000000001</c:v>
                </c:pt>
                <c:pt idx="170">
                  <c:v>102.714</c:v>
                </c:pt>
                <c:pt idx="171">
                  <c:v>102.47799999999999</c:v>
                </c:pt>
                <c:pt idx="172">
                  <c:v>102.399</c:v>
                </c:pt>
                <c:pt idx="173">
                  <c:v>102.188</c:v>
                </c:pt>
                <c:pt idx="174">
                  <c:v>102.054</c:v>
                </c:pt>
                <c:pt idx="175">
                  <c:v>102.021</c:v>
                </c:pt>
                <c:pt idx="176">
                  <c:v>101.955</c:v>
                </c:pt>
                <c:pt idx="177">
                  <c:v>101.87</c:v>
                </c:pt>
                <c:pt idx="178">
                  <c:v>101.857</c:v>
                </c:pt>
                <c:pt idx="179">
                  <c:v>101.872</c:v>
                </c:pt>
                <c:pt idx="180">
                  <c:v>101.88</c:v>
                </c:pt>
                <c:pt idx="181">
                  <c:v>101.88500000000001</c:v>
                </c:pt>
                <c:pt idx="182">
                  <c:v>101.922</c:v>
                </c:pt>
                <c:pt idx="183">
                  <c:v>102.03100000000001</c:v>
                </c:pt>
                <c:pt idx="184">
                  <c:v>102.05</c:v>
                </c:pt>
                <c:pt idx="185">
                  <c:v>102.131</c:v>
                </c:pt>
                <c:pt idx="186">
                  <c:v>102.08</c:v>
                </c:pt>
                <c:pt idx="187">
                  <c:v>102.114</c:v>
                </c:pt>
                <c:pt idx="188">
                  <c:v>102.108</c:v>
                </c:pt>
                <c:pt idx="189">
                  <c:v>102.072</c:v>
                </c:pt>
                <c:pt idx="190">
                  <c:v>102.1</c:v>
                </c:pt>
                <c:pt idx="191">
                  <c:v>102.018</c:v>
                </c:pt>
                <c:pt idx="192">
                  <c:v>101.973</c:v>
                </c:pt>
                <c:pt idx="193">
                  <c:v>102.03400000000001</c:v>
                </c:pt>
                <c:pt idx="194">
                  <c:v>102.059</c:v>
                </c:pt>
                <c:pt idx="195">
                  <c:v>102.042</c:v>
                </c:pt>
                <c:pt idx="196">
                  <c:v>102.057</c:v>
                </c:pt>
                <c:pt idx="197">
                  <c:v>102.051</c:v>
                </c:pt>
                <c:pt idx="198">
                  <c:v>102.07</c:v>
                </c:pt>
                <c:pt idx="199">
                  <c:v>102.066</c:v>
                </c:pt>
                <c:pt idx="200">
                  <c:v>102</c:v>
                </c:pt>
                <c:pt idx="201">
                  <c:v>101.88</c:v>
                </c:pt>
                <c:pt idx="202">
                  <c:v>101.777</c:v>
                </c:pt>
                <c:pt idx="203">
                  <c:v>101.64100000000001</c:v>
                </c:pt>
                <c:pt idx="204">
                  <c:v>101.614</c:v>
                </c:pt>
                <c:pt idx="205">
                  <c:v>101.589</c:v>
                </c:pt>
                <c:pt idx="206">
                  <c:v>101.63</c:v>
                </c:pt>
                <c:pt idx="207">
                  <c:v>101.614</c:v>
                </c:pt>
                <c:pt idx="208">
                  <c:v>101.52500000000001</c:v>
                </c:pt>
                <c:pt idx="209">
                  <c:v>101.554</c:v>
                </c:pt>
                <c:pt idx="210">
                  <c:v>101.51600000000001</c:v>
                </c:pt>
                <c:pt idx="211">
                  <c:v>101.492</c:v>
                </c:pt>
                <c:pt idx="212">
                  <c:v>101.708</c:v>
                </c:pt>
                <c:pt idx="213">
                  <c:v>101.712</c:v>
                </c:pt>
                <c:pt idx="214">
                  <c:v>101.703</c:v>
                </c:pt>
                <c:pt idx="215">
                  <c:v>101.70099999999999</c:v>
                </c:pt>
                <c:pt idx="216">
                  <c:v>101.604</c:v>
                </c:pt>
                <c:pt idx="217">
                  <c:v>101.607</c:v>
                </c:pt>
                <c:pt idx="218">
                  <c:v>101.583</c:v>
                </c:pt>
                <c:pt idx="219">
                  <c:v>101.654</c:v>
                </c:pt>
                <c:pt idx="220">
                  <c:v>101.422</c:v>
                </c:pt>
                <c:pt idx="221">
                  <c:v>101.378</c:v>
                </c:pt>
                <c:pt idx="222">
                  <c:v>101.277</c:v>
                </c:pt>
                <c:pt idx="223">
                  <c:v>101.285</c:v>
                </c:pt>
                <c:pt idx="224">
                  <c:v>100.992</c:v>
                </c:pt>
                <c:pt idx="225">
                  <c:v>101.078</c:v>
                </c:pt>
                <c:pt idx="226">
                  <c:v>101.187</c:v>
                </c:pt>
                <c:pt idx="227">
                  <c:v>101.36499999999999</c:v>
                </c:pt>
                <c:pt idx="228">
                  <c:v>101.80800000000001</c:v>
                </c:pt>
                <c:pt idx="229">
                  <c:v>102.215</c:v>
                </c:pt>
                <c:pt idx="230">
                  <c:v>102.268</c:v>
                </c:pt>
                <c:pt idx="231">
                  <c:v>103.11799999999999</c:v>
                </c:pt>
                <c:pt idx="232">
                  <c:v>103.25700000000001</c:v>
                </c:pt>
                <c:pt idx="233">
                  <c:v>103.214</c:v>
                </c:pt>
                <c:pt idx="234">
                  <c:v>103.211</c:v>
                </c:pt>
                <c:pt idx="235">
                  <c:v>103.384</c:v>
                </c:pt>
                <c:pt idx="236">
                  <c:v>103.449</c:v>
                </c:pt>
                <c:pt idx="237">
                  <c:v>103.711</c:v>
                </c:pt>
                <c:pt idx="238">
                  <c:v>103.717</c:v>
                </c:pt>
                <c:pt idx="239">
                  <c:v>103.755</c:v>
                </c:pt>
                <c:pt idx="240">
                  <c:v>103.758</c:v>
                </c:pt>
                <c:pt idx="241">
                  <c:v>103.79900000000001</c:v>
                </c:pt>
                <c:pt idx="242">
                  <c:v>104</c:v>
                </c:pt>
                <c:pt idx="243">
                  <c:v>104.01600000000001</c:v>
                </c:pt>
                <c:pt idx="244">
                  <c:v>104.09099999999999</c:v>
                </c:pt>
                <c:pt idx="245">
                  <c:v>104.129</c:v>
                </c:pt>
                <c:pt idx="246">
                  <c:v>104.161</c:v>
                </c:pt>
                <c:pt idx="247">
                  <c:v>104.191</c:v>
                </c:pt>
                <c:pt idx="248">
                  <c:v>104.209</c:v>
                </c:pt>
                <c:pt idx="249">
                  <c:v>104.259</c:v>
                </c:pt>
                <c:pt idx="250">
                  <c:v>104.315</c:v>
                </c:pt>
                <c:pt idx="251">
                  <c:v>104.348</c:v>
                </c:pt>
                <c:pt idx="252">
                  <c:v>104.315</c:v>
                </c:pt>
                <c:pt idx="253">
                  <c:v>104.312</c:v>
                </c:pt>
                <c:pt idx="254">
                  <c:v>104.31399999999999</c:v>
                </c:pt>
                <c:pt idx="255">
                  <c:v>104.324</c:v>
                </c:pt>
                <c:pt idx="256">
                  <c:v>104.383</c:v>
                </c:pt>
                <c:pt idx="257">
                  <c:v>104.40600000000001</c:v>
                </c:pt>
                <c:pt idx="258">
                  <c:v>104.432</c:v>
                </c:pt>
                <c:pt idx="259">
                  <c:v>104.46299999999999</c:v>
                </c:pt>
                <c:pt idx="260">
                  <c:v>104.551</c:v>
                </c:pt>
                <c:pt idx="261">
                  <c:v>104.529</c:v>
                </c:pt>
                <c:pt idx="262">
                  <c:v>104.32299999999999</c:v>
                </c:pt>
                <c:pt idx="263">
                  <c:v>104.33799999999999</c:v>
                </c:pt>
                <c:pt idx="264">
                  <c:v>104.35</c:v>
                </c:pt>
                <c:pt idx="265">
                  <c:v>104.34699999999999</c:v>
                </c:pt>
                <c:pt idx="266">
                  <c:v>104.42400000000001</c:v>
                </c:pt>
                <c:pt idx="267">
                  <c:v>104.511</c:v>
                </c:pt>
                <c:pt idx="268">
                  <c:v>104.857</c:v>
                </c:pt>
                <c:pt idx="269">
                  <c:v>104.55</c:v>
                </c:pt>
                <c:pt idx="270">
                  <c:v>104.602</c:v>
                </c:pt>
                <c:pt idx="271">
                  <c:v>104.657</c:v>
                </c:pt>
                <c:pt idx="272">
                  <c:v>104.691</c:v>
                </c:pt>
                <c:pt idx="273">
                  <c:v>104.696</c:v>
                </c:pt>
                <c:pt idx="274">
                  <c:v>104.78</c:v>
                </c:pt>
                <c:pt idx="275">
                  <c:v>104.631</c:v>
                </c:pt>
                <c:pt idx="276">
                  <c:v>104.44799999999999</c:v>
                </c:pt>
                <c:pt idx="277">
                  <c:v>104.396</c:v>
                </c:pt>
                <c:pt idx="278">
                  <c:v>104.375</c:v>
                </c:pt>
                <c:pt idx="279">
                  <c:v>104.315</c:v>
                </c:pt>
                <c:pt idx="280">
                  <c:v>104.053</c:v>
                </c:pt>
                <c:pt idx="281">
                  <c:v>103.983</c:v>
                </c:pt>
                <c:pt idx="282">
                  <c:v>103.858</c:v>
                </c:pt>
                <c:pt idx="283">
                  <c:v>103.83</c:v>
                </c:pt>
                <c:pt idx="284">
                  <c:v>103.82299999999999</c:v>
                </c:pt>
                <c:pt idx="285">
                  <c:v>103.7</c:v>
                </c:pt>
                <c:pt idx="286">
                  <c:v>103.645</c:v>
                </c:pt>
                <c:pt idx="287">
                  <c:v>103.733</c:v>
                </c:pt>
                <c:pt idx="288">
                  <c:v>103.07599999999999</c:v>
                </c:pt>
                <c:pt idx="289">
                  <c:v>102.739</c:v>
                </c:pt>
                <c:pt idx="290">
                  <c:v>102.137</c:v>
                </c:pt>
                <c:pt idx="291">
                  <c:v>101.916</c:v>
                </c:pt>
                <c:pt idx="292">
                  <c:v>101.825</c:v>
                </c:pt>
                <c:pt idx="293">
                  <c:v>101.605</c:v>
                </c:pt>
                <c:pt idx="294">
                  <c:v>101.496</c:v>
                </c:pt>
                <c:pt idx="295">
                  <c:v>101.125</c:v>
                </c:pt>
                <c:pt idx="296">
                  <c:v>101.063</c:v>
                </c:pt>
                <c:pt idx="297">
                  <c:v>101.084</c:v>
                </c:pt>
                <c:pt idx="298">
                  <c:v>100.949</c:v>
                </c:pt>
                <c:pt idx="299">
                  <c:v>100.84399999999999</c:v>
                </c:pt>
                <c:pt idx="300">
                  <c:v>100.709</c:v>
                </c:pt>
                <c:pt idx="301">
                  <c:v>100.70099999999999</c:v>
                </c:pt>
                <c:pt idx="302">
                  <c:v>100.64</c:v>
                </c:pt>
                <c:pt idx="303">
                  <c:v>100.667</c:v>
                </c:pt>
                <c:pt idx="304">
                  <c:v>100.39700000000001</c:v>
                </c:pt>
                <c:pt idx="305">
                  <c:v>100.31699999999999</c:v>
                </c:pt>
                <c:pt idx="306">
                  <c:v>100.28400000000001</c:v>
                </c:pt>
                <c:pt idx="307">
                  <c:v>99.998999999999995</c:v>
                </c:pt>
                <c:pt idx="308">
                  <c:v>99.968999999999994</c:v>
                </c:pt>
                <c:pt idx="309">
                  <c:v>99.991</c:v>
                </c:pt>
                <c:pt idx="310">
                  <c:v>99.957999999999998</c:v>
                </c:pt>
                <c:pt idx="311">
                  <c:v>99.876999999999995</c:v>
                </c:pt>
                <c:pt idx="312">
                  <c:v>99.858999999999995</c:v>
                </c:pt>
                <c:pt idx="313">
                  <c:v>100.006</c:v>
                </c:pt>
                <c:pt idx="314">
                  <c:v>100.166</c:v>
                </c:pt>
                <c:pt idx="315">
                  <c:v>100.571</c:v>
                </c:pt>
                <c:pt idx="316">
                  <c:v>100.691</c:v>
                </c:pt>
                <c:pt idx="317">
                  <c:v>100.64100000000001</c:v>
                </c:pt>
                <c:pt idx="318">
                  <c:v>100.566</c:v>
                </c:pt>
                <c:pt idx="319">
                  <c:v>100.39100000000001</c:v>
                </c:pt>
                <c:pt idx="320">
                  <c:v>100.032</c:v>
                </c:pt>
                <c:pt idx="321">
                  <c:v>99.975999999999999</c:v>
                </c:pt>
                <c:pt idx="322">
                  <c:v>100.01600000000001</c:v>
                </c:pt>
                <c:pt idx="323">
                  <c:v>100.024</c:v>
                </c:pt>
                <c:pt idx="324">
                  <c:v>100.306</c:v>
                </c:pt>
                <c:pt idx="325">
                  <c:v>100.554</c:v>
                </c:pt>
                <c:pt idx="326">
                  <c:v>100.616</c:v>
                </c:pt>
                <c:pt idx="327">
                  <c:v>100.854</c:v>
                </c:pt>
              </c:numCache>
            </c:numRef>
          </c:val>
          <c:extLst>
            <c:ext xmlns:c16="http://schemas.microsoft.com/office/drawing/2014/chart" uri="{C3380CC4-5D6E-409C-BE32-E72D297353CC}">
              <c16:uniqueId val="{00000000-34E9-4DFE-94F4-DE3DDB11D81A}"/>
            </c:ext>
          </c:extLst>
        </c:ser>
        <c:dLbls>
          <c:showLegendKey val="0"/>
          <c:showVal val="0"/>
          <c:showCatName val="0"/>
          <c:showSerName val="0"/>
          <c:showPercent val="0"/>
          <c:showBubbleSize val="0"/>
        </c:dLbls>
        <c:axId val="271870888"/>
        <c:axId val="271871280"/>
      </c:areaChart>
      <c:lineChart>
        <c:grouping val="standard"/>
        <c:varyColors val="0"/>
        <c:ser>
          <c:idx val="1"/>
          <c:order val="1"/>
          <c:tx>
            <c:strRef>
              <c:f>'[Copy of Hartije od vrednosti na medjunarodnom trzistu SAJT.xlsx]EUROBOND 2029 offline'!$C$4</c:f>
              <c:strCache>
                <c:ptCount val="1"/>
                <c:pt idx="0">
                  <c:v>Средњи принос до доспећа</c:v>
                </c:pt>
              </c:strCache>
            </c:strRef>
          </c:tx>
          <c:marker>
            <c:symbol val="none"/>
          </c:marker>
          <c:cat>
            <c:numRef>
              <c:f>'[Copy of Hartije od vrednosti na medjunarodnom trzistu SAJT.xlsx]EUROBOND 2029'!$A$7:$A$340</c:f>
              <c:numCache>
                <c:formatCode>dd\/mm\/yy</c:formatCode>
                <c:ptCount val="334"/>
                <c:pt idx="0">
                  <c:v>44112</c:v>
                </c:pt>
                <c:pt idx="1">
                  <c:v>44111</c:v>
                </c:pt>
                <c:pt idx="2">
                  <c:v>44110</c:v>
                </c:pt>
                <c:pt idx="3">
                  <c:v>44109</c:v>
                </c:pt>
                <c:pt idx="4">
                  <c:v>44106</c:v>
                </c:pt>
                <c:pt idx="5">
                  <c:v>44105</c:v>
                </c:pt>
                <c:pt idx="6">
                  <c:v>44104</c:v>
                </c:pt>
                <c:pt idx="7">
                  <c:v>44103</c:v>
                </c:pt>
                <c:pt idx="8">
                  <c:v>44102</c:v>
                </c:pt>
                <c:pt idx="9">
                  <c:v>44099</c:v>
                </c:pt>
                <c:pt idx="10">
                  <c:v>44098</c:v>
                </c:pt>
                <c:pt idx="11">
                  <c:v>44097</c:v>
                </c:pt>
                <c:pt idx="12">
                  <c:v>44096</c:v>
                </c:pt>
                <c:pt idx="13">
                  <c:v>44095</c:v>
                </c:pt>
                <c:pt idx="14">
                  <c:v>44092</c:v>
                </c:pt>
                <c:pt idx="15">
                  <c:v>44091</c:v>
                </c:pt>
                <c:pt idx="16">
                  <c:v>44090</c:v>
                </c:pt>
                <c:pt idx="17">
                  <c:v>44089</c:v>
                </c:pt>
                <c:pt idx="18">
                  <c:v>44088</c:v>
                </c:pt>
                <c:pt idx="19">
                  <c:v>44085</c:v>
                </c:pt>
                <c:pt idx="20">
                  <c:v>44084</c:v>
                </c:pt>
                <c:pt idx="21">
                  <c:v>44083</c:v>
                </c:pt>
                <c:pt idx="22">
                  <c:v>44082</c:v>
                </c:pt>
                <c:pt idx="23">
                  <c:v>44081</c:v>
                </c:pt>
                <c:pt idx="24">
                  <c:v>44078</c:v>
                </c:pt>
                <c:pt idx="25">
                  <c:v>44077</c:v>
                </c:pt>
                <c:pt idx="26">
                  <c:v>44076</c:v>
                </c:pt>
                <c:pt idx="27">
                  <c:v>44075</c:v>
                </c:pt>
                <c:pt idx="28">
                  <c:v>44074</c:v>
                </c:pt>
                <c:pt idx="29">
                  <c:v>44071</c:v>
                </c:pt>
                <c:pt idx="30">
                  <c:v>44070</c:v>
                </c:pt>
                <c:pt idx="31">
                  <c:v>44069</c:v>
                </c:pt>
                <c:pt idx="32">
                  <c:v>44068</c:v>
                </c:pt>
                <c:pt idx="33">
                  <c:v>44067</c:v>
                </c:pt>
                <c:pt idx="34">
                  <c:v>44064</c:v>
                </c:pt>
                <c:pt idx="35">
                  <c:v>44063</c:v>
                </c:pt>
                <c:pt idx="36">
                  <c:v>44062</c:v>
                </c:pt>
                <c:pt idx="37">
                  <c:v>44061</c:v>
                </c:pt>
                <c:pt idx="38">
                  <c:v>44060</c:v>
                </c:pt>
                <c:pt idx="39">
                  <c:v>44057</c:v>
                </c:pt>
                <c:pt idx="40">
                  <c:v>44056</c:v>
                </c:pt>
                <c:pt idx="41">
                  <c:v>44055</c:v>
                </c:pt>
                <c:pt idx="42">
                  <c:v>44054</c:v>
                </c:pt>
                <c:pt idx="43">
                  <c:v>44053</c:v>
                </c:pt>
                <c:pt idx="44">
                  <c:v>44050</c:v>
                </c:pt>
                <c:pt idx="45">
                  <c:v>44049</c:v>
                </c:pt>
                <c:pt idx="46">
                  <c:v>44048</c:v>
                </c:pt>
                <c:pt idx="47">
                  <c:v>44047</c:v>
                </c:pt>
                <c:pt idx="48">
                  <c:v>44046</c:v>
                </c:pt>
                <c:pt idx="49">
                  <c:v>44043</c:v>
                </c:pt>
                <c:pt idx="50">
                  <c:v>44042</c:v>
                </c:pt>
                <c:pt idx="51">
                  <c:v>44041</c:v>
                </c:pt>
                <c:pt idx="52">
                  <c:v>44040</c:v>
                </c:pt>
                <c:pt idx="53">
                  <c:v>44039</c:v>
                </c:pt>
                <c:pt idx="54">
                  <c:v>44036</c:v>
                </c:pt>
                <c:pt idx="55">
                  <c:v>44035</c:v>
                </c:pt>
                <c:pt idx="56">
                  <c:v>44034</c:v>
                </c:pt>
                <c:pt idx="57">
                  <c:v>44033</c:v>
                </c:pt>
                <c:pt idx="58">
                  <c:v>44032</c:v>
                </c:pt>
                <c:pt idx="59">
                  <c:v>44029</c:v>
                </c:pt>
                <c:pt idx="60">
                  <c:v>44028</c:v>
                </c:pt>
                <c:pt idx="61">
                  <c:v>44027</c:v>
                </c:pt>
                <c:pt idx="62">
                  <c:v>44026</c:v>
                </c:pt>
                <c:pt idx="63">
                  <c:v>44025</c:v>
                </c:pt>
                <c:pt idx="64">
                  <c:v>44022</c:v>
                </c:pt>
                <c:pt idx="65">
                  <c:v>44021</c:v>
                </c:pt>
                <c:pt idx="66">
                  <c:v>44020</c:v>
                </c:pt>
                <c:pt idx="67">
                  <c:v>44019</c:v>
                </c:pt>
                <c:pt idx="68">
                  <c:v>44018</c:v>
                </c:pt>
                <c:pt idx="69">
                  <c:v>44015</c:v>
                </c:pt>
                <c:pt idx="70">
                  <c:v>44014</c:v>
                </c:pt>
                <c:pt idx="71">
                  <c:v>44013</c:v>
                </c:pt>
                <c:pt idx="72">
                  <c:v>44012</c:v>
                </c:pt>
                <c:pt idx="73">
                  <c:v>44011</c:v>
                </c:pt>
                <c:pt idx="74">
                  <c:v>44008</c:v>
                </c:pt>
                <c:pt idx="75">
                  <c:v>44007</c:v>
                </c:pt>
                <c:pt idx="76">
                  <c:v>44006</c:v>
                </c:pt>
                <c:pt idx="77">
                  <c:v>44005</c:v>
                </c:pt>
                <c:pt idx="78">
                  <c:v>44004</c:v>
                </c:pt>
                <c:pt idx="79">
                  <c:v>44001</c:v>
                </c:pt>
                <c:pt idx="80">
                  <c:v>44000</c:v>
                </c:pt>
                <c:pt idx="81">
                  <c:v>43999</c:v>
                </c:pt>
                <c:pt idx="82">
                  <c:v>43998</c:v>
                </c:pt>
                <c:pt idx="83">
                  <c:v>43997</c:v>
                </c:pt>
                <c:pt idx="84">
                  <c:v>43994</c:v>
                </c:pt>
                <c:pt idx="85">
                  <c:v>43993</c:v>
                </c:pt>
                <c:pt idx="86">
                  <c:v>43992</c:v>
                </c:pt>
                <c:pt idx="87">
                  <c:v>43991</c:v>
                </c:pt>
                <c:pt idx="88">
                  <c:v>43990</c:v>
                </c:pt>
                <c:pt idx="89">
                  <c:v>43987</c:v>
                </c:pt>
                <c:pt idx="90">
                  <c:v>43986</c:v>
                </c:pt>
                <c:pt idx="91">
                  <c:v>43985</c:v>
                </c:pt>
                <c:pt idx="92">
                  <c:v>43984</c:v>
                </c:pt>
                <c:pt idx="93">
                  <c:v>43983</c:v>
                </c:pt>
                <c:pt idx="94">
                  <c:v>43980</c:v>
                </c:pt>
                <c:pt idx="95">
                  <c:v>43979</c:v>
                </c:pt>
                <c:pt idx="96">
                  <c:v>43978</c:v>
                </c:pt>
                <c:pt idx="97">
                  <c:v>43977</c:v>
                </c:pt>
                <c:pt idx="98">
                  <c:v>43976</c:v>
                </c:pt>
                <c:pt idx="99">
                  <c:v>43973</c:v>
                </c:pt>
                <c:pt idx="100">
                  <c:v>43972</c:v>
                </c:pt>
                <c:pt idx="101">
                  <c:v>43971</c:v>
                </c:pt>
                <c:pt idx="102">
                  <c:v>43970</c:v>
                </c:pt>
                <c:pt idx="103">
                  <c:v>43969</c:v>
                </c:pt>
                <c:pt idx="104">
                  <c:v>43966</c:v>
                </c:pt>
                <c:pt idx="105">
                  <c:v>43965</c:v>
                </c:pt>
                <c:pt idx="106">
                  <c:v>43964</c:v>
                </c:pt>
                <c:pt idx="107">
                  <c:v>43963</c:v>
                </c:pt>
                <c:pt idx="108">
                  <c:v>43962</c:v>
                </c:pt>
                <c:pt idx="109">
                  <c:v>43959</c:v>
                </c:pt>
                <c:pt idx="110">
                  <c:v>43958</c:v>
                </c:pt>
                <c:pt idx="111">
                  <c:v>43957</c:v>
                </c:pt>
                <c:pt idx="112">
                  <c:v>43956</c:v>
                </c:pt>
                <c:pt idx="113">
                  <c:v>43955</c:v>
                </c:pt>
                <c:pt idx="114">
                  <c:v>43951</c:v>
                </c:pt>
                <c:pt idx="115">
                  <c:v>43950</c:v>
                </c:pt>
                <c:pt idx="116">
                  <c:v>43949</c:v>
                </c:pt>
                <c:pt idx="117">
                  <c:v>43948</c:v>
                </c:pt>
                <c:pt idx="118">
                  <c:v>43945</c:v>
                </c:pt>
                <c:pt idx="119">
                  <c:v>43944</c:v>
                </c:pt>
                <c:pt idx="120">
                  <c:v>43943</c:v>
                </c:pt>
                <c:pt idx="121">
                  <c:v>43942</c:v>
                </c:pt>
                <c:pt idx="122">
                  <c:v>43941</c:v>
                </c:pt>
                <c:pt idx="123">
                  <c:v>43938</c:v>
                </c:pt>
                <c:pt idx="124">
                  <c:v>43937</c:v>
                </c:pt>
                <c:pt idx="125">
                  <c:v>43936</c:v>
                </c:pt>
                <c:pt idx="126">
                  <c:v>43935</c:v>
                </c:pt>
                <c:pt idx="127">
                  <c:v>43930</c:v>
                </c:pt>
                <c:pt idx="128">
                  <c:v>43929</c:v>
                </c:pt>
                <c:pt idx="129">
                  <c:v>43928</c:v>
                </c:pt>
                <c:pt idx="130">
                  <c:v>43927</c:v>
                </c:pt>
                <c:pt idx="131">
                  <c:v>43924</c:v>
                </c:pt>
                <c:pt idx="132">
                  <c:v>43923</c:v>
                </c:pt>
                <c:pt idx="133">
                  <c:v>43922</c:v>
                </c:pt>
                <c:pt idx="134">
                  <c:v>43921</c:v>
                </c:pt>
                <c:pt idx="135">
                  <c:v>43920</c:v>
                </c:pt>
                <c:pt idx="136">
                  <c:v>43917</c:v>
                </c:pt>
                <c:pt idx="137">
                  <c:v>43916</c:v>
                </c:pt>
                <c:pt idx="138">
                  <c:v>43915</c:v>
                </c:pt>
                <c:pt idx="139">
                  <c:v>43914</c:v>
                </c:pt>
                <c:pt idx="140">
                  <c:v>43913</c:v>
                </c:pt>
                <c:pt idx="141">
                  <c:v>43910</c:v>
                </c:pt>
                <c:pt idx="142">
                  <c:v>43909</c:v>
                </c:pt>
                <c:pt idx="143">
                  <c:v>43908</c:v>
                </c:pt>
                <c:pt idx="144">
                  <c:v>43907</c:v>
                </c:pt>
                <c:pt idx="145">
                  <c:v>43906</c:v>
                </c:pt>
                <c:pt idx="146">
                  <c:v>43903</c:v>
                </c:pt>
                <c:pt idx="147">
                  <c:v>43902</c:v>
                </c:pt>
                <c:pt idx="148">
                  <c:v>43901</c:v>
                </c:pt>
                <c:pt idx="149">
                  <c:v>43900</c:v>
                </c:pt>
                <c:pt idx="150">
                  <c:v>43899</c:v>
                </c:pt>
                <c:pt idx="151">
                  <c:v>43896</c:v>
                </c:pt>
                <c:pt idx="152">
                  <c:v>43895</c:v>
                </c:pt>
                <c:pt idx="153">
                  <c:v>43894</c:v>
                </c:pt>
                <c:pt idx="154">
                  <c:v>43893</c:v>
                </c:pt>
                <c:pt idx="155">
                  <c:v>43892</c:v>
                </c:pt>
                <c:pt idx="156">
                  <c:v>43889</c:v>
                </c:pt>
                <c:pt idx="157">
                  <c:v>43888</c:v>
                </c:pt>
                <c:pt idx="158">
                  <c:v>43887</c:v>
                </c:pt>
                <c:pt idx="159">
                  <c:v>43886</c:v>
                </c:pt>
                <c:pt idx="160">
                  <c:v>43885</c:v>
                </c:pt>
                <c:pt idx="161">
                  <c:v>43882</c:v>
                </c:pt>
                <c:pt idx="162">
                  <c:v>43881</c:v>
                </c:pt>
                <c:pt idx="163">
                  <c:v>43880</c:v>
                </c:pt>
                <c:pt idx="164">
                  <c:v>43879</c:v>
                </c:pt>
                <c:pt idx="165">
                  <c:v>43878</c:v>
                </c:pt>
                <c:pt idx="166">
                  <c:v>43875</c:v>
                </c:pt>
                <c:pt idx="167">
                  <c:v>43874</c:v>
                </c:pt>
                <c:pt idx="168">
                  <c:v>43873</c:v>
                </c:pt>
                <c:pt idx="169">
                  <c:v>43872</c:v>
                </c:pt>
                <c:pt idx="170">
                  <c:v>43871</c:v>
                </c:pt>
                <c:pt idx="171">
                  <c:v>43868</c:v>
                </c:pt>
                <c:pt idx="172">
                  <c:v>43867</c:v>
                </c:pt>
                <c:pt idx="173">
                  <c:v>43866</c:v>
                </c:pt>
                <c:pt idx="174">
                  <c:v>43865</c:v>
                </c:pt>
                <c:pt idx="175">
                  <c:v>43864</c:v>
                </c:pt>
                <c:pt idx="176">
                  <c:v>43861</c:v>
                </c:pt>
                <c:pt idx="177">
                  <c:v>43860</c:v>
                </c:pt>
                <c:pt idx="178">
                  <c:v>43859</c:v>
                </c:pt>
                <c:pt idx="179">
                  <c:v>43858</c:v>
                </c:pt>
                <c:pt idx="180">
                  <c:v>43857</c:v>
                </c:pt>
                <c:pt idx="181">
                  <c:v>43854</c:v>
                </c:pt>
                <c:pt idx="182">
                  <c:v>43853</c:v>
                </c:pt>
                <c:pt idx="183">
                  <c:v>43852</c:v>
                </c:pt>
                <c:pt idx="184">
                  <c:v>43851</c:v>
                </c:pt>
                <c:pt idx="185">
                  <c:v>43850</c:v>
                </c:pt>
                <c:pt idx="186">
                  <c:v>43847</c:v>
                </c:pt>
                <c:pt idx="187">
                  <c:v>43846</c:v>
                </c:pt>
                <c:pt idx="188">
                  <c:v>43845</c:v>
                </c:pt>
                <c:pt idx="189">
                  <c:v>43844</c:v>
                </c:pt>
                <c:pt idx="190">
                  <c:v>43843</c:v>
                </c:pt>
                <c:pt idx="191">
                  <c:v>43840</c:v>
                </c:pt>
                <c:pt idx="192">
                  <c:v>43839</c:v>
                </c:pt>
                <c:pt idx="193">
                  <c:v>43838</c:v>
                </c:pt>
                <c:pt idx="194">
                  <c:v>43837</c:v>
                </c:pt>
                <c:pt idx="195">
                  <c:v>43836</c:v>
                </c:pt>
                <c:pt idx="196">
                  <c:v>43833</c:v>
                </c:pt>
                <c:pt idx="197">
                  <c:v>43832</c:v>
                </c:pt>
                <c:pt idx="198">
                  <c:v>43830</c:v>
                </c:pt>
                <c:pt idx="199">
                  <c:v>43829</c:v>
                </c:pt>
                <c:pt idx="200">
                  <c:v>43826</c:v>
                </c:pt>
                <c:pt idx="201">
                  <c:v>43823</c:v>
                </c:pt>
                <c:pt idx="202">
                  <c:v>43822</c:v>
                </c:pt>
                <c:pt idx="203">
                  <c:v>43819</c:v>
                </c:pt>
                <c:pt idx="204">
                  <c:v>43818</c:v>
                </c:pt>
                <c:pt idx="205">
                  <c:v>43817</c:v>
                </c:pt>
                <c:pt idx="206">
                  <c:v>43816</c:v>
                </c:pt>
                <c:pt idx="207">
                  <c:v>43815</c:v>
                </c:pt>
                <c:pt idx="208">
                  <c:v>43812</c:v>
                </c:pt>
                <c:pt idx="209">
                  <c:v>43811</c:v>
                </c:pt>
                <c:pt idx="210">
                  <c:v>43810</c:v>
                </c:pt>
                <c:pt idx="211">
                  <c:v>43809</c:v>
                </c:pt>
                <c:pt idx="212">
                  <c:v>43808</c:v>
                </c:pt>
                <c:pt idx="213">
                  <c:v>43805</c:v>
                </c:pt>
                <c:pt idx="214">
                  <c:v>43804</c:v>
                </c:pt>
                <c:pt idx="215">
                  <c:v>43803</c:v>
                </c:pt>
                <c:pt idx="216">
                  <c:v>43802</c:v>
                </c:pt>
                <c:pt idx="217">
                  <c:v>43801</c:v>
                </c:pt>
                <c:pt idx="218">
                  <c:v>43798</c:v>
                </c:pt>
                <c:pt idx="219">
                  <c:v>43797</c:v>
                </c:pt>
                <c:pt idx="220">
                  <c:v>43796</c:v>
                </c:pt>
                <c:pt idx="221">
                  <c:v>43795</c:v>
                </c:pt>
                <c:pt idx="222">
                  <c:v>43794</c:v>
                </c:pt>
                <c:pt idx="223">
                  <c:v>43791</c:v>
                </c:pt>
                <c:pt idx="224">
                  <c:v>43790</c:v>
                </c:pt>
                <c:pt idx="225">
                  <c:v>43789</c:v>
                </c:pt>
                <c:pt idx="226">
                  <c:v>43788</c:v>
                </c:pt>
                <c:pt idx="227">
                  <c:v>43787</c:v>
                </c:pt>
                <c:pt idx="228">
                  <c:v>43784</c:v>
                </c:pt>
                <c:pt idx="229">
                  <c:v>43783</c:v>
                </c:pt>
                <c:pt idx="230">
                  <c:v>43782</c:v>
                </c:pt>
                <c:pt idx="231">
                  <c:v>43781</c:v>
                </c:pt>
                <c:pt idx="232">
                  <c:v>43780</c:v>
                </c:pt>
                <c:pt idx="233">
                  <c:v>43777</c:v>
                </c:pt>
                <c:pt idx="234">
                  <c:v>43776</c:v>
                </c:pt>
                <c:pt idx="235">
                  <c:v>43775</c:v>
                </c:pt>
                <c:pt idx="236">
                  <c:v>43774</c:v>
                </c:pt>
                <c:pt idx="237">
                  <c:v>43773</c:v>
                </c:pt>
                <c:pt idx="238">
                  <c:v>43770</c:v>
                </c:pt>
                <c:pt idx="239">
                  <c:v>43769</c:v>
                </c:pt>
                <c:pt idx="240">
                  <c:v>43768</c:v>
                </c:pt>
                <c:pt idx="241">
                  <c:v>43767</c:v>
                </c:pt>
                <c:pt idx="242">
                  <c:v>43766</c:v>
                </c:pt>
                <c:pt idx="243">
                  <c:v>43763</c:v>
                </c:pt>
                <c:pt idx="244">
                  <c:v>43762</c:v>
                </c:pt>
                <c:pt idx="245">
                  <c:v>43761</c:v>
                </c:pt>
                <c:pt idx="246">
                  <c:v>43760</c:v>
                </c:pt>
                <c:pt idx="247">
                  <c:v>43759</c:v>
                </c:pt>
                <c:pt idx="248">
                  <c:v>43756</c:v>
                </c:pt>
                <c:pt idx="249">
                  <c:v>43755</c:v>
                </c:pt>
                <c:pt idx="250">
                  <c:v>43754</c:v>
                </c:pt>
                <c:pt idx="251">
                  <c:v>43753</c:v>
                </c:pt>
                <c:pt idx="252">
                  <c:v>43752</c:v>
                </c:pt>
                <c:pt idx="253">
                  <c:v>43749</c:v>
                </c:pt>
                <c:pt idx="254">
                  <c:v>43748</c:v>
                </c:pt>
                <c:pt idx="255">
                  <c:v>43747</c:v>
                </c:pt>
                <c:pt idx="256">
                  <c:v>43746</c:v>
                </c:pt>
                <c:pt idx="257">
                  <c:v>43745</c:v>
                </c:pt>
                <c:pt idx="258">
                  <c:v>43742</c:v>
                </c:pt>
                <c:pt idx="259">
                  <c:v>43741</c:v>
                </c:pt>
                <c:pt idx="260">
                  <c:v>43740</c:v>
                </c:pt>
                <c:pt idx="261">
                  <c:v>43739</c:v>
                </c:pt>
                <c:pt idx="262">
                  <c:v>43738</c:v>
                </c:pt>
                <c:pt idx="263">
                  <c:v>43735</c:v>
                </c:pt>
                <c:pt idx="264">
                  <c:v>43734</c:v>
                </c:pt>
                <c:pt idx="265">
                  <c:v>43733</c:v>
                </c:pt>
                <c:pt idx="266">
                  <c:v>43732</c:v>
                </c:pt>
                <c:pt idx="267">
                  <c:v>43731</c:v>
                </c:pt>
                <c:pt idx="268">
                  <c:v>43728</c:v>
                </c:pt>
                <c:pt idx="269">
                  <c:v>43727</c:v>
                </c:pt>
                <c:pt idx="270">
                  <c:v>43726</c:v>
                </c:pt>
                <c:pt idx="271">
                  <c:v>43725</c:v>
                </c:pt>
                <c:pt idx="272">
                  <c:v>43724</c:v>
                </c:pt>
                <c:pt idx="273">
                  <c:v>43721</c:v>
                </c:pt>
                <c:pt idx="274">
                  <c:v>43720</c:v>
                </c:pt>
                <c:pt idx="275">
                  <c:v>43719</c:v>
                </c:pt>
                <c:pt idx="276">
                  <c:v>43718</c:v>
                </c:pt>
                <c:pt idx="277">
                  <c:v>43717</c:v>
                </c:pt>
                <c:pt idx="278">
                  <c:v>43714</c:v>
                </c:pt>
                <c:pt idx="279">
                  <c:v>43713</c:v>
                </c:pt>
                <c:pt idx="280">
                  <c:v>43712</c:v>
                </c:pt>
                <c:pt idx="281">
                  <c:v>43711</c:v>
                </c:pt>
                <c:pt idx="282">
                  <c:v>43710</c:v>
                </c:pt>
                <c:pt idx="283">
                  <c:v>43707</c:v>
                </c:pt>
                <c:pt idx="284">
                  <c:v>43706</c:v>
                </c:pt>
                <c:pt idx="285">
                  <c:v>43705</c:v>
                </c:pt>
                <c:pt idx="286">
                  <c:v>43704</c:v>
                </c:pt>
                <c:pt idx="287">
                  <c:v>43703</c:v>
                </c:pt>
                <c:pt idx="288">
                  <c:v>43700</c:v>
                </c:pt>
                <c:pt idx="289">
                  <c:v>43699</c:v>
                </c:pt>
                <c:pt idx="290">
                  <c:v>43698</c:v>
                </c:pt>
                <c:pt idx="291">
                  <c:v>43697</c:v>
                </c:pt>
                <c:pt idx="292">
                  <c:v>43696</c:v>
                </c:pt>
                <c:pt idx="293">
                  <c:v>43693</c:v>
                </c:pt>
                <c:pt idx="294">
                  <c:v>43692</c:v>
                </c:pt>
                <c:pt idx="295">
                  <c:v>43691</c:v>
                </c:pt>
                <c:pt idx="296">
                  <c:v>43690</c:v>
                </c:pt>
                <c:pt idx="297">
                  <c:v>43689</c:v>
                </c:pt>
                <c:pt idx="298">
                  <c:v>43686</c:v>
                </c:pt>
                <c:pt idx="299">
                  <c:v>43685</c:v>
                </c:pt>
                <c:pt idx="300">
                  <c:v>43684</c:v>
                </c:pt>
                <c:pt idx="301">
                  <c:v>43683</c:v>
                </c:pt>
                <c:pt idx="302">
                  <c:v>43682</c:v>
                </c:pt>
                <c:pt idx="303">
                  <c:v>43679</c:v>
                </c:pt>
                <c:pt idx="304">
                  <c:v>43678</c:v>
                </c:pt>
                <c:pt idx="305">
                  <c:v>43677</c:v>
                </c:pt>
                <c:pt idx="306">
                  <c:v>43676</c:v>
                </c:pt>
                <c:pt idx="307">
                  <c:v>43675</c:v>
                </c:pt>
                <c:pt idx="308">
                  <c:v>43672</c:v>
                </c:pt>
                <c:pt idx="309">
                  <c:v>43671</c:v>
                </c:pt>
                <c:pt idx="310">
                  <c:v>43670</c:v>
                </c:pt>
                <c:pt idx="311">
                  <c:v>43669</c:v>
                </c:pt>
                <c:pt idx="312">
                  <c:v>43668</c:v>
                </c:pt>
                <c:pt idx="313">
                  <c:v>43665</c:v>
                </c:pt>
                <c:pt idx="314">
                  <c:v>43664</c:v>
                </c:pt>
                <c:pt idx="315">
                  <c:v>43663</c:v>
                </c:pt>
                <c:pt idx="316">
                  <c:v>43662</c:v>
                </c:pt>
                <c:pt idx="317">
                  <c:v>43661</c:v>
                </c:pt>
                <c:pt idx="318">
                  <c:v>43658</c:v>
                </c:pt>
                <c:pt idx="319">
                  <c:v>43657</c:v>
                </c:pt>
                <c:pt idx="320">
                  <c:v>43656</c:v>
                </c:pt>
                <c:pt idx="321">
                  <c:v>43655</c:v>
                </c:pt>
                <c:pt idx="322">
                  <c:v>43654</c:v>
                </c:pt>
                <c:pt idx="323">
                  <c:v>43651</c:v>
                </c:pt>
                <c:pt idx="324">
                  <c:v>43650</c:v>
                </c:pt>
                <c:pt idx="325">
                  <c:v>43649</c:v>
                </c:pt>
                <c:pt idx="326">
                  <c:v>43648</c:v>
                </c:pt>
                <c:pt idx="327">
                  <c:v>43647</c:v>
                </c:pt>
                <c:pt idx="328">
                  <c:v>43644</c:v>
                </c:pt>
                <c:pt idx="329">
                  <c:v>43643</c:v>
                </c:pt>
                <c:pt idx="330">
                  <c:v>43642</c:v>
                </c:pt>
                <c:pt idx="331">
                  <c:v>43641</c:v>
                </c:pt>
                <c:pt idx="332">
                  <c:v>43640</c:v>
                </c:pt>
                <c:pt idx="333">
                  <c:v>43637</c:v>
                </c:pt>
              </c:numCache>
            </c:numRef>
          </c:cat>
          <c:val>
            <c:numRef>
              <c:f>'[Copy of Hartije od vrednosti na medjunarodnom trzistu SAJT.xlsx]EUROBOND 2029 offline'!$C$6:$C$333</c:f>
              <c:numCache>
                <c:formatCode>#,##0.000</c:formatCode>
                <c:ptCount val="328"/>
                <c:pt idx="0">
                  <c:v>1.903</c:v>
                </c:pt>
                <c:pt idx="1">
                  <c:v>1.887</c:v>
                </c:pt>
                <c:pt idx="2">
                  <c:v>1.8439999999999999</c:v>
                </c:pt>
                <c:pt idx="3">
                  <c:v>1.8399999999999999</c:v>
                </c:pt>
                <c:pt idx="4">
                  <c:v>1.833</c:v>
                </c:pt>
                <c:pt idx="5">
                  <c:v>1.7869999999999999</c:v>
                </c:pt>
                <c:pt idx="6">
                  <c:v>1.774</c:v>
                </c:pt>
                <c:pt idx="7">
                  <c:v>1.7530000000000001</c:v>
                </c:pt>
                <c:pt idx="8">
                  <c:v>1.7149999999999999</c:v>
                </c:pt>
                <c:pt idx="9">
                  <c:v>1.7130000000000001</c:v>
                </c:pt>
                <c:pt idx="10">
                  <c:v>1.704</c:v>
                </c:pt>
                <c:pt idx="11">
                  <c:v>1.7069999999999999</c:v>
                </c:pt>
                <c:pt idx="12">
                  <c:v>1.7410000000000001</c:v>
                </c:pt>
                <c:pt idx="13">
                  <c:v>1.7589999999999999</c:v>
                </c:pt>
                <c:pt idx="14">
                  <c:v>1.774</c:v>
                </c:pt>
                <c:pt idx="15">
                  <c:v>1.782</c:v>
                </c:pt>
                <c:pt idx="16">
                  <c:v>1.788</c:v>
                </c:pt>
                <c:pt idx="17">
                  <c:v>1.7869999999999999</c:v>
                </c:pt>
                <c:pt idx="18">
                  <c:v>1.798</c:v>
                </c:pt>
                <c:pt idx="19">
                  <c:v>1.8140000000000001</c:v>
                </c:pt>
                <c:pt idx="20">
                  <c:v>1.8460000000000001</c:v>
                </c:pt>
                <c:pt idx="21">
                  <c:v>1.877</c:v>
                </c:pt>
                <c:pt idx="22">
                  <c:v>1.891</c:v>
                </c:pt>
                <c:pt idx="23">
                  <c:v>1.8940000000000001</c:v>
                </c:pt>
                <c:pt idx="24">
                  <c:v>1.8919999999999999</c:v>
                </c:pt>
                <c:pt idx="25">
                  <c:v>1.899</c:v>
                </c:pt>
                <c:pt idx="26">
                  <c:v>1.8940000000000001</c:v>
                </c:pt>
                <c:pt idx="27">
                  <c:v>1.8959999999999999</c:v>
                </c:pt>
                <c:pt idx="28">
                  <c:v>1.899</c:v>
                </c:pt>
                <c:pt idx="29">
                  <c:v>1.9020000000000001</c:v>
                </c:pt>
                <c:pt idx="30">
                  <c:v>1.903</c:v>
                </c:pt>
                <c:pt idx="31">
                  <c:v>1.907</c:v>
                </c:pt>
                <c:pt idx="32">
                  <c:v>1.8980000000000001</c:v>
                </c:pt>
                <c:pt idx="33">
                  <c:v>1.9100000000000001</c:v>
                </c:pt>
                <c:pt idx="34">
                  <c:v>1.905</c:v>
                </c:pt>
                <c:pt idx="35">
                  <c:v>1.923</c:v>
                </c:pt>
                <c:pt idx="36">
                  <c:v>1.917</c:v>
                </c:pt>
                <c:pt idx="37">
                  <c:v>1.919</c:v>
                </c:pt>
                <c:pt idx="38">
                  <c:v>1.929</c:v>
                </c:pt>
                <c:pt idx="39">
                  <c:v>1.9510000000000001</c:v>
                </c:pt>
                <c:pt idx="40">
                  <c:v>1.972</c:v>
                </c:pt>
                <c:pt idx="41">
                  <c:v>2.0030000000000001</c:v>
                </c:pt>
                <c:pt idx="42">
                  <c:v>2.0150000000000001</c:v>
                </c:pt>
                <c:pt idx="43">
                  <c:v>2.0150000000000001</c:v>
                </c:pt>
                <c:pt idx="44">
                  <c:v>2.0089999999999999</c:v>
                </c:pt>
                <c:pt idx="45">
                  <c:v>1.982</c:v>
                </c:pt>
                <c:pt idx="46">
                  <c:v>1.98</c:v>
                </c:pt>
                <c:pt idx="47">
                  <c:v>1.966</c:v>
                </c:pt>
                <c:pt idx="48">
                  <c:v>1.954</c:v>
                </c:pt>
                <c:pt idx="49">
                  <c:v>1.9119999999999999</c:v>
                </c:pt>
                <c:pt idx="50">
                  <c:v>2.0030000000000001</c:v>
                </c:pt>
                <c:pt idx="51">
                  <c:v>2.056</c:v>
                </c:pt>
                <c:pt idx="52">
                  <c:v>2.1030000000000002</c:v>
                </c:pt>
                <c:pt idx="53">
                  <c:v>2.14</c:v>
                </c:pt>
                <c:pt idx="54">
                  <c:v>2.1669999999999998</c:v>
                </c:pt>
                <c:pt idx="55">
                  <c:v>2.177</c:v>
                </c:pt>
                <c:pt idx="56">
                  <c:v>2.1920000000000002</c:v>
                </c:pt>
                <c:pt idx="57">
                  <c:v>2.177</c:v>
                </c:pt>
                <c:pt idx="58">
                  <c:v>2.1749999999999998</c:v>
                </c:pt>
                <c:pt idx="59">
                  <c:v>2.13</c:v>
                </c:pt>
                <c:pt idx="60">
                  <c:v>2.0979999999999999</c:v>
                </c:pt>
                <c:pt idx="61">
                  <c:v>2.09</c:v>
                </c:pt>
                <c:pt idx="62">
                  <c:v>2.1320000000000001</c:v>
                </c:pt>
                <c:pt idx="63">
                  <c:v>2.1880000000000002</c:v>
                </c:pt>
                <c:pt idx="64">
                  <c:v>2.194</c:v>
                </c:pt>
                <c:pt idx="65">
                  <c:v>2.2309999999999999</c:v>
                </c:pt>
                <c:pt idx="66">
                  <c:v>2.2439999999999998</c:v>
                </c:pt>
                <c:pt idx="67">
                  <c:v>2.2560000000000002</c:v>
                </c:pt>
                <c:pt idx="68">
                  <c:v>2.2549999999999999</c:v>
                </c:pt>
                <c:pt idx="69">
                  <c:v>2.2629999999999999</c:v>
                </c:pt>
                <c:pt idx="70">
                  <c:v>2.2509999999999999</c:v>
                </c:pt>
                <c:pt idx="71">
                  <c:v>2.2400000000000002</c:v>
                </c:pt>
                <c:pt idx="72">
                  <c:v>2.25</c:v>
                </c:pt>
                <c:pt idx="73">
                  <c:v>2.2690000000000001</c:v>
                </c:pt>
                <c:pt idx="74">
                  <c:v>2.2749999999999999</c:v>
                </c:pt>
                <c:pt idx="75">
                  <c:v>2.2770000000000001</c:v>
                </c:pt>
                <c:pt idx="76">
                  <c:v>2.29</c:v>
                </c:pt>
                <c:pt idx="77">
                  <c:v>2.3860000000000001</c:v>
                </c:pt>
                <c:pt idx="78">
                  <c:v>2.3239999999999998</c:v>
                </c:pt>
                <c:pt idx="79">
                  <c:v>2.319</c:v>
                </c:pt>
                <c:pt idx="80">
                  <c:v>2.274</c:v>
                </c:pt>
                <c:pt idx="81">
                  <c:v>2.2040000000000002</c:v>
                </c:pt>
                <c:pt idx="82">
                  <c:v>2.1629999999999998</c:v>
                </c:pt>
                <c:pt idx="83">
                  <c:v>2.1749999999999998</c:v>
                </c:pt>
                <c:pt idx="84">
                  <c:v>2.169</c:v>
                </c:pt>
                <c:pt idx="85">
                  <c:v>2.1019999999999999</c:v>
                </c:pt>
                <c:pt idx="86">
                  <c:v>2.1110000000000002</c:v>
                </c:pt>
                <c:pt idx="87">
                  <c:v>2.1480000000000001</c:v>
                </c:pt>
                <c:pt idx="88">
                  <c:v>2.2170000000000001</c:v>
                </c:pt>
                <c:pt idx="89">
                  <c:v>2.4790000000000001</c:v>
                </c:pt>
                <c:pt idx="90">
                  <c:v>2.7279999999999998</c:v>
                </c:pt>
                <c:pt idx="91">
                  <c:v>2.88</c:v>
                </c:pt>
                <c:pt idx="92">
                  <c:v>2.9510000000000001</c:v>
                </c:pt>
                <c:pt idx="93">
                  <c:v>2.944</c:v>
                </c:pt>
                <c:pt idx="94">
                  <c:v>2.9550000000000001</c:v>
                </c:pt>
                <c:pt idx="95">
                  <c:v>2.9710000000000001</c:v>
                </c:pt>
                <c:pt idx="96">
                  <c:v>3.01</c:v>
                </c:pt>
                <c:pt idx="97">
                  <c:v>3.0459999999999998</c:v>
                </c:pt>
                <c:pt idx="98">
                  <c:v>3.06</c:v>
                </c:pt>
                <c:pt idx="99">
                  <c:v>3.0209999999999999</c:v>
                </c:pt>
                <c:pt idx="100">
                  <c:v>2.9430000000000001</c:v>
                </c:pt>
                <c:pt idx="101">
                  <c:v>2.9350000000000001</c:v>
                </c:pt>
                <c:pt idx="102">
                  <c:v>2.94</c:v>
                </c:pt>
                <c:pt idx="103">
                  <c:v>2.9950000000000001</c:v>
                </c:pt>
                <c:pt idx="104">
                  <c:v>3.0049999999999999</c:v>
                </c:pt>
                <c:pt idx="105">
                  <c:v>3.1219999999999999</c:v>
                </c:pt>
                <c:pt idx="106">
                  <c:v>3.1360000000000001</c:v>
                </c:pt>
                <c:pt idx="107">
                  <c:v>3.246</c:v>
                </c:pt>
                <c:pt idx="108">
                  <c:v>3.214</c:v>
                </c:pt>
                <c:pt idx="109">
                  <c:v>3.2090000000000001</c:v>
                </c:pt>
                <c:pt idx="110">
                  <c:v>3.1859999999999999</c:v>
                </c:pt>
                <c:pt idx="111">
                  <c:v>3.165</c:v>
                </c:pt>
                <c:pt idx="112">
                  <c:v>3.109</c:v>
                </c:pt>
                <c:pt idx="113">
                  <c:v>3.085</c:v>
                </c:pt>
                <c:pt idx="114">
                  <c:v>2.9790000000000001</c:v>
                </c:pt>
                <c:pt idx="115">
                  <c:v>2.9340000000000002</c:v>
                </c:pt>
                <c:pt idx="116">
                  <c:v>2.8839999999999999</c:v>
                </c:pt>
                <c:pt idx="117">
                  <c:v>2.8140000000000001</c:v>
                </c:pt>
                <c:pt idx="118">
                  <c:v>2.726</c:v>
                </c:pt>
                <c:pt idx="119">
                  <c:v>2.7090000000000001</c:v>
                </c:pt>
                <c:pt idx="120">
                  <c:v>2.71</c:v>
                </c:pt>
                <c:pt idx="121">
                  <c:v>2.73</c:v>
                </c:pt>
                <c:pt idx="122">
                  <c:v>2.7170000000000001</c:v>
                </c:pt>
                <c:pt idx="123">
                  <c:v>2.6879999999999997</c:v>
                </c:pt>
                <c:pt idx="124">
                  <c:v>2.6790000000000003</c:v>
                </c:pt>
                <c:pt idx="125">
                  <c:v>2.67</c:v>
                </c:pt>
                <c:pt idx="126">
                  <c:v>2.649</c:v>
                </c:pt>
                <c:pt idx="127">
                  <c:v>2.544</c:v>
                </c:pt>
                <c:pt idx="128">
                  <c:v>2.4990000000000001</c:v>
                </c:pt>
                <c:pt idx="129">
                  <c:v>2.4340000000000002</c:v>
                </c:pt>
                <c:pt idx="130">
                  <c:v>2.306</c:v>
                </c:pt>
                <c:pt idx="131">
                  <c:v>2.2509999999999999</c:v>
                </c:pt>
                <c:pt idx="132">
                  <c:v>2.214</c:v>
                </c:pt>
                <c:pt idx="133">
                  <c:v>2.194</c:v>
                </c:pt>
                <c:pt idx="134">
                  <c:v>2.121</c:v>
                </c:pt>
                <c:pt idx="135">
                  <c:v>2.0230000000000001</c:v>
                </c:pt>
                <c:pt idx="136">
                  <c:v>1.978</c:v>
                </c:pt>
                <c:pt idx="137">
                  <c:v>1.9060000000000001</c:v>
                </c:pt>
                <c:pt idx="138">
                  <c:v>1.7869999999999999</c:v>
                </c:pt>
                <c:pt idx="139">
                  <c:v>1.7330000000000001</c:v>
                </c:pt>
                <c:pt idx="140">
                  <c:v>1.5510000000000002</c:v>
                </c:pt>
                <c:pt idx="141">
                  <c:v>1.45</c:v>
                </c:pt>
                <c:pt idx="142">
                  <c:v>1.25</c:v>
                </c:pt>
                <c:pt idx="143">
                  <c:v>1.2010000000000001</c:v>
                </c:pt>
                <c:pt idx="144">
                  <c:v>1.1890000000000001</c:v>
                </c:pt>
                <c:pt idx="145">
                  <c:v>1.0880000000000001</c:v>
                </c:pt>
                <c:pt idx="146">
                  <c:v>1.0489999999999999</c:v>
                </c:pt>
                <c:pt idx="147">
                  <c:v>1.0089999999999999</c:v>
                </c:pt>
                <c:pt idx="148">
                  <c:v>1.107</c:v>
                </c:pt>
                <c:pt idx="149">
                  <c:v>1.226</c:v>
                </c:pt>
                <c:pt idx="150">
                  <c:v>1.173</c:v>
                </c:pt>
                <c:pt idx="151">
                  <c:v>1.0449999999999999</c:v>
                </c:pt>
                <c:pt idx="152">
                  <c:v>0.97399999999999998</c:v>
                </c:pt>
                <c:pt idx="153">
                  <c:v>0.93899999999999995</c:v>
                </c:pt>
                <c:pt idx="154">
                  <c:v>0.93</c:v>
                </c:pt>
                <c:pt idx="155">
                  <c:v>0.91500000000000004</c:v>
                </c:pt>
                <c:pt idx="156">
                  <c:v>0.92300000000000004</c:v>
                </c:pt>
                <c:pt idx="157">
                  <c:v>0.94399999999999995</c:v>
                </c:pt>
                <c:pt idx="158">
                  <c:v>0.96299999999999997</c:v>
                </c:pt>
                <c:pt idx="159">
                  <c:v>0.97699999999999998</c:v>
                </c:pt>
                <c:pt idx="160">
                  <c:v>0.97699999999999998</c:v>
                </c:pt>
                <c:pt idx="161">
                  <c:v>0.98099999999999998</c:v>
                </c:pt>
                <c:pt idx="162">
                  <c:v>1.008</c:v>
                </c:pt>
                <c:pt idx="163">
                  <c:v>1.018</c:v>
                </c:pt>
                <c:pt idx="164">
                  <c:v>1.0289999999999999</c:v>
                </c:pt>
                <c:pt idx="165">
                  <c:v>1.0369999999999999</c:v>
                </c:pt>
                <c:pt idx="166">
                  <c:v>1.073</c:v>
                </c:pt>
                <c:pt idx="167">
                  <c:v>1.1339999999999999</c:v>
                </c:pt>
                <c:pt idx="168">
                  <c:v>1.155</c:v>
                </c:pt>
                <c:pt idx="169">
                  <c:v>1.1579999999999999</c:v>
                </c:pt>
                <c:pt idx="170">
                  <c:v>1.1930000000000001</c:v>
                </c:pt>
                <c:pt idx="171">
                  <c:v>1.2190000000000001</c:v>
                </c:pt>
                <c:pt idx="172">
                  <c:v>1.228</c:v>
                </c:pt>
                <c:pt idx="173">
                  <c:v>1.252</c:v>
                </c:pt>
                <c:pt idx="174">
                  <c:v>1.2669999999999999</c:v>
                </c:pt>
                <c:pt idx="175">
                  <c:v>1.2709999999999999</c:v>
                </c:pt>
                <c:pt idx="176">
                  <c:v>1.278</c:v>
                </c:pt>
                <c:pt idx="177">
                  <c:v>1.288</c:v>
                </c:pt>
                <c:pt idx="178">
                  <c:v>1.2889999999999999</c:v>
                </c:pt>
                <c:pt idx="179">
                  <c:v>1.288</c:v>
                </c:pt>
                <c:pt idx="180">
                  <c:v>1.2869999999999999</c:v>
                </c:pt>
                <c:pt idx="181">
                  <c:v>1.286</c:v>
                </c:pt>
                <c:pt idx="182">
                  <c:v>1.282</c:v>
                </c:pt>
                <c:pt idx="183">
                  <c:v>1.27</c:v>
                </c:pt>
                <c:pt idx="184">
                  <c:v>1.268</c:v>
                </c:pt>
                <c:pt idx="185">
                  <c:v>1.2589999999999999</c:v>
                </c:pt>
                <c:pt idx="186">
                  <c:v>1.2650000000000001</c:v>
                </c:pt>
                <c:pt idx="187">
                  <c:v>1.2610000000000001</c:v>
                </c:pt>
                <c:pt idx="188">
                  <c:v>1.262</c:v>
                </c:pt>
                <c:pt idx="189">
                  <c:v>1.266</c:v>
                </c:pt>
                <c:pt idx="190">
                  <c:v>1.2629999999999999</c:v>
                </c:pt>
                <c:pt idx="191">
                  <c:v>1.272</c:v>
                </c:pt>
                <c:pt idx="192">
                  <c:v>1.2770000000000001</c:v>
                </c:pt>
                <c:pt idx="193">
                  <c:v>1.2709999999999999</c:v>
                </c:pt>
                <c:pt idx="194">
                  <c:v>1.268</c:v>
                </c:pt>
                <c:pt idx="195">
                  <c:v>1.27</c:v>
                </c:pt>
                <c:pt idx="196">
                  <c:v>1.268</c:v>
                </c:pt>
                <c:pt idx="197">
                  <c:v>1.2690000000000001</c:v>
                </c:pt>
                <c:pt idx="198">
                  <c:v>1.2669999999999999</c:v>
                </c:pt>
                <c:pt idx="199">
                  <c:v>1.268</c:v>
                </c:pt>
                <c:pt idx="200">
                  <c:v>1.2749999999999999</c:v>
                </c:pt>
                <c:pt idx="201">
                  <c:v>1.2889999999999999</c:v>
                </c:pt>
                <c:pt idx="202">
                  <c:v>1.3</c:v>
                </c:pt>
                <c:pt idx="203">
                  <c:v>1.3149999999999999</c:v>
                </c:pt>
                <c:pt idx="204">
                  <c:v>1.3180000000000001</c:v>
                </c:pt>
                <c:pt idx="205">
                  <c:v>1.321</c:v>
                </c:pt>
                <c:pt idx="206">
                  <c:v>1.3169999999999999</c:v>
                </c:pt>
                <c:pt idx="207">
                  <c:v>1.319</c:v>
                </c:pt>
                <c:pt idx="208">
                  <c:v>1.329</c:v>
                </c:pt>
                <c:pt idx="209">
                  <c:v>1.325</c:v>
                </c:pt>
                <c:pt idx="210">
                  <c:v>1.33</c:v>
                </c:pt>
                <c:pt idx="211">
                  <c:v>1.3320000000000001</c:v>
                </c:pt>
                <c:pt idx="212">
                  <c:v>1.3089999999999999</c:v>
                </c:pt>
                <c:pt idx="213">
                  <c:v>1.3080000000000001</c:v>
                </c:pt>
                <c:pt idx="214">
                  <c:v>1.3089999999999999</c:v>
                </c:pt>
                <c:pt idx="215">
                  <c:v>1.31</c:v>
                </c:pt>
                <c:pt idx="216">
                  <c:v>1.32</c:v>
                </c:pt>
                <c:pt idx="217">
                  <c:v>1.32</c:v>
                </c:pt>
                <c:pt idx="218">
                  <c:v>1.323</c:v>
                </c:pt>
                <c:pt idx="219">
                  <c:v>1.3149999999999999</c:v>
                </c:pt>
                <c:pt idx="220">
                  <c:v>1.341</c:v>
                </c:pt>
                <c:pt idx="221">
                  <c:v>1.3460000000000001</c:v>
                </c:pt>
                <c:pt idx="222">
                  <c:v>1.357</c:v>
                </c:pt>
                <c:pt idx="223">
                  <c:v>1.3559999999999999</c:v>
                </c:pt>
                <c:pt idx="224">
                  <c:v>1.389</c:v>
                </c:pt>
                <c:pt idx="225">
                  <c:v>1.379</c:v>
                </c:pt>
                <c:pt idx="226">
                  <c:v>1.367</c:v>
                </c:pt>
                <c:pt idx="227">
                  <c:v>1.347</c:v>
                </c:pt>
                <c:pt idx="228">
                  <c:v>1.2989999999999999</c:v>
                </c:pt>
                <c:pt idx="229">
                  <c:v>1.254</c:v>
                </c:pt>
                <c:pt idx="230">
                  <c:v>1.248</c:v>
                </c:pt>
                <c:pt idx="231">
                  <c:v>1.1559999999999999</c:v>
                </c:pt>
                <c:pt idx="232">
                  <c:v>1.141</c:v>
                </c:pt>
                <c:pt idx="233">
                  <c:v>1.1459999999999999</c:v>
                </c:pt>
                <c:pt idx="234">
                  <c:v>1.1459999999999999</c:v>
                </c:pt>
                <c:pt idx="235">
                  <c:v>1.1280000000000001</c:v>
                </c:pt>
                <c:pt idx="236">
                  <c:v>1.121</c:v>
                </c:pt>
                <c:pt idx="237">
                  <c:v>1.093</c:v>
                </c:pt>
                <c:pt idx="238">
                  <c:v>1.0920000000000001</c:v>
                </c:pt>
                <c:pt idx="239">
                  <c:v>1.089</c:v>
                </c:pt>
                <c:pt idx="240">
                  <c:v>1.0880000000000001</c:v>
                </c:pt>
                <c:pt idx="241">
                  <c:v>1.0840000000000001</c:v>
                </c:pt>
                <c:pt idx="242">
                  <c:v>1.0629999999999999</c:v>
                </c:pt>
                <c:pt idx="243">
                  <c:v>1.0609999999999999</c:v>
                </c:pt>
                <c:pt idx="244">
                  <c:v>1.0529999999999999</c:v>
                </c:pt>
                <c:pt idx="245">
                  <c:v>1.0489999999999999</c:v>
                </c:pt>
                <c:pt idx="246">
                  <c:v>1.046</c:v>
                </c:pt>
                <c:pt idx="247">
                  <c:v>1.0429999999999999</c:v>
                </c:pt>
                <c:pt idx="248">
                  <c:v>1.0409999999999999</c:v>
                </c:pt>
                <c:pt idx="249">
                  <c:v>1.036</c:v>
                </c:pt>
                <c:pt idx="250">
                  <c:v>1.0309999999999999</c:v>
                </c:pt>
                <c:pt idx="251">
                  <c:v>1.0269999999999999</c:v>
                </c:pt>
                <c:pt idx="252">
                  <c:v>1.0309999999999999</c:v>
                </c:pt>
                <c:pt idx="253">
                  <c:v>1.0309999999999999</c:v>
                </c:pt>
                <c:pt idx="254">
                  <c:v>1.0309999999999999</c:v>
                </c:pt>
                <c:pt idx="255">
                  <c:v>1.03</c:v>
                </c:pt>
                <c:pt idx="256">
                  <c:v>1.024</c:v>
                </c:pt>
                <c:pt idx="257">
                  <c:v>1.022</c:v>
                </c:pt>
                <c:pt idx="258">
                  <c:v>1.0189999999999999</c:v>
                </c:pt>
                <c:pt idx="259">
                  <c:v>1.0169999999999999</c:v>
                </c:pt>
                <c:pt idx="260">
                  <c:v>1.0069999999999999</c:v>
                </c:pt>
                <c:pt idx="261">
                  <c:v>1.01</c:v>
                </c:pt>
                <c:pt idx="262">
                  <c:v>1.032</c:v>
                </c:pt>
                <c:pt idx="263">
                  <c:v>1.03</c:v>
                </c:pt>
                <c:pt idx="264">
                  <c:v>1.0289999999999999</c:v>
                </c:pt>
                <c:pt idx="265">
                  <c:v>1.03</c:v>
                </c:pt>
                <c:pt idx="266">
                  <c:v>1.022</c:v>
                </c:pt>
                <c:pt idx="267">
                  <c:v>1.0129999999999999</c:v>
                </c:pt>
                <c:pt idx="268">
                  <c:v>0.97699999999999998</c:v>
                </c:pt>
                <c:pt idx="269">
                  <c:v>1.0089999999999999</c:v>
                </c:pt>
                <c:pt idx="270">
                  <c:v>1.004</c:v>
                </c:pt>
                <c:pt idx="271">
                  <c:v>0.998</c:v>
                </c:pt>
                <c:pt idx="272">
                  <c:v>0.995</c:v>
                </c:pt>
                <c:pt idx="273">
                  <c:v>0.99399999999999999</c:v>
                </c:pt>
                <c:pt idx="274">
                  <c:v>0.98599999999999999</c:v>
                </c:pt>
                <c:pt idx="275">
                  <c:v>1.002</c:v>
                </c:pt>
                <c:pt idx="276">
                  <c:v>1.0209999999999999</c:v>
                </c:pt>
                <c:pt idx="277">
                  <c:v>1.0269999999999999</c:v>
                </c:pt>
                <c:pt idx="278">
                  <c:v>1.0289999999999999</c:v>
                </c:pt>
                <c:pt idx="279">
                  <c:v>1.036</c:v>
                </c:pt>
                <c:pt idx="280">
                  <c:v>1.0629999999999999</c:v>
                </c:pt>
                <c:pt idx="281">
                  <c:v>1.071</c:v>
                </c:pt>
                <c:pt idx="282">
                  <c:v>1.0840000000000001</c:v>
                </c:pt>
                <c:pt idx="283">
                  <c:v>1.087</c:v>
                </c:pt>
                <c:pt idx="284">
                  <c:v>1.0880000000000001</c:v>
                </c:pt>
                <c:pt idx="285">
                  <c:v>1.101</c:v>
                </c:pt>
                <c:pt idx="286">
                  <c:v>1.107</c:v>
                </c:pt>
                <c:pt idx="287">
                  <c:v>1.0980000000000001</c:v>
                </c:pt>
                <c:pt idx="288">
                  <c:v>1.1679999999999999</c:v>
                </c:pt>
                <c:pt idx="289">
                  <c:v>1.204</c:v>
                </c:pt>
                <c:pt idx="290">
                  <c:v>1.268</c:v>
                </c:pt>
                <c:pt idx="291">
                  <c:v>1.292</c:v>
                </c:pt>
                <c:pt idx="292">
                  <c:v>1.302</c:v>
                </c:pt>
                <c:pt idx="293">
                  <c:v>1.325</c:v>
                </c:pt>
                <c:pt idx="294">
                  <c:v>1.337</c:v>
                </c:pt>
                <c:pt idx="295">
                  <c:v>1.377</c:v>
                </c:pt>
                <c:pt idx="296">
                  <c:v>1.3839999999999999</c:v>
                </c:pt>
                <c:pt idx="297">
                  <c:v>1.3820000000000001</c:v>
                </c:pt>
                <c:pt idx="298">
                  <c:v>1.3959999999999999</c:v>
                </c:pt>
                <c:pt idx="299">
                  <c:v>1.4079999999999999</c:v>
                </c:pt>
                <c:pt idx="300">
                  <c:v>1.423</c:v>
                </c:pt>
                <c:pt idx="301">
                  <c:v>1.4239999999999999</c:v>
                </c:pt>
                <c:pt idx="302">
                  <c:v>1.43</c:v>
                </c:pt>
                <c:pt idx="303">
                  <c:v>1.427</c:v>
                </c:pt>
                <c:pt idx="304">
                  <c:v>1.4570000000000001</c:v>
                </c:pt>
                <c:pt idx="305">
                  <c:v>1.4650000000000001</c:v>
                </c:pt>
                <c:pt idx="306">
                  <c:v>1.4689999999999999</c:v>
                </c:pt>
                <c:pt idx="307">
                  <c:v>1.5</c:v>
                </c:pt>
                <c:pt idx="308">
                  <c:v>1.5030000000000001</c:v>
                </c:pt>
                <c:pt idx="309">
                  <c:v>1.5009999999999999</c:v>
                </c:pt>
                <c:pt idx="310">
                  <c:v>1.5049999999999999</c:v>
                </c:pt>
                <c:pt idx="311">
                  <c:v>1.5129999999999999</c:v>
                </c:pt>
                <c:pt idx="312">
                  <c:v>1.5150000000000001</c:v>
                </c:pt>
                <c:pt idx="313">
                  <c:v>1.4990000000000001</c:v>
                </c:pt>
                <c:pt idx="314">
                  <c:v>1.482</c:v>
                </c:pt>
                <c:pt idx="315">
                  <c:v>1.4379999999999999</c:v>
                </c:pt>
                <c:pt idx="316">
                  <c:v>1.425</c:v>
                </c:pt>
                <c:pt idx="317">
                  <c:v>1.43</c:v>
                </c:pt>
                <c:pt idx="318">
                  <c:v>1.4390000000000001</c:v>
                </c:pt>
                <c:pt idx="319">
                  <c:v>1.458</c:v>
                </c:pt>
                <c:pt idx="320">
                  <c:v>1.496</c:v>
                </c:pt>
                <c:pt idx="321">
                  <c:v>1.5030000000000001</c:v>
                </c:pt>
                <c:pt idx="322">
                  <c:v>1.498</c:v>
                </c:pt>
                <c:pt idx="323">
                  <c:v>1.4969999999999999</c:v>
                </c:pt>
                <c:pt idx="324">
                  <c:v>1.4670000000000001</c:v>
                </c:pt>
                <c:pt idx="325">
                  <c:v>1.44</c:v>
                </c:pt>
                <c:pt idx="326">
                  <c:v>1.4330000000000001</c:v>
                </c:pt>
                <c:pt idx="327">
                  <c:v>1.4079999999999999</c:v>
                </c:pt>
              </c:numCache>
            </c:numRef>
          </c:val>
          <c:smooth val="0"/>
          <c:extLst>
            <c:ext xmlns:c16="http://schemas.microsoft.com/office/drawing/2014/chart" uri="{C3380CC4-5D6E-409C-BE32-E72D297353CC}">
              <c16:uniqueId val="{00000001-34E9-4DFE-94F4-DE3DDB11D81A}"/>
            </c:ext>
          </c:extLst>
        </c:ser>
        <c:dLbls>
          <c:showLegendKey val="0"/>
          <c:showVal val="0"/>
          <c:showCatName val="0"/>
          <c:showSerName val="0"/>
          <c:showPercent val="0"/>
          <c:showBubbleSize val="0"/>
        </c:dLbls>
        <c:marker val="1"/>
        <c:smooth val="0"/>
        <c:axId val="271601816"/>
        <c:axId val="271871672"/>
      </c:lineChart>
      <c:dateAx>
        <c:axId val="271870888"/>
        <c:scaling>
          <c:orientation val="minMax"/>
          <c:max val="44104"/>
          <c:min val="43645"/>
        </c:scaling>
        <c:delete val="0"/>
        <c:axPos val="b"/>
        <c:numFmt formatCode="m\/d\/yyyy" sourceLinked="0"/>
        <c:majorTickMark val="out"/>
        <c:minorTickMark val="none"/>
        <c:tickLblPos val="nextTo"/>
        <c:txPr>
          <a:bodyPr rot="-2700000"/>
          <a:lstStyle/>
          <a:p>
            <a:pPr>
              <a:defRPr/>
            </a:pPr>
            <a:endParaRPr lang="en-US"/>
          </a:p>
        </c:txPr>
        <c:crossAx val="271871280"/>
        <c:crosses val="autoZero"/>
        <c:auto val="1"/>
        <c:lblOffset val="100"/>
        <c:baseTimeUnit val="days"/>
        <c:majorUnit val="1"/>
        <c:majorTimeUnit val="months"/>
      </c:dateAx>
      <c:valAx>
        <c:axId val="271871280"/>
        <c:scaling>
          <c:orientation val="minMax"/>
          <c:max val="110"/>
          <c:min val="85"/>
        </c:scaling>
        <c:delete val="0"/>
        <c:axPos val="l"/>
        <c:numFmt formatCode="#,##0\ [$€-407]" sourceLinked="0"/>
        <c:majorTickMark val="out"/>
        <c:minorTickMark val="none"/>
        <c:tickLblPos val="nextTo"/>
        <c:crossAx val="271870888"/>
        <c:crosses val="autoZero"/>
        <c:crossBetween val="between"/>
        <c:majorUnit val="2"/>
      </c:valAx>
      <c:valAx>
        <c:axId val="271871672"/>
        <c:scaling>
          <c:orientation val="minMax"/>
          <c:max val="3.5"/>
          <c:min val="0.70000000000000007"/>
        </c:scaling>
        <c:delete val="0"/>
        <c:axPos val="r"/>
        <c:title>
          <c:tx>
            <c:rich>
              <a:bodyPr rot="-5400000" vert="horz"/>
              <a:lstStyle/>
              <a:p>
                <a:pPr>
                  <a:defRPr/>
                </a:pPr>
                <a:r>
                  <a:rPr lang="sr-Cyrl-RS"/>
                  <a:t>У процентима</a:t>
                </a:r>
                <a:endParaRPr lang="sr-Latn-RS"/>
              </a:p>
            </c:rich>
          </c:tx>
          <c:layout>
            <c:manualLayout>
              <c:xMode val="edge"/>
              <c:yMode val="edge"/>
              <c:x val="0.94700240594925633"/>
              <c:y val="0.25027113901511211"/>
            </c:manualLayout>
          </c:layout>
          <c:overlay val="0"/>
        </c:title>
        <c:numFmt formatCode="#,##0.00" sourceLinked="0"/>
        <c:majorTickMark val="out"/>
        <c:minorTickMark val="none"/>
        <c:tickLblPos val="nextTo"/>
        <c:crossAx val="271601816"/>
        <c:crosses val="max"/>
        <c:crossBetween val="between"/>
        <c:majorUnit val="0.30000000000000032"/>
      </c:valAx>
      <c:dateAx>
        <c:axId val="271601816"/>
        <c:scaling>
          <c:orientation val="minMax"/>
        </c:scaling>
        <c:delete val="1"/>
        <c:axPos val="b"/>
        <c:numFmt formatCode="dd\/mm\/yy" sourceLinked="1"/>
        <c:majorTickMark val="out"/>
        <c:minorTickMark val="none"/>
        <c:tickLblPos val="none"/>
        <c:crossAx val="271871672"/>
        <c:crosses val="autoZero"/>
        <c:auto val="1"/>
        <c:lblOffset val="100"/>
        <c:baseTimeUnit val="days"/>
      </c:dateAx>
    </c:plotArea>
    <c:legend>
      <c:legendPos val="r"/>
      <c:layout>
        <c:manualLayout>
          <c:xMode val="edge"/>
          <c:yMode val="edge"/>
          <c:x val="8.5432467493287464E-2"/>
          <c:y val="0.9030414454007204"/>
          <c:w val="0.85754009915427243"/>
          <c:h val="9.6655801745712019E-2"/>
        </c:manualLayout>
      </c:layout>
      <c:overlay val="0"/>
    </c:legend>
    <c:plotVisOnly val="1"/>
    <c:dispBlanksAs val="gap"/>
    <c:showDLblsOverMax val="0"/>
  </c:chart>
  <c:spPr>
    <a:ln>
      <a:noFill/>
    </a:ln>
  </c:spPr>
  <c:txPr>
    <a:bodyPr/>
    <a:lstStyle/>
    <a:p>
      <a:pPr>
        <a:defRPr sz="600">
          <a:latin typeface="+mn-lt"/>
          <a:cs typeface="Times New Roman" pitchFamily="18" charset="0"/>
        </a:defRPr>
      </a:pPr>
      <a:endParaRPr lang="en-US"/>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133405954974584"/>
          <c:y val="5.7482993197278905E-2"/>
          <c:w val="0.76869750181372043"/>
          <c:h val="0.69558894423911299"/>
        </c:manualLayout>
      </c:layout>
      <c:areaChart>
        <c:grouping val="standard"/>
        <c:varyColors val="0"/>
        <c:ser>
          <c:idx val="0"/>
          <c:order val="0"/>
          <c:tx>
            <c:strRef>
              <c:f>'[Copy of Hartije od vrednosti na medjunarodnom trzistu SAJT.xlsx]EUROBOND 2027 offline'!$B$4</c:f>
              <c:strCache>
                <c:ptCount val="1"/>
                <c:pt idx="0">
                  <c:v>Цена на затварању</c:v>
                </c:pt>
              </c:strCache>
            </c:strRef>
          </c:tx>
          <c:spPr>
            <a:solidFill>
              <a:srgbClr val="4472C4">
                <a:lumMod val="75000"/>
              </a:srgbClr>
            </a:solidFill>
            <a:ln w="25400">
              <a:noFill/>
            </a:ln>
          </c:spPr>
          <c:cat>
            <c:numRef>
              <c:f>'[Copy of Hartije od vrednosti na medjunarodnom trzistu SAJT.xlsx]EUROBOND 2027 offline'!$A$6:$A$106</c:f>
              <c:numCache>
                <c:formatCode>dd\/mm\/yy</c:formatCode>
                <c:ptCount val="101"/>
                <c:pt idx="0">
                  <c:v>44104</c:v>
                </c:pt>
                <c:pt idx="1">
                  <c:v>44103</c:v>
                </c:pt>
                <c:pt idx="2">
                  <c:v>44102</c:v>
                </c:pt>
                <c:pt idx="3">
                  <c:v>44099</c:v>
                </c:pt>
                <c:pt idx="4">
                  <c:v>44098</c:v>
                </c:pt>
                <c:pt idx="5">
                  <c:v>44097</c:v>
                </c:pt>
                <c:pt idx="6">
                  <c:v>44096</c:v>
                </c:pt>
                <c:pt idx="7">
                  <c:v>44095</c:v>
                </c:pt>
                <c:pt idx="8">
                  <c:v>44092</c:v>
                </c:pt>
                <c:pt idx="9">
                  <c:v>44091</c:v>
                </c:pt>
                <c:pt idx="10">
                  <c:v>44090</c:v>
                </c:pt>
                <c:pt idx="11">
                  <c:v>44089</c:v>
                </c:pt>
                <c:pt idx="12">
                  <c:v>44088</c:v>
                </c:pt>
                <c:pt idx="13">
                  <c:v>44085</c:v>
                </c:pt>
                <c:pt idx="14">
                  <c:v>44084</c:v>
                </c:pt>
                <c:pt idx="15">
                  <c:v>44083</c:v>
                </c:pt>
                <c:pt idx="16">
                  <c:v>44082</c:v>
                </c:pt>
                <c:pt idx="17">
                  <c:v>44081</c:v>
                </c:pt>
                <c:pt idx="18">
                  <c:v>44078</c:v>
                </c:pt>
                <c:pt idx="19">
                  <c:v>44077</c:v>
                </c:pt>
                <c:pt idx="20">
                  <c:v>44076</c:v>
                </c:pt>
                <c:pt idx="21">
                  <c:v>44075</c:v>
                </c:pt>
                <c:pt idx="22">
                  <c:v>44074</c:v>
                </c:pt>
                <c:pt idx="23">
                  <c:v>44071</c:v>
                </c:pt>
                <c:pt idx="24">
                  <c:v>44070</c:v>
                </c:pt>
                <c:pt idx="25">
                  <c:v>44069</c:v>
                </c:pt>
                <c:pt idx="26">
                  <c:v>44068</c:v>
                </c:pt>
                <c:pt idx="27">
                  <c:v>44067</c:v>
                </c:pt>
                <c:pt idx="28">
                  <c:v>44064</c:v>
                </c:pt>
                <c:pt idx="29">
                  <c:v>44063</c:v>
                </c:pt>
                <c:pt idx="30">
                  <c:v>44062</c:v>
                </c:pt>
                <c:pt idx="31">
                  <c:v>44061</c:v>
                </c:pt>
                <c:pt idx="32">
                  <c:v>44060</c:v>
                </c:pt>
                <c:pt idx="33">
                  <c:v>44057</c:v>
                </c:pt>
                <c:pt idx="34">
                  <c:v>44056</c:v>
                </c:pt>
                <c:pt idx="35">
                  <c:v>44055</c:v>
                </c:pt>
                <c:pt idx="36">
                  <c:v>44054</c:v>
                </c:pt>
                <c:pt idx="37">
                  <c:v>44053</c:v>
                </c:pt>
                <c:pt idx="38">
                  <c:v>44050</c:v>
                </c:pt>
                <c:pt idx="39">
                  <c:v>44049</c:v>
                </c:pt>
                <c:pt idx="40">
                  <c:v>44048</c:v>
                </c:pt>
                <c:pt idx="41">
                  <c:v>44047</c:v>
                </c:pt>
                <c:pt idx="42">
                  <c:v>44046</c:v>
                </c:pt>
                <c:pt idx="43">
                  <c:v>44043</c:v>
                </c:pt>
                <c:pt idx="44">
                  <c:v>44042</c:v>
                </c:pt>
                <c:pt idx="45">
                  <c:v>44041</c:v>
                </c:pt>
                <c:pt idx="46">
                  <c:v>44040</c:v>
                </c:pt>
                <c:pt idx="47">
                  <c:v>44039</c:v>
                </c:pt>
                <c:pt idx="48">
                  <c:v>44036</c:v>
                </c:pt>
                <c:pt idx="49">
                  <c:v>44035</c:v>
                </c:pt>
                <c:pt idx="50">
                  <c:v>44034</c:v>
                </c:pt>
                <c:pt idx="51">
                  <c:v>44033</c:v>
                </c:pt>
                <c:pt idx="52">
                  <c:v>44032</c:v>
                </c:pt>
                <c:pt idx="53">
                  <c:v>44029</c:v>
                </c:pt>
                <c:pt idx="54">
                  <c:v>44028</c:v>
                </c:pt>
                <c:pt idx="55">
                  <c:v>44027</c:v>
                </c:pt>
                <c:pt idx="56">
                  <c:v>44026</c:v>
                </c:pt>
                <c:pt idx="57">
                  <c:v>44025</c:v>
                </c:pt>
                <c:pt idx="58">
                  <c:v>44022</c:v>
                </c:pt>
                <c:pt idx="59">
                  <c:v>44021</c:v>
                </c:pt>
                <c:pt idx="60">
                  <c:v>44020</c:v>
                </c:pt>
                <c:pt idx="61">
                  <c:v>44019</c:v>
                </c:pt>
                <c:pt idx="62">
                  <c:v>44018</c:v>
                </c:pt>
                <c:pt idx="63">
                  <c:v>44015</c:v>
                </c:pt>
                <c:pt idx="64">
                  <c:v>44014</c:v>
                </c:pt>
                <c:pt idx="65">
                  <c:v>44013</c:v>
                </c:pt>
                <c:pt idx="66">
                  <c:v>44012</c:v>
                </c:pt>
                <c:pt idx="67">
                  <c:v>44011</c:v>
                </c:pt>
                <c:pt idx="68">
                  <c:v>44008</c:v>
                </c:pt>
                <c:pt idx="69">
                  <c:v>44007</c:v>
                </c:pt>
                <c:pt idx="70">
                  <c:v>44006</c:v>
                </c:pt>
                <c:pt idx="71">
                  <c:v>44005</c:v>
                </c:pt>
                <c:pt idx="72">
                  <c:v>44004</c:v>
                </c:pt>
                <c:pt idx="73">
                  <c:v>44001</c:v>
                </c:pt>
                <c:pt idx="74">
                  <c:v>44000</c:v>
                </c:pt>
                <c:pt idx="75">
                  <c:v>43999</c:v>
                </c:pt>
                <c:pt idx="76">
                  <c:v>43998</c:v>
                </c:pt>
                <c:pt idx="77">
                  <c:v>43997</c:v>
                </c:pt>
                <c:pt idx="78">
                  <c:v>43994</c:v>
                </c:pt>
                <c:pt idx="79">
                  <c:v>43993</c:v>
                </c:pt>
                <c:pt idx="80">
                  <c:v>43992</c:v>
                </c:pt>
                <c:pt idx="81">
                  <c:v>43991</c:v>
                </c:pt>
                <c:pt idx="82">
                  <c:v>43990</c:v>
                </c:pt>
                <c:pt idx="83">
                  <c:v>43987</c:v>
                </c:pt>
                <c:pt idx="84">
                  <c:v>43986</c:v>
                </c:pt>
                <c:pt idx="85">
                  <c:v>43985</c:v>
                </c:pt>
                <c:pt idx="86">
                  <c:v>43984</c:v>
                </c:pt>
                <c:pt idx="87">
                  <c:v>43983</c:v>
                </c:pt>
                <c:pt idx="88">
                  <c:v>43980</c:v>
                </c:pt>
                <c:pt idx="89">
                  <c:v>43979</c:v>
                </c:pt>
                <c:pt idx="90">
                  <c:v>43978</c:v>
                </c:pt>
                <c:pt idx="91">
                  <c:v>43977</c:v>
                </c:pt>
                <c:pt idx="92">
                  <c:v>43976</c:v>
                </c:pt>
                <c:pt idx="93">
                  <c:v>43973</c:v>
                </c:pt>
                <c:pt idx="94">
                  <c:v>43972</c:v>
                </c:pt>
                <c:pt idx="95">
                  <c:v>43971</c:v>
                </c:pt>
                <c:pt idx="96">
                  <c:v>43970</c:v>
                </c:pt>
                <c:pt idx="97">
                  <c:v>43969</c:v>
                </c:pt>
                <c:pt idx="98">
                  <c:v>43966</c:v>
                </c:pt>
                <c:pt idx="99">
                  <c:v>43965</c:v>
                </c:pt>
                <c:pt idx="100">
                  <c:v>43964</c:v>
                </c:pt>
              </c:numCache>
            </c:numRef>
          </c:cat>
          <c:val>
            <c:numRef>
              <c:f>'[Copy of Hartije od vrednosti na medjunarodnom trzistu SAJT.xlsx]EUROBOND 2027 offline'!$B$6:$B$106</c:f>
              <c:numCache>
                <c:formatCode>#,##0.000</c:formatCode>
                <c:ptCount val="101"/>
                <c:pt idx="0">
                  <c:v>107.099</c:v>
                </c:pt>
                <c:pt idx="1">
                  <c:v>107.15900000000001</c:v>
                </c:pt>
                <c:pt idx="2">
                  <c:v>107.447</c:v>
                </c:pt>
                <c:pt idx="3">
                  <c:v>107.47</c:v>
                </c:pt>
                <c:pt idx="4">
                  <c:v>107.462</c:v>
                </c:pt>
                <c:pt idx="5">
                  <c:v>107.703</c:v>
                </c:pt>
                <c:pt idx="6">
                  <c:v>107.762</c:v>
                </c:pt>
                <c:pt idx="7">
                  <c:v>107.9</c:v>
                </c:pt>
                <c:pt idx="8">
                  <c:v>108.238</c:v>
                </c:pt>
                <c:pt idx="9">
                  <c:v>108.248</c:v>
                </c:pt>
                <c:pt idx="10">
                  <c:v>108.298</c:v>
                </c:pt>
                <c:pt idx="11">
                  <c:v>108.255</c:v>
                </c:pt>
                <c:pt idx="12">
                  <c:v>107.976</c:v>
                </c:pt>
                <c:pt idx="13">
                  <c:v>107.843</c:v>
                </c:pt>
                <c:pt idx="14">
                  <c:v>107.785</c:v>
                </c:pt>
                <c:pt idx="15">
                  <c:v>107.744</c:v>
                </c:pt>
                <c:pt idx="16">
                  <c:v>107.714</c:v>
                </c:pt>
                <c:pt idx="17">
                  <c:v>107.741</c:v>
                </c:pt>
                <c:pt idx="18">
                  <c:v>107.711</c:v>
                </c:pt>
                <c:pt idx="19">
                  <c:v>107.602</c:v>
                </c:pt>
                <c:pt idx="20">
                  <c:v>107.489</c:v>
                </c:pt>
                <c:pt idx="21">
                  <c:v>107.264</c:v>
                </c:pt>
                <c:pt idx="22">
                  <c:v>107.23099999999999</c:v>
                </c:pt>
                <c:pt idx="23">
                  <c:v>107.212</c:v>
                </c:pt>
                <c:pt idx="24">
                  <c:v>107.242</c:v>
                </c:pt>
                <c:pt idx="25">
                  <c:v>107.258</c:v>
                </c:pt>
                <c:pt idx="26">
                  <c:v>107.256</c:v>
                </c:pt>
                <c:pt idx="27">
                  <c:v>107.29600000000001</c:v>
                </c:pt>
                <c:pt idx="28">
                  <c:v>107.259</c:v>
                </c:pt>
                <c:pt idx="29">
                  <c:v>107.256</c:v>
                </c:pt>
                <c:pt idx="30">
                  <c:v>107.265</c:v>
                </c:pt>
                <c:pt idx="31">
                  <c:v>107.25</c:v>
                </c:pt>
                <c:pt idx="32">
                  <c:v>107.34099999999999</c:v>
                </c:pt>
                <c:pt idx="33">
                  <c:v>107.324</c:v>
                </c:pt>
                <c:pt idx="34">
                  <c:v>107.358</c:v>
                </c:pt>
                <c:pt idx="35">
                  <c:v>107.20099999999999</c:v>
                </c:pt>
                <c:pt idx="36">
                  <c:v>107.242</c:v>
                </c:pt>
                <c:pt idx="37">
                  <c:v>107.196</c:v>
                </c:pt>
                <c:pt idx="38">
                  <c:v>107.04</c:v>
                </c:pt>
                <c:pt idx="39">
                  <c:v>106.967</c:v>
                </c:pt>
                <c:pt idx="40">
                  <c:v>106.833</c:v>
                </c:pt>
                <c:pt idx="41">
                  <c:v>106.72499999999999</c:v>
                </c:pt>
                <c:pt idx="42">
                  <c:v>106.658</c:v>
                </c:pt>
                <c:pt idx="43">
                  <c:v>106.63</c:v>
                </c:pt>
                <c:pt idx="44">
                  <c:v>106.623</c:v>
                </c:pt>
                <c:pt idx="45">
                  <c:v>106.854</c:v>
                </c:pt>
                <c:pt idx="46">
                  <c:v>106.923</c:v>
                </c:pt>
                <c:pt idx="47">
                  <c:v>107.059</c:v>
                </c:pt>
                <c:pt idx="48">
                  <c:v>107.191</c:v>
                </c:pt>
                <c:pt idx="49">
                  <c:v>107.684</c:v>
                </c:pt>
                <c:pt idx="50">
                  <c:v>106.65900000000001</c:v>
                </c:pt>
                <c:pt idx="51">
                  <c:v>106.36799999999999</c:v>
                </c:pt>
                <c:pt idx="52">
                  <c:v>106.02200000000001</c:v>
                </c:pt>
                <c:pt idx="53">
                  <c:v>105.786</c:v>
                </c:pt>
                <c:pt idx="54">
                  <c:v>105.54300000000001</c:v>
                </c:pt>
                <c:pt idx="55">
                  <c:v>105.477</c:v>
                </c:pt>
                <c:pt idx="56">
                  <c:v>105.29300000000001</c:v>
                </c:pt>
                <c:pt idx="57">
                  <c:v>105.383</c:v>
                </c:pt>
                <c:pt idx="58">
                  <c:v>105.465</c:v>
                </c:pt>
                <c:pt idx="59">
                  <c:v>105.77800000000001</c:v>
                </c:pt>
                <c:pt idx="60">
                  <c:v>106.14100000000001</c:v>
                </c:pt>
                <c:pt idx="61">
                  <c:v>106.11</c:v>
                </c:pt>
                <c:pt idx="62">
                  <c:v>105.73099999999999</c:v>
                </c:pt>
                <c:pt idx="63">
                  <c:v>105.417</c:v>
                </c:pt>
                <c:pt idx="64">
                  <c:v>105.28400000000001</c:v>
                </c:pt>
                <c:pt idx="65">
                  <c:v>104.90300000000001</c:v>
                </c:pt>
                <c:pt idx="66">
                  <c:v>104.837</c:v>
                </c:pt>
                <c:pt idx="67">
                  <c:v>104.81699999999999</c:v>
                </c:pt>
                <c:pt idx="68">
                  <c:v>104.80500000000001</c:v>
                </c:pt>
                <c:pt idx="69">
                  <c:v>104.756</c:v>
                </c:pt>
                <c:pt idx="70">
                  <c:v>104.95</c:v>
                </c:pt>
                <c:pt idx="71">
                  <c:v>105.08799999999999</c:v>
                </c:pt>
                <c:pt idx="72">
                  <c:v>105.093</c:v>
                </c:pt>
                <c:pt idx="73">
                  <c:v>104.76300000000001</c:v>
                </c:pt>
                <c:pt idx="74">
                  <c:v>104.72499999999999</c:v>
                </c:pt>
                <c:pt idx="75">
                  <c:v>104.74299999999999</c:v>
                </c:pt>
                <c:pt idx="76">
                  <c:v>104.746</c:v>
                </c:pt>
                <c:pt idx="77">
                  <c:v>104.06100000000001</c:v>
                </c:pt>
                <c:pt idx="78">
                  <c:v>104.414</c:v>
                </c:pt>
                <c:pt idx="79">
                  <c:v>104.46</c:v>
                </c:pt>
                <c:pt idx="80">
                  <c:v>104.753</c:v>
                </c:pt>
                <c:pt idx="81">
                  <c:v>105.068</c:v>
                </c:pt>
                <c:pt idx="82">
                  <c:v>105.42700000000001</c:v>
                </c:pt>
                <c:pt idx="83">
                  <c:v>105.30500000000001</c:v>
                </c:pt>
                <c:pt idx="84">
                  <c:v>105.45</c:v>
                </c:pt>
                <c:pt idx="85">
                  <c:v>105.90300000000001</c:v>
                </c:pt>
                <c:pt idx="86">
                  <c:v>105.872</c:v>
                </c:pt>
                <c:pt idx="87">
                  <c:v>105.636</c:v>
                </c:pt>
                <c:pt idx="88">
                  <c:v>104.98699999999999</c:v>
                </c:pt>
                <c:pt idx="89">
                  <c:v>103.114</c:v>
                </c:pt>
                <c:pt idx="90">
                  <c:v>101.827</c:v>
                </c:pt>
                <c:pt idx="91">
                  <c:v>101.152</c:v>
                </c:pt>
                <c:pt idx="92">
                  <c:v>100.71</c:v>
                </c:pt>
                <c:pt idx="93">
                  <c:v>100.72499999999999</c:v>
                </c:pt>
                <c:pt idx="94">
                  <c:v>100.809</c:v>
                </c:pt>
                <c:pt idx="95">
                  <c:v>100.602</c:v>
                </c:pt>
                <c:pt idx="96">
                  <c:v>100.462</c:v>
                </c:pt>
                <c:pt idx="97">
                  <c:v>100.101</c:v>
                </c:pt>
                <c:pt idx="98">
                  <c:v>99.855999999999995</c:v>
                </c:pt>
                <c:pt idx="99">
                  <c:v>99.766000000000005</c:v>
                </c:pt>
                <c:pt idx="100">
                  <c:v>100.315</c:v>
                </c:pt>
              </c:numCache>
            </c:numRef>
          </c:val>
          <c:extLst>
            <c:ext xmlns:c16="http://schemas.microsoft.com/office/drawing/2014/chart" uri="{C3380CC4-5D6E-409C-BE32-E72D297353CC}">
              <c16:uniqueId val="{00000000-3269-4E12-AC62-7DDC0A8B611B}"/>
            </c:ext>
          </c:extLst>
        </c:ser>
        <c:dLbls>
          <c:showLegendKey val="0"/>
          <c:showVal val="0"/>
          <c:showCatName val="0"/>
          <c:showSerName val="0"/>
          <c:showPercent val="0"/>
          <c:showBubbleSize val="0"/>
        </c:dLbls>
        <c:axId val="270131544"/>
        <c:axId val="270131936"/>
      </c:areaChart>
      <c:lineChart>
        <c:grouping val="standard"/>
        <c:varyColors val="0"/>
        <c:ser>
          <c:idx val="1"/>
          <c:order val="1"/>
          <c:tx>
            <c:strRef>
              <c:f>'[Copy of Hartije od vrednosti na medjunarodnom trzistu SAJT.xlsx]EUROBOND 2027 offline'!$C$4</c:f>
              <c:strCache>
                <c:ptCount val="1"/>
                <c:pt idx="0">
                  <c:v>Средњи принос до доспећа</c:v>
                </c:pt>
              </c:strCache>
            </c:strRef>
          </c:tx>
          <c:marker>
            <c:symbol val="none"/>
          </c:marker>
          <c:cat>
            <c:numRef>
              <c:f>'[Copy of Hartije od vrednosti na medjunarodnom trzistu SAJT.xlsx]EUROBOND 2027 offline'!$A$6:$A$106</c:f>
              <c:numCache>
                <c:formatCode>dd\/mm\/yy</c:formatCode>
                <c:ptCount val="101"/>
                <c:pt idx="0">
                  <c:v>44104</c:v>
                </c:pt>
                <c:pt idx="1">
                  <c:v>44103</c:v>
                </c:pt>
                <c:pt idx="2">
                  <c:v>44102</c:v>
                </c:pt>
                <c:pt idx="3">
                  <c:v>44099</c:v>
                </c:pt>
                <c:pt idx="4">
                  <c:v>44098</c:v>
                </c:pt>
                <c:pt idx="5">
                  <c:v>44097</c:v>
                </c:pt>
                <c:pt idx="6">
                  <c:v>44096</c:v>
                </c:pt>
                <c:pt idx="7">
                  <c:v>44095</c:v>
                </c:pt>
                <c:pt idx="8">
                  <c:v>44092</c:v>
                </c:pt>
                <c:pt idx="9">
                  <c:v>44091</c:v>
                </c:pt>
                <c:pt idx="10">
                  <c:v>44090</c:v>
                </c:pt>
                <c:pt idx="11">
                  <c:v>44089</c:v>
                </c:pt>
                <c:pt idx="12">
                  <c:v>44088</c:v>
                </c:pt>
                <c:pt idx="13">
                  <c:v>44085</c:v>
                </c:pt>
                <c:pt idx="14">
                  <c:v>44084</c:v>
                </c:pt>
                <c:pt idx="15">
                  <c:v>44083</c:v>
                </c:pt>
                <c:pt idx="16">
                  <c:v>44082</c:v>
                </c:pt>
                <c:pt idx="17">
                  <c:v>44081</c:v>
                </c:pt>
                <c:pt idx="18">
                  <c:v>44078</c:v>
                </c:pt>
                <c:pt idx="19">
                  <c:v>44077</c:v>
                </c:pt>
                <c:pt idx="20">
                  <c:v>44076</c:v>
                </c:pt>
                <c:pt idx="21">
                  <c:v>44075</c:v>
                </c:pt>
                <c:pt idx="22">
                  <c:v>44074</c:v>
                </c:pt>
                <c:pt idx="23">
                  <c:v>44071</c:v>
                </c:pt>
                <c:pt idx="24">
                  <c:v>44070</c:v>
                </c:pt>
                <c:pt idx="25">
                  <c:v>44069</c:v>
                </c:pt>
                <c:pt idx="26">
                  <c:v>44068</c:v>
                </c:pt>
                <c:pt idx="27">
                  <c:v>44067</c:v>
                </c:pt>
                <c:pt idx="28">
                  <c:v>44064</c:v>
                </c:pt>
                <c:pt idx="29">
                  <c:v>44063</c:v>
                </c:pt>
                <c:pt idx="30">
                  <c:v>44062</c:v>
                </c:pt>
                <c:pt idx="31">
                  <c:v>44061</c:v>
                </c:pt>
                <c:pt idx="32">
                  <c:v>44060</c:v>
                </c:pt>
                <c:pt idx="33">
                  <c:v>44057</c:v>
                </c:pt>
                <c:pt idx="34">
                  <c:v>44056</c:v>
                </c:pt>
                <c:pt idx="35">
                  <c:v>44055</c:v>
                </c:pt>
                <c:pt idx="36">
                  <c:v>44054</c:v>
                </c:pt>
                <c:pt idx="37">
                  <c:v>44053</c:v>
                </c:pt>
                <c:pt idx="38">
                  <c:v>44050</c:v>
                </c:pt>
                <c:pt idx="39">
                  <c:v>44049</c:v>
                </c:pt>
                <c:pt idx="40">
                  <c:v>44048</c:v>
                </c:pt>
                <c:pt idx="41">
                  <c:v>44047</c:v>
                </c:pt>
                <c:pt idx="42">
                  <c:v>44046</c:v>
                </c:pt>
                <c:pt idx="43">
                  <c:v>44043</c:v>
                </c:pt>
                <c:pt idx="44">
                  <c:v>44042</c:v>
                </c:pt>
                <c:pt idx="45">
                  <c:v>44041</c:v>
                </c:pt>
                <c:pt idx="46">
                  <c:v>44040</c:v>
                </c:pt>
                <c:pt idx="47">
                  <c:v>44039</c:v>
                </c:pt>
                <c:pt idx="48">
                  <c:v>44036</c:v>
                </c:pt>
                <c:pt idx="49">
                  <c:v>44035</c:v>
                </c:pt>
                <c:pt idx="50">
                  <c:v>44034</c:v>
                </c:pt>
                <c:pt idx="51">
                  <c:v>44033</c:v>
                </c:pt>
                <c:pt idx="52">
                  <c:v>44032</c:v>
                </c:pt>
                <c:pt idx="53">
                  <c:v>44029</c:v>
                </c:pt>
                <c:pt idx="54">
                  <c:v>44028</c:v>
                </c:pt>
                <c:pt idx="55">
                  <c:v>44027</c:v>
                </c:pt>
                <c:pt idx="56">
                  <c:v>44026</c:v>
                </c:pt>
                <c:pt idx="57">
                  <c:v>44025</c:v>
                </c:pt>
                <c:pt idx="58">
                  <c:v>44022</c:v>
                </c:pt>
                <c:pt idx="59">
                  <c:v>44021</c:v>
                </c:pt>
                <c:pt idx="60">
                  <c:v>44020</c:v>
                </c:pt>
                <c:pt idx="61">
                  <c:v>44019</c:v>
                </c:pt>
                <c:pt idx="62">
                  <c:v>44018</c:v>
                </c:pt>
                <c:pt idx="63">
                  <c:v>44015</c:v>
                </c:pt>
                <c:pt idx="64">
                  <c:v>44014</c:v>
                </c:pt>
                <c:pt idx="65">
                  <c:v>44013</c:v>
                </c:pt>
                <c:pt idx="66">
                  <c:v>44012</c:v>
                </c:pt>
                <c:pt idx="67">
                  <c:v>44011</c:v>
                </c:pt>
                <c:pt idx="68">
                  <c:v>44008</c:v>
                </c:pt>
                <c:pt idx="69">
                  <c:v>44007</c:v>
                </c:pt>
                <c:pt idx="70">
                  <c:v>44006</c:v>
                </c:pt>
                <c:pt idx="71">
                  <c:v>44005</c:v>
                </c:pt>
                <c:pt idx="72">
                  <c:v>44004</c:v>
                </c:pt>
                <c:pt idx="73">
                  <c:v>44001</c:v>
                </c:pt>
                <c:pt idx="74">
                  <c:v>44000</c:v>
                </c:pt>
                <c:pt idx="75">
                  <c:v>43999</c:v>
                </c:pt>
                <c:pt idx="76">
                  <c:v>43998</c:v>
                </c:pt>
                <c:pt idx="77">
                  <c:v>43997</c:v>
                </c:pt>
                <c:pt idx="78">
                  <c:v>43994</c:v>
                </c:pt>
                <c:pt idx="79">
                  <c:v>43993</c:v>
                </c:pt>
                <c:pt idx="80">
                  <c:v>43992</c:v>
                </c:pt>
                <c:pt idx="81">
                  <c:v>43991</c:v>
                </c:pt>
                <c:pt idx="82">
                  <c:v>43990</c:v>
                </c:pt>
                <c:pt idx="83">
                  <c:v>43987</c:v>
                </c:pt>
                <c:pt idx="84">
                  <c:v>43986</c:v>
                </c:pt>
                <c:pt idx="85">
                  <c:v>43985</c:v>
                </c:pt>
                <c:pt idx="86">
                  <c:v>43984</c:v>
                </c:pt>
                <c:pt idx="87">
                  <c:v>43983</c:v>
                </c:pt>
                <c:pt idx="88">
                  <c:v>43980</c:v>
                </c:pt>
                <c:pt idx="89">
                  <c:v>43979</c:v>
                </c:pt>
                <c:pt idx="90">
                  <c:v>43978</c:v>
                </c:pt>
                <c:pt idx="91">
                  <c:v>43977</c:v>
                </c:pt>
                <c:pt idx="92">
                  <c:v>43976</c:v>
                </c:pt>
                <c:pt idx="93">
                  <c:v>43973</c:v>
                </c:pt>
                <c:pt idx="94">
                  <c:v>43972</c:v>
                </c:pt>
                <c:pt idx="95">
                  <c:v>43971</c:v>
                </c:pt>
                <c:pt idx="96">
                  <c:v>43970</c:v>
                </c:pt>
                <c:pt idx="97">
                  <c:v>43969</c:v>
                </c:pt>
                <c:pt idx="98">
                  <c:v>43966</c:v>
                </c:pt>
                <c:pt idx="99">
                  <c:v>43965</c:v>
                </c:pt>
                <c:pt idx="100">
                  <c:v>43964</c:v>
                </c:pt>
              </c:numCache>
            </c:numRef>
          </c:cat>
          <c:val>
            <c:numRef>
              <c:f>'[Copy of Hartije od vrednosti na medjunarodnom trzistu SAJT.xlsx]EUROBOND 2027 offline'!$C$6:$C$106</c:f>
              <c:numCache>
                <c:formatCode>#,##0.000</c:formatCode>
                <c:ptCount val="101"/>
                <c:pt idx="0">
                  <c:v>1.9689999999999999</c:v>
                </c:pt>
                <c:pt idx="1">
                  <c:v>1.96</c:v>
                </c:pt>
                <c:pt idx="2">
                  <c:v>1.9159999999999999</c:v>
                </c:pt>
                <c:pt idx="3">
                  <c:v>1.913</c:v>
                </c:pt>
                <c:pt idx="4">
                  <c:v>1.9140000000000001</c:v>
                </c:pt>
                <c:pt idx="5">
                  <c:v>1.8780000000000001</c:v>
                </c:pt>
                <c:pt idx="6">
                  <c:v>1.87</c:v>
                </c:pt>
                <c:pt idx="7">
                  <c:v>1.849</c:v>
                </c:pt>
                <c:pt idx="8">
                  <c:v>1.7970000000000002</c:v>
                </c:pt>
                <c:pt idx="9">
                  <c:v>1.796</c:v>
                </c:pt>
                <c:pt idx="10">
                  <c:v>1.79</c:v>
                </c:pt>
                <c:pt idx="11">
                  <c:v>1.7970000000000002</c:v>
                </c:pt>
                <c:pt idx="12">
                  <c:v>1.841</c:v>
                </c:pt>
                <c:pt idx="13">
                  <c:v>1.861</c:v>
                </c:pt>
                <c:pt idx="14">
                  <c:v>1.871</c:v>
                </c:pt>
                <c:pt idx="15">
                  <c:v>1.879</c:v>
                </c:pt>
                <c:pt idx="16">
                  <c:v>1.8839999999999999</c:v>
                </c:pt>
                <c:pt idx="17">
                  <c:v>1.88</c:v>
                </c:pt>
                <c:pt idx="18">
                  <c:v>1.885</c:v>
                </c:pt>
                <c:pt idx="19">
                  <c:v>1.9020000000000001</c:v>
                </c:pt>
                <c:pt idx="20">
                  <c:v>1.921</c:v>
                </c:pt>
                <c:pt idx="21">
                  <c:v>1.956</c:v>
                </c:pt>
                <c:pt idx="22">
                  <c:v>1.9609999999999999</c:v>
                </c:pt>
                <c:pt idx="23">
                  <c:v>1.9649999999999999</c:v>
                </c:pt>
                <c:pt idx="24">
                  <c:v>1.9609999999999999</c:v>
                </c:pt>
                <c:pt idx="25">
                  <c:v>1.9590000000000001</c:v>
                </c:pt>
                <c:pt idx="26">
                  <c:v>1.96</c:v>
                </c:pt>
                <c:pt idx="27">
                  <c:v>1.9550000000000001</c:v>
                </c:pt>
                <c:pt idx="28">
                  <c:v>1.9609999999999999</c:v>
                </c:pt>
                <c:pt idx="29">
                  <c:v>1.962</c:v>
                </c:pt>
                <c:pt idx="30">
                  <c:v>1.9609999999999999</c:v>
                </c:pt>
                <c:pt idx="31">
                  <c:v>1.964</c:v>
                </c:pt>
                <c:pt idx="32">
                  <c:v>1.9510000000000001</c:v>
                </c:pt>
                <c:pt idx="33">
                  <c:v>1.954</c:v>
                </c:pt>
                <c:pt idx="34">
                  <c:v>1.9489999999999998</c:v>
                </c:pt>
                <c:pt idx="35">
                  <c:v>1.974</c:v>
                </c:pt>
                <c:pt idx="36">
                  <c:v>1.968</c:v>
                </c:pt>
                <c:pt idx="37">
                  <c:v>1.976</c:v>
                </c:pt>
                <c:pt idx="38">
                  <c:v>2</c:v>
                </c:pt>
                <c:pt idx="39">
                  <c:v>2.012</c:v>
                </c:pt>
                <c:pt idx="40">
                  <c:v>2.0339999999999998</c:v>
                </c:pt>
                <c:pt idx="41">
                  <c:v>2.0499999999999998</c:v>
                </c:pt>
                <c:pt idx="42">
                  <c:v>2.0609999999999999</c:v>
                </c:pt>
                <c:pt idx="43">
                  <c:v>2.0659999999999998</c:v>
                </c:pt>
                <c:pt idx="44">
                  <c:v>2.0670000000000002</c:v>
                </c:pt>
                <c:pt idx="45">
                  <c:v>2.0329999999999999</c:v>
                </c:pt>
                <c:pt idx="46">
                  <c:v>2.0230000000000001</c:v>
                </c:pt>
                <c:pt idx="47">
                  <c:v>2.0030000000000001</c:v>
                </c:pt>
                <c:pt idx="48">
                  <c:v>1.9830000000000001</c:v>
                </c:pt>
                <c:pt idx="49">
                  <c:v>1.909</c:v>
                </c:pt>
                <c:pt idx="50">
                  <c:v>2.0659999999999998</c:v>
                </c:pt>
                <c:pt idx="51">
                  <c:v>2.1110000000000002</c:v>
                </c:pt>
                <c:pt idx="52">
                  <c:v>2.1640000000000001</c:v>
                </c:pt>
                <c:pt idx="53">
                  <c:v>2.2010000000000001</c:v>
                </c:pt>
                <c:pt idx="54">
                  <c:v>2.2389999999999999</c:v>
                </c:pt>
                <c:pt idx="55">
                  <c:v>2.25</c:v>
                </c:pt>
                <c:pt idx="56">
                  <c:v>2.2789999999999999</c:v>
                </c:pt>
                <c:pt idx="57">
                  <c:v>2.2650000000000001</c:v>
                </c:pt>
                <c:pt idx="58">
                  <c:v>2.2530000000000001</c:v>
                </c:pt>
                <c:pt idx="59">
                  <c:v>2.2050000000000001</c:v>
                </c:pt>
                <c:pt idx="60">
                  <c:v>2.15</c:v>
                </c:pt>
                <c:pt idx="61">
                  <c:v>2.1549999999999998</c:v>
                </c:pt>
                <c:pt idx="62">
                  <c:v>2.214</c:v>
                </c:pt>
                <c:pt idx="63">
                  <c:v>2.262</c:v>
                </c:pt>
                <c:pt idx="64">
                  <c:v>2.2829999999999999</c:v>
                </c:pt>
                <c:pt idx="65">
                  <c:v>2.343</c:v>
                </c:pt>
                <c:pt idx="66">
                  <c:v>2.3529999999999998</c:v>
                </c:pt>
                <c:pt idx="67">
                  <c:v>2.3570000000000002</c:v>
                </c:pt>
                <c:pt idx="68">
                  <c:v>2.359</c:v>
                </c:pt>
                <c:pt idx="69">
                  <c:v>2.367</c:v>
                </c:pt>
                <c:pt idx="70">
                  <c:v>2.3380000000000001</c:v>
                </c:pt>
                <c:pt idx="71">
                  <c:v>2.3170000000000002</c:v>
                </c:pt>
                <c:pt idx="72">
                  <c:v>2.3159999999999998</c:v>
                </c:pt>
                <c:pt idx="73">
                  <c:v>2.367</c:v>
                </c:pt>
                <c:pt idx="74">
                  <c:v>2.3740000000000001</c:v>
                </c:pt>
                <c:pt idx="75">
                  <c:v>2.3719999999999999</c:v>
                </c:pt>
                <c:pt idx="76">
                  <c:v>2.371</c:v>
                </c:pt>
                <c:pt idx="77">
                  <c:v>2.4779999999999998</c:v>
                </c:pt>
                <c:pt idx="78">
                  <c:v>2.423</c:v>
                </c:pt>
                <c:pt idx="79">
                  <c:v>2.4159999999999999</c:v>
                </c:pt>
                <c:pt idx="80">
                  <c:v>2.3719999999999999</c:v>
                </c:pt>
                <c:pt idx="81">
                  <c:v>2.3239999999999998</c:v>
                </c:pt>
                <c:pt idx="82">
                  <c:v>2.2690000000000001</c:v>
                </c:pt>
                <c:pt idx="83">
                  <c:v>2.2879999999999998</c:v>
                </c:pt>
                <c:pt idx="84">
                  <c:v>2.266</c:v>
                </c:pt>
                <c:pt idx="85">
                  <c:v>2.1989999999999998</c:v>
                </c:pt>
                <c:pt idx="86">
                  <c:v>2.2040000000000002</c:v>
                </c:pt>
                <c:pt idx="87">
                  <c:v>2.2400000000000002</c:v>
                </c:pt>
                <c:pt idx="88">
                  <c:v>2.339</c:v>
                </c:pt>
                <c:pt idx="89">
                  <c:v>2.629</c:v>
                </c:pt>
                <c:pt idx="90">
                  <c:v>2.8319999999999999</c:v>
                </c:pt>
                <c:pt idx="91">
                  <c:v>2.9390000000000001</c:v>
                </c:pt>
                <c:pt idx="92">
                  <c:v>3.01</c:v>
                </c:pt>
                <c:pt idx="93">
                  <c:v>3.008</c:v>
                </c:pt>
                <c:pt idx="94">
                  <c:v>2.9950000000000001</c:v>
                </c:pt>
                <c:pt idx="95">
                  <c:v>3.028</c:v>
                </c:pt>
                <c:pt idx="96">
                  <c:v>3.05</c:v>
                </c:pt>
                <c:pt idx="97">
                  <c:v>3.109</c:v>
                </c:pt>
                <c:pt idx="98">
                  <c:v>3.1480000000000001</c:v>
                </c:pt>
                <c:pt idx="99">
                  <c:v>3.1629999999999998</c:v>
                </c:pt>
                <c:pt idx="100">
                  <c:v>3.0739999999999998</c:v>
                </c:pt>
              </c:numCache>
            </c:numRef>
          </c:val>
          <c:smooth val="0"/>
          <c:extLst>
            <c:ext xmlns:c16="http://schemas.microsoft.com/office/drawing/2014/chart" uri="{C3380CC4-5D6E-409C-BE32-E72D297353CC}">
              <c16:uniqueId val="{00000001-3269-4E12-AC62-7DDC0A8B611B}"/>
            </c:ext>
          </c:extLst>
        </c:ser>
        <c:dLbls>
          <c:showLegendKey val="0"/>
          <c:showVal val="0"/>
          <c:showCatName val="0"/>
          <c:showSerName val="0"/>
          <c:showPercent val="0"/>
          <c:showBubbleSize val="0"/>
        </c:dLbls>
        <c:marker val="1"/>
        <c:smooth val="0"/>
        <c:axId val="270132720"/>
        <c:axId val="270132328"/>
      </c:lineChart>
      <c:dateAx>
        <c:axId val="270131544"/>
        <c:scaling>
          <c:orientation val="minMax"/>
          <c:max val="44104"/>
          <c:min val="43982"/>
        </c:scaling>
        <c:delete val="0"/>
        <c:axPos val="b"/>
        <c:numFmt formatCode="dd\/mm\/yy" sourceLinked="1"/>
        <c:majorTickMark val="out"/>
        <c:minorTickMark val="none"/>
        <c:tickLblPos val="nextTo"/>
        <c:txPr>
          <a:bodyPr rot="-2700000"/>
          <a:lstStyle/>
          <a:p>
            <a:pPr>
              <a:defRPr/>
            </a:pPr>
            <a:endParaRPr lang="en-US"/>
          </a:p>
        </c:txPr>
        <c:crossAx val="270131936"/>
        <c:crosses val="autoZero"/>
        <c:auto val="1"/>
        <c:lblOffset val="100"/>
        <c:baseTimeUnit val="days"/>
        <c:majorUnit val="1"/>
        <c:majorTimeUnit val="months"/>
      </c:dateAx>
      <c:valAx>
        <c:axId val="270131936"/>
        <c:scaling>
          <c:orientation val="minMax"/>
          <c:max val="110"/>
          <c:min val="96"/>
        </c:scaling>
        <c:delete val="0"/>
        <c:axPos val="l"/>
        <c:numFmt formatCode="#,##0\ [$€-407]" sourceLinked="0"/>
        <c:majorTickMark val="out"/>
        <c:minorTickMark val="none"/>
        <c:tickLblPos val="nextTo"/>
        <c:crossAx val="270131544"/>
        <c:crosses val="autoZero"/>
        <c:crossBetween val="between"/>
        <c:majorUnit val="2"/>
      </c:valAx>
      <c:valAx>
        <c:axId val="270132328"/>
        <c:scaling>
          <c:orientation val="minMax"/>
          <c:max val="3.5"/>
          <c:min val="1"/>
        </c:scaling>
        <c:delete val="0"/>
        <c:axPos val="r"/>
        <c:numFmt formatCode="#,##0.00" sourceLinked="0"/>
        <c:majorTickMark val="out"/>
        <c:minorTickMark val="none"/>
        <c:tickLblPos val="nextTo"/>
        <c:crossAx val="270132720"/>
        <c:crosses val="max"/>
        <c:crossBetween val="between"/>
        <c:majorUnit val="0.30000000000000032"/>
      </c:valAx>
      <c:dateAx>
        <c:axId val="270132720"/>
        <c:scaling>
          <c:orientation val="minMax"/>
        </c:scaling>
        <c:delete val="1"/>
        <c:axPos val="b"/>
        <c:numFmt formatCode="dd\/mm\/yy" sourceLinked="1"/>
        <c:majorTickMark val="out"/>
        <c:minorTickMark val="none"/>
        <c:tickLblPos val="none"/>
        <c:crossAx val="270132328"/>
        <c:crosses val="autoZero"/>
        <c:auto val="1"/>
        <c:lblOffset val="100"/>
        <c:baseTimeUnit val="days"/>
      </c:dateAx>
    </c:plotArea>
    <c:legend>
      <c:legendPos val="r"/>
      <c:layout>
        <c:manualLayout>
          <c:xMode val="edge"/>
          <c:yMode val="edge"/>
          <c:x val="6.0437080781568953E-2"/>
          <c:y val="0.93387132828492148"/>
          <c:w val="0.90109944590259572"/>
          <c:h val="5.9446296296297024E-2"/>
        </c:manualLayout>
      </c:layout>
      <c:overlay val="0"/>
    </c:legend>
    <c:plotVisOnly val="1"/>
    <c:dispBlanksAs val="gap"/>
    <c:showDLblsOverMax val="0"/>
  </c:chart>
  <c:spPr>
    <a:ln>
      <a:noFill/>
    </a:ln>
  </c:spPr>
  <c:txPr>
    <a:bodyPr/>
    <a:lstStyle/>
    <a:p>
      <a:pPr>
        <a:defRPr sz="600">
          <a:latin typeface="+mn-lt"/>
          <a:cs typeface="Times New Roman" pitchFamily="18"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5.2416616367317417</c:v>
                </c:pt>
              </c:numCache>
            </c:numRef>
          </c:xVal>
          <c:yVal>
            <c:numRef>
              <c:f>'3Y_OUTPUT'!$C$124</c:f>
              <c:numCache>
                <c:formatCode>0.0</c:formatCode>
                <c:ptCount val="1"/>
                <c:pt idx="0">
                  <c:v>51.598533499394883</c:v>
                </c:pt>
              </c:numCache>
            </c:numRef>
          </c:yVal>
          <c:smooth val="0"/>
          <c:extLst>
            <c:ext xmlns:c16="http://schemas.microsoft.com/office/drawing/2014/chart" uri="{C3380CC4-5D6E-409C-BE32-E72D297353CC}">
              <c16:uniqueId val="{00000000-96B4-4757-82CF-C8712CFC23AC}"/>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c:formatCode>
                <c:ptCount val="1"/>
                <c:pt idx="0">
                  <c:v>5.1658499266914859</c:v>
                </c:pt>
              </c:numCache>
            </c:numRef>
          </c:xVal>
          <c:yVal>
            <c:numRef>
              <c:f>'3Y_OUTPUT'!$D$124</c:f>
              <c:numCache>
                <c:formatCode>0.0</c:formatCode>
                <c:ptCount val="1"/>
                <c:pt idx="0">
                  <c:v>51.664263925432699</c:v>
                </c:pt>
              </c:numCache>
            </c:numRef>
          </c:yVal>
          <c:smooth val="0"/>
          <c:extLst>
            <c:ext xmlns:c16="http://schemas.microsoft.com/office/drawing/2014/chart" uri="{C3380CC4-5D6E-409C-BE32-E72D297353CC}">
              <c16:uniqueId val="{00000001-96B4-4757-82CF-C8712CFC23AC}"/>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c:formatCode>
                <c:ptCount val="1"/>
                <c:pt idx="0">
                  <c:v>5.7002529567414442</c:v>
                </c:pt>
              </c:numCache>
            </c:numRef>
          </c:xVal>
          <c:yVal>
            <c:numRef>
              <c:f>'3Y_OUTPUT'!$E$124</c:f>
              <c:numCache>
                <c:formatCode>0.0</c:formatCode>
                <c:ptCount val="1"/>
                <c:pt idx="0">
                  <c:v>51.503695789871664</c:v>
                </c:pt>
              </c:numCache>
            </c:numRef>
          </c:yVal>
          <c:smooth val="0"/>
          <c:extLst>
            <c:ext xmlns:c16="http://schemas.microsoft.com/office/drawing/2014/chart" uri="{C3380CC4-5D6E-409C-BE32-E72D297353CC}">
              <c16:uniqueId val="{00000002-96B4-4757-82CF-C8712CFC23AC}"/>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4.6119510099057877</c:v>
                </c:pt>
              </c:numCache>
            </c:numRef>
          </c:xVal>
          <c:yVal>
            <c:numRef>
              <c:f>'3Y_OUTPUT'!$F$124</c:f>
              <c:numCache>
                <c:formatCode>0.0</c:formatCode>
                <c:ptCount val="1"/>
                <c:pt idx="0">
                  <c:v>51.686050154357368</c:v>
                </c:pt>
              </c:numCache>
            </c:numRef>
          </c:yVal>
          <c:smooth val="0"/>
          <c:extLst>
            <c:ext xmlns:c16="http://schemas.microsoft.com/office/drawing/2014/chart" uri="{C3380CC4-5D6E-409C-BE32-E72D297353CC}">
              <c16:uniqueId val="{00000003-96B4-4757-82CF-C8712CFC23AC}"/>
            </c:ext>
          </c:extLst>
        </c:ser>
        <c:dLbls>
          <c:showLegendKey val="0"/>
          <c:showVal val="0"/>
          <c:showCatName val="0"/>
          <c:showSerName val="0"/>
          <c:showPercent val="0"/>
          <c:showBubbleSize val="0"/>
        </c:dLbls>
        <c:axId val="244122464"/>
        <c:axId val="244103968"/>
      </c:scatterChart>
      <c:valAx>
        <c:axId val="244122464"/>
        <c:scaling>
          <c:orientation val="minMax"/>
          <c:max val="5.8"/>
          <c:min val="4.5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b="0">
                    <a:solidFill>
                      <a:schemeClr val="tx2"/>
                    </a:solidFill>
                    <a:latin typeface="+mn-lt"/>
                  </a:defRPr>
                </a:pPr>
                <a:r>
                  <a:rPr lang="sr-Cyrl-BA" b="0">
                    <a:solidFill>
                      <a:schemeClr val="tx2"/>
                    </a:solidFill>
                    <a:latin typeface="+mn-lt"/>
                  </a:rPr>
                  <a:t>Ризик</a:t>
                </a:r>
              </a:p>
            </c:rich>
          </c:tx>
          <c:layout>
            <c:manualLayout>
              <c:xMode val="edge"/>
              <c:yMode val="edge"/>
              <c:x val="0.4712499835945263"/>
              <c:y val="0.9355306116778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solidFill>
                  <a:schemeClr val="tx2"/>
                </a:solidFill>
                <a:latin typeface="+mn-lt"/>
              </a:defRPr>
            </a:pPr>
            <a:endParaRPr lang="en-US"/>
          </a:p>
        </c:txPr>
        <c:crossAx val="244103968"/>
        <c:crosses val="autoZero"/>
        <c:crossBetween val="midCat"/>
        <c:majorUnit val="0.2"/>
        <c:minorUnit val="0.1"/>
      </c:valAx>
      <c:valAx>
        <c:axId val="244103968"/>
        <c:scaling>
          <c:orientation val="minMax"/>
          <c:max val="51.75"/>
          <c:min val="51.449999999999996"/>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b="0">
                    <a:solidFill>
                      <a:schemeClr val="tx2"/>
                    </a:solidFill>
                    <a:latin typeface="+mn-lt"/>
                  </a:defRPr>
                </a:pPr>
                <a:r>
                  <a:rPr lang="sr-Cyrl-BA" b="0">
                    <a:solidFill>
                      <a:schemeClr val="tx2"/>
                    </a:solidFill>
                    <a:latin typeface="+mn-lt"/>
                  </a:rPr>
                  <a:t>Трошкови (%)</a:t>
                </a:r>
              </a:p>
            </c:rich>
          </c:tx>
          <c:layout>
            <c:manualLayout>
              <c:xMode val="edge"/>
              <c:yMode val="edge"/>
              <c:x val="4.2641600474437186E-3"/>
              <c:y val="0.32453201268393489"/>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solidFill>
                  <a:schemeClr val="tx2"/>
                </a:solidFill>
                <a:latin typeface="+mn-lt"/>
              </a:defRPr>
            </a:pPr>
            <a:endParaRPr lang="en-US"/>
          </a:p>
        </c:txPr>
        <c:crossAx val="244122464"/>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c:formatCode>
                <c:ptCount val="1"/>
                <c:pt idx="0">
                  <c:v>0.53003957370306543</c:v>
                </c:pt>
              </c:numCache>
            </c:numRef>
          </c:xVal>
          <c:yVal>
            <c:numRef>
              <c:f>'3Y_OUTPUT'!$C$134</c:f>
              <c:numCache>
                <c:formatCode>0.0</c:formatCode>
                <c:ptCount val="1"/>
                <c:pt idx="0">
                  <c:v>1.5502343951153161</c:v>
                </c:pt>
              </c:numCache>
            </c:numRef>
          </c:yVal>
          <c:smooth val="0"/>
          <c:extLst>
            <c:ext xmlns:c16="http://schemas.microsoft.com/office/drawing/2014/chart" uri="{C3380CC4-5D6E-409C-BE32-E72D297353CC}">
              <c16:uniqueId val="{00000000-D336-4FA5-B094-F2F5BE92B262}"/>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c:formatCode>
                <c:ptCount val="1"/>
                <c:pt idx="0">
                  <c:v>0.72284346169521596</c:v>
                </c:pt>
              </c:numCache>
            </c:numRef>
          </c:xVal>
          <c:yVal>
            <c:numRef>
              <c:f>'3Y_OUTPUT'!$D$134</c:f>
              <c:numCache>
                <c:formatCode>0.0</c:formatCode>
                <c:ptCount val="1"/>
                <c:pt idx="0">
                  <c:v>1.6038831736542525</c:v>
                </c:pt>
              </c:numCache>
            </c:numRef>
          </c:yVal>
          <c:smooth val="0"/>
          <c:extLst>
            <c:ext xmlns:c16="http://schemas.microsoft.com/office/drawing/2014/chart" uri="{C3380CC4-5D6E-409C-BE32-E72D297353CC}">
              <c16:uniqueId val="{00000001-D336-4FA5-B094-F2F5BE92B262}"/>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c:formatCode>
                <c:ptCount val="1"/>
                <c:pt idx="0">
                  <c:v>0.57013360964886806</c:v>
                </c:pt>
              </c:numCache>
            </c:numRef>
          </c:xVal>
          <c:yVal>
            <c:numRef>
              <c:f>'3Y_OUTPUT'!$E$134</c:f>
              <c:numCache>
                <c:formatCode>0.0</c:formatCode>
                <c:ptCount val="1"/>
                <c:pt idx="0">
                  <c:v>1.4041905628078779</c:v>
                </c:pt>
              </c:numCache>
            </c:numRef>
          </c:yVal>
          <c:smooth val="0"/>
          <c:extLst>
            <c:ext xmlns:c16="http://schemas.microsoft.com/office/drawing/2014/chart" uri="{C3380CC4-5D6E-409C-BE32-E72D297353CC}">
              <c16:uniqueId val="{00000002-D336-4FA5-B094-F2F5BE92B262}"/>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sz="750">
                    <a:solidFill>
                      <a:schemeClr val="tx2"/>
                    </a:solidFill>
                    <a:latin typeface="+mn-lt"/>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c:formatCode>
                <c:ptCount val="1"/>
                <c:pt idx="0">
                  <c:v>0.72240280884587516</c:v>
                </c:pt>
              </c:numCache>
            </c:numRef>
          </c:xVal>
          <c:yVal>
            <c:numRef>
              <c:f>'3Y_OUTPUT'!$F$134</c:f>
              <c:numCache>
                <c:formatCode>0.0</c:formatCode>
                <c:ptCount val="1"/>
                <c:pt idx="0">
                  <c:v>1.7114815028428689</c:v>
                </c:pt>
              </c:numCache>
            </c:numRef>
          </c:yVal>
          <c:smooth val="0"/>
          <c:extLst>
            <c:ext xmlns:c16="http://schemas.microsoft.com/office/drawing/2014/chart" uri="{C3380CC4-5D6E-409C-BE32-E72D297353CC}">
              <c16:uniqueId val="{00000003-D336-4FA5-B094-F2F5BE92B262}"/>
            </c:ext>
          </c:extLst>
        </c:ser>
        <c:dLbls>
          <c:showLegendKey val="0"/>
          <c:showVal val="0"/>
          <c:showCatName val="0"/>
          <c:showSerName val="0"/>
          <c:showPercent val="0"/>
          <c:showBubbleSize val="0"/>
        </c:dLbls>
        <c:axId val="244123008"/>
        <c:axId val="244106144"/>
      </c:scatterChart>
      <c:valAx>
        <c:axId val="244123008"/>
        <c:scaling>
          <c:orientation val="minMax"/>
          <c:max val="0.75000000000000011"/>
          <c:min val="0.5"/>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sz="750" b="0">
                    <a:solidFill>
                      <a:schemeClr val="tx2"/>
                    </a:solidFill>
                    <a:latin typeface="+mn-lt"/>
                  </a:defRPr>
                </a:pPr>
                <a:r>
                  <a:rPr lang="sr-Cyrl-RS" sz="750" b="0">
                    <a:solidFill>
                      <a:schemeClr val="tx2"/>
                    </a:solidFill>
                    <a:latin typeface="+mn-lt"/>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750">
                <a:solidFill>
                  <a:schemeClr val="tx2"/>
                </a:solidFill>
                <a:latin typeface="+mn-lt"/>
              </a:defRPr>
            </a:pPr>
            <a:endParaRPr lang="en-US"/>
          </a:p>
        </c:txPr>
        <c:crossAx val="244106144"/>
        <c:crosses val="autoZero"/>
        <c:crossBetween val="midCat"/>
      </c:valAx>
      <c:valAx>
        <c:axId val="244106144"/>
        <c:scaling>
          <c:orientation val="minMax"/>
          <c:max val="1.7500000000000002"/>
          <c:min val="1.35"/>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sz="750" b="0">
                    <a:solidFill>
                      <a:schemeClr val="tx2"/>
                    </a:solidFill>
                    <a:latin typeface="+mn-lt"/>
                  </a:defRPr>
                </a:pPr>
                <a:r>
                  <a:rPr lang="sr-Cyrl-CS" sz="750" b="0">
                    <a:solidFill>
                      <a:schemeClr val="tx2"/>
                    </a:solidFill>
                    <a:latin typeface="+mn-lt"/>
                  </a:rPr>
                  <a:t>Трошкови (%)</a:t>
                </a:r>
              </a:p>
            </c:rich>
          </c:tx>
          <c:layout>
            <c:manualLayout>
              <c:xMode val="edge"/>
              <c:yMode val="edge"/>
              <c:x val="5.5101280905570449E-3"/>
              <c:y val="0.269998211731044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750">
                <a:solidFill>
                  <a:schemeClr val="tx2"/>
                </a:solidFill>
                <a:latin typeface="+mn-lt"/>
              </a:defRPr>
            </a:pPr>
            <a:endParaRPr lang="en-US"/>
          </a:p>
        </c:txPr>
        <c:crossAx val="244123008"/>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en-US"/>
    </a:p>
  </c:txPr>
  <c:externalData r:id="rId1">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37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val>
          <c:smooth val="0"/>
          <c:extLst>
            <c:ext xmlns:c16="http://schemas.microsoft.com/office/drawing/2014/chart" uri="{C3380CC4-5D6E-409C-BE32-E72D297353CC}">
              <c16:uniqueId val="{00000000-06C0-48DF-A103-BAB2B8C0ED69}"/>
            </c:ext>
          </c:extLst>
        </c:ser>
        <c:ser>
          <c:idx val="1"/>
          <c:order val="1"/>
          <c:spPr>
            <a:ln w="28575" cap="rnd" cmpd="sng" algn="ctr">
              <a:solidFill>
                <a:schemeClr val="accent1">
                  <a:shade val="45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dLbl>
              <c:idx val="0"/>
              <c:layout>
                <c:manualLayout>
                  <c:x val="-1.6340833078365133E-2"/>
                  <c:y val="-7.7121788351884749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C0-48DF-A103-BAB2B8C0ED69}"/>
                </c:ext>
              </c:extLst>
            </c:dLbl>
            <c:dLbl>
              <c:idx val="1"/>
              <c:layout>
                <c:manualLayout>
                  <c:x val="-0.14031811531272154"/>
                  <c:y val="2.30297255361477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6C0-48DF-A103-BAB2B8C0ED69}"/>
                </c:ext>
              </c:extLst>
            </c:dLbl>
            <c:dLbl>
              <c:idx val="2"/>
              <c:layout>
                <c:manualLayout>
                  <c:x val="-2.3017319963536918E-2"/>
                  <c:y val="-2.84556345549105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6C0-48DF-A103-BAB2B8C0ED69}"/>
                </c:ext>
              </c:extLst>
            </c:dLbl>
            <c:dLbl>
              <c:idx val="3"/>
              <c:layout>
                <c:manualLayout>
                  <c:x val="-5.9737997831981741E-2"/>
                  <c:y val="3.37747326042555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C0-48DF-A103-BAB2B8C0ED69}"/>
                </c:ext>
              </c:extLst>
            </c:dLbl>
            <c:dLbl>
              <c:idx val="4"/>
              <c:layout>
                <c:manualLayout>
                  <c:x val="-3.9708537176466503E-2"/>
                  <c:y val="2.78480309700493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6C0-48DF-A103-BAB2B8C0ED69}"/>
                </c:ext>
              </c:extLst>
            </c:dLbl>
            <c:dLbl>
              <c:idx val="5"/>
              <c:layout>
                <c:manualLayout>
                  <c:x val="-5.0527865458217761E-2"/>
                  <c:y val="3.08113519742984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6C0-48DF-A103-BAB2B8C0ED69}"/>
                </c:ext>
              </c:extLst>
            </c:dLbl>
            <c:dLbl>
              <c:idx val="6"/>
              <c:layout>
                <c:manualLayout>
                  <c:x val="-7.5624636259634018E-2"/>
                  <c:y val="3.898796685573754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6C0-48DF-A103-BAB2B8C0ED69}"/>
                </c:ext>
              </c:extLst>
            </c:dLbl>
            <c:dLbl>
              <c:idx val="7"/>
              <c:layout>
                <c:manualLayout>
                  <c:x val="-7.9468593700550618E-3"/>
                  <c:y val="3.081138178715243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6C0-48DF-A103-BAB2B8C0ED69}"/>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kursa'!$H$57:$O$57</c:f>
              <c:numCache>
                <c:formatCode>#,##0.0</c:formatCode>
                <c:ptCount val="8"/>
                <c:pt idx="0">
                  <c:v>67.678479463063553</c:v>
                </c:pt>
                <c:pt idx="1">
                  <c:v>57.788223811969416</c:v>
                </c:pt>
                <c:pt idx="2">
                  <c:v>53.621882530067857</c:v>
                </c:pt>
                <c:pt idx="3">
                  <c:v>51.970945883657429</c:v>
                </c:pt>
                <c:pt idx="4">
                  <c:v>57.9</c:v>
                </c:pt>
                <c:pt idx="5">
                  <c:v>57.5</c:v>
                </c:pt>
                <c:pt idx="6">
                  <c:v>56.8</c:v>
                </c:pt>
                <c:pt idx="7">
                  <c:v>55</c:v>
                </c:pt>
              </c:numCache>
            </c:numRef>
          </c:val>
          <c:smooth val="0"/>
          <c:extLst>
            <c:ext xmlns:c16="http://schemas.microsoft.com/office/drawing/2014/chart" uri="{C3380CC4-5D6E-409C-BE32-E72D297353CC}">
              <c16:uniqueId val="{00000009-06C0-48DF-A103-BAB2B8C0ED69}"/>
            </c:ext>
          </c:extLst>
        </c:ser>
        <c:ser>
          <c:idx val="2"/>
          <c:order val="2"/>
          <c:spPr>
            <a:ln w="28575" cap="rnd" cmpd="sng" algn="ctr">
              <a:solidFill>
                <a:schemeClr val="accent1">
                  <a:shade val="53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kursa'!$H$58:$O$58</c:f>
              <c:numCache>
                <c:formatCode>#,##0.0</c:formatCode>
                <c:ptCount val="8"/>
                <c:pt idx="0">
                  <c:v>67.678479463063553</c:v>
                </c:pt>
                <c:pt idx="1">
                  <c:v>57.788223811969416</c:v>
                </c:pt>
                <c:pt idx="2">
                  <c:v>53.621882530067857</c:v>
                </c:pt>
                <c:pt idx="3">
                  <c:v>51.970945883657429</c:v>
                </c:pt>
                <c:pt idx="4">
                  <c:v>58.707927683577019</c:v>
                </c:pt>
                <c:pt idx="5">
                  <c:v>58.289862290950921</c:v>
                </c:pt>
                <c:pt idx="6">
                  <c:v>57.560203789929652</c:v>
                </c:pt>
                <c:pt idx="7">
                  <c:v>55.775238690396456</c:v>
                </c:pt>
              </c:numCache>
            </c:numRef>
          </c:val>
          <c:smooth val="0"/>
          <c:extLst>
            <c:ext xmlns:c16="http://schemas.microsoft.com/office/drawing/2014/chart" uri="{C3380CC4-5D6E-409C-BE32-E72D297353CC}">
              <c16:uniqueId val="{0000000A-06C0-48DF-A103-BAB2B8C0ED69}"/>
            </c:ext>
          </c:extLst>
        </c:ser>
        <c:ser>
          <c:idx val="3"/>
          <c:order val="3"/>
          <c:spPr>
            <a:ln w="28575" cap="rnd" cmpd="sng" algn="ctr">
              <a:solidFill>
                <a:schemeClr val="accent1">
                  <a:shade val="61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kursa'!$H$59:$O$59</c:f>
              <c:numCache>
                <c:formatCode>#,##0.0</c:formatCode>
                <c:ptCount val="8"/>
                <c:pt idx="0">
                  <c:v>67.678479463063553</c:v>
                </c:pt>
                <c:pt idx="1">
                  <c:v>57.788223811969416</c:v>
                </c:pt>
                <c:pt idx="2">
                  <c:v>53.621882530067857</c:v>
                </c:pt>
                <c:pt idx="3">
                  <c:v>51.9709458836574</c:v>
                </c:pt>
                <c:pt idx="4">
                  <c:v>59.529908134283779</c:v>
                </c:pt>
                <c:pt idx="5">
                  <c:v>59.094653289050839</c:v>
                </c:pt>
                <c:pt idx="6">
                  <c:v>58.332519073614584</c:v>
                </c:pt>
                <c:pt idx="7">
                  <c:v>56.523604166116051</c:v>
                </c:pt>
              </c:numCache>
            </c:numRef>
          </c:val>
          <c:smooth val="0"/>
          <c:extLst>
            <c:ext xmlns:c16="http://schemas.microsoft.com/office/drawing/2014/chart" uri="{C3380CC4-5D6E-409C-BE32-E72D297353CC}">
              <c16:uniqueId val="{0000000B-06C0-48DF-A103-BAB2B8C0ED69}"/>
            </c:ext>
          </c:extLst>
        </c:ser>
        <c:ser>
          <c:idx val="4"/>
          <c:order val="4"/>
          <c:spPr>
            <a:ln w="28575" cap="rnd" cmpd="sng" algn="ctr">
              <a:solidFill>
                <a:schemeClr val="accent1">
                  <a:shade val="68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kursa'!$H$60:$O$60</c:f>
              <c:numCache>
                <c:formatCode>#,##0.0</c:formatCode>
                <c:ptCount val="8"/>
                <c:pt idx="0">
                  <c:v>67.678479463063553</c:v>
                </c:pt>
                <c:pt idx="1">
                  <c:v>57.788223811969416</c:v>
                </c:pt>
                <c:pt idx="2">
                  <c:v>53.621882530067857</c:v>
                </c:pt>
                <c:pt idx="3">
                  <c:v>51.9709458836574</c:v>
                </c:pt>
                <c:pt idx="4">
                  <c:v>60.35188858499054</c:v>
                </c:pt>
                <c:pt idx="5">
                  <c:v>59.89944428715075</c:v>
                </c:pt>
                <c:pt idx="6">
                  <c:v>59.104834357299509</c:v>
                </c:pt>
                <c:pt idx="7">
                  <c:v>57.271969641835661</c:v>
                </c:pt>
              </c:numCache>
            </c:numRef>
          </c:val>
          <c:smooth val="0"/>
          <c:extLst>
            <c:ext xmlns:c16="http://schemas.microsoft.com/office/drawing/2014/chart" uri="{C3380CC4-5D6E-409C-BE32-E72D297353CC}">
              <c16:uniqueId val="{0000000C-06C0-48DF-A103-BAB2B8C0ED69}"/>
            </c:ext>
          </c:extLst>
        </c:ser>
        <c:ser>
          <c:idx val="5"/>
          <c:order val="5"/>
          <c:spPr>
            <a:ln w="28575" cap="rnd" cmpd="sng" algn="ctr">
              <a:solidFill>
                <a:schemeClr val="accent1">
                  <a:shade val="76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kursa'!$H$61:$O$61</c:f>
              <c:numCache>
                <c:formatCode>#,##0.0</c:formatCode>
                <c:ptCount val="8"/>
                <c:pt idx="0">
                  <c:v>67.678479463063553</c:v>
                </c:pt>
                <c:pt idx="1">
                  <c:v>57.788223811969416</c:v>
                </c:pt>
                <c:pt idx="2">
                  <c:v>53.621882530067857</c:v>
                </c:pt>
                <c:pt idx="3">
                  <c:v>51.9709458836574</c:v>
                </c:pt>
                <c:pt idx="4">
                  <c:v>61.173869035697301</c:v>
                </c:pt>
                <c:pt idx="5">
                  <c:v>60.704235285250661</c:v>
                </c:pt>
                <c:pt idx="6">
                  <c:v>59.877149640984442</c:v>
                </c:pt>
                <c:pt idx="7">
                  <c:v>58.020335117555277</c:v>
                </c:pt>
              </c:numCache>
            </c:numRef>
          </c:val>
          <c:smooth val="0"/>
          <c:extLst>
            <c:ext xmlns:c16="http://schemas.microsoft.com/office/drawing/2014/chart" uri="{C3380CC4-5D6E-409C-BE32-E72D297353CC}">
              <c16:uniqueId val="{0000000D-06C0-48DF-A103-BAB2B8C0ED69}"/>
            </c:ext>
          </c:extLst>
        </c:ser>
        <c:ser>
          <c:idx val="6"/>
          <c:order val="6"/>
          <c:spPr>
            <a:ln w="28575" cap="rnd" cmpd="sng" algn="ctr">
              <a:solidFill>
                <a:schemeClr val="accent1">
                  <a:shade val="84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E-06C0-48DF-A103-BAB2B8C0ED69}"/>
                </c:ext>
              </c:extLst>
            </c:dLbl>
            <c:dLbl>
              <c:idx val="1"/>
              <c:delete val="1"/>
              <c:extLst>
                <c:ext xmlns:c15="http://schemas.microsoft.com/office/drawing/2012/chart" uri="{CE6537A1-D6FC-4f65-9D91-7224C49458BB}"/>
                <c:ext xmlns:c16="http://schemas.microsoft.com/office/drawing/2014/chart" uri="{C3380CC4-5D6E-409C-BE32-E72D297353CC}">
                  <c16:uniqueId val="{0000000F-06C0-48DF-A103-BAB2B8C0ED69}"/>
                </c:ext>
              </c:extLst>
            </c:dLbl>
            <c:dLbl>
              <c:idx val="2"/>
              <c:delete val="1"/>
              <c:extLst>
                <c:ext xmlns:c15="http://schemas.microsoft.com/office/drawing/2012/chart" uri="{CE6537A1-D6FC-4f65-9D91-7224C49458BB}"/>
                <c:ext xmlns:c16="http://schemas.microsoft.com/office/drawing/2014/chart" uri="{C3380CC4-5D6E-409C-BE32-E72D297353CC}">
                  <c16:uniqueId val="{00000010-06C0-48DF-A103-BAB2B8C0ED69}"/>
                </c:ext>
              </c:extLst>
            </c:dLbl>
            <c:dLbl>
              <c:idx val="3"/>
              <c:delete val="1"/>
              <c:extLst>
                <c:ext xmlns:c15="http://schemas.microsoft.com/office/drawing/2012/chart" uri="{CE6537A1-D6FC-4f65-9D91-7224C49458BB}"/>
                <c:ext xmlns:c16="http://schemas.microsoft.com/office/drawing/2014/chart" uri="{C3380CC4-5D6E-409C-BE32-E72D297353CC}">
                  <c16:uniqueId val="{00000011-06C0-48DF-A103-BAB2B8C0ED69}"/>
                </c:ext>
              </c:extLst>
            </c:dLbl>
            <c:dLbl>
              <c:idx val="4"/>
              <c:layout>
                <c:manualLayout>
                  <c:x val="-7.1747639880267097E-2"/>
                  <c:y val="-4.04027787614038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06C0-48DF-A103-BAB2B8C0ED69}"/>
                </c:ext>
              </c:extLst>
            </c:dLbl>
            <c:dLbl>
              <c:idx val="5"/>
              <c:layout>
                <c:manualLayout>
                  <c:x val="-7.1747639880267181E-2"/>
                  <c:y val="-4.04027787614038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06C0-48DF-A103-BAB2B8C0ED69}"/>
                </c:ext>
              </c:extLst>
            </c:dLbl>
            <c:dLbl>
              <c:idx val="6"/>
              <c:layout>
                <c:manualLayout>
                  <c:x val="-7.1747639880267097E-2"/>
                  <c:y val="-4.44910862021233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06C0-48DF-A103-BAB2B8C0ED6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kursa'!$H$62:$O$62</c:f>
              <c:numCache>
                <c:formatCode>#,##0.0</c:formatCode>
                <c:ptCount val="8"/>
                <c:pt idx="0">
                  <c:v>67.678479463063553</c:v>
                </c:pt>
                <c:pt idx="1">
                  <c:v>57.788223811969416</c:v>
                </c:pt>
                <c:pt idx="2">
                  <c:v>53.621882530067857</c:v>
                </c:pt>
                <c:pt idx="3">
                  <c:v>51.9709458836574</c:v>
                </c:pt>
                <c:pt idx="4">
                  <c:v>61.995849486404055</c:v>
                </c:pt>
                <c:pt idx="5">
                  <c:v>61.509026283350586</c:v>
                </c:pt>
                <c:pt idx="6">
                  <c:v>60.649464924669374</c:v>
                </c:pt>
                <c:pt idx="7">
                  <c:v>58.768700593274872</c:v>
                </c:pt>
              </c:numCache>
            </c:numRef>
          </c:val>
          <c:smooth val="0"/>
          <c:extLst>
            <c:ext xmlns:c16="http://schemas.microsoft.com/office/drawing/2014/chart" uri="{C3380CC4-5D6E-409C-BE32-E72D297353CC}">
              <c16:uniqueId val="{00000012-06C0-48DF-A103-BAB2B8C0ED69}"/>
            </c:ext>
          </c:extLst>
        </c:ser>
        <c:ser>
          <c:idx val="7"/>
          <c:order val="7"/>
          <c:spPr>
            <a:ln w="28575" cap="rnd" cmpd="sng" algn="ctr">
              <a:solidFill>
                <a:schemeClr val="accent1">
                  <a:shade val="92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kursa'!#REF!</c:f>
              <c:numCache>
                <c:formatCode>General</c:formatCode>
                <c:ptCount val="1"/>
                <c:pt idx="0">
                  <c:v>1</c:v>
                </c:pt>
              </c:numCache>
            </c:numRef>
          </c:val>
          <c:smooth val="0"/>
          <c:extLst>
            <c:ext xmlns:c16="http://schemas.microsoft.com/office/drawing/2014/chart" uri="{C3380CC4-5D6E-409C-BE32-E72D297353CC}">
              <c16:uniqueId val="{00000013-06C0-48DF-A103-BAB2B8C0ED69}"/>
            </c:ext>
          </c:extLst>
        </c:ser>
        <c:ser>
          <c:idx val="8"/>
          <c:order val="8"/>
          <c:spPr>
            <a:ln w="28575" cap="rnd" cmpd="sng" algn="ctr">
              <a:solidFill>
                <a:schemeClr val="accent1">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kursa'!#REF!</c:f>
              <c:numCache>
                <c:formatCode>General</c:formatCode>
                <c:ptCount val="1"/>
                <c:pt idx="0">
                  <c:v>1</c:v>
                </c:pt>
              </c:numCache>
            </c:numRef>
          </c:val>
          <c:smooth val="0"/>
          <c:extLst>
            <c:ext xmlns:c16="http://schemas.microsoft.com/office/drawing/2014/chart" uri="{C3380CC4-5D6E-409C-BE32-E72D297353CC}">
              <c16:uniqueId val="{00000014-06C0-48DF-A103-BAB2B8C0ED69}"/>
            </c:ext>
          </c:extLst>
        </c:ser>
        <c:ser>
          <c:idx val="9"/>
          <c:order val="9"/>
          <c:spPr>
            <a:ln w="28575" cap="rnd" cmpd="sng" algn="ctr">
              <a:solidFill>
                <a:schemeClr val="accent1">
                  <a:tint val="93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kursa'!#REF!</c:f>
              <c:numCache>
                <c:formatCode>General</c:formatCode>
                <c:ptCount val="1"/>
                <c:pt idx="0">
                  <c:v>1</c:v>
                </c:pt>
              </c:numCache>
            </c:numRef>
          </c:val>
          <c:smooth val="0"/>
          <c:extLst>
            <c:ext xmlns:c16="http://schemas.microsoft.com/office/drawing/2014/chart" uri="{C3380CC4-5D6E-409C-BE32-E72D297353CC}">
              <c16:uniqueId val="{00000015-06C0-48DF-A103-BAB2B8C0ED69}"/>
            </c:ext>
          </c:extLst>
        </c:ser>
        <c:ser>
          <c:idx val="10"/>
          <c:order val="10"/>
          <c:spPr>
            <a:ln w="28575" cap="rnd" cmpd="sng" algn="ctr">
              <a:solidFill>
                <a:schemeClr val="accent1">
                  <a:tint val="85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kursa'!#REF!</c:f>
              <c:numCache>
                <c:formatCode>General</c:formatCode>
                <c:ptCount val="1"/>
                <c:pt idx="0">
                  <c:v>1</c:v>
                </c:pt>
              </c:numCache>
            </c:numRef>
          </c:val>
          <c:smooth val="0"/>
          <c:extLst>
            <c:ext xmlns:c16="http://schemas.microsoft.com/office/drawing/2014/chart" uri="{C3380CC4-5D6E-409C-BE32-E72D297353CC}">
              <c16:uniqueId val="{00000016-06C0-48DF-A103-BAB2B8C0ED69}"/>
            </c:ext>
          </c:extLst>
        </c:ser>
        <c:ser>
          <c:idx val="11"/>
          <c:order val="11"/>
          <c:spPr>
            <a:ln w="28575" cap="rnd" cmpd="sng" algn="ctr">
              <a:solidFill>
                <a:schemeClr val="accent1">
                  <a:tint val="77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7-06C0-48DF-A103-BAB2B8C0ED69}"/>
                </c:ext>
              </c:extLst>
            </c:dLbl>
            <c:dLbl>
              <c:idx val="1"/>
              <c:delete val="1"/>
              <c:extLst>
                <c:ext xmlns:c15="http://schemas.microsoft.com/office/drawing/2012/chart" uri="{CE6537A1-D6FC-4f65-9D91-7224C49458BB}"/>
                <c:ext xmlns:c16="http://schemas.microsoft.com/office/drawing/2014/chart" uri="{C3380CC4-5D6E-409C-BE32-E72D297353CC}">
                  <c16:uniqueId val="{00000018-06C0-48DF-A103-BAB2B8C0ED69}"/>
                </c:ext>
              </c:extLst>
            </c:dLbl>
            <c:dLbl>
              <c:idx val="2"/>
              <c:delete val="1"/>
              <c:extLst>
                <c:ext xmlns:c15="http://schemas.microsoft.com/office/drawing/2012/chart" uri="{CE6537A1-D6FC-4f65-9D91-7224C49458BB}"/>
                <c:ext xmlns:c16="http://schemas.microsoft.com/office/drawing/2014/chart" uri="{C3380CC4-5D6E-409C-BE32-E72D297353CC}">
                  <c16:uniqueId val="{00000019-06C0-48DF-A103-BAB2B8C0ED69}"/>
                </c:ext>
              </c:extLst>
            </c:dLbl>
            <c:dLbl>
              <c:idx val="3"/>
              <c:delete val="1"/>
              <c:extLst>
                <c:ext xmlns:c15="http://schemas.microsoft.com/office/drawing/2012/chart" uri="{CE6537A1-D6FC-4f65-9D91-7224C49458BB}"/>
                <c:ext xmlns:c16="http://schemas.microsoft.com/office/drawing/2014/chart" uri="{C3380CC4-5D6E-409C-BE32-E72D297353CC}">
                  <c16:uniqueId val="{0000001A-06C0-48DF-A103-BAB2B8C0ED69}"/>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kursa'!#REF!</c:f>
              <c:numCache>
                <c:formatCode>General</c:formatCode>
                <c:ptCount val="1"/>
                <c:pt idx="0">
                  <c:v>1</c:v>
                </c:pt>
              </c:numCache>
            </c:numRef>
          </c:val>
          <c:smooth val="0"/>
          <c:extLst>
            <c:ext xmlns:c16="http://schemas.microsoft.com/office/drawing/2014/chart" uri="{C3380CC4-5D6E-409C-BE32-E72D297353CC}">
              <c16:uniqueId val="{0000001B-06C0-48DF-A103-BAB2B8C0ED69}"/>
            </c:ext>
          </c:extLst>
        </c:ser>
        <c:ser>
          <c:idx val="12"/>
          <c:order val="12"/>
          <c:spPr>
            <a:ln w="28575" cap="rnd" cmpd="sng" algn="ctr">
              <a:solidFill>
                <a:schemeClr val="accent1">
                  <a:tint val="69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kursa'!$H$63:$O$63</c:f>
              <c:numCache>
                <c:formatCode>#,##0.0</c:formatCode>
                <c:ptCount val="8"/>
                <c:pt idx="0">
                  <c:v>67.678479463063553</c:v>
                </c:pt>
                <c:pt idx="1">
                  <c:v>57.788223811969416</c:v>
                </c:pt>
                <c:pt idx="2">
                  <c:v>53.621882530067857</c:v>
                </c:pt>
                <c:pt idx="3">
                  <c:v>51.9709458836574</c:v>
                </c:pt>
                <c:pt idx="4">
                  <c:v>57.063966782163511</c:v>
                </c:pt>
                <c:pt idx="5">
                  <c:v>56.680280294751093</c:v>
                </c:pt>
                <c:pt idx="6">
                  <c:v>56.015573222559802</c:v>
                </c:pt>
                <c:pt idx="7">
                  <c:v>54.278507738957252</c:v>
                </c:pt>
              </c:numCache>
            </c:numRef>
          </c:val>
          <c:smooth val="0"/>
          <c:extLst>
            <c:ext xmlns:c16="http://schemas.microsoft.com/office/drawing/2014/chart" uri="{C3380CC4-5D6E-409C-BE32-E72D297353CC}">
              <c16:uniqueId val="{0000001C-06C0-48DF-A103-BAB2B8C0ED69}"/>
            </c:ext>
          </c:extLst>
        </c:ser>
        <c:ser>
          <c:idx val="13"/>
          <c:order val="13"/>
          <c:spPr>
            <a:ln w="28575" cap="rnd" cmpd="sng" algn="ctr">
              <a:solidFill>
                <a:schemeClr val="accent1">
                  <a:tint val="62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kursa'!$H$64:$O$64</c:f>
              <c:numCache>
                <c:formatCode>#,##0.0</c:formatCode>
                <c:ptCount val="8"/>
                <c:pt idx="0">
                  <c:v>67.678479463063553</c:v>
                </c:pt>
                <c:pt idx="1">
                  <c:v>57.788223811969416</c:v>
                </c:pt>
                <c:pt idx="2">
                  <c:v>53.621882530067857</c:v>
                </c:pt>
                <c:pt idx="3">
                  <c:v>51.9709458836574</c:v>
                </c:pt>
                <c:pt idx="4">
                  <c:v>55.686281238021195</c:v>
                </c:pt>
                <c:pt idx="5">
                  <c:v>55.875489296651168</c:v>
                </c:pt>
                <c:pt idx="6">
                  <c:v>55.243257938874869</c:v>
                </c:pt>
                <c:pt idx="7">
                  <c:v>53.530142263237636</c:v>
                </c:pt>
              </c:numCache>
            </c:numRef>
          </c:val>
          <c:smooth val="0"/>
          <c:extLst>
            <c:ext xmlns:c16="http://schemas.microsoft.com/office/drawing/2014/chart" uri="{C3380CC4-5D6E-409C-BE32-E72D297353CC}">
              <c16:uniqueId val="{0000001D-06C0-48DF-A103-BAB2B8C0ED69}"/>
            </c:ext>
          </c:extLst>
        </c:ser>
        <c:ser>
          <c:idx val="14"/>
          <c:order val="14"/>
          <c:spPr>
            <a:ln w="28575" cap="rnd" cmpd="sng" algn="ctr">
              <a:solidFill>
                <a:schemeClr val="accent1">
                  <a:tint val="54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kursa'!$H$65:$O$65</c:f>
              <c:numCache>
                <c:formatCode>#,##0.0</c:formatCode>
                <c:ptCount val="8"/>
                <c:pt idx="0">
                  <c:v>67.678479463063553</c:v>
                </c:pt>
                <c:pt idx="1">
                  <c:v>57.788223811969416</c:v>
                </c:pt>
                <c:pt idx="2">
                  <c:v>53.621882530067857</c:v>
                </c:pt>
                <c:pt idx="3">
                  <c:v>51.9709458836574</c:v>
                </c:pt>
                <c:pt idx="4">
                  <c:v>55.385274312410274</c:v>
                </c:pt>
                <c:pt idx="5">
                  <c:v>55.070698298551271</c:v>
                </c:pt>
                <c:pt idx="6">
                  <c:v>54.470942655189937</c:v>
                </c:pt>
                <c:pt idx="7">
                  <c:v>52.781776787518019</c:v>
                </c:pt>
              </c:numCache>
            </c:numRef>
          </c:val>
          <c:smooth val="0"/>
          <c:extLst>
            <c:ext xmlns:c16="http://schemas.microsoft.com/office/drawing/2014/chart" uri="{C3380CC4-5D6E-409C-BE32-E72D297353CC}">
              <c16:uniqueId val="{0000001E-06C0-48DF-A103-BAB2B8C0ED69}"/>
            </c:ext>
          </c:extLst>
        </c:ser>
        <c:ser>
          <c:idx val="15"/>
          <c:order val="15"/>
          <c:spPr>
            <a:ln w="28575" cap="rnd" cmpd="sng" algn="ctr">
              <a:solidFill>
                <a:schemeClr val="accent1">
                  <a:tint val="46000"/>
                  <a:shade val="95000"/>
                  <a:satMod val="105000"/>
                </a:schemeClr>
              </a:solidFill>
              <a:prstDash val="solid"/>
              <a:round/>
            </a:ln>
            <a:effectLst/>
          </c:spPr>
          <c:marker>
            <c:symbol val="none"/>
          </c:marker>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kursa'!$H$66:$O$66</c:f>
              <c:numCache>
                <c:formatCode>#,##0.0</c:formatCode>
                <c:ptCount val="8"/>
                <c:pt idx="0">
                  <c:v>67.678479463063553</c:v>
                </c:pt>
                <c:pt idx="1">
                  <c:v>57.788223811969416</c:v>
                </c:pt>
                <c:pt idx="2">
                  <c:v>53.621882530067857</c:v>
                </c:pt>
                <c:pt idx="3">
                  <c:v>51.9709458836574</c:v>
                </c:pt>
                <c:pt idx="4">
                  <c:v>54.598025430043229</c:v>
                </c:pt>
                <c:pt idx="5">
                  <c:v>54.265907300451353</c:v>
                </c:pt>
                <c:pt idx="6">
                  <c:v>53.698627371505012</c:v>
                </c:pt>
                <c:pt idx="7">
                  <c:v>52.033411311798424</c:v>
                </c:pt>
              </c:numCache>
            </c:numRef>
          </c:val>
          <c:smooth val="0"/>
          <c:extLst>
            <c:ext xmlns:c16="http://schemas.microsoft.com/office/drawing/2014/chart" uri="{C3380CC4-5D6E-409C-BE32-E72D297353CC}">
              <c16:uniqueId val="{0000001F-06C0-48DF-A103-BAB2B8C0ED69}"/>
            </c:ext>
          </c:extLst>
        </c:ser>
        <c:ser>
          <c:idx val="16"/>
          <c:order val="16"/>
          <c:spPr>
            <a:ln w="28575" cap="rnd" cmpd="sng" algn="ctr">
              <a:solidFill>
                <a:schemeClr val="accent1">
                  <a:tint val="38000"/>
                  <a:shade val="95000"/>
                  <a:satMod val="105000"/>
                </a:schemeClr>
              </a:solidFill>
              <a:prstDash val="solid"/>
              <a:round/>
            </a:ln>
            <a:effectLst/>
          </c:spPr>
          <c:marker>
            <c:spPr>
              <a:solidFill>
                <a:schemeClr val="accent1">
                  <a:tint val="38000"/>
                </a:schemeClr>
              </a:solidFill>
              <a:ln w="9525" cap="flat" cmpd="sng" algn="ctr">
                <a:solidFill>
                  <a:schemeClr val="accent1">
                    <a:tint val="38000"/>
                    <a:shade val="95000"/>
                    <a:satMod val="105000"/>
                  </a:schemeClr>
                </a:solidFill>
                <a:prstDash val="solid"/>
                <a:round/>
              </a:ln>
              <a:effectLst/>
            </c:spPr>
          </c:marker>
          <c:dLbls>
            <c:dLbl>
              <c:idx val="0"/>
              <c:delete val="1"/>
              <c:extLst>
                <c:ext xmlns:c15="http://schemas.microsoft.com/office/drawing/2012/chart" uri="{CE6537A1-D6FC-4f65-9D91-7224C49458BB}"/>
                <c:ext xmlns:c16="http://schemas.microsoft.com/office/drawing/2014/chart" uri="{C3380CC4-5D6E-409C-BE32-E72D297353CC}">
                  <c16:uniqueId val="{00000020-06C0-48DF-A103-BAB2B8C0ED69}"/>
                </c:ext>
              </c:extLst>
            </c:dLbl>
            <c:dLbl>
              <c:idx val="1"/>
              <c:delete val="1"/>
              <c:extLst>
                <c:ext xmlns:c15="http://schemas.microsoft.com/office/drawing/2012/chart" uri="{CE6537A1-D6FC-4f65-9D91-7224C49458BB}"/>
                <c:ext xmlns:c16="http://schemas.microsoft.com/office/drawing/2014/chart" uri="{C3380CC4-5D6E-409C-BE32-E72D297353CC}">
                  <c16:uniqueId val="{00000021-06C0-48DF-A103-BAB2B8C0ED69}"/>
                </c:ext>
              </c:extLst>
            </c:dLbl>
            <c:dLbl>
              <c:idx val="2"/>
              <c:delete val="1"/>
              <c:extLst>
                <c:ext xmlns:c15="http://schemas.microsoft.com/office/drawing/2012/chart" uri="{CE6537A1-D6FC-4f65-9D91-7224C49458BB}"/>
                <c:ext xmlns:c16="http://schemas.microsoft.com/office/drawing/2014/chart" uri="{C3380CC4-5D6E-409C-BE32-E72D297353CC}">
                  <c16:uniqueId val="{00000022-06C0-48DF-A103-BAB2B8C0ED69}"/>
                </c:ext>
              </c:extLst>
            </c:dLbl>
            <c:dLbl>
              <c:idx val="3"/>
              <c:delete val="1"/>
              <c:extLst>
                <c:ext xmlns:c15="http://schemas.microsoft.com/office/drawing/2012/chart" uri="{CE6537A1-D6FC-4f65-9D91-7224C49458BB}"/>
                <c:ext xmlns:c16="http://schemas.microsoft.com/office/drawing/2014/chart" uri="{C3380CC4-5D6E-409C-BE32-E72D297353CC}">
                  <c16:uniqueId val="{00000023-06C0-48DF-A103-BAB2B8C0ED69}"/>
                </c:ext>
              </c:extLst>
            </c:dLbl>
            <c:dLbl>
              <c:idx val="4"/>
              <c:layout>
                <c:manualLayout>
                  <c:x val="-7.635275155422519E-2"/>
                  <c:y val="3.6314471320684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06C0-48DF-A103-BAB2B8C0ED69}"/>
                </c:ext>
              </c:extLst>
            </c:dLbl>
            <c:dLbl>
              <c:idx val="5"/>
              <c:layout>
                <c:manualLayout>
                  <c:x val="-6.7142528206309088E-2"/>
                  <c:y val="3.22261638799647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06C0-48DF-A103-BAB2B8C0ED69}"/>
                </c:ext>
              </c:extLst>
            </c:dLbl>
            <c:dLbl>
              <c:idx val="6"/>
              <c:layout>
                <c:manualLayout>
                  <c:x val="-7.635275155422519E-2"/>
                  <c:y val="3.22261638799645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06C0-48DF-A103-BAB2B8C0ED69}"/>
                </c:ext>
              </c:extLst>
            </c:dLbl>
            <c:dLbl>
              <c:idx val="7"/>
              <c:layout>
                <c:manualLayout>
                  <c:x val="-1.1740859125282777E-2"/>
                  <c:y val="2.404954899852548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06C0-48DF-A103-BAB2B8C0ED6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kursa'!$H$56:$O$56</c:f>
              <c:numCache>
                <c:formatCode>General</c:formatCode>
                <c:ptCount val="8"/>
                <c:pt idx="0">
                  <c:v>2016</c:v>
                </c:pt>
                <c:pt idx="1">
                  <c:v>2017</c:v>
                </c:pt>
                <c:pt idx="2">
                  <c:v>2018</c:v>
                </c:pt>
                <c:pt idx="3">
                  <c:v>2019</c:v>
                </c:pt>
                <c:pt idx="4">
                  <c:v>2020</c:v>
                </c:pt>
                <c:pt idx="5">
                  <c:v>2021</c:v>
                </c:pt>
                <c:pt idx="6">
                  <c:v>2022</c:v>
                </c:pt>
                <c:pt idx="7">
                  <c:v>2023</c:v>
                </c:pt>
              </c:numCache>
            </c:numRef>
          </c:cat>
          <c:val>
            <c:numRef>
              <c:f>'uticaj promene kursa'!$H$67:$O$67</c:f>
              <c:numCache>
                <c:formatCode>#,##0.0</c:formatCode>
                <c:ptCount val="8"/>
                <c:pt idx="0">
                  <c:v>67.678479463063553</c:v>
                </c:pt>
                <c:pt idx="1">
                  <c:v>57.788223811969416</c:v>
                </c:pt>
                <c:pt idx="2">
                  <c:v>53.621882530067857</c:v>
                </c:pt>
                <c:pt idx="3">
                  <c:v>51.9709458836574</c:v>
                </c:pt>
                <c:pt idx="4">
                  <c:v>53.776044979336476</c:v>
                </c:pt>
                <c:pt idx="5">
                  <c:v>53.461116302351428</c:v>
                </c:pt>
                <c:pt idx="6">
                  <c:v>52.926312087820079</c:v>
                </c:pt>
                <c:pt idx="7">
                  <c:v>51.285045836078822</c:v>
                </c:pt>
              </c:numCache>
            </c:numRef>
          </c:val>
          <c:smooth val="0"/>
          <c:extLst>
            <c:ext xmlns:c16="http://schemas.microsoft.com/office/drawing/2014/chart" uri="{C3380CC4-5D6E-409C-BE32-E72D297353CC}">
              <c16:uniqueId val="{00000024-06C0-48DF-A103-BAB2B8C0ED69}"/>
            </c:ext>
          </c:extLst>
        </c:ser>
        <c:dLbls>
          <c:showLegendKey val="0"/>
          <c:showVal val="0"/>
          <c:showCatName val="0"/>
          <c:showSerName val="0"/>
          <c:showPercent val="0"/>
          <c:showBubbleSize val="0"/>
        </c:dLbls>
        <c:marker val="1"/>
        <c:smooth val="0"/>
        <c:axId val="244107232"/>
        <c:axId val="244107776"/>
      </c:lineChart>
      <c:catAx>
        <c:axId val="24410723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44107776"/>
        <c:crosses val="autoZero"/>
        <c:auto val="0"/>
        <c:lblAlgn val="ctr"/>
        <c:lblOffset val="100"/>
        <c:noMultiLvlLbl val="0"/>
      </c:catAx>
      <c:valAx>
        <c:axId val="244107776"/>
        <c:scaling>
          <c:orientation val="minMax"/>
          <c:max val="70"/>
          <c:min val="50"/>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44107232"/>
        <c:crosses val="autoZero"/>
        <c:crossBetween val="between"/>
        <c:majorUnit val="10"/>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en-US"/>
    </a:p>
  </c:txPr>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226683248905174"/>
          <c:y val="2.5495286851048279E-2"/>
          <c:w val="0.88712953744844747"/>
          <c:h val="0.59891423710277447"/>
        </c:manualLayout>
      </c:layout>
      <c:lineChart>
        <c:grouping val="standard"/>
        <c:varyColors val="0"/>
        <c:ser>
          <c:idx val="0"/>
          <c:order val="0"/>
          <c:tx>
            <c:strRef>
              <c:f>'Benchmark stope na sekundarnom'!$B$2</c:f>
              <c:strCache>
                <c:ptCount val="1"/>
                <c:pt idx="0">
                  <c:v>5Г 2018</c:v>
                </c:pt>
              </c:strCache>
            </c:strRef>
          </c:tx>
          <c:marker>
            <c:symbol val="none"/>
          </c:marker>
          <c:cat>
            <c:strRef>
              <c:f>'Benchmark stope na sekundarnom'!$A$3:$A$33</c:f>
              <c:strCache>
                <c:ptCount val="21"/>
                <c:pt idx="0">
                  <c:v>јануар 2019</c:v>
                </c:pt>
                <c:pt idx="1">
                  <c:v>фебруар 2019</c:v>
                </c:pt>
                <c:pt idx="2">
                  <c:v>март 2019</c:v>
                </c:pt>
                <c:pt idx="3">
                  <c:v>април 2019</c:v>
                </c:pt>
                <c:pt idx="4">
                  <c:v>мај 2019</c:v>
                </c:pt>
                <c:pt idx="5">
                  <c:v>јун 2019</c:v>
                </c:pt>
                <c:pt idx="6">
                  <c:v>јул 2019</c:v>
                </c:pt>
                <c:pt idx="7">
                  <c:v>август 2019</c:v>
                </c:pt>
                <c:pt idx="8">
                  <c:v>септембар 2019</c:v>
                </c:pt>
                <c:pt idx="9">
                  <c:v>октобар 2019</c:v>
                </c:pt>
                <c:pt idx="10">
                  <c:v>новембар 2019</c:v>
                </c:pt>
                <c:pt idx="11">
                  <c:v>децембар 2019</c:v>
                </c:pt>
                <c:pt idx="12">
                  <c:v>јануар 2020</c:v>
                </c:pt>
                <c:pt idx="13">
                  <c:v>фебруар 2020</c:v>
                </c:pt>
                <c:pt idx="14">
                  <c:v>март 2020</c:v>
                </c:pt>
                <c:pt idx="15">
                  <c:v>април 2020</c:v>
                </c:pt>
                <c:pt idx="16">
                  <c:v>мај 2020</c:v>
                </c:pt>
                <c:pt idx="17">
                  <c:v>јун 2020</c:v>
                </c:pt>
                <c:pt idx="18">
                  <c:v>јул 2020</c:v>
                </c:pt>
                <c:pt idx="19">
                  <c:v>август 2020</c:v>
                </c:pt>
                <c:pt idx="20">
                  <c:v>септембар 2020</c:v>
                </c:pt>
              </c:strCache>
            </c:strRef>
          </c:cat>
          <c:val>
            <c:numRef>
              <c:f>'Benchmark stope na sekundarnom'!$B$3:$B$33</c:f>
              <c:numCache>
                <c:formatCode>0.00%</c:formatCode>
                <c:ptCount val="21"/>
                <c:pt idx="0">
                  <c:v>3.6200000000000003E-2</c:v>
                </c:pt>
                <c:pt idx="1">
                  <c:v>3.7999999999999999E-2</c:v>
                </c:pt>
                <c:pt idx="2">
                  <c:v>3.7999999999999999E-2</c:v>
                </c:pt>
                <c:pt idx="3">
                  <c:v>3.7699999999999997E-2</c:v>
                </c:pt>
                <c:pt idx="4">
                  <c:v>3.85E-2</c:v>
                </c:pt>
                <c:pt idx="5">
                  <c:v>2.8500000000000001E-2</c:v>
                </c:pt>
                <c:pt idx="6">
                  <c:v>2.5499999999999998E-2</c:v>
                </c:pt>
                <c:pt idx="7">
                  <c:v>2.4E-2</c:v>
                </c:pt>
                <c:pt idx="8">
                  <c:v>2.4E-2</c:v>
                </c:pt>
                <c:pt idx="9">
                  <c:v>2.4E-2</c:v>
                </c:pt>
                <c:pt idx="10">
                  <c:v>2.3E-2</c:v>
                </c:pt>
                <c:pt idx="11">
                  <c:v>2.3E-2</c:v>
                </c:pt>
                <c:pt idx="12">
                  <c:v>2.3E-2</c:v>
                </c:pt>
                <c:pt idx="13">
                  <c:v>2.3E-2</c:v>
                </c:pt>
                <c:pt idx="14">
                  <c:v>2.2700000000000001E-2</c:v>
                </c:pt>
                <c:pt idx="15">
                  <c:v>2.3599999999999999E-2</c:v>
                </c:pt>
                <c:pt idx="16">
                  <c:v>2.3E-2</c:v>
                </c:pt>
                <c:pt idx="17">
                  <c:v>2.23E-2</c:v>
                </c:pt>
                <c:pt idx="18">
                  <c:v>2.1999999999999999E-2</c:v>
                </c:pt>
                <c:pt idx="19">
                  <c:v>2.1499999999999998E-2</c:v>
                </c:pt>
                <c:pt idx="20">
                  <c:v>2.12E-2</c:v>
                </c:pt>
              </c:numCache>
            </c:numRef>
          </c:val>
          <c:smooth val="0"/>
          <c:extLst>
            <c:ext xmlns:c16="http://schemas.microsoft.com/office/drawing/2014/chart" uri="{C3380CC4-5D6E-409C-BE32-E72D297353CC}">
              <c16:uniqueId val="{00000000-A74C-4F98-B45F-84ABE32D68F1}"/>
            </c:ext>
          </c:extLst>
        </c:ser>
        <c:ser>
          <c:idx val="1"/>
          <c:order val="1"/>
          <c:tx>
            <c:strRef>
              <c:f>'Benchmark stope na sekundarnom'!$C$2</c:f>
              <c:strCache>
                <c:ptCount val="1"/>
                <c:pt idx="0">
                  <c:v>7Г 2016</c:v>
                </c:pt>
              </c:strCache>
            </c:strRef>
          </c:tx>
          <c:marker>
            <c:symbol val="none"/>
          </c:marker>
          <c:cat>
            <c:strRef>
              <c:f>'Benchmark stope na sekundarnom'!$A$3:$A$33</c:f>
              <c:strCache>
                <c:ptCount val="21"/>
                <c:pt idx="0">
                  <c:v>јануар 2019</c:v>
                </c:pt>
                <c:pt idx="1">
                  <c:v>фебруар 2019</c:v>
                </c:pt>
                <c:pt idx="2">
                  <c:v>март 2019</c:v>
                </c:pt>
                <c:pt idx="3">
                  <c:v>април 2019</c:v>
                </c:pt>
                <c:pt idx="4">
                  <c:v>мај 2019</c:v>
                </c:pt>
                <c:pt idx="5">
                  <c:v>јун 2019</c:v>
                </c:pt>
                <c:pt idx="6">
                  <c:v>јул 2019</c:v>
                </c:pt>
                <c:pt idx="7">
                  <c:v>август 2019</c:v>
                </c:pt>
                <c:pt idx="8">
                  <c:v>септембар 2019</c:v>
                </c:pt>
                <c:pt idx="9">
                  <c:v>октобар 2019</c:v>
                </c:pt>
                <c:pt idx="10">
                  <c:v>новембар 2019</c:v>
                </c:pt>
                <c:pt idx="11">
                  <c:v>децембар 2019</c:v>
                </c:pt>
                <c:pt idx="12">
                  <c:v>јануар 2020</c:v>
                </c:pt>
                <c:pt idx="13">
                  <c:v>фебруар 2020</c:v>
                </c:pt>
                <c:pt idx="14">
                  <c:v>март 2020</c:v>
                </c:pt>
                <c:pt idx="15">
                  <c:v>април 2020</c:v>
                </c:pt>
                <c:pt idx="16">
                  <c:v>мај 2020</c:v>
                </c:pt>
                <c:pt idx="17">
                  <c:v>јун 2020</c:v>
                </c:pt>
                <c:pt idx="18">
                  <c:v>јул 2020</c:v>
                </c:pt>
                <c:pt idx="19">
                  <c:v>август 2020</c:v>
                </c:pt>
                <c:pt idx="20">
                  <c:v>септембар 2020</c:v>
                </c:pt>
              </c:strCache>
            </c:strRef>
          </c:cat>
          <c:val>
            <c:numRef>
              <c:f>'Benchmark stope na sekundarnom'!$C$3:$C$33</c:f>
              <c:numCache>
                <c:formatCode>0.00%</c:formatCode>
                <c:ptCount val="21"/>
                <c:pt idx="0">
                  <c:v>3.8600000000000002E-2</c:v>
                </c:pt>
                <c:pt idx="1">
                  <c:v>3.85E-2</c:v>
                </c:pt>
                <c:pt idx="2">
                  <c:v>3.8699999999999998E-2</c:v>
                </c:pt>
                <c:pt idx="3">
                  <c:v>3.8899999999999997E-2</c:v>
                </c:pt>
                <c:pt idx="4">
                  <c:v>3.7199999999999997E-2</c:v>
                </c:pt>
                <c:pt idx="5">
                  <c:v>3.2800000000000003E-2</c:v>
                </c:pt>
                <c:pt idx="6">
                  <c:v>3.2500000000000001E-2</c:v>
                </c:pt>
                <c:pt idx="7">
                  <c:v>2.76E-2</c:v>
                </c:pt>
                <c:pt idx="8">
                  <c:v>2.4E-2</c:v>
                </c:pt>
                <c:pt idx="9">
                  <c:v>2.47E-2</c:v>
                </c:pt>
                <c:pt idx="10">
                  <c:v>2.3300000000000001E-2</c:v>
                </c:pt>
                <c:pt idx="11">
                  <c:v>2.2700000000000001E-2</c:v>
                </c:pt>
                <c:pt idx="12">
                  <c:v>2.3199999999999998E-2</c:v>
                </c:pt>
                <c:pt idx="13">
                  <c:v>2.3199999999999998E-2</c:v>
                </c:pt>
                <c:pt idx="14">
                  <c:v>2.3199999999999998E-2</c:v>
                </c:pt>
                <c:pt idx="15">
                  <c:v>2.5999999999999999E-2</c:v>
                </c:pt>
                <c:pt idx="16">
                  <c:v>2.75E-2</c:v>
                </c:pt>
                <c:pt idx="17">
                  <c:v>2.5000000000000001E-2</c:v>
                </c:pt>
                <c:pt idx="18">
                  <c:v>2.4E-2</c:v>
                </c:pt>
                <c:pt idx="19">
                  <c:v>2.35E-2</c:v>
                </c:pt>
                <c:pt idx="20">
                  <c:v>2.18E-2</c:v>
                </c:pt>
              </c:numCache>
            </c:numRef>
          </c:val>
          <c:smooth val="0"/>
          <c:extLst>
            <c:ext xmlns:c16="http://schemas.microsoft.com/office/drawing/2014/chart" uri="{C3380CC4-5D6E-409C-BE32-E72D297353CC}">
              <c16:uniqueId val="{00000001-A74C-4F98-B45F-84ABE32D68F1}"/>
            </c:ext>
          </c:extLst>
        </c:ser>
        <c:ser>
          <c:idx val="2"/>
          <c:order val="2"/>
          <c:tx>
            <c:strRef>
              <c:f>'Benchmark stope na sekundarnom'!$D$2</c:f>
              <c:strCache>
                <c:ptCount val="1"/>
                <c:pt idx="0">
                  <c:v>7Г 2019</c:v>
                </c:pt>
              </c:strCache>
            </c:strRef>
          </c:tx>
          <c:marker>
            <c:symbol val="none"/>
          </c:marker>
          <c:cat>
            <c:strRef>
              <c:f>'Benchmark stope na sekundarnom'!$A$3:$A$33</c:f>
              <c:strCache>
                <c:ptCount val="21"/>
                <c:pt idx="0">
                  <c:v>јануар 2019</c:v>
                </c:pt>
                <c:pt idx="1">
                  <c:v>фебруар 2019</c:v>
                </c:pt>
                <c:pt idx="2">
                  <c:v>март 2019</c:v>
                </c:pt>
                <c:pt idx="3">
                  <c:v>април 2019</c:v>
                </c:pt>
                <c:pt idx="4">
                  <c:v>мај 2019</c:v>
                </c:pt>
                <c:pt idx="5">
                  <c:v>јун 2019</c:v>
                </c:pt>
                <c:pt idx="6">
                  <c:v>јул 2019</c:v>
                </c:pt>
                <c:pt idx="7">
                  <c:v>август 2019</c:v>
                </c:pt>
                <c:pt idx="8">
                  <c:v>септембар 2019</c:v>
                </c:pt>
                <c:pt idx="9">
                  <c:v>октобар 2019</c:v>
                </c:pt>
                <c:pt idx="10">
                  <c:v>новембар 2019</c:v>
                </c:pt>
                <c:pt idx="11">
                  <c:v>децембар 2019</c:v>
                </c:pt>
                <c:pt idx="12">
                  <c:v>јануар 2020</c:v>
                </c:pt>
                <c:pt idx="13">
                  <c:v>фебруар 2020</c:v>
                </c:pt>
                <c:pt idx="14">
                  <c:v>март 2020</c:v>
                </c:pt>
                <c:pt idx="15">
                  <c:v>април 2020</c:v>
                </c:pt>
                <c:pt idx="16">
                  <c:v>мај 2020</c:v>
                </c:pt>
                <c:pt idx="17">
                  <c:v>јун 2020</c:v>
                </c:pt>
                <c:pt idx="18">
                  <c:v>јул 2020</c:v>
                </c:pt>
                <c:pt idx="19">
                  <c:v>август 2020</c:v>
                </c:pt>
                <c:pt idx="20">
                  <c:v>септембар 2020</c:v>
                </c:pt>
              </c:strCache>
            </c:strRef>
          </c:cat>
          <c:val>
            <c:numRef>
              <c:f>'Benchmark stope na sekundarnom'!$D$3:$D$33</c:f>
              <c:numCache>
                <c:formatCode>0.00%</c:formatCode>
                <c:ptCount val="21"/>
                <c:pt idx="0">
                  <c:v>4.5400000000000003E-2</c:v>
                </c:pt>
                <c:pt idx="1">
                  <c:v>4.4999999999999998E-2</c:v>
                </c:pt>
                <c:pt idx="2">
                  <c:v>4.5400000000000003E-2</c:v>
                </c:pt>
                <c:pt idx="3">
                  <c:v>4.4900000000000002E-2</c:v>
                </c:pt>
                <c:pt idx="4">
                  <c:v>4.2000000000000003E-2</c:v>
                </c:pt>
                <c:pt idx="5">
                  <c:v>0.04</c:v>
                </c:pt>
                <c:pt idx="6">
                  <c:v>3.5999999999999997E-2</c:v>
                </c:pt>
                <c:pt idx="7">
                  <c:v>3.5000000000000003E-2</c:v>
                </c:pt>
                <c:pt idx="8">
                  <c:v>3.4000000000000002E-2</c:v>
                </c:pt>
                <c:pt idx="9">
                  <c:v>3.2000000000000001E-2</c:v>
                </c:pt>
                <c:pt idx="10">
                  <c:v>2.8500000000000001E-2</c:v>
                </c:pt>
                <c:pt idx="11">
                  <c:v>2.8299999999999999E-2</c:v>
                </c:pt>
                <c:pt idx="12">
                  <c:v>2.9000000000000001E-2</c:v>
                </c:pt>
                <c:pt idx="13">
                  <c:v>2.81E-2</c:v>
                </c:pt>
                <c:pt idx="14">
                  <c:v>2.6800000000000001E-2</c:v>
                </c:pt>
                <c:pt idx="15">
                  <c:v>3.2800000000000003E-2</c:v>
                </c:pt>
                <c:pt idx="16">
                  <c:v>3.2099999999999997E-2</c:v>
                </c:pt>
                <c:pt idx="17">
                  <c:v>2.8400000000000002E-2</c:v>
                </c:pt>
                <c:pt idx="18">
                  <c:v>2.8000000000000001E-2</c:v>
                </c:pt>
                <c:pt idx="19">
                  <c:v>2.8000000000000001E-2</c:v>
                </c:pt>
                <c:pt idx="20">
                  <c:v>2.7199999999999998E-2</c:v>
                </c:pt>
              </c:numCache>
            </c:numRef>
          </c:val>
          <c:smooth val="0"/>
          <c:extLst>
            <c:ext xmlns:c16="http://schemas.microsoft.com/office/drawing/2014/chart" uri="{C3380CC4-5D6E-409C-BE32-E72D297353CC}">
              <c16:uniqueId val="{00000002-A74C-4F98-B45F-84ABE32D68F1}"/>
            </c:ext>
          </c:extLst>
        </c:ser>
        <c:ser>
          <c:idx val="4"/>
          <c:order val="3"/>
          <c:tx>
            <c:strRef>
              <c:f>'Benchmark stope na sekundarnom'!$E$2</c:f>
              <c:strCache>
                <c:ptCount val="1"/>
                <c:pt idx="0">
                  <c:v>10Г 2018</c:v>
                </c:pt>
              </c:strCache>
            </c:strRef>
          </c:tx>
          <c:marker>
            <c:symbol val="none"/>
          </c:marker>
          <c:cat>
            <c:strRef>
              <c:f>'Benchmark stope na sekundarnom'!$A$3:$A$33</c:f>
              <c:strCache>
                <c:ptCount val="21"/>
                <c:pt idx="0">
                  <c:v>јануар 2019</c:v>
                </c:pt>
                <c:pt idx="1">
                  <c:v>фебруар 2019</c:v>
                </c:pt>
                <c:pt idx="2">
                  <c:v>март 2019</c:v>
                </c:pt>
                <c:pt idx="3">
                  <c:v>април 2019</c:v>
                </c:pt>
                <c:pt idx="4">
                  <c:v>мај 2019</c:v>
                </c:pt>
                <c:pt idx="5">
                  <c:v>јун 2019</c:v>
                </c:pt>
                <c:pt idx="6">
                  <c:v>јул 2019</c:v>
                </c:pt>
                <c:pt idx="7">
                  <c:v>август 2019</c:v>
                </c:pt>
                <c:pt idx="8">
                  <c:v>септембар 2019</c:v>
                </c:pt>
                <c:pt idx="9">
                  <c:v>октобар 2019</c:v>
                </c:pt>
                <c:pt idx="10">
                  <c:v>новембар 2019</c:v>
                </c:pt>
                <c:pt idx="11">
                  <c:v>децембар 2019</c:v>
                </c:pt>
                <c:pt idx="12">
                  <c:v>јануар 2020</c:v>
                </c:pt>
                <c:pt idx="13">
                  <c:v>фебруар 2020</c:v>
                </c:pt>
                <c:pt idx="14">
                  <c:v>март 2020</c:v>
                </c:pt>
                <c:pt idx="15">
                  <c:v>април 2020</c:v>
                </c:pt>
                <c:pt idx="16">
                  <c:v>мај 2020</c:v>
                </c:pt>
                <c:pt idx="17">
                  <c:v>јун 2020</c:v>
                </c:pt>
                <c:pt idx="18">
                  <c:v>јул 2020</c:v>
                </c:pt>
                <c:pt idx="19">
                  <c:v>август 2020</c:v>
                </c:pt>
                <c:pt idx="20">
                  <c:v>септембар 2020</c:v>
                </c:pt>
              </c:strCache>
            </c:strRef>
          </c:cat>
          <c:val>
            <c:numRef>
              <c:f>'Benchmark stope na sekundarnom'!$E$3:$E$33</c:f>
              <c:numCache>
                <c:formatCode>0.00%</c:formatCode>
                <c:ptCount val="21"/>
                <c:pt idx="0">
                  <c:v>4.87E-2</c:v>
                </c:pt>
                <c:pt idx="1">
                  <c:v>4.87E-2</c:v>
                </c:pt>
                <c:pt idx="2">
                  <c:v>4.8300000000000003E-2</c:v>
                </c:pt>
                <c:pt idx="3">
                  <c:v>4.8000000000000001E-2</c:v>
                </c:pt>
                <c:pt idx="4">
                  <c:v>4.8000000000000001E-2</c:v>
                </c:pt>
                <c:pt idx="5">
                  <c:v>4.5999999999999999E-2</c:v>
                </c:pt>
                <c:pt idx="6">
                  <c:v>3.7499999999999999E-2</c:v>
                </c:pt>
                <c:pt idx="7">
                  <c:v>3.3500000000000002E-2</c:v>
                </c:pt>
                <c:pt idx="8">
                  <c:v>3.4000000000000002E-2</c:v>
                </c:pt>
                <c:pt idx="9">
                  <c:v>3.3000000000000002E-2</c:v>
                </c:pt>
                <c:pt idx="10">
                  <c:v>2.9000000000000001E-2</c:v>
                </c:pt>
                <c:pt idx="11">
                  <c:v>2.9600000000000001E-2</c:v>
                </c:pt>
                <c:pt idx="12">
                  <c:v>3.0200000000000001E-2</c:v>
                </c:pt>
                <c:pt idx="13">
                  <c:v>0.03</c:v>
                </c:pt>
                <c:pt idx="14">
                  <c:v>2.9000000000000001E-2</c:v>
                </c:pt>
                <c:pt idx="15">
                  <c:v>0.03</c:v>
                </c:pt>
                <c:pt idx="16">
                  <c:v>3.4000000000000002E-2</c:v>
                </c:pt>
                <c:pt idx="17">
                  <c:v>3.2800000000000003E-2</c:v>
                </c:pt>
                <c:pt idx="18">
                  <c:v>3.2500000000000001E-2</c:v>
                </c:pt>
                <c:pt idx="19">
                  <c:v>3.3000000000000002E-2</c:v>
                </c:pt>
                <c:pt idx="20">
                  <c:v>3.3000000000000002E-2</c:v>
                </c:pt>
              </c:numCache>
            </c:numRef>
          </c:val>
          <c:smooth val="0"/>
          <c:extLst>
            <c:ext xmlns:c16="http://schemas.microsoft.com/office/drawing/2014/chart" uri="{C3380CC4-5D6E-409C-BE32-E72D297353CC}">
              <c16:uniqueId val="{00000003-A74C-4F98-B45F-84ABE32D68F1}"/>
            </c:ext>
          </c:extLst>
        </c:ser>
        <c:ser>
          <c:idx val="3"/>
          <c:order val="4"/>
          <c:tx>
            <c:strRef>
              <c:f>'Benchmark stope na sekundarnom'!$F$2</c:f>
              <c:strCache>
                <c:ptCount val="1"/>
                <c:pt idx="0">
                  <c:v>Референтна КС НБС</c:v>
                </c:pt>
              </c:strCache>
            </c:strRef>
          </c:tx>
          <c:marker>
            <c:symbol val="none"/>
          </c:marker>
          <c:cat>
            <c:strRef>
              <c:f>'Benchmark stope na sekundarnom'!$A$3:$A$33</c:f>
              <c:strCache>
                <c:ptCount val="21"/>
                <c:pt idx="0">
                  <c:v>јануар 2019</c:v>
                </c:pt>
                <c:pt idx="1">
                  <c:v>фебруар 2019</c:v>
                </c:pt>
                <c:pt idx="2">
                  <c:v>март 2019</c:v>
                </c:pt>
                <c:pt idx="3">
                  <c:v>април 2019</c:v>
                </c:pt>
                <c:pt idx="4">
                  <c:v>мај 2019</c:v>
                </c:pt>
                <c:pt idx="5">
                  <c:v>јун 2019</c:v>
                </c:pt>
                <c:pt idx="6">
                  <c:v>јул 2019</c:v>
                </c:pt>
                <c:pt idx="7">
                  <c:v>август 2019</c:v>
                </c:pt>
                <c:pt idx="8">
                  <c:v>септембар 2019</c:v>
                </c:pt>
                <c:pt idx="9">
                  <c:v>октобар 2019</c:v>
                </c:pt>
                <c:pt idx="10">
                  <c:v>новембар 2019</c:v>
                </c:pt>
                <c:pt idx="11">
                  <c:v>децембар 2019</c:v>
                </c:pt>
                <c:pt idx="12">
                  <c:v>јануар 2020</c:v>
                </c:pt>
                <c:pt idx="13">
                  <c:v>фебруар 2020</c:v>
                </c:pt>
                <c:pt idx="14">
                  <c:v>март 2020</c:v>
                </c:pt>
                <c:pt idx="15">
                  <c:v>април 2020</c:v>
                </c:pt>
                <c:pt idx="16">
                  <c:v>мај 2020</c:v>
                </c:pt>
                <c:pt idx="17">
                  <c:v>јун 2020</c:v>
                </c:pt>
                <c:pt idx="18">
                  <c:v>јул 2020</c:v>
                </c:pt>
                <c:pt idx="19">
                  <c:v>август 2020</c:v>
                </c:pt>
                <c:pt idx="20">
                  <c:v>септембар 2020</c:v>
                </c:pt>
              </c:strCache>
            </c:strRef>
          </c:cat>
          <c:val>
            <c:numRef>
              <c:f>'Benchmark stope na sekundarnom'!$F$3:$F$33</c:f>
              <c:numCache>
                <c:formatCode>0.00%</c:formatCode>
                <c:ptCount val="21"/>
                <c:pt idx="0">
                  <c:v>0.03</c:v>
                </c:pt>
                <c:pt idx="1">
                  <c:v>0.03</c:v>
                </c:pt>
                <c:pt idx="2">
                  <c:v>0.03</c:v>
                </c:pt>
                <c:pt idx="3">
                  <c:v>2.75E-2</c:v>
                </c:pt>
                <c:pt idx="4">
                  <c:v>2.75E-2</c:v>
                </c:pt>
                <c:pt idx="5">
                  <c:v>2.75E-2</c:v>
                </c:pt>
                <c:pt idx="6">
                  <c:v>2.75E-2</c:v>
                </c:pt>
                <c:pt idx="7">
                  <c:v>2.5000000000000001E-2</c:v>
                </c:pt>
                <c:pt idx="8">
                  <c:v>2.5000000000000001E-2</c:v>
                </c:pt>
                <c:pt idx="9">
                  <c:v>2.5000000000000001E-2</c:v>
                </c:pt>
                <c:pt idx="10">
                  <c:v>2.2499999999999999E-2</c:v>
                </c:pt>
                <c:pt idx="11">
                  <c:v>2.2499999999999999E-2</c:v>
                </c:pt>
                <c:pt idx="12">
                  <c:v>2.2499999999999999E-2</c:v>
                </c:pt>
                <c:pt idx="13">
                  <c:v>2.2499999999999999E-2</c:v>
                </c:pt>
                <c:pt idx="14">
                  <c:v>1.7500000000000002E-2</c:v>
                </c:pt>
                <c:pt idx="15">
                  <c:v>1.7500000000000002E-2</c:v>
                </c:pt>
                <c:pt idx="16">
                  <c:v>1.4999999999999999E-2</c:v>
                </c:pt>
                <c:pt idx="17">
                  <c:v>1.2500000000000001E-2</c:v>
                </c:pt>
                <c:pt idx="18">
                  <c:v>1.2500000000000001E-2</c:v>
                </c:pt>
                <c:pt idx="19">
                  <c:v>1.2500000000000001E-2</c:v>
                </c:pt>
                <c:pt idx="20">
                  <c:v>1.2500000000000001E-2</c:v>
                </c:pt>
              </c:numCache>
            </c:numRef>
          </c:val>
          <c:smooth val="0"/>
          <c:extLst>
            <c:ext xmlns:c16="http://schemas.microsoft.com/office/drawing/2014/chart" uri="{C3380CC4-5D6E-409C-BE32-E72D297353CC}">
              <c16:uniqueId val="{00000004-A74C-4F98-B45F-84ABE32D68F1}"/>
            </c:ext>
          </c:extLst>
        </c:ser>
        <c:dLbls>
          <c:showLegendKey val="0"/>
          <c:showVal val="0"/>
          <c:showCatName val="0"/>
          <c:showSerName val="0"/>
          <c:showPercent val="0"/>
          <c:showBubbleSize val="0"/>
        </c:dLbls>
        <c:smooth val="0"/>
        <c:axId val="244117568"/>
        <c:axId val="244108320"/>
      </c:lineChart>
      <c:catAx>
        <c:axId val="244117568"/>
        <c:scaling>
          <c:orientation val="minMax"/>
        </c:scaling>
        <c:delete val="0"/>
        <c:axPos val="b"/>
        <c:numFmt formatCode="General" sourceLinked="1"/>
        <c:majorTickMark val="out"/>
        <c:minorTickMark val="none"/>
        <c:tickLblPos val="nextTo"/>
        <c:crossAx val="244108320"/>
        <c:crosses val="autoZero"/>
        <c:auto val="1"/>
        <c:lblAlgn val="ctr"/>
        <c:lblOffset val="100"/>
        <c:noMultiLvlLbl val="1"/>
      </c:catAx>
      <c:valAx>
        <c:axId val="244108320"/>
        <c:scaling>
          <c:orientation val="minMax"/>
          <c:max val="6.0000000000000012E-2"/>
          <c:min val="0"/>
        </c:scaling>
        <c:delete val="0"/>
        <c:axPos val="l"/>
        <c:numFmt formatCode="0.0%" sourceLinked="0"/>
        <c:majorTickMark val="out"/>
        <c:minorTickMark val="none"/>
        <c:tickLblPos val="nextTo"/>
        <c:crossAx val="244117568"/>
        <c:crosses val="autoZero"/>
        <c:crossBetween val="between"/>
      </c:valAx>
      <c:spPr>
        <a:pattFill prst="dotGrid">
          <a:fgClr>
            <a:srgbClr val="000000">
              <a:alpha val="0"/>
            </a:srgbClr>
          </a:fgClr>
          <a:bgClr>
            <a:srgbClr val="FFFFFF"/>
          </a:bgClr>
        </a:pattFill>
        <a:ln w="25400">
          <a:noFill/>
        </a:ln>
      </c:spPr>
    </c:plotArea>
    <c:legend>
      <c:legendPos val="b"/>
      <c:layout>
        <c:manualLayout>
          <c:xMode val="edge"/>
          <c:yMode val="edge"/>
          <c:x val="5.0702920977297831E-2"/>
          <c:y val="0.88179097691528718"/>
          <c:w val="0.94929699525528455"/>
          <c:h val="0.11620476574286481"/>
        </c:manualLayout>
      </c:layout>
      <c:overlay val="0"/>
    </c:legend>
    <c:plotVisOnly val="1"/>
    <c:dispBlanksAs val="gap"/>
    <c:showDLblsOverMax val="0"/>
  </c:chart>
  <c:spPr>
    <a:ln>
      <a:noFill/>
    </a:ln>
  </c:spPr>
  <c:txPr>
    <a:bodyPr/>
    <a:lstStyle/>
    <a:p>
      <a:pPr>
        <a:defRPr sz="600"/>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65358719792133E-2"/>
          <c:y val="5.6834666094753718E-2"/>
          <c:w val="0.93219814078424146"/>
          <c:h val="0.53014124207236746"/>
        </c:manualLayout>
      </c:layout>
      <c:lineChart>
        <c:grouping val="standard"/>
        <c:varyColors val="0"/>
        <c:ser>
          <c:idx val="0"/>
          <c:order val="0"/>
          <c:tx>
            <c:v>Просечно време до доспећа динарских ХОВ</c:v>
          </c:tx>
          <c:spPr>
            <a:ln w="28575" cap="rnd">
              <a:solidFill>
                <a:schemeClr val="accent1"/>
              </a:solidFill>
              <a:round/>
            </a:ln>
            <a:effectLst/>
          </c:spPr>
          <c:marker>
            <c:symbol val="none"/>
          </c:marker>
          <c:dLbls>
            <c:dLbl>
              <c:idx val="49"/>
              <c:layout>
                <c:manualLayout>
                  <c:x val="-3.1429875613374417E-2"/>
                  <c:y val="5.327537182852143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6E2-49DC-BA1C-3932EDEEEAA9}"/>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Sheet1!$B$68:$B$117</c:f>
              <c:strCache>
                <c:ptCount val="50"/>
                <c:pt idx="0">
                  <c:v>Јануар 2016</c:v>
                </c:pt>
                <c:pt idx="1">
                  <c:v>Фебруар 2016</c:v>
                </c:pt>
                <c:pt idx="2">
                  <c:v>Март 2016</c:v>
                </c:pt>
                <c:pt idx="3">
                  <c:v>Април 2016</c:v>
                </c:pt>
                <c:pt idx="4">
                  <c:v>Мај 2016</c:v>
                </c:pt>
                <c:pt idx="5">
                  <c:v>Јун 2016</c:v>
                </c:pt>
                <c:pt idx="6">
                  <c:v>Јул 2016</c:v>
                </c:pt>
                <c:pt idx="7">
                  <c:v>Август 2016</c:v>
                </c:pt>
                <c:pt idx="8">
                  <c:v>Септембар 2016</c:v>
                </c:pt>
                <c:pt idx="9">
                  <c:v>Октобар 2016</c:v>
                </c:pt>
                <c:pt idx="10">
                  <c:v>Новембар 2016</c:v>
                </c:pt>
                <c:pt idx="11">
                  <c:v>Децембар 2016</c:v>
                </c:pt>
                <c:pt idx="12">
                  <c:v>Јануар 2017</c:v>
                </c:pt>
                <c:pt idx="13">
                  <c:v>Фебруар 2017</c:v>
                </c:pt>
                <c:pt idx="14">
                  <c:v>Март 2017</c:v>
                </c:pt>
                <c:pt idx="15">
                  <c:v>Април 2017</c:v>
                </c:pt>
                <c:pt idx="16">
                  <c:v>Мај 2017</c:v>
                </c:pt>
                <c:pt idx="17">
                  <c:v>Јун 2017</c:v>
                </c:pt>
                <c:pt idx="18">
                  <c:v>Јул 2017</c:v>
                </c:pt>
                <c:pt idx="19">
                  <c:v>Август 2017</c:v>
                </c:pt>
                <c:pt idx="20">
                  <c:v>Септембар 2017</c:v>
                </c:pt>
                <c:pt idx="21">
                  <c:v>Октобар 2017</c:v>
                </c:pt>
                <c:pt idx="22">
                  <c:v>Новембар 2017</c:v>
                </c:pt>
                <c:pt idx="23">
                  <c:v>Децембар 2017</c:v>
                </c:pt>
                <c:pt idx="24">
                  <c:v>Јануар 2018</c:v>
                </c:pt>
                <c:pt idx="25">
                  <c:v>Фебруар 2018</c:v>
                </c:pt>
                <c:pt idx="26">
                  <c:v>Март 2018</c:v>
                </c:pt>
                <c:pt idx="27">
                  <c:v>Април 2018</c:v>
                </c:pt>
                <c:pt idx="28">
                  <c:v>Мај 2018</c:v>
                </c:pt>
                <c:pt idx="29">
                  <c:v>Јун 2018</c:v>
                </c:pt>
                <c:pt idx="30">
                  <c:v>Јул 2018</c:v>
                </c:pt>
                <c:pt idx="31">
                  <c:v>Август 2018</c:v>
                </c:pt>
                <c:pt idx="32">
                  <c:v>Септембар 2018</c:v>
                </c:pt>
                <c:pt idx="33">
                  <c:v>Октобар 2018</c:v>
                </c:pt>
                <c:pt idx="34">
                  <c:v>Новембар 2018</c:v>
                </c:pt>
                <c:pt idx="35">
                  <c:v>Децембар 2018</c:v>
                </c:pt>
                <c:pt idx="36">
                  <c:v>Јануар 2019</c:v>
                </c:pt>
                <c:pt idx="37">
                  <c:v>Фебруар 2019</c:v>
                </c:pt>
                <c:pt idx="38">
                  <c:v>Март 2019</c:v>
                </c:pt>
                <c:pt idx="39">
                  <c:v>Април 2019</c:v>
                </c:pt>
                <c:pt idx="40">
                  <c:v>Мај 2019</c:v>
                </c:pt>
                <c:pt idx="41">
                  <c:v>Јун 2019</c:v>
                </c:pt>
                <c:pt idx="42">
                  <c:v>Јул 2019</c:v>
                </c:pt>
                <c:pt idx="43">
                  <c:v>Август 2019</c:v>
                </c:pt>
                <c:pt idx="44">
                  <c:v>Септембар 2019</c:v>
                </c:pt>
                <c:pt idx="45">
                  <c:v>Октобар 2019</c:v>
                </c:pt>
                <c:pt idx="46">
                  <c:v>Новембар 2019</c:v>
                </c:pt>
                <c:pt idx="47">
                  <c:v>Децембар 2019</c:v>
                </c:pt>
                <c:pt idx="48">
                  <c:v>Август 2020</c:v>
                </c:pt>
                <c:pt idx="49">
                  <c:v>Септембар 2020</c:v>
                </c:pt>
              </c:strCache>
            </c:strRef>
          </c:cat>
          <c:val>
            <c:numRef>
              <c:f>Sheet1!$C$68:$C$117</c:f>
              <c:numCache>
                <c:formatCode>#,##0.000</c:formatCode>
                <c:ptCount val="50"/>
                <c:pt idx="0">
                  <c:v>1.976771267999577</c:v>
                </c:pt>
                <c:pt idx="1">
                  <c:v>2.0444140945966907</c:v>
                </c:pt>
                <c:pt idx="2">
                  <c:v>2.0294639516379438</c:v>
                </c:pt>
                <c:pt idx="3">
                  <c:v>2.029319216015264</c:v>
                </c:pt>
                <c:pt idx="4">
                  <c:v>2.00371024284494</c:v>
                </c:pt>
                <c:pt idx="5">
                  <c:v>2.0605720429530461</c:v>
                </c:pt>
                <c:pt idx="6">
                  <c:v>2.2162025399136409</c:v>
                </c:pt>
                <c:pt idx="7">
                  <c:v>2.2046157392107224</c:v>
                </c:pt>
                <c:pt idx="8">
                  <c:v>2.1553367559788028</c:v>
                </c:pt>
                <c:pt idx="9">
                  <c:v>2.3323336448323606</c:v>
                </c:pt>
                <c:pt idx="10">
                  <c:v>2.2827597154391985</c:v>
                </c:pt>
                <c:pt idx="11">
                  <c:v>2.2579906251393247</c:v>
                </c:pt>
                <c:pt idx="12">
                  <c:v>2.2744431578203148</c:v>
                </c:pt>
                <c:pt idx="13">
                  <c:v>2.3055766178030832</c:v>
                </c:pt>
                <c:pt idx="14">
                  <c:v>2.2577478731007421</c:v>
                </c:pt>
                <c:pt idx="15">
                  <c:v>2.3322430500000744</c:v>
                </c:pt>
                <c:pt idx="16">
                  <c:v>2.45314292546017</c:v>
                </c:pt>
                <c:pt idx="17">
                  <c:v>2.4297419455911244</c:v>
                </c:pt>
                <c:pt idx="18">
                  <c:v>2.4705658135871453</c:v>
                </c:pt>
                <c:pt idx="19">
                  <c:v>2.4262951515232642</c:v>
                </c:pt>
                <c:pt idx="20">
                  <c:v>2.3846590046212</c:v>
                </c:pt>
                <c:pt idx="21">
                  <c:v>2.4769999999999999</c:v>
                </c:pt>
                <c:pt idx="22">
                  <c:v>2.4459899092751498</c:v>
                </c:pt>
                <c:pt idx="23">
                  <c:v>2.3988621874960829</c:v>
                </c:pt>
                <c:pt idx="24">
                  <c:v>2.3888429254601702</c:v>
                </c:pt>
                <c:pt idx="25">
                  <c:v>2.9749044523125296</c:v>
                </c:pt>
                <c:pt idx="26">
                  <c:v>3.4579408470312272</c:v>
                </c:pt>
                <c:pt idx="27">
                  <c:v>3.5996024262553723</c:v>
                </c:pt>
                <c:pt idx="28">
                  <c:v>3.7459899092751501</c:v>
                </c:pt>
                <c:pt idx="29">
                  <c:v>3.8456126939231798</c:v>
                </c:pt>
                <c:pt idx="30">
                  <c:v>3.91921816133204</c:v>
                </c:pt>
                <c:pt idx="31">
                  <c:v>3.9531429259053499</c:v>
                </c:pt>
                <c:pt idx="32">
                  <c:v>3.5418962713980511</c:v>
                </c:pt>
                <c:pt idx="33">
                  <c:v>3.4569647645487356</c:v>
                </c:pt>
                <c:pt idx="34">
                  <c:v>3.4226839888154408</c:v>
                </c:pt>
                <c:pt idx="35">
                  <c:v>3.3845972032956824</c:v>
                </c:pt>
                <c:pt idx="36">
                  <c:v>3.5019999999999998</c:v>
                </c:pt>
                <c:pt idx="37">
                  <c:v>3.9489999999999998</c:v>
                </c:pt>
                <c:pt idx="38">
                  <c:v>3.871</c:v>
                </c:pt>
                <c:pt idx="39">
                  <c:v>3.8358191367510268</c:v>
                </c:pt>
                <c:pt idx="40">
                  <c:v>3.908687907298674</c:v>
                </c:pt>
                <c:pt idx="41">
                  <c:v>3.9534817092905126</c:v>
                </c:pt>
                <c:pt idx="42">
                  <c:v>3.9447309159295449</c:v>
                </c:pt>
                <c:pt idx="43">
                  <c:v>3.9282126458596296</c:v>
                </c:pt>
                <c:pt idx="44">
                  <c:v>3.8690069319821903</c:v>
                </c:pt>
                <c:pt idx="45">
                  <c:v>3.9349961244927654</c:v>
                </c:pt>
                <c:pt idx="46">
                  <c:v>3.8636732823398314</c:v>
                </c:pt>
                <c:pt idx="47">
                  <c:v>3.8444332330566096</c:v>
                </c:pt>
                <c:pt idx="48">
                  <c:v>3.7396182566764304</c:v>
                </c:pt>
                <c:pt idx="49" formatCode="#,##0.0">
                  <c:v>3.7396182566764304</c:v>
                </c:pt>
              </c:numCache>
            </c:numRef>
          </c:val>
          <c:smooth val="0"/>
          <c:extLst>
            <c:ext xmlns:c16="http://schemas.microsoft.com/office/drawing/2014/chart" uri="{C3380CC4-5D6E-409C-BE32-E72D297353CC}">
              <c16:uniqueId val="{00000001-E6E2-49DC-BA1C-3932EDEEEAA9}"/>
            </c:ext>
          </c:extLst>
        </c:ser>
        <c:ser>
          <c:idx val="1"/>
          <c:order val="1"/>
          <c:tx>
            <c:v>Просечно време до доспећа еурских ХОВ</c:v>
          </c:tx>
          <c:spPr>
            <a:ln w="28575" cap="rnd">
              <a:solidFill>
                <a:schemeClr val="accent2"/>
              </a:solidFill>
              <a:round/>
            </a:ln>
            <a:effectLst/>
          </c:spPr>
          <c:marker>
            <c:symbol val="none"/>
          </c:marker>
          <c:dLbls>
            <c:dLbl>
              <c:idx val="49"/>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6E2-49DC-BA1C-3932EDEEEAA9}"/>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Sheet1!$B$68:$B$117</c:f>
              <c:strCache>
                <c:ptCount val="50"/>
                <c:pt idx="0">
                  <c:v>Јануар 2016</c:v>
                </c:pt>
                <c:pt idx="1">
                  <c:v>Фебруар 2016</c:v>
                </c:pt>
                <c:pt idx="2">
                  <c:v>Март 2016</c:v>
                </c:pt>
                <c:pt idx="3">
                  <c:v>Април 2016</c:v>
                </c:pt>
                <c:pt idx="4">
                  <c:v>Мај 2016</c:v>
                </c:pt>
                <c:pt idx="5">
                  <c:v>Јун 2016</c:v>
                </c:pt>
                <c:pt idx="6">
                  <c:v>Јул 2016</c:v>
                </c:pt>
                <c:pt idx="7">
                  <c:v>Август 2016</c:v>
                </c:pt>
                <c:pt idx="8">
                  <c:v>Септембар 2016</c:v>
                </c:pt>
                <c:pt idx="9">
                  <c:v>Октобар 2016</c:v>
                </c:pt>
                <c:pt idx="10">
                  <c:v>Новембар 2016</c:v>
                </c:pt>
                <c:pt idx="11">
                  <c:v>Децембар 2016</c:v>
                </c:pt>
                <c:pt idx="12">
                  <c:v>Јануар 2017</c:v>
                </c:pt>
                <c:pt idx="13">
                  <c:v>Фебруар 2017</c:v>
                </c:pt>
                <c:pt idx="14">
                  <c:v>Март 2017</c:v>
                </c:pt>
                <c:pt idx="15">
                  <c:v>Април 2017</c:v>
                </c:pt>
                <c:pt idx="16">
                  <c:v>Мај 2017</c:v>
                </c:pt>
                <c:pt idx="17">
                  <c:v>Јун 2017</c:v>
                </c:pt>
                <c:pt idx="18">
                  <c:v>Јул 2017</c:v>
                </c:pt>
                <c:pt idx="19">
                  <c:v>Август 2017</c:v>
                </c:pt>
                <c:pt idx="20">
                  <c:v>Септембар 2017</c:v>
                </c:pt>
                <c:pt idx="21">
                  <c:v>Октобар 2017</c:v>
                </c:pt>
                <c:pt idx="22">
                  <c:v>Новембар 2017</c:v>
                </c:pt>
                <c:pt idx="23">
                  <c:v>Децембар 2017</c:v>
                </c:pt>
                <c:pt idx="24">
                  <c:v>Јануар 2018</c:v>
                </c:pt>
                <c:pt idx="25">
                  <c:v>Фебруар 2018</c:v>
                </c:pt>
                <c:pt idx="26">
                  <c:v>Март 2018</c:v>
                </c:pt>
                <c:pt idx="27">
                  <c:v>Април 2018</c:v>
                </c:pt>
                <c:pt idx="28">
                  <c:v>Мај 2018</c:v>
                </c:pt>
                <c:pt idx="29">
                  <c:v>Јун 2018</c:v>
                </c:pt>
                <c:pt idx="30">
                  <c:v>Јул 2018</c:v>
                </c:pt>
                <c:pt idx="31">
                  <c:v>Август 2018</c:v>
                </c:pt>
                <c:pt idx="32">
                  <c:v>Септембар 2018</c:v>
                </c:pt>
                <c:pt idx="33">
                  <c:v>Октобар 2018</c:v>
                </c:pt>
                <c:pt idx="34">
                  <c:v>Новембар 2018</c:v>
                </c:pt>
                <c:pt idx="35">
                  <c:v>Децембар 2018</c:v>
                </c:pt>
                <c:pt idx="36">
                  <c:v>Јануар 2019</c:v>
                </c:pt>
                <c:pt idx="37">
                  <c:v>Фебруар 2019</c:v>
                </c:pt>
                <c:pt idx="38">
                  <c:v>Март 2019</c:v>
                </c:pt>
                <c:pt idx="39">
                  <c:v>Април 2019</c:v>
                </c:pt>
                <c:pt idx="40">
                  <c:v>Мај 2019</c:v>
                </c:pt>
                <c:pt idx="41">
                  <c:v>Јун 2019</c:v>
                </c:pt>
                <c:pt idx="42">
                  <c:v>Јул 2019</c:v>
                </c:pt>
                <c:pt idx="43">
                  <c:v>Август 2019</c:v>
                </c:pt>
                <c:pt idx="44">
                  <c:v>Септембар 2019</c:v>
                </c:pt>
                <c:pt idx="45">
                  <c:v>Октобар 2019</c:v>
                </c:pt>
                <c:pt idx="46">
                  <c:v>Новембар 2019</c:v>
                </c:pt>
                <c:pt idx="47">
                  <c:v>Децембар 2019</c:v>
                </c:pt>
                <c:pt idx="48">
                  <c:v>Август 2020</c:v>
                </c:pt>
                <c:pt idx="49">
                  <c:v>Септембар 2020</c:v>
                </c:pt>
              </c:strCache>
            </c:strRef>
          </c:cat>
          <c:val>
            <c:numRef>
              <c:f>Sheet1!$D$68:$D$117</c:f>
              <c:numCache>
                <c:formatCode>#,##0.000</c:formatCode>
                <c:ptCount val="50"/>
                <c:pt idx="0">
                  <c:v>2.737198608839853</c:v>
                </c:pt>
                <c:pt idx="1">
                  <c:v>2.7191035197155298</c:v>
                </c:pt>
                <c:pt idx="2">
                  <c:v>2.7728335517188749</c:v>
                </c:pt>
                <c:pt idx="3">
                  <c:v>2.6906417708969554</c:v>
                </c:pt>
                <c:pt idx="4">
                  <c:v>2.9681240009005139</c:v>
                </c:pt>
                <c:pt idx="5">
                  <c:v>3.0245239291650661</c:v>
                </c:pt>
                <c:pt idx="6">
                  <c:v>2.98717915413186</c:v>
                </c:pt>
                <c:pt idx="7">
                  <c:v>2.892504790114137</c:v>
                </c:pt>
                <c:pt idx="8">
                  <c:v>2.9226375820838859</c:v>
                </c:pt>
                <c:pt idx="9">
                  <c:v>3.1471465269503032</c:v>
                </c:pt>
                <c:pt idx="10">
                  <c:v>3.1610789255908633</c:v>
                </c:pt>
                <c:pt idx="11">
                  <c:v>3.0492359026755316</c:v>
                </c:pt>
                <c:pt idx="12">
                  <c:v>3.0767465391094229</c:v>
                </c:pt>
                <c:pt idx="13">
                  <c:v>3.1861380112999025</c:v>
                </c:pt>
                <c:pt idx="14">
                  <c:v>3.3145522287372806</c:v>
                </c:pt>
                <c:pt idx="15">
                  <c:v>3.2252300220400598</c:v>
                </c:pt>
                <c:pt idx="16">
                  <c:v>3.1921816133204102</c:v>
                </c:pt>
                <c:pt idx="17">
                  <c:v>3.2939564229036766</c:v>
                </c:pt>
                <c:pt idx="18">
                  <c:v>3.3782294788810399</c:v>
                </c:pt>
                <c:pt idx="19">
                  <c:v>3.2610251959053498</c:v>
                </c:pt>
                <c:pt idx="20">
                  <c:v>3.4808718754728201</c:v>
                </c:pt>
                <c:pt idx="21">
                  <c:v>3.44</c:v>
                </c:pt>
                <c:pt idx="22">
                  <c:v>3.4263128678108856</c:v>
                </c:pt>
                <c:pt idx="23">
                  <c:v>3.4050078312651766</c:v>
                </c:pt>
                <c:pt idx="24">
                  <c:v>3.3850251959053499</c:v>
                </c:pt>
                <c:pt idx="25">
                  <c:v>3.4768906815133001</c:v>
                </c:pt>
                <c:pt idx="26">
                  <c:v>3.6421450414399521</c:v>
                </c:pt>
                <c:pt idx="27">
                  <c:v>3.6610010970593514</c:v>
                </c:pt>
                <c:pt idx="28">
                  <c:v>3.6768906815132998</c:v>
                </c:pt>
                <c:pt idx="29">
                  <c:v>3.6939659391674602</c:v>
                </c:pt>
                <c:pt idx="30">
                  <c:v>3.7145641398248901</c:v>
                </c:pt>
                <c:pt idx="31">
                  <c:v>3.7508718497823201</c:v>
                </c:pt>
                <c:pt idx="32">
                  <c:v>3.7250000000000001</c:v>
                </c:pt>
                <c:pt idx="33">
                  <c:v>3.639666374694055</c:v>
                </c:pt>
                <c:pt idx="34">
                  <c:v>3.5569999999999999</c:v>
                </c:pt>
                <c:pt idx="35">
                  <c:v>3.532</c:v>
                </c:pt>
                <c:pt idx="36">
                  <c:v>3.9140000000000001</c:v>
                </c:pt>
                <c:pt idx="37">
                  <c:v>4.0759999999999996</c:v>
                </c:pt>
                <c:pt idx="38">
                  <c:v>3.9870000000000001</c:v>
                </c:pt>
                <c:pt idx="39">
                  <c:v>3.9697855596679679</c:v>
                </c:pt>
                <c:pt idx="40">
                  <c:v>3.9725148540982271</c:v>
                </c:pt>
                <c:pt idx="41">
                  <c:v>4.2471234195046668</c:v>
                </c:pt>
                <c:pt idx="42">
                  <c:v>4.1749257654509879</c:v>
                </c:pt>
                <c:pt idx="43">
                  <c:v>4.167188937210339</c:v>
                </c:pt>
                <c:pt idx="44">
                  <c:v>4.125897801213652</c:v>
                </c:pt>
                <c:pt idx="45">
                  <c:v>4.0601012479141136</c:v>
                </c:pt>
                <c:pt idx="46">
                  <c:v>3.9779094670921955</c:v>
                </c:pt>
                <c:pt idx="47">
                  <c:v>3.8942668177798891</c:v>
                </c:pt>
                <c:pt idx="48">
                  <c:v>4.7373563507009235</c:v>
                </c:pt>
                <c:pt idx="49" formatCode="#,##0.0">
                  <c:v>4.7373563507009235</c:v>
                </c:pt>
              </c:numCache>
            </c:numRef>
          </c:val>
          <c:smooth val="0"/>
          <c:extLst>
            <c:ext xmlns:c16="http://schemas.microsoft.com/office/drawing/2014/chart" uri="{C3380CC4-5D6E-409C-BE32-E72D297353CC}">
              <c16:uniqueId val="{00000003-E6E2-49DC-BA1C-3932EDEEEAA9}"/>
            </c:ext>
          </c:extLst>
        </c:ser>
        <c:dLbls>
          <c:showLegendKey val="0"/>
          <c:showVal val="0"/>
          <c:showCatName val="0"/>
          <c:showSerName val="0"/>
          <c:showPercent val="0"/>
          <c:showBubbleSize val="0"/>
        </c:dLbls>
        <c:smooth val="0"/>
        <c:axId val="244111040"/>
        <c:axId val="244117024"/>
      </c:lineChart>
      <c:catAx>
        <c:axId val="244111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244117024"/>
        <c:crosses val="autoZero"/>
        <c:auto val="1"/>
        <c:lblAlgn val="ctr"/>
        <c:lblOffset val="100"/>
        <c:noMultiLvlLbl val="0"/>
      </c:catAx>
      <c:valAx>
        <c:axId val="244117024"/>
        <c:scaling>
          <c:orientation val="minMax"/>
          <c:max val="6"/>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244111040"/>
        <c:crosses val="autoZero"/>
        <c:crossBetween val="between"/>
      </c:valAx>
      <c:spPr>
        <a:noFill/>
        <a:ln>
          <a:noFill/>
        </a:ln>
        <a:effectLst/>
      </c:spPr>
    </c:plotArea>
    <c:legend>
      <c:legendPos val="b"/>
      <c:layout>
        <c:manualLayout>
          <c:xMode val="edge"/>
          <c:yMode val="edge"/>
          <c:x val="5.5572094473684684E-2"/>
          <c:y val="0.86962238591143848"/>
          <c:w val="0.89346092272658872"/>
          <c:h val="9.8119549572432463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0.06674</cdr:x>
      <cdr:y>0.43696</cdr:y>
    </cdr:from>
    <cdr:to>
      <cdr:x>0.47434</cdr:x>
      <cdr:y>0.67294</cdr:y>
    </cdr:to>
    <cdr:sp macro="" textlink="">
      <cdr:nvSpPr>
        <cdr:cNvPr id="2" name="TextBox 1"/>
        <cdr:cNvSpPr txBox="1"/>
      </cdr:nvSpPr>
      <cdr:spPr>
        <a:xfrm xmlns:a="http://schemas.openxmlformats.org/drawingml/2006/main">
          <a:off x="88898" y="550564"/>
          <a:ext cx="542923" cy="29733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0.43696</cdr:y>
    </cdr:from>
    <cdr:to>
      <cdr:x>0.92484</cdr:x>
      <cdr:y>0.67294</cdr:y>
    </cdr:to>
    <cdr:sp macro="" textlink="">
      <cdr:nvSpPr>
        <cdr:cNvPr id="3" name="TextBox 1"/>
        <cdr:cNvSpPr txBox="1"/>
      </cdr:nvSpPr>
      <cdr:spPr>
        <a:xfrm xmlns:a="http://schemas.openxmlformats.org/drawingml/2006/main">
          <a:off x="688978" y="550565"/>
          <a:ext cx="542910" cy="29733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rgbClr val="FF0000"/>
              </a:solidFill>
            </a:rPr>
            <a:t>Нова</a:t>
          </a:r>
        </a:p>
        <a:p xmlns:a="http://schemas.openxmlformats.org/drawingml/2006/main">
          <a:pPr algn="ctr"/>
          <a:r>
            <a:rPr lang="sr-Cyrl-RS" sz="750" b="1">
              <a:solidFill>
                <a:srgbClr val="FF0000"/>
              </a:solidFill>
            </a:rPr>
            <a:t>пројекција</a:t>
          </a:r>
        </a:p>
      </cdr:txBody>
    </cdr:sp>
  </cdr:relSizeAnchor>
</c:userShapes>
</file>

<file path=word/drawings/drawing2.xml><?xml version="1.0" encoding="utf-8"?>
<c:userShapes xmlns:c="http://schemas.openxmlformats.org/drawingml/2006/chart">
  <cdr:relSizeAnchor xmlns:cdr="http://schemas.openxmlformats.org/drawingml/2006/chartDrawing">
    <cdr:from>
      <cdr:x>0.05959</cdr:x>
      <cdr:y>0.4437</cdr:y>
    </cdr:from>
    <cdr:to>
      <cdr:x>0.46719</cdr:x>
      <cdr:y>0.67968</cdr:y>
    </cdr:to>
    <cdr:sp macro="" textlink="">
      <cdr:nvSpPr>
        <cdr:cNvPr id="2" name="TextBox 1"/>
        <cdr:cNvSpPr txBox="1"/>
      </cdr:nvSpPr>
      <cdr:spPr>
        <a:xfrm xmlns:a="http://schemas.openxmlformats.org/drawingml/2006/main">
          <a:off x="79373" y="559057"/>
          <a:ext cx="542923" cy="29733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0.44775</cdr:y>
    </cdr:from>
    <cdr:to>
      <cdr:x>0.91769</cdr:x>
      <cdr:y>0.68373</cdr:y>
    </cdr:to>
    <cdr:sp macro="" textlink="">
      <cdr:nvSpPr>
        <cdr:cNvPr id="3" name="TextBox 1"/>
        <cdr:cNvSpPr txBox="1"/>
      </cdr:nvSpPr>
      <cdr:spPr>
        <a:xfrm xmlns:a="http://schemas.openxmlformats.org/drawingml/2006/main">
          <a:off x="679451" y="564160"/>
          <a:ext cx="542910" cy="297336"/>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0.05959</cdr:x>
      <cdr:y>0.20976</cdr:y>
    </cdr:from>
    <cdr:to>
      <cdr:x>0.46719</cdr:x>
      <cdr:y>0.44574</cdr:y>
    </cdr:to>
    <cdr:sp macro="" textlink="">
      <cdr:nvSpPr>
        <cdr:cNvPr id="2" name="TextBox 1"/>
        <cdr:cNvSpPr txBox="1"/>
      </cdr:nvSpPr>
      <cdr:spPr>
        <a:xfrm xmlns:a="http://schemas.openxmlformats.org/drawingml/2006/main">
          <a:off x="79374" y="264294"/>
          <a:ext cx="542923" cy="29733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0.20965</cdr:y>
    </cdr:from>
    <cdr:to>
      <cdr:x>0.92484</cdr:x>
      <cdr:y>0.44563</cdr:y>
    </cdr:to>
    <cdr:sp macro="" textlink="">
      <cdr:nvSpPr>
        <cdr:cNvPr id="3" name="TextBox 1"/>
        <cdr:cNvSpPr txBox="1"/>
      </cdr:nvSpPr>
      <cdr:spPr>
        <a:xfrm xmlns:a="http://schemas.openxmlformats.org/drawingml/2006/main">
          <a:off x="690337" y="268009"/>
          <a:ext cx="543981" cy="30167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0.20976</cdr:y>
    </cdr:from>
    <cdr:to>
      <cdr:x>0.46719</cdr:x>
      <cdr:y>0.44574</cdr:y>
    </cdr:to>
    <cdr:sp macro="" textlink="">
      <cdr:nvSpPr>
        <cdr:cNvPr id="2" name="TextBox 1"/>
        <cdr:cNvSpPr txBox="1"/>
      </cdr:nvSpPr>
      <cdr:spPr>
        <a:xfrm xmlns:a="http://schemas.openxmlformats.org/drawingml/2006/main">
          <a:off x="79374" y="279397"/>
          <a:ext cx="542923"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0.21691</cdr:y>
    </cdr:from>
    <cdr:to>
      <cdr:x>0.92484</cdr:x>
      <cdr:y>0.45289</cdr:y>
    </cdr:to>
    <cdr:sp macro="" textlink="">
      <cdr:nvSpPr>
        <cdr:cNvPr id="3" name="TextBox 1"/>
        <cdr:cNvSpPr txBox="1"/>
      </cdr:nvSpPr>
      <cdr:spPr>
        <a:xfrm xmlns:a="http://schemas.openxmlformats.org/drawingml/2006/main">
          <a:off x="688978" y="288922"/>
          <a:ext cx="542910"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0.5364</cdr:y>
    </cdr:from>
    <cdr:to>
      <cdr:x>0.46719</cdr:x>
      <cdr:y>0.77238</cdr:y>
    </cdr:to>
    <cdr:sp macro="" textlink="">
      <cdr:nvSpPr>
        <cdr:cNvPr id="2" name="TextBox 1"/>
        <cdr:cNvSpPr txBox="1"/>
      </cdr:nvSpPr>
      <cdr:spPr>
        <a:xfrm xmlns:a="http://schemas.openxmlformats.org/drawingml/2006/main">
          <a:off x="79350" y="540559"/>
          <a:ext cx="542758" cy="23780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0.53584</cdr:y>
    </cdr:from>
    <cdr:to>
      <cdr:x>0.91769</cdr:x>
      <cdr:y>0.77182</cdr:y>
    </cdr:to>
    <cdr:sp macro="" textlink="">
      <cdr:nvSpPr>
        <cdr:cNvPr id="3" name="TextBox 1"/>
        <cdr:cNvSpPr txBox="1"/>
      </cdr:nvSpPr>
      <cdr:spPr>
        <a:xfrm xmlns:a="http://schemas.openxmlformats.org/drawingml/2006/main">
          <a:off x="679243" y="539995"/>
          <a:ext cx="542744" cy="23780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0.52694</cdr:y>
    </cdr:from>
    <cdr:to>
      <cdr:x>0.47434</cdr:x>
      <cdr:y>0.76292</cdr:y>
    </cdr:to>
    <cdr:sp macro="" textlink="">
      <cdr:nvSpPr>
        <cdr:cNvPr id="2" name="TextBox 1"/>
        <cdr:cNvSpPr txBox="1"/>
      </cdr:nvSpPr>
      <cdr:spPr>
        <a:xfrm xmlns:a="http://schemas.openxmlformats.org/drawingml/2006/main">
          <a:off x="88871" y="531024"/>
          <a:ext cx="542758" cy="23780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0.52702</cdr:y>
    </cdr:from>
    <cdr:to>
      <cdr:x>0.92484</cdr:x>
      <cdr:y>0.763</cdr:y>
    </cdr:to>
    <cdr:sp macro="" textlink="">
      <cdr:nvSpPr>
        <cdr:cNvPr id="3" name="TextBox 1"/>
        <cdr:cNvSpPr txBox="1"/>
      </cdr:nvSpPr>
      <cdr:spPr>
        <a:xfrm xmlns:a="http://schemas.openxmlformats.org/drawingml/2006/main">
          <a:off x="688768" y="531106"/>
          <a:ext cx="542744" cy="23780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0.06674</cdr:x>
      <cdr:y>0.64596</cdr:y>
    </cdr:from>
    <cdr:to>
      <cdr:x>0.47434</cdr:x>
      <cdr:y>0.88195</cdr:y>
    </cdr:to>
    <cdr:sp macro="" textlink="">
      <cdr:nvSpPr>
        <cdr:cNvPr id="2" name="TextBox 1"/>
        <cdr:cNvSpPr txBox="1"/>
      </cdr:nvSpPr>
      <cdr:spPr>
        <a:xfrm xmlns:a="http://schemas.openxmlformats.org/drawingml/2006/main">
          <a:off x="88899" y="860425"/>
          <a:ext cx="542923" cy="314326"/>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rgbClr val="29489A"/>
              </a:solidFill>
            </a:rPr>
            <a:t>Претходна пројекција</a:t>
          </a:r>
          <a:endParaRPr lang="en-GB" sz="750" b="1">
            <a:solidFill>
              <a:srgbClr val="29489A"/>
            </a:solidFill>
          </a:endParaRPr>
        </a:p>
      </cdr:txBody>
    </cdr:sp>
  </cdr:relSizeAnchor>
  <cdr:relSizeAnchor xmlns:cdr="http://schemas.openxmlformats.org/drawingml/2006/chartDrawing">
    <cdr:from>
      <cdr:x>0.5244</cdr:x>
      <cdr:y>0.63166</cdr:y>
    </cdr:from>
    <cdr:to>
      <cdr:x>0.93199</cdr:x>
      <cdr:y>0.86764</cdr:y>
    </cdr:to>
    <cdr:sp macro="" textlink="">
      <cdr:nvSpPr>
        <cdr:cNvPr id="3" name="TextBox 1"/>
        <cdr:cNvSpPr txBox="1"/>
      </cdr:nvSpPr>
      <cdr:spPr>
        <a:xfrm xmlns:a="http://schemas.openxmlformats.org/drawingml/2006/main">
          <a:off x="698502" y="841374"/>
          <a:ext cx="542910"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0.65312</cdr:y>
    </cdr:from>
    <cdr:to>
      <cdr:x>0.46719</cdr:x>
      <cdr:y>0.8891</cdr:y>
    </cdr:to>
    <cdr:sp macro="" textlink="">
      <cdr:nvSpPr>
        <cdr:cNvPr id="2" name="TextBox 1"/>
        <cdr:cNvSpPr txBox="1"/>
      </cdr:nvSpPr>
      <cdr:spPr>
        <a:xfrm xmlns:a="http://schemas.openxmlformats.org/drawingml/2006/main">
          <a:off x="79374" y="869952"/>
          <a:ext cx="542923"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rgbClr val="29489A"/>
              </a:solidFill>
            </a:rPr>
            <a:t>Претходна пројекција</a:t>
          </a:r>
          <a:endParaRPr lang="en-GB" sz="750" b="1">
            <a:solidFill>
              <a:srgbClr val="29489A"/>
            </a:solidFill>
          </a:endParaRPr>
        </a:p>
      </cdr:txBody>
    </cdr:sp>
  </cdr:relSizeAnchor>
  <cdr:relSizeAnchor xmlns:cdr="http://schemas.openxmlformats.org/drawingml/2006/chartDrawing">
    <cdr:from>
      <cdr:x>0.51725</cdr:x>
      <cdr:y>0.65312</cdr:y>
    </cdr:from>
    <cdr:to>
      <cdr:x>0.92484</cdr:x>
      <cdr:y>0.8891</cdr:y>
    </cdr:to>
    <cdr:sp macro="" textlink="">
      <cdr:nvSpPr>
        <cdr:cNvPr id="3" name="TextBox 1"/>
        <cdr:cNvSpPr txBox="1"/>
      </cdr:nvSpPr>
      <cdr:spPr>
        <a:xfrm xmlns:a="http://schemas.openxmlformats.org/drawingml/2006/main">
          <a:off x="688976" y="869953"/>
          <a:ext cx="542910" cy="314326"/>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rgbClr val="ED1C24"/>
              </a:solidFill>
            </a:rPr>
            <a:t>Нова</a:t>
          </a:r>
        </a:p>
        <a:p xmlns:a="http://schemas.openxmlformats.org/drawingml/2006/main">
          <a:pPr algn="ctr"/>
          <a:r>
            <a:rPr lang="sr-Cyrl-RS" sz="750" b="1">
              <a:solidFill>
                <a:srgbClr val="ED1C24"/>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841372"/>
          <a:ext cx="542923"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0.5244</cdr:x>
      <cdr:y>0.62451</cdr:y>
    </cdr:from>
    <cdr:to>
      <cdr:x>0.93199</cdr:x>
      <cdr:y>0.86049</cdr:y>
    </cdr:to>
    <cdr:sp macro="" textlink="">
      <cdr:nvSpPr>
        <cdr:cNvPr id="3" name="TextBox 1"/>
        <cdr:cNvSpPr txBox="1"/>
      </cdr:nvSpPr>
      <cdr:spPr>
        <a:xfrm xmlns:a="http://schemas.openxmlformats.org/drawingml/2006/main">
          <a:off x="698503" y="831847"/>
          <a:ext cx="542910"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841372"/>
          <a:ext cx="542923" cy="31432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0.5244</cdr:x>
      <cdr:y>0.62451</cdr:y>
    </cdr:from>
    <cdr:to>
      <cdr:x>0.93199</cdr:x>
      <cdr:y>0.86049</cdr:y>
    </cdr:to>
    <cdr:sp macro="" textlink="">
      <cdr:nvSpPr>
        <cdr:cNvPr id="3" name="TextBox 1"/>
        <cdr:cNvSpPr txBox="1"/>
      </cdr:nvSpPr>
      <cdr:spPr>
        <a:xfrm xmlns:a="http://schemas.openxmlformats.org/drawingml/2006/main">
          <a:off x="700568" y="796933"/>
          <a:ext cx="544517" cy="301133"/>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0.51974</cdr:x>
      <cdr:y>0</cdr:y>
    </cdr:from>
    <cdr:to>
      <cdr:x>0.97222</cdr:x>
      <cdr:y>0.73936</cdr:y>
    </cdr:to>
    <cdr:sp macro="" textlink="">
      <cdr:nvSpPr>
        <cdr:cNvPr id="3" name="TextBox 2"/>
        <cdr:cNvSpPr txBox="1"/>
      </cdr:nvSpPr>
      <cdr:spPr>
        <a:xfrm xmlns:a="http://schemas.openxmlformats.org/drawingml/2006/main">
          <a:off x="1430953" y="0"/>
          <a:ext cx="1245795" cy="15245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0.52083</cdr:x>
      <cdr:y>0</cdr:y>
    </cdr:from>
    <cdr:to>
      <cdr:x>0.97222</cdr:x>
      <cdr:y>0.73863</cdr:y>
    </cdr:to>
    <cdr:sp macro="" textlink="">
      <cdr:nvSpPr>
        <cdr:cNvPr id="3" name="TextBox 2"/>
        <cdr:cNvSpPr txBox="1"/>
      </cdr:nvSpPr>
      <cdr:spPr>
        <a:xfrm xmlns:a="http://schemas.openxmlformats.org/drawingml/2006/main">
          <a:off x="1428750" y="0"/>
          <a:ext cx="1238250" cy="1560872"/>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0.51307</cdr:x>
      <cdr:y>0.00827</cdr:y>
    </cdr:from>
    <cdr:to>
      <cdr:x>0.96515</cdr:x>
      <cdr:y>0.76895</cdr:y>
    </cdr:to>
    <cdr:sp macro="" textlink="">
      <cdr:nvSpPr>
        <cdr:cNvPr id="3" name="TextBox 2"/>
        <cdr:cNvSpPr txBox="1"/>
      </cdr:nvSpPr>
      <cdr:spPr>
        <a:xfrm xmlns:a="http://schemas.openxmlformats.org/drawingml/2006/main">
          <a:off x="1407455" y="19051"/>
          <a:ext cx="1240145" cy="17526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0.05793</cdr:x>
      <cdr:y>0.85649</cdr:y>
    </cdr:from>
    <cdr:to>
      <cdr:x>0.35061</cdr:x>
      <cdr:y>0.98363</cdr:y>
    </cdr:to>
    <cdr:sp macro="" textlink="">
      <cdr:nvSpPr>
        <cdr:cNvPr id="2" name="TextBox 1"/>
        <cdr:cNvSpPr txBox="1"/>
      </cdr:nvSpPr>
      <cdr:spPr>
        <a:xfrm xmlns:a="http://schemas.openxmlformats.org/drawingml/2006/main">
          <a:off x="180975" y="1495425"/>
          <a:ext cx="914400" cy="22199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GB" sz="1100"/>
        </a:p>
      </cdr:txBody>
    </cdr:sp>
  </cdr:relSizeAnchor>
  <cdr:relSizeAnchor xmlns:cdr="http://schemas.openxmlformats.org/drawingml/2006/chartDrawing">
    <cdr:from>
      <cdr:x>0.04613</cdr:x>
      <cdr:y>0.82252</cdr:y>
    </cdr:from>
    <cdr:to>
      <cdr:x>0.96145</cdr:x>
      <cdr:y>1</cdr:y>
    </cdr:to>
    <cdr:grpSp>
      <cdr:nvGrpSpPr>
        <cdr:cNvPr id="11" name="Group 10">
          <a:extLst xmlns:a="http://schemas.openxmlformats.org/drawingml/2006/main">
            <a:ext uri="{FF2B5EF4-FFF2-40B4-BE49-F238E27FC236}">
              <a16:creationId xmlns:a16="http://schemas.microsoft.com/office/drawing/2014/main" id="{84A6910A-4076-44B1-B308-51212BC89DFE}"/>
            </a:ext>
          </a:extLst>
        </cdr:cNvPr>
        <cdr:cNvGrpSpPr/>
      </cdr:nvGrpSpPr>
      <cdr:grpSpPr>
        <a:xfrm xmlns:a="http://schemas.openxmlformats.org/drawingml/2006/main">
          <a:off x="126251" y="1284858"/>
          <a:ext cx="2505093" cy="277242"/>
          <a:chOff x="205846" y="1543663"/>
          <a:chExt cx="2859616" cy="339805"/>
        </a:xfrm>
      </cdr:grpSpPr>
      <cdr:grpSp>
        <cdr:nvGrpSpPr>
          <cdr:cNvPr id="6" name="Group 5">
            <a:extLst xmlns:a="http://schemas.openxmlformats.org/drawingml/2006/main">
              <a:ext uri="{FF2B5EF4-FFF2-40B4-BE49-F238E27FC236}">
                <a16:creationId xmlns:a16="http://schemas.microsoft.com/office/drawing/2014/main" id="{6280970F-1A39-45CB-A80B-A0C7080ABCF5}"/>
              </a:ext>
            </a:extLst>
          </cdr:cNvPr>
          <cdr:cNvGrpSpPr/>
        </cdr:nvGrpSpPr>
        <cdr:grpSpPr>
          <a:xfrm xmlns:a="http://schemas.openxmlformats.org/drawingml/2006/main">
            <a:off x="219088" y="1685922"/>
            <a:ext cx="2749984" cy="197546"/>
            <a:chOff x="219075" y="1450973"/>
            <a:chExt cx="2749986" cy="337411"/>
          </a:xfrm>
        </cdr:grpSpPr>
        <cdr:sp macro="" textlink="">
          <cdr:nvSpPr>
            <cdr:cNvPr id="3" name="TextBox 2"/>
            <cdr:cNvSpPr txBox="1"/>
          </cdr:nvSpPr>
          <cdr:spPr>
            <a:xfrm xmlns:a="http://schemas.openxmlformats.org/drawingml/2006/main">
              <a:off x="219075" y="1450973"/>
              <a:ext cx="742950" cy="33741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sr-Latn-RS" sz="750" b="1" baseline="0">
                  <a:solidFill>
                    <a:srgbClr val="29489A"/>
                  </a:solidFill>
                </a:rPr>
                <a:t>201</a:t>
              </a:r>
              <a:r>
                <a:rPr lang="sr-Cyrl-RS" sz="750" b="1" baseline="0">
                  <a:solidFill>
                    <a:srgbClr val="29489A"/>
                  </a:solidFill>
                </a:rPr>
                <a:t>9</a:t>
              </a:r>
              <a:r>
                <a:rPr lang="sr-Latn-RS" sz="750" baseline="0">
                  <a:solidFill>
                    <a:schemeClr val="tx2"/>
                  </a:solidFill>
                </a:rPr>
                <a:t>     </a:t>
              </a:r>
              <a:r>
                <a:rPr lang="en-GB" sz="750" baseline="0">
                  <a:solidFill>
                    <a:schemeClr val="tx2"/>
                  </a:solidFill>
                </a:rPr>
                <a:t>    </a:t>
              </a:r>
              <a:r>
                <a:rPr lang="sr-Latn-RS" sz="750" b="1" baseline="0">
                  <a:solidFill>
                    <a:srgbClr val="FF0000"/>
                  </a:solidFill>
                </a:rPr>
                <a:t>20</a:t>
              </a:r>
              <a:r>
                <a:rPr lang="sr-Cyrl-RS" sz="750" b="1" baseline="0">
                  <a:solidFill>
                    <a:srgbClr val="FF0000"/>
                  </a:solidFill>
                </a:rPr>
                <a:t>20</a:t>
              </a:r>
              <a:endParaRPr lang="en-GB" sz="750" b="1">
                <a:solidFill>
                  <a:srgbClr val="FF0000"/>
                </a:solidFill>
              </a:endParaRPr>
            </a:p>
          </cdr:txBody>
        </cdr:sp>
        <cdr:sp macro="" textlink="">
          <cdr:nvSpPr>
            <cdr:cNvPr id="4" name="TextBox 1"/>
            <cdr:cNvSpPr txBox="1"/>
          </cdr:nvSpPr>
          <cdr:spPr>
            <a:xfrm xmlns:a="http://schemas.openxmlformats.org/drawingml/2006/main">
              <a:off x="1216570" y="1450977"/>
              <a:ext cx="742950" cy="2601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Latn-RS" sz="750" b="1" baseline="0">
                  <a:solidFill>
                    <a:srgbClr val="29489A"/>
                  </a:solidFill>
                </a:rPr>
                <a:t>201</a:t>
              </a:r>
              <a:r>
                <a:rPr lang="sr-Cyrl-RS" sz="750" b="1" baseline="0">
                  <a:solidFill>
                    <a:srgbClr val="29489A"/>
                  </a:solidFill>
                </a:rPr>
                <a:t>9</a:t>
              </a:r>
              <a:r>
                <a:rPr lang="en-GB" sz="750" baseline="0">
                  <a:solidFill>
                    <a:schemeClr val="tx2"/>
                  </a:solidFill>
                </a:rPr>
                <a:t>   </a:t>
              </a:r>
              <a:r>
                <a:rPr lang="sr-Latn-RS" sz="750" baseline="0">
                  <a:solidFill>
                    <a:schemeClr val="tx2"/>
                  </a:solidFill>
                </a:rPr>
                <a:t>    </a:t>
              </a:r>
              <a:r>
                <a:rPr lang="en-GB" sz="750" baseline="0">
                  <a:solidFill>
                    <a:schemeClr val="tx2"/>
                  </a:solidFill>
                </a:rPr>
                <a:t>  </a:t>
              </a:r>
              <a:r>
                <a:rPr lang="sr-Latn-RS" sz="750" b="1" baseline="0">
                  <a:solidFill>
                    <a:srgbClr val="FF0000"/>
                  </a:solidFill>
                </a:rPr>
                <a:t>20</a:t>
              </a:r>
              <a:r>
                <a:rPr lang="sr-Cyrl-RS" sz="750" b="1" baseline="0">
                  <a:solidFill>
                    <a:srgbClr val="FF0000"/>
                  </a:solidFill>
                </a:rPr>
                <a:t>20</a:t>
              </a:r>
              <a:endParaRPr lang="en-GB" sz="750" b="1">
                <a:solidFill>
                  <a:srgbClr val="FF0000"/>
                </a:solidFill>
              </a:endParaRPr>
            </a:p>
          </cdr:txBody>
        </cdr:sp>
        <cdr:sp macro="" textlink="">
          <cdr:nvSpPr>
            <cdr:cNvPr id="5" name="TextBox 1"/>
            <cdr:cNvSpPr txBox="1"/>
          </cdr:nvSpPr>
          <cdr:spPr>
            <a:xfrm xmlns:a="http://schemas.openxmlformats.org/drawingml/2006/main">
              <a:off x="2226111" y="1450979"/>
              <a:ext cx="742950" cy="2601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Latn-RS" sz="750" b="1" baseline="0">
                  <a:solidFill>
                    <a:srgbClr val="29489A"/>
                  </a:solidFill>
                </a:rPr>
                <a:t>201</a:t>
              </a:r>
              <a:r>
                <a:rPr lang="sr-Cyrl-RS" sz="750" b="1" baseline="0">
                  <a:solidFill>
                    <a:srgbClr val="29489A"/>
                  </a:solidFill>
                </a:rPr>
                <a:t>9</a:t>
              </a:r>
              <a:r>
                <a:rPr lang="sr-Latn-RS" sz="750" b="1" baseline="0">
                  <a:solidFill>
                    <a:srgbClr val="29489A"/>
                  </a:solidFill>
                </a:rPr>
                <a:t> </a:t>
              </a:r>
              <a:r>
                <a:rPr lang="en-GB" sz="750" baseline="0">
                  <a:solidFill>
                    <a:schemeClr val="tx2"/>
                  </a:solidFill>
                </a:rPr>
                <a:t>   </a:t>
              </a:r>
              <a:r>
                <a:rPr lang="sr-Latn-RS" sz="750" baseline="0">
                  <a:solidFill>
                    <a:schemeClr val="tx2"/>
                  </a:solidFill>
                </a:rPr>
                <a:t>    </a:t>
              </a:r>
              <a:r>
                <a:rPr lang="en-GB" sz="750" baseline="0">
                  <a:solidFill>
                    <a:schemeClr val="tx2"/>
                  </a:solidFill>
                </a:rPr>
                <a:t> </a:t>
              </a:r>
              <a:r>
                <a:rPr lang="sr-Latn-RS" sz="750" b="1" baseline="0">
                  <a:solidFill>
                    <a:srgbClr val="FF0000"/>
                  </a:solidFill>
                </a:rPr>
                <a:t>20</a:t>
              </a:r>
              <a:r>
                <a:rPr lang="sr-Cyrl-RS" sz="750" b="1" baseline="0">
                  <a:solidFill>
                    <a:srgbClr val="FF0000"/>
                  </a:solidFill>
                </a:rPr>
                <a:t>20</a:t>
              </a:r>
              <a:endParaRPr lang="en-GB" sz="750" b="1">
                <a:solidFill>
                  <a:srgbClr val="FF0000"/>
                </a:solidFill>
              </a:endParaRPr>
            </a:p>
          </cdr:txBody>
        </cdr:sp>
      </cdr:grpSp>
      <cdr:grpSp>
        <cdr:nvGrpSpPr>
          <cdr:cNvPr id="10" name="Group 9">
            <a:extLst xmlns:a="http://schemas.openxmlformats.org/drawingml/2006/main">
              <a:ext uri="{FF2B5EF4-FFF2-40B4-BE49-F238E27FC236}">
                <a16:creationId xmlns:a16="http://schemas.microsoft.com/office/drawing/2014/main" id="{FDD8E321-9B79-4B6B-94D1-514E0516EA68}"/>
              </a:ext>
            </a:extLst>
          </cdr:cNvPr>
          <cdr:cNvGrpSpPr/>
        </cdr:nvGrpSpPr>
        <cdr:grpSpPr>
          <a:xfrm xmlns:a="http://schemas.openxmlformats.org/drawingml/2006/main">
            <a:off x="205846" y="1543663"/>
            <a:ext cx="2859616" cy="205405"/>
            <a:chOff x="205846" y="1543663"/>
            <a:chExt cx="2859616" cy="205406"/>
          </a:xfrm>
        </cdr:grpSpPr>
        <cdr:sp macro="" textlink="">
          <cdr:nvSpPr>
            <cdr:cNvPr id="7" name="TextBox 1"/>
            <cdr:cNvSpPr txBox="1"/>
          </cdr:nvSpPr>
          <cdr:spPr>
            <a:xfrm xmlns:a="http://schemas.openxmlformats.org/drawingml/2006/main">
              <a:off x="205846"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sp macro="" textlink="">
          <cdr:nvSpPr>
            <cdr:cNvPr id="8" name="TextBox 1"/>
            <cdr:cNvSpPr txBox="1"/>
          </cdr:nvSpPr>
          <cdr:spPr>
            <a:xfrm xmlns:a="http://schemas.openxmlformats.org/drawingml/2006/main">
              <a:off x="1207293"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sp macro="" textlink="">
          <cdr:nvSpPr>
            <cdr:cNvPr id="9" name="TextBox 1"/>
            <cdr:cNvSpPr txBox="1"/>
          </cdr:nvSpPr>
          <cdr:spPr>
            <a:xfrm xmlns:a="http://schemas.openxmlformats.org/drawingml/2006/main">
              <a:off x="2211387"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grpSp>
    </cdr:grpSp>
  </cdr:relSizeAnchor>
</c:userShapes>
</file>

<file path=word/drawings/drawing15.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6.xml><?xml version="1.0" encoding="utf-8"?>
<c:userShapes xmlns:c="http://schemas.openxmlformats.org/drawingml/2006/chart">
  <cdr:relSizeAnchor xmlns:cdr="http://schemas.openxmlformats.org/drawingml/2006/chartDrawing">
    <cdr:from>
      <cdr:x>0.75541</cdr:x>
      <cdr:y>0.00352</cdr:y>
    </cdr:from>
    <cdr:to>
      <cdr:x>0.96161</cdr:x>
      <cdr:y>0.69442</cdr:y>
    </cdr:to>
    <cdr:sp macro="" textlink="">
      <cdr:nvSpPr>
        <cdr:cNvPr id="2" name="TextBox 1"/>
        <cdr:cNvSpPr txBox="1"/>
      </cdr:nvSpPr>
      <cdr:spPr>
        <a:xfrm xmlns:a="http://schemas.openxmlformats.org/drawingml/2006/main">
          <a:off x="2072244" y="5938"/>
          <a:ext cx="565638" cy="1166122"/>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800" b="1">
              <a:solidFill>
                <a:schemeClr val="tx2"/>
              </a:solidFill>
              <a:latin typeface="+mn-lt"/>
              <a:cs typeface="Arial" panose="020B0604020202020204" pitchFamily="34" charset="0"/>
            </a:rPr>
            <a:t>ПРОЈЕКЦИЈА</a:t>
          </a:r>
        </a:p>
      </cdr:txBody>
    </cdr:sp>
  </cdr:relSizeAnchor>
</c:userShapes>
</file>

<file path=word/drawings/drawing17.xml><?xml version="1.0" encoding="utf-8"?>
<c:userShapes xmlns:c="http://schemas.openxmlformats.org/drawingml/2006/chart">
  <cdr:relSizeAnchor xmlns:cdr="http://schemas.openxmlformats.org/drawingml/2006/chartDrawing">
    <cdr:from>
      <cdr:x>0.5377</cdr:x>
      <cdr:y>0</cdr:y>
    </cdr:from>
    <cdr:to>
      <cdr:x>0.9881</cdr:x>
      <cdr:y>0.76585</cdr:y>
    </cdr:to>
    <cdr:sp macro="" textlink="">
      <cdr:nvSpPr>
        <cdr:cNvPr id="2" name="TextBox 1"/>
        <cdr:cNvSpPr txBox="1"/>
      </cdr:nvSpPr>
      <cdr:spPr>
        <a:xfrm xmlns:a="http://schemas.openxmlformats.org/drawingml/2006/main">
          <a:off x="1475014" y="0"/>
          <a:ext cx="1235529" cy="1824718"/>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18.xml><?xml version="1.0" encoding="utf-8"?>
<c:userShapes xmlns:c="http://schemas.openxmlformats.org/drawingml/2006/chart">
  <cdr:relSizeAnchor xmlns:cdr="http://schemas.openxmlformats.org/drawingml/2006/chartDrawing">
    <cdr:from>
      <cdr:x>0.57976</cdr:x>
      <cdr:y>0.01417</cdr:y>
    </cdr:from>
    <cdr:to>
      <cdr:x>0.9735</cdr:x>
      <cdr:y>0.75123</cdr:y>
    </cdr:to>
    <cdr:sp macro="" textlink="">
      <cdr:nvSpPr>
        <cdr:cNvPr id="2" name="TextBox 1"/>
        <cdr:cNvSpPr txBox="1"/>
      </cdr:nvSpPr>
      <cdr:spPr>
        <a:xfrm xmlns:a="http://schemas.openxmlformats.org/drawingml/2006/main">
          <a:off x="1590398" y="28575"/>
          <a:ext cx="1080107" cy="14859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0.52277</cdr:x>
      <cdr:y>0.10186</cdr:y>
    </cdr:from>
    <cdr:to>
      <cdr:x>0.52412</cdr:x>
      <cdr:y>0.87091</cdr:y>
    </cdr:to>
    <cdr:cxnSp macro="">
      <cdr:nvCxnSpPr>
        <cdr:cNvPr id="3" name="Straight Connector 2"/>
        <cdr:cNvCxnSpPr/>
      </cdr:nvCxnSpPr>
      <cdr:spPr>
        <a:xfrm xmlns:a="http://schemas.openxmlformats.org/drawingml/2006/main">
          <a:off x="3001573" y="324828"/>
          <a:ext cx="7759" cy="2452492"/>
        </a:xfrm>
        <a:prstGeom xmlns:a="http://schemas.openxmlformats.org/drawingml/2006/main" prst="line">
          <a:avLst/>
        </a:prstGeom>
        <a:ln xmlns:a="http://schemas.openxmlformats.org/drawingml/2006/main" w="1905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0.0798</cdr:x>
      <cdr:y>0.32132</cdr:y>
    </cdr:from>
    <cdr:to>
      <cdr:x>0.97569</cdr:x>
      <cdr:y>0.32356</cdr:y>
    </cdr:to>
    <cdr:cxnSp macro="">
      <cdr:nvCxnSpPr>
        <cdr:cNvPr id="7" name="Straight Connector 6"/>
        <cdr:cNvCxnSpPr/>
      </cdr:nvCxnSpPr>
      <cdr:spPr>
        <a:xfrm xmlns:a="http://schemas.openxmlformats.org/drawingml/2006/main">
          <a:off x="458168" y="1024684"/>
          <a:ext cx="5143905" cy="7144"/>
        </a:xfrm>
        <a:prstGeom xmlns:a="http://schemas.openxmlformats.org/drawingml/2006/main" prst="line">
          <a:avLst/>
        </a:prstGeom>
        <a:ln xmlns:a="http://schemas.openxmlformats.org/drawingml/2006/main" w="1270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0.52875</cdr:x>
      <cdr:y>0.08658</cdr:y>
    </cdr:from>
    <cdr:to>
      <cdr:x>0.97387</cdr:x>
      <cdr:y>0.3167</cdr:y>
    </cdr:to>
    <cdr:sp macro="" textlink="">
      <cdr:nvSpPr>
        <cdr:cNvPr id="8" name="TextBox 7"/>
        <cdr:cNvSpPr txBox="1"/>
      </cdr:nvSpPr>
      <cdr:spPr>
        <a:xfrm xmlns:a="http://schemas.openxmlformats.org/drawingml/2006/main">
          <a:off x="3035908" y="276101"/>
          <a:ext cx="2555732" cy="733834"/>
        </a:xfrm>
        <a:prstGeom xmlns:a="http://schemas.openxmlformats.org/drawingml/2006/main" prst="rect">
          <a:avLst/>
        </a:prstGeom>
        <a:solidFill xmlns:a="http://schemas.openxmlformats.org/drawingml/2006/main">
          <a:srgbClr val="5297AC"/>
        </a:solidFill>
        <a:ln xmlns:a="http://schemas.openxmlformats.org/drawingml/2006/main">
          <a:noFill/>
        </a:ln>
      </cdr:spPr>
      <cdr:txBody>
        <a:bodyPr xmlns:a="http://schemas.openxmlformats.org/drawingml/2006/main" vertOverflow="clip" wrap="square" rtlCol="0" anchor="ctr"/>
        <a:lstStyle xmlns:a="http://schemas.openxmlformats.org/drawingml/2006/main"/>
        <a:p xmlns:a="http://schemas.openxmlformats.org/drawingml/2006/main">
          <a:pPr algn="ctr"/>
          <a:r>
            <a:rPr lang="sr-Cyrl-RS" sz="750" b="1">
              <a:solidFill>
                <a:schemeClr val="bg1"/>
              </a:solidFill>
              <a:latin typeface="+mn-lt"/>
            </a:rPr>
            <a:t>ЗОНА</a:t>
          </a:r>
          <a:r>
            <a:rPr lang="sr-Cyrl-RS" sz="750" b="1" baseline="0">
              <a:solidFill>
                <a:schemeClr val="bg1"/>
              </a:solidFill>
              <a:latin typeface="+mn-lt"/>
            </a:rPr>
            <a:t> ФИСКАЛНОГ РИЗИКА</a:t>
          </a:r>
        </a:p>
        <a:p xmlns:a="http://schemas.openxmlformats.org/drawingml/2006/main">
          <a:pPr algn="ctr"/>
          <a:r>
            <a:rPr lang="sr-Latn-RS" sz="750" b="1" baseline="0">
              <a:solidFill>
                <a:schemeClr val="bg1"/>
              </a:solidFill>
              <a:latin typeface="+mn-lt"/>
            </a:rPr>
            <a:t>S0 </a:t>
          </a:r>
          <a:r>
            <a:rPr lang="sr-Cyrl-RS" sz="750" b="1" baseline="0">
              <a:solidFill>
                <a:schemeClr val="bg1"/>
              </a:solidFill>
              <a:latin typeface="+mn-lt"/>
            </a:rPr>
            <a:t>изнад дефинисаног прага</a:t>
          </a:r>
          <a:endParaRPr lang="en-US" sz="750" b="1">
            <a:solidFill>
              <a:schemeClr val="bg1"/>
            </a:solidFill>
            <a:latin typeface="+mn-lt"/>
          </a:endParaRPr>
        </a:p>
      </cdr:txBody>
    </cdr:sp>
  </cdr:relSizeAnchor>
</c:userShapes>
</file>

<file path=word/drawings/drawing20.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1.xml><?xml version="1.0" encoding="utf-8"?>
<c:userShapes xmlns:c="http://schemas.openxmlformats.org/drawingml/2006/chart">
  <cdr:relSizeAnchor xmlns:cdr="http://schemas.openxmlformats.org/drawingml/2006/chartDrawing">
    <cdr:from>
      <cdr:x>0.86362</cdr:x>
      <cdr:y>0.01767</cdr:y>
    </cdr:from>
    <cdr:to>
      <cdr:x>0.86747</cdr:x>
      <cdr:y>0.89411</cdr:y>
    </cdr:to>
    <cdr:cxnSp macro="">
      <cdr:nvCxnSpPr>
        <cdr:cNvPr id="3" name="Straight Connector 2"/>
        <cdr:cNvCxnSpPr/>
      </cdr:nvCxnSpPr>
      <cdr:spPr>
        <a:xfrm xmlns:a="http://schemas.openxmlformats.org/drawingml/2006/main" flipH="1">
          <a:off x="2381693" y="53163"/>
          <a:ext cx="10633" cy="2636875"/>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0.11452</cdr:x>
      <cdr:y>0.17764</cdr:y>
    </cdr:from>
    <cdr:to>
      <cdr:x>0.24585</cdr:x>
      <cdr:y>0.5815</cdr:y>
    </cdr:to>
    <cdr:sp macro="" textlink="">
      <cdr:nvSpPr>
        <cdr:cNvPr id="11" name="Oval 10"/>
        <cdr:cNvSpPr/>
      </cdr:nvSpPr>
      <cdr:spPr>
        <a:xfrm xmlns:a="http://schemas.openxmlformats.org/drawingml/2006/main">
          <a:off x="765771" y="768601"/>
          <a:ext cx="878186" cy="1747319"/>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0.19839</cdr:x>
      <cdr:y>0.18226</cdr:y>
    </cdr:from>
    <cdr:to>
      <cdr:x>0.26439</cdr:x>
      <cdr:y>0.36468</cdr:y>
    </cdr:to>
    <cdr:sp macro="" textlink="">
      <cdr:nvSpPr>
        <cdr:cNvPr id="5" name="Straight Arrow Connector 4"/>
        <cdr:cNvSpPr/>
      </cdr:nvSpPr>
      <cdr:spPr>
        <a:xfrm xmlns:a="http://schemas.openxmlformats.org/drawingml/2006/main" flipV="1">
          <a:off x="1326550" y="788569"/>
          <a:ext cx="441325" cy="789261"/>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0.22207</cdr:x>
      <cdr:y>0.12824</cdr:y>
    </cdr:from>
    <cdr:to>
      <cdr:x>0.46148</cdr:x>
      <cdr:y>0.19049</cdr:y>
    </cdr:to>
    <cdr:sp macro="" textlink="">
      <cdr:nvSpPr>
        <cdr:cNvPr id="6" name="TextBox 5"/>
        <cdr:cNvSpPr txBox="1"/>
      </cdr:nvSpPr>
      <cdr:spPr>
        <a:xfrm xmlns:a="http://schemas.openxmlformats.org/drawingml/2006/main">
          <a:off x="620887" y="372228"/>
          <a:ext cx="669371" cy="1806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0.45853</cdr:x>
      <cdr:y>0.58958</cdr:y>
    </cdr:from>
    <cdr:to>
      <cdr:x>0.69623</cdr:x>
      <cdr:y>0.66305</cdr:y>
    </cdr:to>
    <cdr:sp macro="" textlink="">
      <cdr:nvSpPr>
        <cdr:cNvPr id="7" name="TextBox 6"/>
        <cdr:cNvSpPr txBox="1"/>
      </cdr:nvSpPr>
      <cdr:spPr>
        <a:xfrm xmlns:a="http://schemas.openxmlformats.org/drawingml/2006/main">
          <a:off x="1282006" y="1711306"/>
          <a:ext cx="664600" cy="21325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Рестриктивна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0.3539</cdr:x>
      <cdr:y>0.24444</cdr:y>
    </cdr:from>
    <cdr:to>
      <cdr:x>0.48686</cdr:x>
      <cdr:y>0.61707</cdr:y>
    </cdr:to>
    <cdr:sp macro="" textlink="">
      <cdr:nvSpPr>
        <cdr:cNvPr id="12" name="Oval 11"/>
        <cdr:cNvSpPr/>
      </cdr:nvSpPr>
      <cdr:spPr>
        <a:xfrm xmlns:a="http://schemas.openxmlformats.org/drawingml/2006/main">
          <a:off x="1041149" y="623982"/>
          <a:ext cx="391171" cy="951213"/>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0.09232</cdr:x>
      <cdr:y>0.21162</cdr:y>
    </cdr:from>
    <cdr:to>
      <cdr:x>0.34159</cdr:x>
      <cdr:y>0.30405</cdr:y>
    </cdr:to>
    <cdr:sp macro="" textlink="">
      <cdr:nvSpPr>
        <cdr:cNvPr id="18" name="TextBox 17"/>
        <cdr:cNvSpPr txBox="1"/>
      </cdr:nvSpPr>
      <cdr:spPr>
        <a:xfrm xmlns:a="http://schemas.openxmlformats.org/drawingml/2006/main">
          <a:off x="271604" y="523002"/>
          <a:ext cx="733330" cy="22843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Проциклична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0.29495</cdr:x>
      <cdr:y>0.33258</cdr:y>
    </cdr:from>
    <cdr:to>
      <cdr:x>0.56582</cdr:x>
      <cdr:y>0.41395</cdr:y>
    </cdr:to>
    <cdr:sp macro="" textlink="">
      <cdr:nvSpPr>
        <cdr:cNvPr id="19" name="TextBox 18"/>
        <cdr:cNvSpPr txBox="1"/>
      </cdr:nvSpPr>
      <cdr:spPr>
        <a:xfrm xmlns:a="http://schemas.openxmlformats.org/drawingml/2006/main">
          <a:off x="824643" y="965342"/>
          <a:ext cx="757325" cy="2361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0.62902</cdr:x>
      <cdr:y>0.1902</cdr:y>
    </cdr:from>
    <cdr:to>
      <cdr:x>0.78201</cdr:x>
      <cdr:y>0.7217</cdr:y>
    </cdr:to>
    <cdr:sp macro="" textlink="">
      <cdr:nvSpPr>
        <cdr:cNvPr id="10" name="Oval 9"/>
        <cdr:cNvSpPr/>
      </cdr:nvSpPr>
      <cdr:spPr>
        <a:xfrm xmlns:a="http://schemas.openxmlformats.org/drawingml/2006/main">
          <a:off x="4206088" y="822922"/>
          <a:ext cx="1023040" cy="2299580"/>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0.56983</cdr:x>
      <cdr:y>0.31633</cdr:y>
    </cdr:from>
    <cdr:to>
      <cdr:x>0.81316</cdr:x>
      <cdr:y>0.39057</cdr:y>
    </cdr:to>
    <cdr:sp macro="" textlink="">
      <cdr:nvSpPr>
        <cdr:cNvPr id="13" name="TextBox 12"/>
        <cdr:cNvSpPr txBox="1"/>
      </cdr:nvSpPr>
      <cdr:spPr>
        <a:xfrm xmlns:a="http://schemas.openxmlformats.org/drawingml/2006/main">
          <a:off x="1593189" y="918175"/>
          <a:ext cx="680330" cy="2154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baseline="0">
              <a:solidFill>
                <a:srgbClr val="44546A"/>
              </a:solidFill>
              <a:latin typeface="+mn-lt"/>
            </a:rPr>
            <a:t>Проциклична</a:t>
          </a:r>
          <a:endParaRPr lang="en-US" sz="600" b="1" baseline="0">
            <a:solidFill>
              <a:srgbClr val="44546A"/>
            </a:solidFill>
            <a:latin typeface="+mn-lt"/>
          </a:endParaRPr>
        </a:p>
      </cdr:txBody>
    </cdr:sp>
  </cdr:relSizeAnchor>
  <cdr:relSizeAnchor xmlns:cdr="http://schemas.openxmlformats.org/drawingml/2006/chartDrawing">
    <cdr:from>
      <cdr:x>0.69688</cdr:x>
      <cdr:y>0.06594</cdr:y>
    </cdr:from>
    <cdr:to>
      <cdr:x>0.92321</cdr:x>
      <cdr:y>0.14287</cdr:y>
    </cdr:to>
    <cdr:sp macro="" textlink="">
      <cdr:nvSpPr>
        <cdr:cNvPr id="15" name="TextBox 1"/>
        <cdr:cNvSpPr txBox="1"/>
      </cdr:nvSpPr>
      <cdr:spPr>
        <a:xfrm xmlns:a="http://schemas.openxmlformats.org/drawingml/2006/main">
          <a:off x="2050181" y="162960"/>
          <a:ext cx="665858" cy="1901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0.78608</cdr:x>
      <cdr:y>0.19049</cdr:y>
    </cdr:from>
    <cdr:to>
      <cdr:x>0.98646</cdr:x>
      <cdr:y>0.69602</cdr:y>
    </cdr:to>
    <cdr:sp macro="" textlink="">
      <cdr:nvSpPr>
        <cdr:cNvPr id="16" name="Oval 15"/>
        <cdr:cNvSpPr/>
      </cdr:nvSpPr>
      <cdr:spPr>
        <a:xfrm xmlns:a="http://schemas.openxmlformats.org/drawingml/2006/main">
          <a:off x="2312612" y="470781"/>
          <a:ext cx="589509" cy="1249378"/>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0.81242</cdr:x>
      <cdr:y>0.2784</cdr:y>
    </cdr:from>
    <cdr:to>
      <cdr:x>1</cdr:x>
      <cdr:y>0.44692</cdr:y>
    </cdr:to>
    <cdr:sp macro="" textlink="">
      <cdr:nvSpPr>
        <cdr:cNvPr id="20" name="TextBox 1"/>
        <cdr:cNvSpPr txBox="1"/>
      </cdr:nvSpPr>
      <cdr:spPr>
        <a:xfrm xmlns:a="http://schemas.openxmlformats.org/drawingml/2006/main">
          <a:off x="2390115" y="710672"/>
          <a:ext cx="551840" cy="4301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1" baseline="0">
              <a:solidFill>
                <a:srgbClr val="44546A"/>
              </a:solidFill>
              <a:latin typeface="+mn-lt"/>
              <a:cs typeface="Times New Roman" pitchFamily="18" charset="0"/>
            </a:rPr>
            <a:t>Контра</a:t>
          </a:r>
          <a:r>
            <a:rPr lang="en-US" sz="600" b="1" baseline="0">
              <a:solidFill>
                <a:srgbClr val="44546A"/>
              </a:solidFill>
              <a:latin typeface="+mn-lt"/>
              <a:cs typeface="Times New Roman" pitchFamily="18" charset="0"/>
            </a:rPr>
            <a:t>-</a:t>
          </a:r>
        </a:p>
        <a:p xmlns:a="http://schemas.openxmlformats.org/drawingml/2006/main">
          <a:r>
            <a:rPr lang="sr-Cyrl-RS" sz="600" b="1" baseline="0">
              <a:solidFill>
                <a:srgbClr val="44546A"/>
              </a:solidFill>
              <a:latin typeface="+mn-lt"/>
              <a:cs typeface="Times New Roman" pitchFamily="18" charset="0"/>
            </a:rPr>
            <a:t>циклична</a:t>
          </a:r>
          <a:endParaRPr lang="en-US" sz="600" b="1" baseline="0">
            <a:solidFill>
              <a:srgbClr val="44546A"/>
            </a:solidFill>
            <a:latin typeface="+mn-lt"/>
            <a:cs typeface="Times New Roman" pitchFamily="18" charset="0"/>
          </a:endParaRPr>
        </a:p>
      </cdr:txBody>
    </cdr:sp>
  </cdr:relSizeAnchor>
</c:userShapes>
</file>

<file path=word/drawings/drawing23.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0.01329</cdr:x>
      <cdr:y>0.84616</cdr:y>
    </cdr:from>
    <cdr:to>
      <cdr:x>0.36878</cdr:x>
      <cdr:y>0.9781</cdr:y>
    </cdr:to>
    <cdr:sp macro="" textlink="">
      <cdr:nvSpPr>
        <cdr:cNvPr id="15" name="TextBox 2"/>
        <cdr:cNvSpPr txBox="1"/>
      </cdr:nvSpPr>
      <cdr:spPr>
        <a:xfrm xmlns:a="http://schemas.openxmlformats.org/drawingml/2006/main">
          <a:off x="37963" y="2464642"/>
          <a:ext cx="1015812" cy="3843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0.50233</cdr:x>
      <cdr:y>0.03036</cdr:y>
    </cdr:from>
    <cdr:to>
      <cdr:x>1</cdr:x>
      <cdr:y>0.15247</cdr:y>
    </cdr:to>
    <cdr:sp macro="" textlink="">
      <cdr:nvSpPr>
        <cdr:cNvPr id="17" name="TextBox 1"/>
        <cdr:cNvSpPr txBox="1"/>
      </cdr:nvSpPr>
      <cdr:spPr>
        <a:xfrm xmlns:a="http://schemas.openxmlformats.org/drawingml/2006/main">
          <a:off x="1435395" y="88425"/>
          <a:ext cx="1422105" cy="3556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0.65329</cdr:x>
      <cdr:y>0.84698</cdr:y>
    </cdr:from>
    <cdr:to>
      <cdr:x>1</cdr:x>
      <cdr:y>1</cdr:y>
    </cdr:to>
    <cdr:sp macro="" textlink="">
      <cdr:nvSpPr>
        <cdr:cNvPr id="18" name="TextBox 1"/>
        <cdr:cNvSpPr txBox="1"/>
      </cdr:nvSpPr>
      <cdr:spPr>
        <a:xfrm xmlns:a="http://schemas.openxmlformats.org/drawingml/2006/main">
          <a:off x="1866776" y="2467037"/>
          <a:ext cx="990724" cy="4457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0.00386</cdr:x>
      <cdr:y>0.0575</cdr:y>
    </cdr:from>
    <cdr:to>
      <cdr:x>0.34098</cdr:x>
      <cdr:y>0.17961</cdr:y>
    </cdr:to>
    <cdr:sp macro="" textlink="">
      <cdr:nvSpPr>
        <cdr:cNvPr id="19" name="TextBox 1"/>
        <cdr:cNvSpPr txBox="1"/>
      </cdr:nvSpPr>
      <cdr:spPr>
        <a:xfrm xmlns:a="http://schemas.openxmlformats.org/drawingml/2006/main">
          <a:off x="11028" y="167485"/>
          <a:ext cx="963320" cy="3556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userShapes>
</file>

<file path=word/drawings/drawing24.xml><?xml version="1.0" encoding="utf-8"?>
<c:userShapes xmlns:c="http://schemas.openxmlformats.org/drawingml/2006/chart">
  <cdr:relSizeAnchor xmlns:cdr="http://schemas.openxmlformats.org/drawingml/2006/chartDrawing">
    <cdr:from>
      <cdr:x>0.12988</cdr:x>
      <cdr:y>0.48379</cdr:y>
    </cdr:from>
    <cdr:to>
      <cdr:x>0.97443</cdr:x>
      <cdr:y>0.49314</cdr:y>
    </cdr:to>
    <cdr:sp macro="" textlink="">
      <cdr:nvSpPr>
        <cdr:cNvPr id="3" name="Straight Connector 2"/>
        <cdr:cNvSpPr/>
      </cdr:nvSpPr>
      <cdr:spPr>
        <a:xfrm xmlns:a="http://schemas.openxmlformats.org/drawingml/2006/main">
          <a:off x="362140" y="1213166"/>
          <a:ext cx="2354859" cy="23450"/>
        </a:xfrm>
        <a:prstGeom xmlns:a="http://schemas.openxmlformats.org/drawingml/2006/main" prst="line">
          <a:avLst/>
        </a:prstGeom>
        <a:ln xmlns:a="http://schemas.openxmlformats.org/drawingml/2006/main" w="19050">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0.11364</cdr:x>
      <cdr:y>0.14081</cdr:y>
    </cdr:from>
    <cdr:to>
      <cdr:x>0.99448</cdr:x>
      <cdr:y>0.14728</cdr:y>
    </cdr:to>
    <cdr:cxnSp macro="">
      <cdr:nvCxnSpPr>
        <cdr:cNvPr id="4" name="Straight Connector 3"/>
        <cdr:cNvCxnSpPr/>
      </cdr:nvCxnSpPr>
      <cdr:spPr>
        <a:xfrm xmlns:a="http://schemas.openxmlformats.org/drawingml/2006/main">
          <a:off x="316871" y="353085"/>
          <a:ext cx="2456023" cy="16237"/>
        </a:xfrm>
        <a:prstGeom xmlns:a="http://schemas.openxmlformats.org/drawingml/2006/main" prst="line">
          <a:avLst/>
        </a:prstGeom>
        <a:ln xmlns:a="http://schemas.openxmlformats.org/drawingml/2006/main" w="19050">
          <a:solidFill>
            <a:srgbClr val="FF0000"/>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04CAB6-DA63-4E3E-B002-E8CC50C9ED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39527</Words>
  <Characters>225308</Characters>
  <Application>Microsoft Office Word</Application>
  <DocSecurity>0</DocSecurity>
  <Lines>1877</Lines>
  <Paragraphs>528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Dragana Trifunovic</cp:lastModifiedBy>
  <cp:revision>12</cp:revision>
  <cp:lastPrinted>2020-11-20T13:20:00Z</cp:lastPrinted>
  <dcterms:created xsi:type="dcterms:W3CDTF">2020-11-20T12:59:00Z</dcterms:created>
  <dcterms:modified xsi:type="dcterms:W3CDTF">2020-11-20T14:10:00Z</dcterms:modified>
</cp:coreProperties>
</file>