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Default="006961E3" w:rsidP="006130E2">
      <w:pPr>
        <w:ind w:left="-720" w:firstLine="720"/>
        <w:jc w:val="center"/>
        <w:rPr>
          <w:lang w:val="sr-Cyrl-CS"/>
        </w:rPr>
      </w:pPr>
      <w:r w:rsidRPr="009D3B96">
        <w:rPr>
          <w:lang w:val="sr-Cyrl-CS"/>
        </w:rPr>
        <w:t>О Б Р А З Л О Ж Е Њ Е</w:t>
      </w:r>
    </w:p>
    <w:p w:rsidR="00113ACC" w:rsidRDefault="00113ACC" w:rsidP="006130E2">
      <w:pPr>
        <w:ind w:left="-720" w:firstLine="720"/>
        <w:jc w:val="center"/>
        <w:rPr>
          <w:lang w:val="sr-Cyrl-CS"/>
        </w:rPr>
      </w:pPr>
    </w:p>
    <w:p w:rsidR="00FC132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375309" w:rsidRDefault="006961E3" w:rsidP="006130E2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6961E3" w:rsidRPr="00375309" w:rsidRDefault="006961E3" w:rsidP="006130E2">
      <w:pPr>
        <w:rPr>
          <w:bCs/>
          <w:lang w:val="ru-RU"/>
        </w:rPr>
      </w:pPr>
    </w:p>
    <w:p w:rsidR="0040226C" w:rsidRPr="0038219E" w:rsidRDefault="006961E3" w:rsidP="006130E2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 w:rsidR="0040226C">
        <w:rPr>
          <w:lang w:val="ru-RU"/>
        </w:rPr>
        <w:t xml:space="preserve">Уставни основ за доношење овог закона садржан је у одредби члана 99. </w:t>
      </w:r>
      <w:r w:rsidR="0040226C">
        <w:rPr>
          <w:lang w:val="sr-Cyrl-CS"/>
        </w:rPr>
        <w:t xml:space="preserve">став 1. </w:t>
      </w:r>
      <w:r w:rsidR="0040226C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="0040226C" w:rsidRPr="00375309">
        <w:rPr>
          <w:lang w:val="ru-RU"/>
        </w:rPr>
        <w:t>.</w:t>
      </w:r>
      <w:r w:rsidR="00AC23DB">
        <w:rPr>
          <w:lang w:val="ru-RU"/>
        </w:rPr>
        <w:t xml:space="preserve"> </w:t>
      </w:r>
    </w:p>
    <w:p w:rsidR="006961E3" w:rsidRDefault="0040226C" w:rsidP="006130E2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6961E3" w:rsidRDefault="006961E3" w:rsidP="006130E2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Pr="00593289">
        <w:rPr>
          <w:bCs/>
          <w:lang w:val="sr-Cyrl-CS"/>
        </w:rPr>
        <w:t>ДОНОШЕЊЕ ЗАКОНА</w:t>
      </w:r>
      <w:r w:rsidR="0069359B" w:rsidRPr="00593289">
        <w:rPr>
          <w:bCs/>
          <w:lang w:val="sr-Cyrl-CS"/>
        </w:rPr>
        <w:t xml:space="preserve"> - ПОТВРЂИВАЊЕ</w:t>
      </w:r>
    </w:p>
    <w:p w:rsidR="006961E3" w:rsidRDefault="006961E3" w:rsidP="006130E2">
      <w:pPr>
        <w:rPr>
          <w:bCs/>
          <w:lang w:val="sr-Cyrl-CS"/>
        </w:rPr>
      </w:pPr>
    </w:p>
    <w:p w:rsidR="00E80D89" w:rsidRPr="00F01910" w:rsidRDefault="00E80D89" w:rsidP="00321414">
      <w:pPr>
        <w:ind w:firstLine="708"/>
        <w:jc w:val="both"/>
        <w:rPr>
          <w:noProof/>
          <w:lang w:val="sr-Cyrl-CS"/>
        </w:rPr>
      </w:pPr>
      <w:r>
        <w:rPr>
          <w:lang w:val="sr-Cyrl-CS"/>
        </w:rPr>
        <w:t>Разлози за доношење Закона о потврђивању</w:t>
      </w:r>
      <w:r w:rsidRPr="001D6EFF">
        <w:rPr>
          <w:lang w:val="sr-Cyrl-CS"/>
        </w:rPr>
        <w:t xml:space="preserve"> </w:t>
      </w:r>
      <w:r w:rsidR="00321414">
        <w:t>O</w:t>
      </w:r>
      <w:r w:rsidR="00321414" w:rsidRPr="00321414">
        <w:rPr>
          <w:lang w:val="sr-Cyrl-CS"/>
        </w:rPr>
        <w:t>квирн</w:t>
      </w:r>
      <w:r w:rsidR="00321414">
        <w:rPr>
          <w:lang w:val="sr-Cyrl-RS"/>
        </w:rPr>
        <w:t>ог</w:t>
      </w:r>
      <w:r w:rsidR="00321414" w:rsidRPr="00321414">
        <w:rPr>
          <w:lang w:val="sr-Cyrl-CS"/>
        </w:rPr>
        <w:t xml:space="preserve"> </w:t>
      </w:r>
      <w:r w:rsidR="00BA3ABD" w:rsidRPr="00BA3ABD">
        <w:rPr>
          <w:lang w:val="sr-Cyrl-CS"/>
        </w:rPr>
        <w:t xml:space="preserve">споразума о зајму између Банке за развој Савета Европе и Републике Србије </w:t>
      </w:r>
      <w:r w:rsidR="00F01910" w:rsidRPr="00F01910">
        <w:rPr>
          <w:lang w:val="sr-Cyrl-CS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  <w:r w:rsidR="00BA558F" w:rsidRPr="0038219E">
        <w:rPr>
          <w:lang w:val="sr-Cyrl-CS"/>
        </w:rPr>
        <w:t>,</w:t>
      </w:r>
      <w:r w:rsidRPr="0038219E">
        <w:rPr>
          <w:lang w:val="sr-Cyrl-CS"/>
        </w:rPr>
        <w:t xml:space="preserve"> </w:t>
      </w:r>
      <w:r w:rsidR="005B4595">
        <w:rPr>
          <w:lang w:val="sr-Cyrl-CS"/>
        </w:rPr>
        <w:t xml:space="preserve">потписаног </w:t>
      </w:r>
      <w:r w:rsidR="005B4595" w:rsidRPr="00E26AAC">
        <w:rPr>
          <w:lang w:val="sr-Cyrl-CS"/>
        </w:rPr>
        <w:t xml:space="preserve">у Београду </w:t>
      </w:r>
      <w:r w:rsidR="00F01910" w:rsidRPr="00F01910">
        <w:rPr>
          <w:lang w:val="sr-Cyrl-CS"/>
        </w:rPr>
        <w:t>5. марта 2020. године и у Паризу 13. марта 2020. године</w:t>
      </w:r>
      <w:r w:rsidR="005B4595">
        <w:rPr>
          <w:rFonts w:eastAsia="SimSun"/>
          <w:lang w:val="sr-Cyrl-RS" w:eastAsia="zh-CN"/>
        </w:rPr>
        <w:t>,</w:t>
      </w:r>
      <w:r w:rsidR="005B4595">
        <w:rPr>
          <w:lang w:val="sr-Cyrl-CS"/>
        </w:rPr>
        <w:t xml:space="preserve"> </w:t>
      </w:r>
      <w:r>
        <w:rPr>
          <w:lang w:val="sr-Cyrl-CS"/>
        </w:rPr>
        <w:t xml:space="preserve">садржани су у одредби члана </w:t>
      </w:r>
      <w:r w:rsidRPr="00375309">
        <w:rPr>
          <w:lang w:val="ru-RU"/>
        </w:rPr>
        <w:t>5</w:t>
      </w:r>
      <w:r>
        <w:rPr>
          <w:lang w:val="sr-Cyrl-CS"/>
        </w:rPr>
        <w:t xml:space="preserve">. став 2. Закона о јавном дугу („Службени гласник РС”, бр. </w:t>
      </w:r>
      <w:r w:rsidR="005B4595" w:rsidRPr="005B4595">
        <w:rPr>
          <w:lang w:val="sr-Cyrl-CS"/>
        </w:rPr>
        <w:t>61/05, 107/09, 78/11, 68/15, 95/18 и 91/19</w:t>
      </w:r>
      <w:r>
        <w:rPr>
          <w:lang w:val="sr-Cyrl-CS"/>
        </w:rPr>
        <w:t xml:space="preserve">) према којој Народна скупштина Републике Србије одлучује о </w:t>
      </w:r>
      <w:r w:rsidRPr="00E3026C">
        <w:rPr>
          <w:lang w:val="sr-Cyrl-CS"/>
        </w:rPr>
        <w:t>задуживању Републике Србије</w:t>
      </w:r>
      <w:r w:rsidR="0038219E"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 w:rsidR="0038219E">
        <w:rPr>
          <w:lang w:val="sr-Cyrl-CS"/>
        </w:rPr>
        <w:t xml:space="preserve"> став 1. </w:t>
      </w:r>
      <w:r w:rsidR="0038219E" w:rsidRPr="000A0D06">
        <w:rPr>
          <w:lang w:val="sr-Cyrl-RS"/>
        </w:rPr>
        <w:t>Закон</w:t>
      </w:r>
      <w:r w:rsidR="0038219E">
        <w:rPr>
          <w:lang w:val="sr-Cyrl-RS"/>
        </w:rPr>
        <w:t>а</w:t>
      </w:r>
      <w:r w:rsidR="0038219E" w:rsidRPr="000A0D06">
        <w:rPr>
          <w:lang w:val="sr-Cyrl-RS"/>
        </w:rPr>
        <w:t xml:space="preserve"> о закључивању и извршавању међународних уговора („Службени гласник Републике Србије</w:t>
      </w:r>
      <w:r w:rsidR="001A3B02">
        <w:rPr>
          <w:lang w:val="sr-Cyrl-CS"/>
        </w:rPr>
        <w:t>”</w:t>
      </w:r>
      <w:r w:rsidR="0038219E" w:rsidRPr="000A0D06">
        <w:rPr>
          <w:lang w:val="sr-Cyrl-RS"/>
        </w:rPr>
        <w:t>, број 32/13)</w:t>
      </w:r>
      <w:r w:rsidR="000B1A47">
        <w:rPr>
          <w:lang w:val="sr-Cyrl-RS"/>
        </w:rPr>
        <w:t xml:space="preserve"> према којој </w:t>
      </w:r>
      <w:r w:rsidR="000B1A47" w:rsidRPr="000B1A47">
        <w:rPr>
          <w:noProof/>
          <w:lang w:val="sr-Cyrl-CS"/>
        </w:rPr>
        <w:t xml:space="preserve">Народна скупштина, између осталог, потврђује уговоре којима се стварају </w:t>
      </w:r>
      <w:r w:rsidR="000B1A47" w:rsidRPr="00F01910">
        <w:rPr>
          <w:noProof/>
          <w:lang w:val="sr-Cyrl-CS"/>
        </w:rPr>
        <w:t>финансијске обавезе за Републику Србију.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Законом о буџету Републике Србије за 2020. год</w:t>
      </w:r>
      <w:r w:rsidR="00B640E4">
        <w:rPr>
          <w:noProof/>
          <w:lang w:val="sr-Cyrl-CS"/>
        </w:rPr>
        <w:t xml:space="preserve">ину </w:t>
      </w:r>
      <w:r w:rsidR="00551162">
        <w:rPr>
          <w:lang w:val="sr-Cyrl-RS"/>
        </w:rPr>
        <w:t>(</w:t>
      </w:r>
      <w:r w:rsidR="00551162">
        <w:t>„</w:t>
      </w:r>
      <w:r w:rsidR="00551162">
        <w:rPr>
          <w:lang w:val="sr-Cyrl-RS"/>
        </w:rPr>
        <w:t>Службени гласник РС</w:t>
      </w:r>
      <w:r w:rsidR="00551162">
        <w:rPr>
          <w:lang w:val="ru-RU"/>
        </w:rPr>
        <w:t>”</w:t>
      </w:r>
      <w:r w:rsidR="00551162">
        <w:t>,</w:t>
      </w:r>
      <w:r w:rsidR="00551162">
        <w:rPr>
          <w:lang w:val="sr-Cyrl-RS"/>
        </w:rPr>
        <w:t xml:space="preserve"> бр. 84/19, 60/20-др. пропис</w:t>
      </w:r>
      <w:r w:rsidR="00551162">
        <w:t xml:space="preserve">, </w:t>
      </w:r>
      <w:r w:rsidR="00551162">
        <w:rPr>
          <w:lang w:val="sr-Cyrl-RS"/>
        </w:rPr>
        <w:t>62/20-др. закон</w:t>
      </w:r>
      <w:r w:rsidR="00551162">
        <w:t xml:space="preserve"> </w:t>
      </w:r>
      <w:r w:rsidR="00551162">
        <w:rPr>
          <w:lang w:val="sr-Cyrl-RS"/>
        </w:rPr>
        <w:t>и 6</w:t>
      </w:r>
      <w:r w:rsidR="00551162">
        <w:t>5</w:t>
      </w:r>
      <w:r w:rsidR="00551162">
        <w:rPr>
          <w:lang w:val="sr-Cyrl-RS"/>
        </w:rPr>
        <w:t>/20-др. закон</w:t>
      </w:r>
      <w:r w:rsidR="00551162">
        <w:t>)</w:t>
      </w:r>
      <w:r w:rsidRPr="00F01910">
        <w:rPr>
          <w:noProof/>
          <w:lang w:val="sr-Cyrl-CS"/>
        </w:rPr>
        <w:t>, у члану 3, одобрено је задуживање код Банке за развој Савета Европе за спровођење Пројекта унапређења енергетске ефикасности у зградама централне власти у износу до 40.000.000 евра, који се односи на програмски зајам - Eнергетскa ефикасност у зградама централне власти (у даљем тексту: Програм)</w:t>
      </w:r>
      <w:r w:rsidR="00B640E4">
        <w:rPr>
          <w:noProof/>
          <w:lang w:val="sr-Cyrl-CS"/>
        </w:rPr>
        <w:t>.</w:t>
      </w:r>
    </w:p>
    <w:p w:rsid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Како би обезбедила потребна средства, Република Србија је упутила Банци за развој Савета Европе (у даљем тексту: Банка) захтев за одобрење делимичног финансирања зајма за енергетску ефикасност у зградама централне власти, у износу дo 40.000.000 евра, који је Административни савет Банке одобрио 21. новембра 2019. године.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>
        <w:rPr>
          <w:noProof/>
          <w:lang w:val="sr-Cyrl-CS"/>
        </w:rPr>
        <w:t>Закључком Владе 05 број: 48-1</w:t>
      </w:r>
      <w:r w:rsidRPr="00F01910">
        <w:rPr>
          <w:noProof/>
          <w:lang w:val="sr-Cyrl-CS"/>
        </w:rPr>
        <w:t>8</w:t>
      </w:r>
      <w:r>
        <w:rPr>
          <w:noProof/>
          <w:lang w:val="sr-Cyrl-CS"/>
        </w:rPr>
        <w:t>12</w:t>
      </w:r>
      <w:r w:rsidRPr="00F01910">
        <w:rPr>
          <w:noProof/>
          <w:lang w:val="sr-Cyrl-CS"/>
        </w:rPr>
        <w:t xml:space="preserve">/2020-1 од </w:t>
      </w:r>
      <w:r>
        <w:rPr>
          <w:noProof/>
          <w:lang w:val="sr-Cyrl-CS"/>
        </w:rPr>
        <w:t>27</w:t>
      </w:r>
      <w:r w:rsidRPr="00F01910">
        <w:rPr>
          <w:noProof/>
          <w:lang w:val="sr-Cyrl-CS"/>
        </w:rPr>
        <w:t xml:space="preserve">. </w:t>
      </w:r>
      <w:r>
        <w:rPr>
          <w:noProof/>
          <w:lang w:val="sr-Cyrl-CS"/>
        </w:rPr>
        <w:t>фебруара</w:t>
      </w:r>
      <w:r w:rsidRPr="00F01910">
        <w:rPr>
          <w:noProof/>
          <w:lang w:val="sr-Cyrl-CS"/>
        </w:rPr>
        <w:t xml:space="preserve"> 2020. године, утврђена је Oснова за вођење преговора са Банком у вези са одобравањем зајма за Програм и усвојен Нацрт оквирног споразума о зајму LD 2025 (2019) између Банке за развој Савета Европе и Републике Србије за програмски зајам - Eнергетскa ефикасност у зградама централне власти.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 xml:space="preserve">Република Србија је потписница Уговора о Енергетској заједници којим се захтева примена члана 5. Директиве о енергетској ефикасности ЕУ (2012/27/EU EED), који се односи на реновирање јавних зграда у надлежности централне власти. Србија се обавезала да ће најмање 1% укупне грејане/хлађене површине зграда које су у њеном власништву и које користи централна власт бити реновирано сваке године, како би се испунили минимални захтеви у погледу енергетских својстава зграда.  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Општи циљ Програма је смањење емисије гасова са ефектом стаклене баште, као и допринос ублажавању климатских промена у складу са циљевима које је наша држава поставила у Стратегији развоја енергетике Републике Србије до 2025. године са пројекцијама до 2030. године („Службени гласник РСˮ, број 101</w:t>
      </w:r>
      <w:r w:rsidR="00922F5E">
        <w:rPr>
          <w:noProof/>
          <w:lang w:val="sr-Cyrl-CS"/>
        </w:rPr>
        <w:t>) од 8. децембра 2015. године</w:t>
      </w:r>
      <w:r w:rsidRPr="00F01910">
        <w:rPr>
          <w:noProof/>
          <w:lang w:val="sr-Cyrl-CS"/>
        </w:rPr>
        <w:t>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lastRenderedPageBreak/>
        <w:t>Поред тога, очекује се да ће Програм допринети следећем: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 xml:space="preserve">• побољшању топлотне и </w:t>
      </w:r>
      <w:r w:rsidR="00B640E4">
        <w:rPr>
          <w:noProof/>
          <w:lang w:val="sr-Cyrl-CS"/>
        </w:rPr>
        <w:t xml:space="preserve">осећаја </w:t>
      </w:r>
      <w:r w:rsidRPr="00F01910">
        <w:rPr>
          <w:noProof/>
          <w:lang w:val="sr-Cyrl-CS"/>
        </w:rPr>
        <w:t>опште угодности запослених који раде у зградама и посетилаца/клијената;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• побољшању сигурносних и безбедносних услова радника и посетилаца (противпожарна заштита);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• повећању социјалног укључивања кроз побољшану приступачност јавним зградама;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• смањењу трошкова енергије и одржавања, уз смањене трошкове за друштво;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• продужењ</w:t>
      </w:r>
      <w:r w:rsidR="00B640E4">
        <w:rPr>
          <w:noProof/>
          <w:lang w:val="sr-Cyrl-CS"/>
        </w:rPr>
        <w:t>у</w:t>
      </w:r>
      <w:r w:rsidRPr="00F01910">
        <w:rPr>
          <w:noProof/>
          <w:lang w:val="sr-Cyrl-CS"/>
        </w:rPr>
        <w:t xml:space="preserve"> века трајања зграда;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• подизању нивоа свести о енергетској ефикасности и управљању енергијом у зградама.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Предмет овог програма би</w:t>
      </w:r>
      <w:r w:rsidR="00B640E4">
        <w:rPr>
          <w:noProof/>
          <w:lang w:val="sr-Cyrl-CS"/>
        </w:rPr>
        <w:t>ће</w:t>
      </w:r>
      <w:r w:rsidRPr="00F01910">
        <w:rPr>
          <w:noProof/>
          <w:lang w:val="sr-Cyrl-CS"/>
        </w:rPr>
        <w:t xml:space="preserve"> највише 28 зграда централне власти у Београду, подељених у пет категорија: 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- Категорија 1: зграде са великим стакленим површинама (удео прозирних стаклених површина у укупној површини фасаде је 40% или више);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- Категорија 2: зграде са мање стаклених површина (удео прозирних стаклених површина у укупној површини фасаде је мањи од 30% (нема топлотне изолације спољних зидова због заштитног статуса или доброг стања));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Категорија 3: зграде са површином мањом од 5000 m2, са мање стаклених површина (зграде са малом површином, које се не могу ставити ни у једну другу категорију, са уделом прозирних стаклених површина у укупној површини фасаде од 20-40%);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- Категорија</w:t>
      </w:r>
      <w:r w:rsidRPr="00F01910">
        <w:rPr>
          <w:noProof/>
          <w:lang w:val="sr-Cyrl-CS"/>
        </w:rPr>
        <w:tab/>
        <w:t>4: зграде са термичким омотачем у релативно добром стању, нису потребне веће интервенције</w:t>
      </w:r>
      <w:r w:rsidRPr="00F01910">
        <w:rPr>
          <w:noProof/>
          <w:lang w:val="sr-Cyrl-CS"/>
        </w:rPr>
        <w:tab/>
        <w:t xml:space="preserve"> на термичком омотачу (удео прозирних стаклених површина у укупној површини фасаде је од 15% до 35%);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- Категорија 5: Палата Србија (удео прозирних стаклених површина у укупној површини фасаде је око 45%, што укључује сложене системе грејања, хлађења и вентилације).</w:t>
      </w:r>
      <w:r w:rsidRPr="00F01910">
        <w:rPr>
          <w:noProof/>
          <w:lang w:val="sr-Cyrl-CS"/>
        </w:rPr>
        <w:tab/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 xml:space="preserve">Запослени у одабраним зградама централне власти </w:t>
      </w:r>
      <w:r w:rsidR="004C5CE5">
        <w:rPr>
          <w:noProof/>
          <w:lang w:val="sr-Cyrl-CS"/>
        </w:rPr>
        <w:t>осетиће</w:t>
      </w:r>
      <w:r w:rsidRPr="00F01910">
        <w:rPr>
          <w:noProof/>
          <w:lang w:val="sr-Cyrl-CS"/>
        </w:rPr>
        <w:t xml:space="preserve"> директне погодности од Програма, укључујући и хиљаде посетилаца/ клијената дневно.</w:t>
      </w:r>
    </w:p>
    <w:p w:rsidR="004C5CE5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 xml:space="preserve">Ради коначног избора зграда које ће бити реновиране, израдиће се прелиминарне припремне студије за свих 28 зграда (енергетске ревизије и енергетски сертификати). Након детаљног енергетског прегледа и студија изводљивости за процену радова који ће се предузети, број зграда које ће бити предмет Програма може бити и мањи због повећања трошкова из постојећег индикативног плана. 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Главне врсте радова на енергетској ефикасности које је потребно спровести обухватале би: изолацију омотача зграде (кров/под, прозори, фасаде), замену старе столарије ефикаснијом, поправку или замену система грејања, замену осветљења ефикаснијим, коришћење обновљивих извора енергије ако је могуће, посебно биомасе, соларне енергије за производњу топлотне енергије и/или производњу електричне енергије и систем за рекуперацију топлоте, као и топлотне пумпе које користе земљу, ваздух или воду.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Мере енергетске ефикасности зависиће од техничких могућности зграде, њихове исплативости и циљева смањења потрошње енергије, а проистекле би из детаљних енергетских прегледа и студија изводљивости, ако оне постоје. Поред тога, у неким случајевима, као секундарни циљ увеле би се и неке структуралне мере, као и мере безбедности и мере социјалног укључивања које прописује закон (побољшање безбедности и приступачности зграда).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lastRenderedPageBreak/>
        <w:t xml:space="preserve">Зајмопримац је Република Србија, која </w:t>
      </w:r>
      <w:r w:rsidR="004C5CE5">
        <w:rPr>
          <w:noProof/>
          <w:lang w:val="sr-Cyrl-CS"/>
        </w:rPr>
        <w:t>по</w:t>
      </w:r>
      <w:r w:rsidRPr="00F01910">
        <w:rPr>
          <w:noProof/>
          <w:lang w:val="sr-Cyrl-CS"/>
        </w:rPr>
        <w:t>ступа преко Министарства финансија, док ће Министарство рударства и енергетике бити задужено за целокупно спровођење Програма, као и за надзор.</w:t>
      </w:r>
    </w:p>
    <w:p w:rsidR="00F01910" w:rsidRPr="00F01910" w:rsidRDefault="00F01910" w:rsidP="00F01910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 xml:space="preserve">Овај програм се у потпуности може сматрати пројектом „климатског финансирањаˮ и „зеленимˮ пројектом. </w:t>
      </w:r>
    </w:p>
    <w:p w:rsidR="00F01910" w:rsidRDefault="00F01910" w:rsidP="00321414">
      <w:pPr>
        <w:ind w:firstLine="708"/>
        <w:jc w:val="both"/>
        <w:rPr>
          <w:noProof/>
          <w:lang w:val="sr-Cyrl-CS"/>
        </w:rPr>
      </w:pPr>
      <w:r w:rsidRPr="00F01910">
        <w:rPr>
          <w:noProof/>
          <w:lang w:val="sr-Cyrl-CS"/>
        </w:rPr>
        <w:t>Укупна вредност Програма се процењује на 44.500.000 милиона евра, а финансираће се на следећи начин: до 40 милиона евра, односно 90% укупне вредности Програма обезбедиће се кредитним средствима Банке, док ће преосталих 4,5 милиона евра тј. 10% укупне вредности Програма бити уложено из средстава буџета Републике Србије, укључујући и 900.000 евра из донаторских фондова Републике Словачке (Slovak Social Inclusion Grant Account), Краљевине Шпаније (Spanish Social Cohesion Account) и Инвестиционог оквира за западни Балкан (Western Balkans Investment Framework - WBIF).</w:t>
      </w:r>
    </w:p>
    <w:p w:rsidR="006C32B0" w:rsidRDefault="006C32B0" w:rsidP="006C32B0">
      <w:pPr>
        <w:tabs>
          <w:tab w:val="left" w:pos="0"/>
        </w:tabs>
        <w:jc w:val="both"/>
        <w:rPr>
          <w:bCs/>
          <w:lang w:val="sr-Cyrl-CS"/>
        </w:rPr>
      </w:pPr>
      <w:r w:rsidRPr="00ED5856">
        <w:rPr>
          <w:bCs/>
          <w:lang w:val="sr-Cyrl-CS"/>
        </w:rPr>
        <w:tab/>
      </w:r>
      <w:r w:rsidR="00302F02" w:rsidRPr="00ED5856">
        <w:rPr>
          <w:bCs/>
          <w:lang w:val="sr-Cyrl-CS"/>
        </w:rPr>
        <w:t>Наведеним о</w:t>
      </w:r>
      <w:r w:rsidRPr="00ED5856">
        <w:rPr>
          <w:bCs/>
          <w:lang w:val="sr-Cyrl-CS"/>
        </w:rPr>
        <w:t>квирним споразумом</w:t>
      </w:r>
      <w:r w:rsidRPr="00ED5856">
        <w:rPr>
          <w:bCs/>
          <w:lang w:val="sr-Latn-CS"/>
        </w:rPr>
        <w:t xml:space="preserve"> </w:t>
      </w:r>
      <w:r w:rsidR="00302F02" w:rsidRPr="00ED5856">
        <w:rPr>
          <w:bCs/>
          <w:lang w:val="sr-Cyrl-RS"/>
        </w:rPr>
        <w:t xml:space="preserve">о зајму </w:t>
      </w:r>
      <w:r w:rsidRPr="00ED5856">
        <w:rPr>
          <w:bCs/>
          <w:lang w:val="sr-Latn-CS"/>
        </w:rPr>
        <w:t>предвиђено је да</w:t>
      </w:r>
      <w:r w:rsidR="0037221F" w:rsidRPr="00ED5856">
        <w:rPr>
          <w:bCs/>
          <w:lang w:val="sr-Cyrl-RS"/>
        </w:rPr>
        <w:t xml:space="preserve"> Банка стави на располагање</w:t>
      </w:r>
      <w:r w:rsidR="00302F02" w:rsidRPr="00ED5856">
        <w:rPr>
          <w:bCs/>
          <w:lang w:val="sr-Cyrl-CS"/>
        </w:rPr>
        <w:t xml:space="preserve"> Републи</w:t>
      </w:r>
      <w:r w:rsidR="00302F02" w:rsidRPr="00ED5856">
        <w:rPr>
          <w:bCs/>
          <w:lang w:val="sr-Latn-RS"/>
        </w:rPr>
        <w:t>ци</w:t>
      </w:r>
      <w:r w:rsidR="00302F02" w:rsidRPr="00ED5856">
        <w:rPr>
          <w:bCs/>
          <w:lang w:val="sr-Cyrl-CS"/>
        </w:rPr>
        <w:t xml:space="preserve"> Србиј</w:t>
      </w:r>
      <w:r w:rsidR="00302F02" w:rsidRPr="00ED5856">
        <w:rPr>
          <w:bCs/>
          <w:lang w:val="sr-Latn-RS"/>
        </w:rPr>
        <w:t>и</w:t>
      </w:r>
      <w:r w:rsidRPr="00ED5856">
        <w:rPr>
          <w:bCs/>
          <w:lang w:val="sr-Cyrl-CS"/>
        </w:rPr>
        <w:t xml:space="preserve"> </w:t>
      </w:r>
      <w:r w:rsidR="0037221F" w:rsidRPr="00ED5856">
        <w:rPr>
          <w:bCs/>
          <w:lang w:val="sr-Cyrl-CS"/>
        </w:rPr>
        <w:t xml:space="preserve">кредитна средства </w:t>
      </w:r>
      <w:r w:rsidRPr="00ED5856">
        <w:rPr>
          <w:bCs/>
          <w:lang w:val="sr-Cyrl-CS"/>
        </w:rPr>
        <w:t>под следећим условима:</w:t>
      </w:r>
    </w:p>
    <w:p w:rsidR="00B4562B" w:rsidRPr="00ED5856" w:rsidRDefault="00B4562B" w:rsidP="006C32B0">
      <w:pPr>
        <w:tabs>
          <w:tab w:val="left" w:pos="0"/>
        </w:tabs>
        <w:jc w:val="both"/>
        <w:rPr>
          <w:bCs/>
          <w:lang w:val="sr-Cyrl-CS"/>
        </w:rPr>
      </w:pPr>
    </w:p>
    <w:p w:rsidR="00272C73" w:rsidRPr="00ED5856" w:rsidRDefault="00884A19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</w:r>
      <w:r w:rsidR="00272C73" w:rsidRPr="00ED5856">
        <w:rPr>
          <w:lang w:val="sr-Cyrl-RS"/>
        </w:rPr>
        <w:t>зајмодавац: Банка за развој Савета Европе;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зајмопримац: Република Србија;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тело за спровођење Програма: </w:t>
      </w:r>
      <w:r w:rsidR="00B4562B" w:rsidRPr="00F01910">
        <w:rPr>
          <w:noProof/>
          <w:lang w:val="sr-Cyrl-CS"/>
        </w:rPr>
        <w:t>Министарство рударства и енергетике</w:t>
      </w:r>
      <w:r w:rsidRPr="00ED5856">
        <w:rPr>
          <w:lang w:val="sr-Cyrl-RS"/>
        </w:rPr>
        <w:t>;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износ задужења: </w:t>
      </w:r>
      <w:r w:rsidR="00F01910">
        <w:rPr>
          <w:lang w:val="sr-Cyrl-RS"/>
        </w:rPr>
        <w:t>4</w:t>
      </w:r>
      <w:r w:rsidRPr="00ED5856">
        <w:rPr>
          <w:lang w:val="sr-Cyrl-RS"/>
        </w:rPr>
        <w:t>0.000.000 евра;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272C73" w:rsidRPr="00ED5856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 сваку појединачну повучену траншу, зајмопримац има могућност избора периода отплате до 20 година са укљученим периодом почека до 5 година;</w:t>
      </w:r>
    </w:p>
    <w:p w:rsidR="00B4562B" w:rsidRDefault="00272C73" w:rsidP="00272C73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период алокације кредитних средстава сваке транше је 12 месеци од датума </w:t>
      </w:r>
      <w:r w:rsidRPr="00425C28">
        <w:rPr>
          <w:lang w:val="sr-Cyrl-RS"/>
        </w:rPr>
        <w:t>исплате транше;</w:t>
      </w:r>
    </w:p>
    <w:p w:rsidR="00B4562B" w:rsidRDefault="00B4562B" w:rsidP="00272C73">
      <w:pPr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</w:r>
      <w:r w:rsidRPr="00B4562B">
        <w:rPr>
          <w:lang w:val="sr-Cyrl-RS"/>
        </w:rPr>
        <w:t xml:space="preserve"> </w:t>
      </w:r>
      <w:r>
        <w:rPr>
          <w:lang w:val="sr-Cyrl-RS"/>
        </w:rPr>
        <w:t>износ прве т</w:t>
      </w:r>
      <w:r w:rsidRPr="00B4562B">
        <w:rPr>
          <w:lang w:val="sr-Cyrl-RS"/>
        </w:rPr>
        <w:t xml:space="preserve">ранше неће прекорачити </w:t>
      </w:r>
      <w:r>
        <w:rPr>
          <w:lang w:val="sr-Cyrl-RS"/>
        </w:rPr>
        <w:t xml:space="preserve">25% </w:t>
      </w:r>
      <w:r w:rsidRPr="00B4562B">
        <w:rPr>
          <w:lang w:val="sr-Cyrl-RS"/>
        </w:rPr>
        <w:t>износа Зајма</w:t>
      </w:r>
    </w:p>
    <w:p w:rsidR="00272C73" w:rsidRPr="00425C28" w:rsidRDefault="00B4562B" w:rsidP="00272C73">
      <w:pPr>
        <w:ind w:firstLine="720"/>
        <w:jc w:val="both"/>
        <w:rPr>
          <w:lang w:val="sr-Cyrl-RS"/>
        </w:rPr>
      </w:pPr>
      <w:r>
        <w:rPr>
          <w:lang w:val="sr-Cyrl-RS"/>
        </w:rPr>
        <w:t>-</w:t>
      </w:r>
      <w:r>
        <w:rPr>
          <w:lang w:val="sr-Cyrl-RS"/>
        </w:rPr>
        <w:tab/>
      </w:r>
      <w:r w:rsidRPr="00ED5856">
        <w:rPr>
          <w:lang w:val="sr-Cyrl-RS"/>
        </w:rPr>
        <w:t>приступна накнада и накнада на неповучена средства зајма се не плаћају;</w:t>
      </w:r>
    </w:p>
    <w:p w:rsidR="00272C73" w:rsidRPr="00425C28" w:rsidRDefault="00272C73" w:rsidP="00272C73">
      <w:pPr>
        <w:ind w:firstLine="720"/>
        <w:jc w:val="both"/>
        <w:rPr>
          <w:lang w:val="sr-Cyrl-RS"/>
        </w:rPr>
      </w:pPr>
      <w:r w:rsidRPr="00425C28">
        <w:rPr>
          <w:lang w:val="sr-Cyrl-RS"/>
        </w:rPr>
        <w:t>-</w:t>
      </w:r>
      <w:r w:rsidRPr="00425C28">
        <w:rPr>
          <w:lang w:val="sr-Cyrl-RS"/>
        </w:rPr>
        <w:tab/>
        <w:t xml:space="preserve">крајњи датум расположивости кредитних средстава је </w:t>
      </w:r>
      <w:r w:rsidRPr="00425C28">
        <w:rPr>
          <w:bCs/>
          <w:lang w:val="sr-Cyrl-RS"/>
        </w:rPr>
        <w:t>3</w:t>
      </w:r>
      <w:r w:rsidR="00B4562B">
        <w:rPr>
          <w:bCs/>
          <w:lang w:val="sr-Cyrl-RS"/>
        </w:rPr>
        <w:t>0</w:t>
      </w:r>
      <w:r w:rsidRPr="00425C28">
        <w:rPr>
          <w:bCs/>
          <w:lang w:val="sr-Cyrl-RS"/>
        </w:rPr>
        <w:t xml:space="preserve">. </w:t>
      </w:r>
      <w:r w:rsidR="00B4562B">
        <w:rPr>
          <w:bCs/>
          <w:lang w:val="sr-Cyrl-RS"/>
        </w:rPr>
        <w:t>јун</w:t>
      </w:r>
      <w:r w:rsidRPr="00425C28">
        <w:rPr>
          <w:bCs/>
          <w:lang w:val="sr-Cyrl-RS"/>
        </w:rPr>
        <w:t xml:space="preserve"> 202</w:t>
      </w:r>
      <w:r w:rsidR="00B4562B">
        <w:rPr>
          <w:bCs/>
          <w:lang w:val="sr-Cyrl-RS"/>
        </w:rPr>
        <w:t>5</w:t>
      </w:r>
      <w:r w:rsidRPr="00425C28">
        <w:rPr>
          <w:bCs/>
          <w:lang w:val="sr-Cyrl-RS"/>
        </w:rPr>
        <w:t>. године, у складу са роком за завршетак Програма</w:t>
      </w:r>
      <w:r w:rsidRPr="00425C28">
        <w:rPr>
          <w:lang w:val="sr-Cyrl-RS"/>
        </w:rPr>
        <w:t xml:space="preserve">; </w:t>
      </w:r>
    </w:p>
    <w:p w:rsidR="00272C73" w:rsidRDefault="00272C73" w:rsidP="00272C73">
      <w:pPr>
        <w:ind w:firstLine="720"/>
        <w:jc w:val="both"/>
        <w:rPr>
          <w:lang w:val="sr-Cyrl-RS"/>
        </w:rPr>
      </w:pPr>
      <w:r w:rsidRPr="00425C28">
        <w:rPr>
          <w:lang w:val="sr-Cyrl-RS"/>
        </w:rPr>
        <w:t>-</w:t>
      </w:r>
      <w:r w:rsidRPr="00425C28">
        <w:rPr>
          <w:lang w:val="sr-Cyrl-RS"/>
        </w:rPr>
        <w:tab/>
        <w:t>зајам се реализује у најмање 2 транше.</w:t>
      </w:r>
    </w:p>
    <w:p w:rsidR="00B4562B" w:rsidRDefault="00B4562B" w:rsidP="00272C73">
      <w:pPr>
        <w:ind w:firstLine="720"/>
        <w:jc w:val="both"/>
        <w:rPr>
          <w:lang w:val="sr-Cyrl-RS"/>
        </w:rPr>
      </w:pPr>
    </w:p>
    <w:p w:rsidR="00B4562B" w:rsidRPr="00B4562B" w:rsidRDefault="00B4562B" w:rsidP="00B4562B">
      <w:pPr>
        <w:ind w:firstLine="708"/>
        <w:jc w:val="both"/>
        <w:rPr>
          <w:noProof/>
          <w:lang w:val="sr-Cyrl-CS"/>
        </w:rPr>
      </w:pPr>
      <w:r w:rsidRPr="00B4562B">
        <w:rPr>
          <w:noProof/>
          <w:lang w:val="sr-Cyrl-CS"/>
        </w:rPr>
        <w:t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еврима,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EURIBOR-у као референтној стопи, увећаној за одређени процентни распон који Банка одређује при повлаћењу транше.</w:t>
      </w:r>
    </w:p>
    <w:p w:rsidR="00B4562B" w:rsidRPr="00B4562B" w:rsidRDefault="00B4562B" w:rsidP="00B4562B">
      <w:pPr>
        <w:ind w:firstLine="708"/>
        <w:jc w:val="both"/>
        <w:rPr>
          <w:noProof/>
          <w:lang w:val="sr-Cyrl-CS"/>
        </w:rPr>
      </w:pPr>
      <w:r w:rsidRPr="00B4562B">
        <w:rPr>
          <w:noProof/>
          <w:lang w:val="sr-Cyrl-CS"/>
        </w:rPr>
        <w:t>Приступна накнада и накнада за ангажовање средстава (провизија на неповучена средства) се не плаћају, а зајмопримац може захтевати и превремену отплату зајма.</w:t>
      </w:r>
    </w:p>
    <w:p w:rsidR="00B4562B" w:rsidRPr="00B4562B" w:rsidRDefault="00B4562B" w:rsidP="00B4562B">
      <w:pPr>
        <w:ind w:firstLine="708"/>
        <w:jc w:val="both"/>
        <w:rPr>
          <w:noProof/>
          <w:lang w:val="sr-Cyrl-CS"/>
        </w:rPr>
      </w:pPr>
      <w:r w:rsidRPr="00B4562B">
        <w:rPr>
          <w:noProof/>
          <w:lang w:val="sr-Cyrl-CS"/>
        </w:rPr>
        <w:t>Максимални период отплате зајма који нуди Банка је до 20 година, укључујући период почека до 5 година (мировање отплате главнице дуга), који се прецизира приликом повлачења сваке кредитне транше. Крајњи датум расположивости кредитних средстава је 30. јун 2025. године, јер је предвиђено да се Програм реализује у периоду од 1. јуна 2020. године до 31. децембра 2024. године.</w:t>
      </w:r>
    </w:p>
    <w:p w:rsidR="00B4562B" w:rsidRDefault="00B4562B" w:rsidP="00272C73">
      <w:pPr>
        <w:ind w:firstLine="720"/>
        <w:jc w:val="both"/>
        <w:rPr>
          <w:lang w:val="sr-Cyrl-RS"/>
        </w:rPr>
      </w:pPr>
      <w:r w:rsidRPr="00B4562B">
        <w:rPr>
          <w:lang w:val="sr-Cyrl-RS"/>
        </w:rPr>
        <w:lastRenderedPageBreak/>
        <w:t xml:space="preserve">Програм ће </w:t>
      </w:r>
      <w:r w:rsidR="004C5CE5">
        <w:rPr>
          <w:lang w:val="sr-Cyrl-RS"/>
        </w:rPr>
        <w:t>побољшати</w:t>
      </w:r>
      <w:r w:rsidRPr="00B4562B">
        <w:rPr>
          <w:lang w:val="sr-Cyrl-RS"/>
        </w:rPr>
        <w:t xml:space="preserve"> енергетски учинак зграда и унапредиће их у погледу противпожарне заштите и радова у вези са социјалном инклузивношћу, што је прописано као обавеза националним законодавством. Свеукупни циљ програма је смањење емисија гасова са ефектом стаклене баште и допринос ублажавању климатских промена у складу са циљним вредностима које је утврдила Република Србија у Стратегији енергетске ефикасности. Надаље, очекује се да програм оствари и друге позитивне утицаје кроз побољшање термалног омотача и општег комфора зграда за запослене у тим зградама и посетиоце/клијенте; смањење трошкова за енергију и одржавање као и информисање о енергетској ефикасности и енергетском управљању зградама.</w:t>
      </w:r>
    </w:p>
    <w:p w:rsidR="00406A9D" w:rsidRDefault="005A6E21" w:rsidP="002C274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046" w:rsidRPr="00695D0F" w:rsidRDefault="00692046" w:rsidP="00692046">
      <w:pPr>
        <w:ind w:firstLine="720"/>
        <w:jc w:val="both"/>
        <w:rPr>
          <w:lang w:val="sr-Cyrl-CS"/>
        </w:rPr>
      </w:pPr>
      <w:r w:rsidRPr="00695D0F">
        <w:rPr>
          <w:lang w:val="sr-Cyrl-CS"/>
        </w:rPr>
        <w:t>III</w:t>
      </w:r>
      <w:r>
        <w:rPr>
          <w:lang w:val="sr-Cyrl-CS"/>
        </w:rPr>
        <w:t>.</w:t>
      </w:r>
      <w:r w:rsidRPr="0038219E">
        <w:rPr>
          <w:lang w:val="sr-Cyrl-CS"/>
        </w:rPr>
        <w:t xml:space="preserve"> </w:t>
      </w:r>
      <w:r>
        <w:rPr>
          <w:lang w:val="sr-Cyrl-CS"/>
        </w:rPr>
        <w:t>ОБЈАШЊЕЊЕ ОСНОВНИХ ПРАВНИХ ИНСТИТУТА И ПОЈЕДИНАЧНИХ РЕШЕЊА</w:t>
      </w:r>
      <w:r w:rsidRPr="00695D0F">
        <w:rPr>
          <w:lang w:val="sr-Cyrl-CS"/>
        </w:rPr>
        <w:t xml:space="preserve"> </w:t>
      </w:r>
    </w:p>
    <w:p w:rsidR="00692046" w:rsidRDefault="00692046" w:rsidP="00692046">
      <w:pPr>
        <w:jc w:val="both"/>
        <w:rPr>
          <w:lang w:val="sr-Cyrl-CS"/>
        </w:rPr>
      </w:pPr>
    </w:p>
    <w:p w:rsidR="00692046" w:rsidRPr="00C94C3E" w:rsidRDefault="00692046" w:rsidP="00692046">
      <w:pPr>
        <w:ind w:firstLine="720"/>
        <w:jc w:val="both"/>
        <w:rPr>
          <w:rFonts w:eastAsia="SimSun"/>
          <w:lang w:val="sr-Cyrl-CS"/>
        </w:rPr>
      </w:pPr>
      <w:r>
        <w:rPr>
          <w:lang w:val="ru-RU"/>
        </w:rPr>
        <w:t>О</w:t>
      </w:r>
      <w:r>
        <w:rPr>
          <w:lang w:val="sr-Cyrl-CS"/>
        </w:rPr>
        <w:t xml:space="preserve">дредбом члана 1. </w:t>
      </w:r>
      <w:r w:rsidR="00FF6B8C">
        <w:rPr>
          <w:lang w:val="sr-Cyrl-CS"/>
        </w:rPr>
        <w:t xml:space="preserve">овог закона </w:t>
      </w:r>
      <w:r>
        <w:rPr>
          <w:lang w:val="sr-Cyrl-CS"/>
        </w:rPr>
        <w:t>предвиђа се потврђивање</w:t>
      </w:r>
      <w:r w:rsidR="00746BDE" w:rsidRPr="00746BDE">
        <w:rPr>
          <w:rFonts w:eastAsia="SimSun"/>
          <w:lang w:val="sr-Cyrl-RS"/>
        </w:rPr>
        <w:t xml:space="preserve"> </w:t>
      </w:r>
      <w:r w:rsidR="00E376A0" w:rsidRPr="00E376A0">
        <w:rPr>
          <w:rFonts w:eastAsia="SimSun"/>
          <w:lang w:val="sr-Cyrl-RS"/>
        </w:rPr>
        <w:t xml:space="preserve">Oквирног споразума о зајму </w:t>
      </w:r>
      <w:r w:rsidR="003A7566" w:rsidRPr="003A7566">
        <w:rPr>
          <w:lang w:val="sr-Latn-RS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  <w:r w:rsidR="008A5066" w:rsidRPr="008A5066">
        <w:rPr>
          <w:rFonts w:eastAsia="SimSun"/>
          <w:lang w:val="sr-Cyrl-RS"/>
        </w:rPr>
        <w:t>, потписан</w:t>
      </w:r>
      <w:r w:rsidR="008A5066">
        <w:rPr>
          <w:rFonts w:eastAsia="SimSun"/>
          <w:lang w:val="sr-Cyrl-RS"/>
        </w:rPr>
        <w:t>ог</w:t>
      </w:r>
      <w:r w:rsidR="00305959" w:rsidRPr="00305959">
        <w:rPr>
          <w:rFonts w:eastAsia="SimSun"/>
          <w:lang w:val="sr-Cyrl-RS"/>
        </w:rPr>
        <w:t xml:space="preserve"> </w:t>
      </w:r>
      <w:r w:rsidR="002C2746" w:rsidRPr="008A5066">
        <w:rPr>
          <w:rFonts w:eastAsia="SimSun"/>
          <w:lang w:val="sr-Cyrl-RS"/>
        </w:rPr>
        <w:t xml:space="preserve">у Београду </w:t>
      </w:r>
      <w:r w:rsidR="003A7566" w:rsidRPr="003A7566">
        <w:rPr>
          <w:rFonts w:eastAsia="SimSun"/>
          <w:lang w:val="sr-Latn-RS" w:eastAsia="zh-CN"/>
        </w:rPr>
        <w:t>5. марта 2020. године и у Паризу 13. марта 2020. године</w:t>
      </w:r>
      <w:r w:rsidR="00746BDE" w:rsidRPr="00406A9D">
        <w:rPr>
          <w:lang w:val="sr-Cyrl-CS"/>
        </w:rPr>
        <w:t xml:space="preserve">, </w:t>
      </w:r>
      <w:r w:rsidRPr="00406A9D">
        <w:rPr>
          <w:rFonts w:eastAsia="SimSun"/>
          <w:lang w:val="sr-Cyrl-CS"/>
        </w:rPr>
        <w:t>у оригиналу на енглеском језику.</w:t>
      </w:r>
    </w:p>
    <w:p w:rsidR="00692046" w:rsidRPr="00FE46FB" w:rsidRDefault="00692046" w:rsidP="00692046">
      <w:pPr>
        <w:ind w:firstLine="720"/>
        <w:jc w:val="both"/>
        <w:rPr>
          <w:lang w:val="sr-Cyrl-CS"/>
        </w:rPr>
      </w:pPr>
      <w:r w:rsidRPr="00FB1B68">
        <w:rPr>
          <w:lang w:val="sr-Cyrl-CS"/>
        </w:rPr>
        <w:t xml:space="preserve"> </w:t>
      </w:r>
      <w:r>
        <w:rPr>
          <w:lang w:val="sr-Cyrl-CS"/>
        </w:rPr>
        <w:t xml:space="preserve">Одредба члана 2. </w:t>
      </w:r>
      <w:r w:rsidR="00FF6B8C">
        <w:rPr>
          <w:lang w:val="sr-Cyrl-CS"/>
        </w:rPr>
        <w:t xml:space="preserve">овог закона </w:t>
      </w:r>
      <w:bookmarkStart w:id="0" w:name="_GoBack"/>
      <w:bookmarkEnd w:id="0"/>
      <w:r>
        <w:rPr>
          <w:lang w:val="sr-Cyrl-CS"/>
        </w:rPr>
        <w:t xml:space="preserve">садржи </w:t>
      </w:r>
      <w:r w:rsidRPr="0011444A">
        <w:rPr>
          <w:lang w:val="sr-Cyrl-CS"/>
        </w:rPr>
        <w:t xml:space="preserve">текст </w:t>
      </w:r>
      <w:r w:rsidR="00E376A0" w:rsidRPr="0011444A">
        <w:rPr>
          <w:rFonts w:eastAsia="SimSun"/>
          <w:lang w:val="sr-Cyrl-RS"/>
        </w:rPr>
        <w:t xml:space="preserve">Oквирног споразума о зајму </w:t>
      </w:r>
      <w:r w:rsidR="003A7566" w:rsidRPr="003A7566">
        <w:rPr>
          <w:lang w:val="sr-Latn-RS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  <w:r>
        <w:rPr>
          <w:rFonts w:eastAsia="SimSun"/>
          <w:lang w:val="sr-Cyrl-CS"/>
        </w:rPr>
        <w:t xml:space="preserve">, </w:t>
      </w:r>
      <w:r>
        <w:rPr>
          <w:lang w:val="sr-Cyrl-CS"/>
        </w:rPr>
        <w:t>у оригиналу на енглеском језику и у преводу на српски језик.</w:t>
      </w:r>
    </w:p>
    <w:p w:rsidR="00692046" w:rsidRPr="00375309" w:rsidRDefault="00692046" w:rsidP="00692046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Одредбом члана 3. уређује се ступање на снагу овог закона. </w:t>
      </w:r>
    </w:p>
    <w:p w:rsidR="00692046" w:rsidRDefault="00692046" w:rsidP="00692046">
      <w:pPr>
        <w:ind w:firstLine="720"/>
        <w:jc w:val="both"/>
        <w:rPr>
          <w:bCs/>
          <w:lang w:val="sr-Cyrl-CS"/>
        </w:rPr>
      </w:pPr>
    </w:p>
    <w:p w:rsidR="00692046" w:rsidRDefault="00692046" w:rsidP="00692046">
      <w:pPr>
        <w:ind w:firstLine="720"/>
        <w:jc w:val="both"/>
        <w:rPr>
          <w:bCs/>
          <w:lang w:val="sr-Cyrl-CS"/>
        </w:rPr>
      </w:pPr>
      <w:r>
        <w:rPr>
          <w:bCs/>
        </w:rPr>
        <w:t>IV</w:t>
      </w:r>
      <w:r>
        <w:rPr>
          <w:bCs/>
          <w:lang w:val="ru-RU"/>
        </w:rPr>
        <w:t xml:space="preserve">. </w:t>
      </w:r>
      <w:r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C454A1" w:rsidRDefault="00692046" w:rsidP="00692046">
      <w:pPr>
        <w:jc w:val="both"/>
        <w:rPr>
          <w:lang w:val="sr-Cyrl-CS"/>
        </w:rPr>
      </w:pPr>
    </w:p>
    <w:p w:rsidR="00692046" w:rsidRDefault="00692046" w:rsidP="00692046">
      <w:pPr>
        <w:jc w:val="both"/>
        <w:rPr>
          <w:lang w:val="sr-Cyrl-CS"/>
        </w:rPr>
      </w:pPr>
      <w:r w:rsidRPr="00C454A1">
        <w:rPr>
          <w:lang w:val="sr-Cyrl-CS"/>
        </w:rPr>
        <w:tab/>
        <w:t>За спровођење овог закона обезбеђиваће се средства у буџету Републике Србије</w:t>
      </w:r>
      <w:r>
        <w:rPr>
          <w:lang w:val="sr-Cyrl-CS"/>
        </w:rPr>
        <w:t>.</w:t>
      </w:r>
    </w:p>
    <w:p w:rsidR="00692046" w:rsidRPr="0085379B" w:rsidRDefault="00692046" w:rsidP="00692046">
      <w:pPr>
        <w:jc w:val="both"/>
        <w:rPr>
          <w:lang w:val="sr-Latn-RS"/>
        </w:rPr>
      </w:pPr>
    </w:p>
    <w:sectPr w:rsidR="00692046" w:rsidRPr="0085379B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0C" w:rsidRDefault="0091620C">
      <w:r>
        <w:separator/>
      </w:r>
    </w:p>
  </w:endnote>
  <w:endnote w:type="continuationSeparator" w:id="0">
    <w:p w:rsidR="0091620C" w:rsidRDefault="0091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0C" w:rsidRDefault="0091620C">
      <w:r>
        <w:separator/>
      </w:r>
    </w:p>
  </w:footnote>
  <w:footnote w:type="continuationSeparator" w:id="0">
    <w:p w:rsidR="0091620C" w:rsidRDefault="00916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F6B8C">
      <w:rPr>
        <w:rStyle w:val="PageNumber"/>
        <w:noProof/>
      </w:rPr>
      <w:t>4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0E36D2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37F77"/>
    <w:rsid w:val="00241C0E"/>
    <w:rsid w:val="00243DD8"/>
    <w:rsid w:val="00253453"/>
    <w:rsid w:val="00255BA5"/>
    <w:rsid w:val="0025659C"/>
    <w:rsid w:val="0025742D"/>
    <w:rsid w:val="00272201"/>
    <w:rsid w:val="00272C73"/>
    <w:rsid w:val="00282F56"/>
    <w:rsid w:val="00286C70"/>
    <w:rsid w:val="00291078"/>
    <w:rsid w:val="002912F5"/>
    <w:rsid w:val="002978D5"/>
    <w:rsid w:val="002A19F2"/>
    <w:rsid w:val="002B1814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A7566"/>
    <w:rsid w:val="003B34BB"/>
    <w:rsid w:val="003C0CD0"/>
    <w:rsid w:val="003C2142"/>
    <w:rsid w:val="003E6854"/>
    <w:rsid w:val="003E6BA6"/>
    <w:rsid w:val="003F7B23"/>
    <w:rsid w:val="0040226C"/>
    <w:rsid w:val="00406A9D"/>
    <w:rsid w:val="0041332A"/>
    <w:rsid w:val="00423BF8"/>
    <w:rsid w:val="00425C2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C5CE5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1162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289"/>
    <w:rsid w:val="005937ED"/>
    <w:rsid w:val="00596B97"/>
    <w:rsid w:val="005A62CD"/>
    <w:rsid w:val="005A6E21"/>
    <w:rsid w:val="005B4595"/>
    <w:rsid w:val="005B7034"/>
    <w:rsid w:val="005B78AF"/>
    <w:rsid w:val="005C0446"/>
    <w:rsid w:val="005C442E"/>
    <w:rsid w:val="005C77BF"/>
    <w:rsid w:val="005D0A0B"/>
    <w:rsid w:val="005D4E8E"/>
    <w:rsid w:val="005D7F14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47CB1"/>
    <w:rsid w:val="00654444"/>
    <w:rsid w:val="006610A8"/>
    <w:rsid w:val="006655D8"/>
    <w:rsid w:val="00665FAA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70299B"/>
    <w:rsid w:val="007168E2"/>
    <w:rsid w:val="007173D8"/>
    <w:rsid w:val="0072050A"/>
    <w:rsid w:val="00723279"/>
    <w:rsid w:val="00726477"/>
    <w:rsid w:val="00726F00"/>
    <w:rsid w:val="00740858"/>
    <w:rsid w:val="007427C4"/>
    <w:rsid w:val="00746BDE"/>
    <w:rsid w:val="0075358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262F4"/>
    <w:rsid w:val="00836B68"/>
    <w:rsid w:val="00845874"/>
    <w:rsid w:val="0085379B"/>
    <w:rsid w:val="008604C6"/>
    <w:rsid w:val="00862E50"/>
    <w:rsid w:val="00864A3D"/>
    <w:rsid w:val="00866F6D"/>
    <w:rsid w:val="00874CB0"/>
    <w:rsid w:val="00884A19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142C3"/>
    <w:rsid w:val="0091620C"/>
    <w:rsid w:val="00922F5E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67B90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4562B"/>
    <w:rsid w:val="00B6096C"/>
    <w:rsid w:val="00B62516"/>
    <w:rsid w:val="00B640E4"/>
    <w:rsid w:val="00B671E8"/>
    <w:rsid w:val="00B8231A"/>
    <w:rsid w:val="00B82F86"/>
    <w:rsid w:val="00B92820"/>
    <w:rsid w:val="00B92834"/>
    <w:rsid w:val="00B949C6"/>
    <w:rsid w:val="00BA3ABD"/>
    <w:rsid w:val="00BA558F"/>
    <w:rsid w:val="00BD516A"/>
    <w:rsid w:val="00BE4ADF"/>
    <w:rsid w:val="00BF6BB4"/>
    <w:rsid w:val="00C06E8B"/>
    <w:rsid w:val="00C14179"/>
    <w:rsid w:val="00C147E1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D46FB"/>
    <w:rsid w:val="00CF1B02"/>
    <w:rsid w:val="00D055F0"/>
    <w:rsid w:val="00D07955"/>
    <w:rsid w:val="00D57EE4"/>
    <w:rsid w:val="00D60D13"/>
    <w:rsid w:val="00D6104B"/>
    <w:rsid w:val="00D7163A"/>
    <w:rsid w:val="00D71C65"/>
    <w:rsid w:val="00D809EF"/>
    <w:rsid w:val="00DA3A35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57DC3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C69AC"/>
    <w:rsid w:val="00ED5856"/>
    <w:rsid w:val="00EE09D2"/>
    <w:rsid w:val="00EE585F"/>
    <w:rsid w:val="00EE6B63"/>
    <w:rsid w:val="00EF6FF3"/>
    <w:rsid w:val="00F01185"/>
    <w:rsid w:val="00F01910"/>
    <w:rsid w:val="00F332F8"/>
    <w:rsid w:val="00F333C3"/>
    <w:rsid w:val="00F50EF0"/>
    <w:rsid w:val="00F62120"/>
    <w:rsid w:val="00F765C6"/>
    <w:rsid w:val="00F81A44"/>
    <w:rsid w:val="00F84AFF"/>
    <w:rsid w:val="00F86715"/>
    <w:rsid w:val="00F90C89"/>
    <w:rsid w:val="00F9113C"/>
    <w:rsid w:val="00F9386E"/>
    <w:rsid w:val="00FB5FB7"/>
    <w:rsid w:val="00FC1322"/>
    <w:rsid w:val="00FD0E68"/>
    <w:rsid w:val="00FE006C"/>
    <w:rsid w:val="00FE46FB"/>
    <w:rsid w:val="00FE755B"/>
    <w:rsid w:val="00FE7DB0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C8B4A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Ljubinka Stojkovic</cp:lastModifiedBy>
  <cp:revision>9</cp:revision>
  <cp:lastPrinted>2020-10-28T07:52:00Z</cp:lastPrinted>
  <dcterms:created xsi:type="dcterms:W3CDTF">2020-11-05T09:04:00Z</dcterms:created>
  <dcterms:modified xsi:type="dcterms:W3CDTF">2020-11-05T09:39:00Z</dcterms:modified>
</cp:coreProperties>
</file>