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EB1" w:rsidRPr="008B3155" w:rsidRDefault="00CF4EB1" w:rsidP="00CF4EB1">
      <w:pPr>
        <w:jc w:val="center"/>
        <w:outlineLvl w:val="0"/>
        <w:rPr>
          <w:rFonts w:ascii="Times New Roman" w:hAnsi="Times New Roman"/>
          <w:szCs w:val="24"/>
          <w:lang w:val="sr-Cyrl-CS"/>
        </w:rPr>
      </w:pPr>
      <w:bookmarkStart w:id="0" w:name="_GoBack"/>
      <w:bookmarkEnd w:id="0"/>
      <w:r w:rsidRPr="008B3155">
        <w:rPr>
          <w:rFonts w:ascii="Times New Roman" w:hAnsi="Times New Roman"/>
          <w:szCs w:val="24"/>
          <w:lang w:val="sr-Cyrl-CS"/>
        </w:rPr>
        <w:t>О Б Р А З Л О Ж Е Њ Е</w:t>
      </w:r>
    </w:p>
    <w:p w:rsidR="00CF4EB1" w:rsidRPr="008B3155" w:rsidRDefault="00CF4EB1" w:rsidP="00CF4EB1">
      <w:pPr>
        <w:ind w:firstLine="720"/>
        <w:jc w:val="center"/>
        <w:rPr>
          <w:rFonts w:ascii="Times New Roman" w:hAnsi="Times New Roman"/>
          <w:szCs w:val="24"/>
          <w:lang w:val="sr-Cyrl-CS"/>
        </w:rPr>
      </w:pPr>
    </w:p>
    <w:p w:rsidR="00CF4EB1" w:rsidRPr="008B3155" w:rsidRDefault="00CF4EB1" w:rsidP="00517EA5">
      <w:pPr>
        <w:rPr>
          <w:rFonts w:ascii="Times New Roman" w:hAnsi="Times New Roman"/>
          <w:bCs/>
          <w:szCs w:val="24"/>
          <w:lang w:val="sr-Cyrl-CS"/>
        </w:rPr>
      </w:pPr>
      <w:r w:rsidRPr="008B3155">
        <w:rPr>
          <w:rFonts w:ascii="Times New Roman" w:hAnsi="Times New Roman"/>
          <w:bCs/>
          <w:szCs w:val="24"/>
          <w:lang w:val="sr-Cyrl-CS"/>
        </w:rPr>
        <w:t xml:space="preserve">I. </w:t>
      </w:r>
      <w:r w:rsidR="00517EA5">
        <w:rPr>
          <w:rFonts w:ascii="Times New Roman" w:hAnsi="Times New Roman"/>
          <w:bCs/>
          <w:szCs w:val="24"/>
          <w:lang w:val="sr-Cyrl-CS"/>
        </w:rPr>
        <w:tab/>
      </w:r>
      <w:r w:rsidRPr="008B3155">
        <w:rPr>
          <w:rFonts w:ascii="Times New Roman" w:hAnsi="Times New Roman"/>
          <w:bCs/>
          <w:szCs w:val="24"/>
          <w:lang w:val="sr-Cyrl-CS"/>
        </w:rPr>
        <w:t>УСТАВНИ ОСНОВ ЗА ДОНОШЕЊЕ ЗАКОНА</w:t>
      </w:r>
    </w:p>
    <w:p w:rsidR="00CF4EB1" w:rsidRPr="008B3155" w:rsidRDefault="00CF4EB1" w:rsidP="00CF4EB1">
      <w:pPr>
        <w:rPr>
          <w:rFonts w:ascii="Times New Roman" w:hAnsi="Times New Roman"/>
          <w:bCs/>
          <w:szCs w:val="24"/>
          <w:lang w:val="sr-Cyrl-CS"/>
        </w:rPr>
      </w:pPr>
    </w:p>
    <w:p w:rsidR="00CF4EB1" w:rsidRPr="008B3155" w:rsidRDefault="00CF4EB1" w:rsidP="00126B03">
      <w:pPr>
        <w:spacing w:line="240" w:lineRule="auto"/>
        <w:jc w:val="both"/>
        <w:rPr>
          <w:rFonts w:ascii="Times New Roman" w:hAnsi="Times New Roman"/>
          <w:szCs w:val="24"/>
          <w:lang w:val="sr-Cyrl-CS"/>
        </w:rPr>
      </w:pPr>
      <w:r w:rsidRPr="008B3155">
        <w:rPr>
          <w:rFonts w:ascii="Times New Roman" w:hAnsi="Times New Roman"/>
          <w:szCs w:val="24"/>
          <w:lang w:val="sr-Cyrl-CS"/>
        </w:rPr>
        <w:t xml:space="preserve"> </w:t>
      </w:r>
      <w:r w:rsidRPr="008B3155">
        <w:rPr>
          <w:rFonts w:ascii="Times New Roman" w:hAnsi="Times New Roman"/>
          <w:szCs w:val="24"/>
          <w:lang w:val="sr-Cyrl-CS"/>
        </w:rPr>
        <w:tab/>
        <w:t>Уставни основ за доношење овог закона садржан је у члану 99. став 1. тачка 4. Устава Републике Србије према коме Народна скупштина Републике Србије потврђује међународне уговоре када је законом предвиђена обавеза њиховог потврђивања.</w:t>
      </w:r>
    </w:p>
    <w:p w:rsidR="00CF4EB1" w:rsidRPr="008B3155" w:rsidRDefault="00CF4EB1" w:rsidP="00CF4EB1">
      <w:pPr>
        <w:jc w:val="both"/>
        <w:rPr>
          <w:rFonts w:ascii="Times New Roman" w:hAnsi="Times New Roman"/>
          <w:szCs w:val="24"/>
          <w:highlight w:val="yellow"/>
          <w:lang w:val="sr-Cyrl-CS"/>
        </w:rPr>
      </w:pPr>
      <w:r w:rsidRPr="008B3155">
        <w:rPr>
          <w:rFonts w:ascii="Times New Roman" w:hAnsi="Times New Roman"/>
          <w:szCs w:val="24"/>
          <w:highlight w:val="yellow"/>
          <w:lang w:val="sr-Cyrl-CS"/>
        </w:rPr>
        <w:t xml:space="preserve"> </w:t>
      </w:r>
    </w:p>
    <w:p w:rsidR="00187CCB" w:rsidRPr="008B3155" w:rsidRDefault="00187CCB" w:rsidP="00517EA5">
      <w:pPr>
        <w:spacing w:line="240" w:lineRule="auto"/>
        <w:jc w:val="both"/>
        <w:rPr>
          <w:rFonts w:ascii="Times New Roman" w:hAnsi="Times New Roman"/>
          <w:szCs w:val="24"/>
          <w:lang w:val="sr-Cyrl-CS" w:eastAsia="en-US"/>
        </w:rPr>
      </w:pPr>
      <w:r w:rsidRPr="008B3155">
        <w:rPr>
          <w:rFonts w:ascii="Times New Roman" w:hAnsi="Times New Roman"/>
          <w:bCs/>
          <w:szCs w:val="24"/>
          <w:lang w:val="sr-Cyrl-CS" w:eastAsia="en-US"/>
        </w:rPr>
        <w:t xml:space="preserve">II. </w:t>
      </w:r>
      <w:r w:rsidR="00517EA5">
        <w:rPr>
          <w:rFonts w:ascii="Times New Roman" w:hAnsi="Times New Roman"/>
          <w:bCs/>
          <w:szCs w:val="24"/>
          <w:lang w:val="sr-Cyrl-CS" w:eastAsia="en-US"/>
        </w:rPr>
        <w:tab/>
      </w:r>
      <w:r w:rsidRPr="008B3155">
        <w:rPr>
          <w:rFonts w:ascii="Times New Roman" w:hAnsi="Times New Roman"/>
          <w:bCs/>
          <w:szCs w:val="24"/>
          <w:lang w:val="sr-Cyrl-CS" w:eastAsia="en-US"/>
        </w:rPr>
        <w:t>РАЗЛОЗИ ЗА ПОТВРЂИВАЊЕ</w:t>
      </w:r>
      <w:r w:rsidR="00032215" w:rsidRPr="008B3155">
        <w:rPr>
          <w:rFonts w:ascii="Times New Roman" w:hAnsi="Times New Roman"/>
          <w:szCs w:val="24"/>
          <w:lang w:val="sr-Cyrl-CS"/>
        </w:rPr>
        <w:t xml:space="preserve"> </w:t>
      </w:r>
      <w:r w:rsidR="004B2455" w:rsidRPr="008B3155">
        <w:rPr>
          <w:rFonts w:ascii="Times New Roman" w:hAnsi="Times New Roman"/>
          <w:szCs w:val="24"/>
          <w:lang w:val="sr-Cyrl-CS"/>
        </w:rPr>
        <w:t>СПОРАЗУМА</w:t>
      </w:r>
    </w:p>
    <w:p w:rsidR="00CF4EB1" w:rsidRPr="008B3155" w:rsidRDefault="00CF4EB1" w:rsidP="00CF4EB1">
      <w:pPr>
        <w:ind w:firstLine="720"/>
        <w:jc w:val="both"/>
        <w:rPr>
          <w:rFonts w:ascii="Times New Roman" w:hAnsi="Times New Roman"/>
          <w:szCs w:val="24"/>
          <w:highlight w:val="yellow"/>
          <w:lang w:val="sr-Cyrl-CS"/>
        </w:rPr>
      </w:pPr>
    </w:p>
    <w:p w:rsidR="00187CCB" w:rsidRPr="00CB5B6B" w:rsidRDefault="00CF4EB1" w:rsidP="00126B03">
      <w:pPr>
        <w:spacing w:line="240" w:lineRule="auto"/>
        <w:ind w:firstLine="720"/>
        <w:jc w:val="both"/>
        <w:rPr>
          <w:rFonts w:ascii="Times New Roman" w:hAnsi="Times New Roman"/>
          <w:szCs w:val="24"/>
          <w:lang w:val="sr-Latn-RS"/>
        </w:rPr>
      </w:pPr>
      <w:r w:rsidRPr="008B3155">
        <w:rPr>
          <w:rFonts w:ascii="Times New Roman" w:hAnsi="Times New Roman"/>
          <w:szCs w:val="24"/>
          <w:lang w:val="sr-Cyrl-CS"/>
        </w:rPr>
        <w:t xml:space="preserve">Разлози за </w:t>
      </w:r>
      <w:r w:rsidR="00187CCB" w:rsidRPr="008B3155">
        <w:rPr>
          <w:rFonts w:ascii="Times New Roman" w:hAnsi="Times New Roman"/>
          <w:szCs w:val="24"/>
          <w:lang w:val="sr-Cyrl-CS"/>
        </w:rPr>
        <w:t>потврђивање</w:t>
      </w:r>
      <w:r w:rsidRPr="008B3155">
        <w:rPr>
          <w:rFonts w:ascii="Times New Roman" w:hAnsi="Times New Roman"/>
          <w:szCs w:val="24"/>
          <w:lang w:val="sr-Cyrl-CS"/>
        </w:rPr>
        <w:t xml:space="preserve"> Споразума о зајму (</w:t>
      </w:r>
      <w:r w:rsidR="00D16F19">
        <w:rPr>
          <w:rFonts w:ascii="Times New Roman" w:hAnsi="Times New Roman"/>
          <w:szCs w:val="24"/>
          <w:lang w:val="sr-Cyrl-CS"/>
        </w:rPr>
        <w:t>Пројекат ,,</w:t>
      </w:r>
      <w:r w:rsidR="003B4BA2" w:rsidRPr="003B4BA2">
        <w:rPr>
          <w:rFonts w:ascii="Times New Roman" w:hAnsi="Times New Roman"/>
          <w:szCs w:val="24"/>
          <w:lang w:val="sr-Cyrl-CS"/>
        </w:rPr>
        <w:t>Xитан одговор Републике Србије на COVID-19</w:t>
      </w:r>
      <w:r w:rsidR="00D16F19">
        <w:rPr>
          <w:sz w:val="22"/>
          <w:szCs w:val="22"/>
        </w:rPr>
        <w:t>”</w:t>
      </w:r>
      <w:r w:rsidR="00537F21" w:rsidRPr="008B3155">
        <w:rPr>
          <w:rFonts w:ascii="Times New Roman" w:hAnsi="Times New Roman"/>
          <w:szCs w:val="24"/>
          <w:lang w:val="sr-Cyrl-CS"/>
        </w:rPr>
        <w:t>)</w:t>
      </w:r>
      <w:r w:rsidRPr="008B3155">
        <w:rPr>
          <w:rFonts w:ascii="Times New Roman" w:hAnsi="Times New Roman"/>
          <w:szCs w:val="24"/>
          <w:lang w:val="sr-Cyrl-CS"/>
        </w:rPr>
        <w:t xml:space="preserve"> између Републике Србије и Међународне банке за обнову и развој, који је потписан </w:t>
      </w:r>
      <w:r w:rsidR="00CB5B6B">
        <w:rPr>
          <w:rFonts w:ascii="Times New Roman" w:hAnsi="Times New Roman"/>
          <w:szCs w:val="24"/>
          <w:lang w:val="sr-Latn-RS"/>
        </w:rPr>
        <w:t>2</w:t>
      </w:r>
      <w:r w:rsidR="00385DA7">
        <w:rPr>
          <w:rFonts w:ascii="Times New Roman" w:hAnsi="Times New Roman"/>
          <w:szCs w:val="24"/>
          <w:lang w:val="sr-Cyrl-RS"/>
        </w:rPr>
        <w:t>9</w:t>
      </w:r>
      <w:r w:rsidRPr="008B3155">
        <w:rPr>
          <w:rFonts w:ascii="Times New Roman" w:hAnsi="Times New Roman"/>
          <w:szCs w:val="24"/>
          <w:lang w:val="sr-Cyrl-CS"/>
        </w:rPr>
        <w:t xml:space="preserve">. </w:t>
      </w:r>
      <w:r w:rsidR="00385DA7">
        <w:rPr>
          <w:rFonts w:ascii="Times New Roman" w:hAnsi="Times New Roman"/>
          <w:szCs w:val="24"/>
          <w:lang w:val="sr-Cyrl-CS"/>
        </w:rPr>
        <w:t>маја</w:t>
      </w:r>
      <w:r w:rsidRPr="008B3155">
        <w:rPr>
          <w:rFonts w:ascii="Times New Roman" w:hAnsi="Times New Roman"/>
          <w:szCs w:val="24"/>
          <w:lang w:val="sr-Cyrl-CS"/>
        </w:rPr>
        <w:t xml:space="preserve"> 20</w:t>
      </w:r>
      <w:r w:rsidR="00385DA7">
        <w:rPr>
          <w:rFonts w:ascii="Times New Roman" w:hAnsi="Times New Roman"/>
          <w:szCs w:val="24"/>
          <w:lang w:val="sr-Cyrl-CS"/>
        </w:rPr>
        <w:t>20</w:t>
      </w:r>
      <w:r w:rsidRPr="008B3155">
        <w:rPr>
          <w:rFonts w:ascii="Times New Roman" w:hAnsi="Times New Roman"/>
          <w:szCs w:val="24"/>
          <w:lang w:val="sr-Cyrl-CS"/>
        </w:rPr>
        <w:t xml:space="preserve">. године у Београду, </w:t>
      </w:r>
      <w:r w:rsidR="00187CCB" w:rsidRPr="008B3155">
        <w:rPr>
          <w:rFonts w:ascii="Times New Roman" w:hAnsi="Times New Roman"/>
          <w:szCs w:val="24"/>
          <w:lang w:val="sr-Cyrl-CS"/>
        </w:rPr>
        <w:t xml:space="preserve">садржани су у одредби члана 5. став 2. Закона о јавном дугу </w:t>
      </w:r>
      <w:r w:rsidR="00311F46" w:rsidRPr="008B3155">
        <w:rPr>
          <w:rFonts w:ascii="Times New Roman" w:hAnsi="Times New Roman"/>
          <w:szCs w:val="24"/>
          <w:lang w:val="sr-Cyrl-CS"/>
        </w:rPr>
        <w:t>(„Службени гласник РС”, бр</w:t>
      </w:r>
      <w:r w:rsidR="00352106">
        <w:rPr>
          <w:rFonts w:ascii="Times New Roman" w:hAnsi="Times New Roman"/>
          <w:szCs w:val="24"/>
          <w:lang w:val="sr-Cyrl-CS"/>
        </w:rPr>
        <w:t xml:space="preserve">. 61/05, 107/09, 78/11, 68/15, </w:t>
      </w:r>
      <w:r w:rsidR="00311F46" w:rsidRPr="008B3155">
        <w:rPr>
          <w:rFonts w:ascii="Times New Roman" w:hAnsi="Times New Roman"/>
          <w:szCs w:val="24"/>
          <w:lang w:val="sr-Cyrl-CS"/>
        </w:rPr>
        <w:t>95/18</w:t>
      </w:r>
      <w:r w:rsidR="00352106">
        <w:rPr>
          <w:rFonts w:ascii="Times New Roman" w:hAnsi="Times New Roman"/>
          <w:szCs w:val="24"/>
          <w:lang w:val="sr-Cyrl-RS"/>
        </w:rPr>
        <w:t xml:space="preserve"> и 91/19</w:t>
      </w:r>
      <w:r w:rsidR="00187CCB" w:rsidRPr="008B3155">
        <w:rPr>
          <w:rFonts w:ascii="Times New Roman" w:hAnsi="Times New Roman"/>
          <w:szCs w:val="24"/>
          <w:lang w:val="sr-Cyrl-CS"/>
        </w:rPr>
        <w:t xml:space="preserve">) према којој Народна скупштина одлучује о задуживању Републике Србије и одредби члана 14. став 1. Закона о закључивању и извршавању међународних уговора </w:t>
      </w:r>
      <w:r w:rsidR="00311F46" w:rsidRPr="008B3155">
        <w:rPr>
          <w:rFonts w:ascii="Times New Roman" w:hAnsi="Times New Roman"/>
          <w:szCs w:val="24"/>
          <w:lang w:val="sr-Cyrl-CS"/>
        </w:rPr>
        <w:t>(„Службени гласник РС”, број 32/13</w:t>
      </w:r>
      <w:r w:rsidR="00187CCB" w:rsidRPr="008B3155">
        <w:rPr>
          <w:rFonts w:ascii="Times New Roman" w:hAnsi="Times New Roman"/>
          <w:szCs w:val="24"/>
          <w:lang w:val="sr-Cyrl-CS"/>
        </w:rPr>
        <w:t>) према којој Народна скупштина, између осталог, потврђује уговоре којима се стварају финансијске обавезе за Републику Србију.</w:t>
      </w:r>
      <w:r w:rsidR="005540D5" w:rsidRPr="008B3155">
        <w:rPr>
          <w:rFonts w:ascii="Times New Roman" w:hAnsi="Times New Roman"/>
          <w:szCs w:val="24"/>
          <w:lang w:val="sr-Cyrl-CS"/>
        </w:rPr>
        <w:t xml:space="preserve"> </w:t>
      </w:r>
      <w:r w:rsidR="00B16010" w:rsidRPr="008B3155">
        <w:rPr>
          <w:rFonts w:ascii="Times New Roman" w:hAnsi="Times New Roman"/>
          <w:szCs w:val="24"/>
          <w:lang w:val="sr-Cyrl-CS"/>
        </w:rPr>
        <w:t xml:space="preserve"> </w:t>
      </w:r>
      <w:r w:rsidR="00E81738" w:rsidRPr="008B3155">
        <w:rPr>
          <w:rFonts w:ascii="Times New Roman" w:hAnsi="Times New Roman"/>
          <w:szCs w:val="24"/>
          <w:lang w:val="sr-Cyrl-CS"/>
        </w:rPr>
        <w:t xml:space="preserve"> </w:t>
      </w:r>
      <w:r w:rsidR="00CB5B6B">
        <w:rPr>
          <w:rFonts w:ascii="Times New Roman" w:hAnsi="Times New Roman"/>
          <w:szCs w:val="24"/>
          <w:lang w:val="sr-Latn-RS"/>
        </w:rPr>
        <w:t xml:space="preserve"> </w:t>
      </w:r>
      <w:r w:rsidR="003B4BA2">
        <w:rPr>
          <w:rFonts w:ascii="Times New Roman" w:hAnsi="Times New Roman"/>
          <w:szCs w:val="24"/>
          <w:lang w:val="sr-Latn-RS"/>
        </w:rPr>
        <w:tab/>
      </w:r>
    </w:p>
    <w:p w:rsidR="00537F21" w:rsidRPr="008B3155" w:rsidRDefault="005540D5" w:rsidP="00105078">
      <w:pPr>
        <w:tabs>
          <w:tab w:val="left" w:pos="709"/>
        </w:tabs>
        <w:spacing w:line="240" w:lineRule="auto"/>
        <w:ind w:firstLine="720"/>
        <w:jc w:val="both"/>
        <w:rPr>
          <w:rFonts w:ascii="Times New Roman" w:hAnsi="Times New Roman"/>
          <w:szCs w:val="24"/>
          <w:lang w:val="sr-Cyrl-CS" w:eastAsia="en-US"/>
        </w:rPr>
      </w:pPr>
      <w:r w:rsidRPr="008B3155">
        <w:rPr>
          <w:rFonts w:ascii="Times New Roman" w:hAnsi="Times New Roman"/>
          <w:szCs w:val="24"/>
          <w:lang w:val="sr-Cyrl-CS" w:eastAsia="en-US"/>
        </w:rPr>
        <w:t>Законом о буџету Републике Србије за 20</w:t>
      </w:r>
      <w:r w:rsidR="00385DA7">
        <w:rPr>
          <w:rFonts w:ascii="Times New Roman" w:hAnsi="Times New Roman"/>
          <w:szCs w:val="24"/>
          <w:lang w:val="sr-Cyrl-CS" w:eastAsia="en-US"/>
        </w:rPr>
        <w:t>20</w:t>
      </w:r>
      <w:r w:rsidRPr="008B3155">
        <w:rPr>
          <w:rFonts w:ascii="Times New Roman" w:hAnsi="Times New Roman"/>
          <w:szCs w:val="24"/>
          <w:lang w:val="sr-Cyrl-CS" w:eastAsia="en-US"/>
        </w:rPr>
        <w:t xml:space="preserve">. годину </w:t>
      </w:r>
      <w:r w:rsidR="00D16F19" w:rsidRPr="009D30C6">
        <w:rPr>
          <w:rFonts w:ascii="Times New Roman" w:hAnsi="Times New Roman"/>
          <w:szCs w:val="24"/>
          <w:lang w:val="sr-Cyrl-RS"/>
        </w:rPr>
        <w:t>(</w:t>
      </w:r>
      <w:r w:rsidR="00D16F19" w:rsidRPr="009D30C6">
        <w:rPr>
          <w:rFonts w:ascii="Times New Roman" w:hAnsi="Times New Roman"/>
          <w:szCs w:val="24"/>
        </w:rPr>
        <w:t>„</w:t>
      </w:r>
      <w:r w:rsidR="00D16F19" w:rsidRPr="009D30C6">
        <w:rPr>
          <w:rFonts w:ascii="Times New Roman" w:hAnsi="Times New Roman"/>
          <w:szCs w:val="24"/>
          <w:lang w:val="sr-Cyrl-RS"/>
        </w:rPr>
        <w:t>Службени гласник РС</w:t>
      </w:r>
      <w:r w:rsidR="00D16F19" w:rsidRPr="009D30C6">
        <w:rPr>
          <w:rFonts w:ascii="Times New Roman" w:hAnsi="Times New Roman"/>
          <w:szCs w:val="24"/>
          <w:lang w:val="ru-RU"/>
        </w:rPr>
        <w:t>”</w:t>
      </w:r>
      <w:r w:rsidR="00D16F19" w:rsidRPr="009D30C6">
        <w:rPr>
          <w:rFonts w:ascii="Times New Roman" w:hAnsi="Times New Roman"/>
          <w:szCs w:val="24"/>
        </w:rPr>
        <w:t>,</w:t>
      </w:r>
      <w:r w:rsidR="00D16F19" w:rsidRPr="009D30C6">
        <w:rPr>
          <w:rFonts w:ascii="Times New Roman" w:hAnsi="Times New Roman"/>
          <w:szCs w:val="24"/>
          <w:lang w:val="sr-Cyrl-RS"/>
        </w:rPr>
        <w:t xml:space="preserve"> бр. 84/19, 60/20-др. пропис</w:t>
      </w:r>
      <w:r w:rsidR="00D16F19" w:rsidRPr="009D30C6">
        <w:rPr>
          <w:rFonts w:ascii="Times New Roman" w:hAnsi="Times New Roman"/>
          <w:szCs w:val="24"/>
        </w:rPr>
        <w:t xml:space="preserve">, </w:t>
      </w:r>
      <w:r w:rsidR="00D16F19" w:rsidRPr="009D30C6">
        <w:rPr>
          <w:rFonts w:ascii="Times New Roman" w:hAnsi="Times New Roman"/>
          <w:szCs w:val="24"/>
          <w:lang w:val="sr-Cyrl-RS"/>
        </w:rPr>
        <w:t>62/20-др. закон</w:t>
      </w:r>
      <w:r w:rsidR="00D16F19" w:rsidRPr="009D30C6">
        <w:rPr>
          <w:rFonts w:ascii="Times New Roman" w:hAnsi="Times New Roman"/>
          <w:szCs w:val="24"/>
        </w:rPr>
        <w:t xml:space="preserve"> </w:t>
      </w:r>
      <w:r w:rsidR="00D16F19" w:rsidRPr="009D30C6">
        <w:rPr>
          <w:rFonts w:ascii="Times New Roman" w:hAnsi="Times New Roman"/>
          <w:szCs w:val="24"/>
          <w:lang w:val="sr-Cyrl-RS"/>
        </w:rPr>
        <w:t>и 6</w:t>
      </w:r>
      <w:r w:rsidR="00D16F19" w:rsidRPr="009D30C6">
        <w:rPr>
          <w:rFonts w:ascii="Times New Roman" w:hAnsi="Times New Roman"/>
          <w:szCs w:val="24"/>
        </w:rPr>
        <w:t>5</w:t>
      </w:r>
      <w:r w:rsidR="00D16F19" w:rsidRPr="009D30C6">
        <w:rPr>
          <w:rFonts w:ascii="Times New Roman" w:hAnsi="Times New Roman"/>
          <w:szCs w:val="24"/>
          <w:lang w:val="sr-Cyrl-RS"/>
        </w:rPr>
        <w:t>/20-др. закон</w:t>
      </w:r>
      <w:r w:rsidR="00D16F19" w:rsidRPr="009D30C6">
        <w:rPr>
          <w:rFonts w:ascii="Times New Roman" w:hAnsi="Times New Roman"/>
          <w:szCs w:val="24"/>
        </w:rPr>
        <w:t>)</w:t>
      </w:r>
      <w:r w:rsidRPr="008B3155">
        <w:rPr>
          <w:rFonts w:ascii="Times New Roman" w:hAnsi="Times New Roman"/>
          <w:szCs w:val="24"/>
          <w:lang w:val="sr-Cyrl-CS" w:eastAsia="en-US"/>
        </w:rPr>
        <w:t xml:space="preserve"> у члану 3.Б. </w:t>
      </w:r>
      <w:r w:rsidR="00537F21" w:rsidRPr="008B3155">
        <w:rPr>
          <w:rFonts w:ascii="Times New Roman" w:hAnsi="Times New Roman"/>
          <w:szCs w:val="24"/>
          <w:lang w:val="sr-Cyrl-CS" w:eastAsia="en-US"/>
        </w:rPr>
        <w:t xml:space="preserve">предвиђено је задуживање код </w:t>
      </w:r>
      <w:r w:rsidR="00804F8A" w:rsidRPr="008B3155">
        <w:rPr>
          <w:rFonts w:ascii="Times New Roman" w:hAnsi="Times New Roman"/>
          <w:szCs w:val="24"/>
          <w:lang w:val="sr-Cyrl-CS" w:eastAsia="en-US"/>
        </w:rPr>
        <w:t xml:space="preserve">Међународне банке за обнову и развој за </w:t>
      </w:r>
      <w:r w:rsidR="003B4BA2">
        <w:rPr>
          <w:rFonts w:ascii="Times New Roman" w:hAnsi="Times New Roman"/>
          <w:szCs w:val="24"/>
          <w:lang w:val="sr-Cyrl-CS" w:eastAsia="en-US"/>
        </w:rPr>
        <w:t xml:space="preserve">подршку ради отклањања последица насталих услед пандемије </w:t>
      </w:r>
      <w:r w:rsidR="003B4BA2" w:rsidRPr="003B4BA2">
        <w:rPr>
          <w:rFonts w:ascii="Times New Roman" w:hAnsi="Times New Roman"/>
          <w:szCs w:val="24"/>
          <w:lang w:val="sr-Cyrl-CS" w:eastAsia="en-US"/>
        </w:rPr>
        <w:t>COVID-19</w:t>
      </w:r>
      <w:r w:rsidR="00804F8A" w:rsidRPr="008B3155">
        <w:rPr>
          <w:rFonts w:ascii="Times New Roman" w:hAnsi="Times New Roman"/>
          <w:szCs w:val="24"/>
          <w:lang w:val="sr-Cyrl-CS" w:eastAsia="en-US"/>
        </w:rPr>
        <w:t xml:space="preserve"> до </w:t>
      </w:r>
      <w:r w:rsidR="003B4BA2">
        <w:rPr>
          <w:rFonts w:ascii="Times New Roman" w:hAnsi="Times New Roman"/>
          <w:szCs w:val="24"/>
          <w:lang w:val="sr-Cyrl-RS" w:eastAsia="en-US"/>
        </w:rPr>
        <w:t>100</w:t>
      </w:r>
      <w:r w:rsidR="00804F8A" w:rsidRPr="008B3155">
        <w:rPr>
          <w:rFonts w:ascii="Times New Roman" w:hAnsi="Times New Roman"/>
          <w:szCs w:val="24"/>
          <w:lang w:val="sr-Cyrl-CS" w:eastAsia="en-US"/>
        </w:rPr>
        <w:t xml:space="preserve">.000.000 </w:t>
      </w:r>
      <w:r w:rsidR="00B609E0" w:rsidRPr="008B3155">
        <w:rPr>
          <w:rFonts w:ascii="Times New Roman" w:hAnsi="Times New Roman"/>
          <w:szCs w:val="24"/>
          <w:lang w:val="sr-Cyrl-CS" w:eastAsia="en-US"/>
        </w:rPr>
        <w:t>USD</w:t>
      </w:r>
      <w:r w:rsidRPr="008B3155">
        <w:rPr>
          <w:rFonts w:ascii="Times New Roman" w:hAnsi="Times New Roman"/>
          <w:szCs w:val="24"/>
          <w:lang w:val="sr-Cyrl-CS" w:eastAsia="en-US"/>
        </w:rPr>
        <w:t xml:space="preserve">, што се односи на зајам који је био предмет преговора </w:t>
      </w:r>
      <w:r w:rsidR="003B4BA2" w:rsidRPr="003B4BA2">
        <w:rPr>
          <w:rFonts w:ascii="Times New Roman" w:hAnsi="Times New Roman"/>
          <w:szCs w:val="24"/>
          <w:lang w:val="sr-Latn-RS" w:eastAsia="en-US"/>
        </w:rPr>
        <w:t>вођеним 12. и 13. маја 2020. године</w:t>
      </w:r>
      <w:r w:rsidRPr="008B3155">
        <w:rPr>
          <w:rFonts w:ascii="Times New Roman" w:hAnsi="Times New Roman"/>
          <w:szCs w:val="24"/>
          <w:lang w:val="sr-Cyrl-CS" w:eastAsia="en-US"/>
        </w:rPr>
        <w:t xml:space="preserve">, </w:t>
      </w:r>
      <w:r w:rsidR="003B4BA2" w:rsidRPr="003B4BA2">
        <w:rPr>
          <w:rFonts w:ascii="Times New Roman" w:hAnsi="Times New Roman"/>
          <w:szCs w:val="24"/>
          <w:lang w:val="sr-Cyrl-CS" w:eastAsia="en-US"/>
        </w:rPr>
        <w:t>путем аудио-видео комуникације са Дирекцијом банке у Вашингтону</w:t>
      </w:r>
      <w:r w:rsidR="00537F21" w:rsidRPr="008B3155">
        <w:rPr>
          <w:rFonts w:ascii="Times New Roman" w:hAnsi="Times New Roman"/>
          <w:szCs w:val="24"/>
          <w:lang w:val="sr-Cyrl-CS" w:eastAsia="en-US"/>
        </w:rPr>
        <w:t>.</w:t>
      </w:r>
      <w:r w:rsidRPr="008B3155">
        <w:rPr>
          <w:rFonts w:ascii="Times New Roman" w:hAnsi="Times New Roman"/>
          <w:szCs w:val="24"/>
          <w:lang w:val="sr-Cyrl-CS" w:eastAsia="en-US"/>
        </w:rPr>
        <w:t xml:space="preserve"> </w:t>
      </w:r>
      <w:r w:rsidR="003B4BA2">
        <w:rPr>
          <w:rFonts w:ascii="Times New Roman" w:hAnsi="Times New Roman"/>
          <w:szCs w:val="24"/>
          <w:lang w:val="sr-Cyrl-CS" w:eastAsia="en-US"/>
        </w:rPr>
        <w:t xml:space="preserve"> </w:t>
      </w:r>
    </w:p>
    <w:p w:rsidR="003B4BA2" w:rsidRPr="003B4BA2" w:rsidRDefault="003B4BA2" w:rsidP="003B4BA2">
      <w:pPr>
        <w:tabs>
          <w:tab w:val="left" w:pos="709"/>
        </w:tabs>
        <w:spacing w:line="240" w:lineRule="auto"/>
        <w:ind w:firstLine="720"/>
        <w:jc w:val="both"/>
        <w:rPr>
          <w:rFonts w:ascii="Times New Roman" w:hAnsi="Times New Roman"/>
          <w:szCs w:val="24"/>
          <w:lang w:val="sr-Cyrl-RS" w:eastAsia="en-US"/>
        </w:rPr>
      </w:pPr>
      <w:r w:rsidRPr="003B4BA2">
        <w:rPr>
          <w:rFonts w:ascii="Times New Roman" w:hAnsi="Times New Roman"/>
          <w:szCs w:val="24"/>
          <w:lang w:val="sr-Cyrl-RS" w:eastAsia="en-US"/>
        </w:rPr>
        <w:t xml:space="preserve">Закључком Владе 05 Број: 48-3463/2020-2 од 30. априла 2020. године, утврђена је Основа за преговоре са Међународном банком за обнову и развој и одређен преговарачки тим Републике Србије. </w:t>
      </w:r>
      <w:r w:rsidR="00EC57EE">
        <w:rPr>
          <w:rFonts w:ascii="Times New Roman" w:hAnsi="Times New Roman"/>
          <w:szCs w:val="24"/>
          <w:lang w:val="sr-Cyrl-RS" w:eastAsia="en-US"/>
        </w:rPr>
        <w:t xml:space="preserve"> </w:t>
      </w:r>
    </w:p>
    <w:p w:rsidR="00EC57EE" w:rsidRPr="00EC57EE" w:rsidRDefault="00EC57EE" w:rsidP="00EC57EE">
      <w:pPr>
        <w:tabs>
          <w:tab w:val="left" w:pos="709"/>
        </w:tabs>
        <w:spacing w:line="240" w:lineRule="auto"/>
        <w:ind w:firstLine="720"/>
        <w:jc w:val="both"/>
        <w:rPr>
          <w:rFonts w:ascii="Times New Roman" w:hAnsi="Times New Roman"/>
          <w:bCs/>
          <w:szCs w:val="24"/>
          <w:lang w:val="sr-Cyrl-RS" w:eastAsia="en-US"/>
        </w:rPr>
      </w:pPr>
      <w:r w:rsidRPr="00EC57EE">
        <w:rPr>
          <w:rFonts w:ascii="Times New Roman" w:hAnsi="Times New Roman"/>
          <w:bCs/>
          <w:szCs w:val="24"/>
          <w:lang w:val="sr-Cyrl-RS" w:eastAsia="en-US"/>
        </w:rPr>
        <w:t xml:space="preserve">Као одговор на кризу насталу услед избијања епидемије болести COVID-19, која се претворила у глобалну пандемију, Групација Светске банке, у оквиру Програма стратешке спремности и реаговања на болест изазвану коронавирусом, коришћењем Вишефазног програмског приступа (МПА), који је Одбор извршних директора Светске банке одобрио 2. априла 2020. године са  укупним оквиром финансирања у износу до 6 милијарди УСД,  понудила је пакет непосредне подршке кроз зајмове Међународне банке за обнову и развој, како би помогла земљама у њиховим напорима да спрече, открију и одговоре на претњу коју представља COVID-19. </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Подршка се огледа кроз финансијску помоћ, односно зајам за брзу подршку (Fast Track COVID-19 Facility).</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 xml:space="preserve">Наведени пројекат ће допунити текуће активности и инвестиције како би се допринело хитном реаговању Србије на COVID-19. То ће бити постигнуто куповином неопходне опреме, изградњом капацитета за надзор и пружањем техничке подршке, укључујућу обуку и комуникацијску подршку за нефармацеутске интервенције и подршку имплементацији. Конкретно, пројекат ће финансирати активности које имају за циљ: a) ограничавање локалног преноса COVIDа-19 кроз стратегије за ограничавање и унапређење капацитета за утврђивање болести кроз пружање техничке експертизе, набавку лабораторијске опреме и успостављање система који ће обезбедити брзо утврђивање случајева и извештавање, у складу са смерницама Светске здравствене организације у Програму; б) развој и операционализацију мера социјалног дистанцирања кроз законе, прописе и друге превентивне акције; ц) јачање капацитета здравственог система како би се Србији омогућило да мобилизује капацитете за брзу реакцију кроз обуке и опремање </w:t>
      </w:r>
      <w:r w:rsidRPr="00EC57EE">
        <w:rPr>
          <w:rFonts w:ascii="Times New Roman" w:hAnsi="Times New Roman"/>
          <w:szCs w:val="24"/>
          <w:lang w:val="sr-Cyrl-RS" w:eastAsia="en-US"/>
        </w:rPr>
        <w:lastRenderedPageBreak/>
        <w:t>здравствених радника на првој линији и изради капацитета за болничку негу и негу након болничког лечења; и д) даље унапређење комуникацијске инфраструктуре ради транспарентног ширења информација са националног на регионални и локални ниво.</w:t>
      </w:r>
    </w:p>
    <w:p w:rsidR="00EC57EE" w:rsidRDefault="00EC57EE" w:rsidP="00C13BBB">
      <w:pPr>
        <w:tabs>
          <w:tab w:val="left" w:pos="709"/>
        </w:tabs>
        <w:spacing w:line="240" w:lineRule="auto"/>
        <w:ind w:firstLine="720"/>
        <w:jc w:val="both"/>
        <w:rPr>
          <w:rFonts w:ascii="Times New Roman" w:hAnsi="Times New Roman"/>
          <w:szCs w:val="24"/>
          <w:lang w:val="sr-Cyrl-CS" w:eastAsia="en-US"/>
        </w:rPr>
      </w:pPr>
    </w:p>
    <w:p w:rsidR="00EC57EE" w:rsidRPr="00EC57EE" w:rsidRDefault="00C13BBB" w:rsidP="00EC57EE">
      <w:pPr>
        <w:tabs>
          <w:tab w:val="left" w:pos="709"/>
        </w:tabs>
        <w:spacing w:line="240" w:lineRule="auto"/>
        <w:ind w:firstLine="720"/>
        <w:jc w:val="both"/>
        <w:rPr>
          <w:rFonts w:ascii="Times New Roman" w:hAnsi="Times New Roman"/>
          <w:szCs w:val="24"/>
          <w:lang w:val="sr-Cyrl-RS" w:eastAsia="en-US"/>
        </w:rPr>
      </w:pPr>
      <w:r w:rsidRPr="006B7B1C">
        <w:rPr>
          <w:rFonts w:ascii="Times New Roman" w:hAnsi="Times New Roman"/>
          <w:szCs w:val="24"/>
          <w:lang w:val="sr-Cyrl-CS" w:eastAsia="en-US"/>
        </w:rPr>
        <w:t xml:space="preserve">Споразум о зајму </w:t>
      </w:r>
      <w:r w:rsidR="00824A02" w:rsidRPr="006B7B1C">
        <w:rPr>
          <w:rFonts w:ascii="Times New Roman" w:hAnsi="Times New Roman"/>
          <w:szCs w:val="24"/>
          <w:lang w:val="sr-Cyrl-CS" w:eastAsia="en-US"/>
        </w:rPr>
        <w:t xml:space="preserve">у износу од </w:t>
      </w:r>
      <w:r w:rsidR="00EC57EE">
        <w:rPr>
          <w:rFonts w:ascii="Times New Roman" w:hAnsi="Times New Roman"/>
          <w:szCs w:val="24"/>
          <w:lang w:val="sr-Cyrl-CS" w:eastAsia="en-US"/>
        </w:rPr>
        <w:t>92</w:t>
      </w:r>
      <w:r w:rsidR="00847B00" w:rsidRPr="006B7B1C">
        <w:rPr>
          <w:rFonts w:ascii="Times New Roman" w:hAnsi="Times New Roman"/>
          <w:szCs w:val="24"/>
          <w:lang w:val="sr-Cyrl-CS" w:eastAsia="en-US"/>
        </w:rPr>
        <w:t>.000.000</w:t>
      </w:r>
      <w:r w:rsidR="00401255" w:rsidRPr="006B7B1C">
        <w:rPr>
          <w:rFonts w:ascii="Times New Roman" w:hAnsi="Times New Roman"/>
          <w:szCs w:val="24"/>
          <w:lang w:val="en-US" w:eastAsia="en-US"/>
        </w:rPr>
        <w:t xml:space="preserve"> EUR</w:t>
      </w:r>
      <w:r w:rsidR="00824A02" w:rsidRPr="006B7B1C">
        <w:rPr>
          <w:rFonts w:ascii="Times New Roman" w:hAnsi="Times New Roman"/>
          <w:szCs w:val="24"/>
          <w:lang w:val="sr-Cyrl-CS" w:eastAsia="en-US"/>
        </w:rPr>
        <w:t xml:space="preserve"> који је Међународна банка за обнову и развој одобрила Републици Србији за </w:t>
      </w:r>
      <w:r w:rsidR="00EC57EE">
        <w:rPr>
          <w:rFonts w:ascii="Times New Roman" w:hAnsi="Times New Roman"/>
          <w:szCs w:val="24"/>
          <w:lang w:val="sr-Cyrl-RS" w:eastAsia="en-US"/>
        </w:rPr>
        <w:t>П</w:t>
      </w:r>
      <w:r w:rsidR="00EC57EE" w:rsidRPr="00EC57EE">
        <w:rPr>
          <w:rFonts w:ascii="Times New Roman" w:hAnsi="Times New Roman"/>
          <w:szCs w:val="24"/>
          <w:lang w:val="sr-Cyrl-RS" w:eastAsia="en-US"/>
        </w:rPr>
        <w:t>ројекат</w:t>
      </w:r>
      <w:r w:rsidR="00EC57EE">
        <w:rPr>
          <w:rFonts w:ascii="Times New Roman" w:hAnsi="Times New Roman"/>
          <w:szCs w:val="24"/>
          <w:lang w:val="sr-Cyrl-RS" w:eastAsia="en-US"/>
        </w:rPr>
        <w:t xml:space="preserve"> </w:t>
      </w:r>
      <w:r w:rsidR="00EC57EE" w:rsidRPr="00EC57EE">
        <w:rPr>
          <w:rFonts w:ascii="Times New Roman" w:hAnsi="Times New Roman"/>
          <w:b/>
          <w:szCs w:val="24"/>
          <w:lang w:val="sr-Cyrl-RS" w:eastAsia="en-US"/>
        </w:rPr>
        <w:t>„</w:t>
      </w:r>
      <w:r w:rsidR="00EC57EE">
        <w:rPr>
          <w:rFonts w:ascii="Times New Roman" w:hAnsi="Times New Roman"/>
          <w:szCs w:val="24"/>
          <w:lang w:val="sr-Cyrl-RS" w:eastAsia="en-US"/>
        </w:rPr>
        <w:t>Х</w:t>
      </w:r>
      <w:r w:rsidR="00EC57EE" w:rsidRPr="00EC57EE">
        <w:rPr>
          <w:rFonts w:ascii="Times New Roman" w:hAnsi="Times New Roman"/>
          <w:szCs w:val="24"/>
          <w:lang w:val="sr-Cyrl-RS" w:eastAsia="en-US"/>
        </w:rPr>
        <w:t xml:space="preserve">итан одговор </w:t>
      </w:r>
      <w:r w:rsidR="00EC57EE">
        <w:rPr>
          <w:rFonts w:ascii="Times New Roman" w:hAnsi="Times New Roman"/>
          <w:szCs w:val="24"/>
          <w:lang w:val="sr-Cyrl-RS" w:eastAsia="en-US"/>
        </w:rPr>
        <w:t>Р</w:t>
      </w:r>
      <w:r w:rsidR="00EC57EE" w:rsidRPr="00EC57EE">
        <w:rPr>
          <w:rFonts w:ascii="Times New Roman" w:hAnsi="Times New Roman"/>
          <w:szCs w:val="24"/>
          <w:lang w:val="sr-Cyrl-RS" w:eastAsia="en-US"/>
        </w:rPr>
        <w:t xml:space="preserve">епублике </w:t>
      </w:r>
      <w:r w:rsidR="00EC57EE">
        <w:rPr>
          <w:rFonts w:ascii="Times New Roman" w:hAnsi="Times New Roman"/>
          <w:szCs w:val="24"/>
          <w:lang w:val="sr-Cyrl-RS" w:eastAsia="en-US"/>
        </w:rPr>
        <w:t>С</w:t>
      </w:r>
      <w:r w:rsidR="00EC57EE" w:rsidRPr="00EC57EE">
        <w:rPr>
          <w:rFonts w:ascii="Times New Roman" w:hAnsi="Times New Roman"/>
          <w:szCs w:val="24"/>
          <w:lang w:val="sr-Cyrl-RS" w:eastAsia="en-US"/>
        </w:rPr>
        <w:t>рбије на COVID-19“</w:t>
      </w:r>
      <w:r w:rsidR="00824A02" w:rsidRPr="006B7B1C">
        <w:rPr>
          <w:rFonts w:ascii="Times New Roman" w:hAnsi="Times New Roman"/>
          <w:szCs w:val="24"/>
          <w:lang w:val="sr-Cyrl-CS" w:eastAsia="en-US"/>
        </w:rPr>
        <w:t xml:space="preserve"> (у даљем текс</w:t>
      </w:r>
      <w:r w:rsidR="00401255" w:rsidRPr="006B7B1C">
        <w:rPr>
          <w:rFonts w:ascii="Times New Roman" w:hAnsi="Times New Roman"/>
          <w:szCs w:val="24"/>
          <w:lang w:val="sr-Cyrl-RS" w:eastAsia="en-US"/>
        </w:rPr>
        <w:t>т</w:t>
      </w:r>
      <w:r w:rsidR="00824A02" w:rsidRPr="006B7B1C">
        <w:rPr>
          <w:rFonts w:ascii="Times New Roman" w:hAnsi="Times New Roman"/>
          <w:szCs w:val="24"/>
          <w:lang w:val="sr-Cyrl-CS" w:eastAsia="en-US"/>
        </w:rPr>
        <w:t xml:space="preserve">у: Пројекат) </w:t>
      </w:r>
      <w:r w:rsidR="00EC57EE">
        <w:rPr>
          <w:rFonts w:ascii="Times New Roman" w:hAnsi="Times New Roman"/>
          <w:szCs w:val="24"/>
          <w:lang w:val="sr-Cyrl-CS" w:eastAsia="en-US"/>
        </w:rPr>
        <w:t>има за циљ</w:t>
      </w:r>
      <w:r w:rsidR="00EC57EE" w:rsidRPr="00EC57EE">
        <w:rPr>
          <w:rFonts w:ascii="Times New Roman" w:hAnsi="Times New Roman"/>
          <w:szCs w:val="24"/>
          <w:lang w:val="en-US" w:eastAsia="en-US"/>
        </w:rPr>
        <w:t xml:space="preserve">: (a) </w:t>
      </w:r>
      <w:r w:rsidR="00EC57EE" w:rsidRPr="00EC57EE">
        <w:rPr>
          <w:rFonts w:ascii="Times New Roman" w:hAnsi="Times New Roman"/>
          <w:szCs w:val="24"/>
          <w:lang w:val="sr-Cyrl-RS" w:eastAsia="en-US"/>
        </w:rPr>
        <w:t xml:space="preserve">одговор на претњу коју представља COVID-19 и </w:t>
      </w:r>
      <w:r w:rsidR="00EC57EE" w:rsidRPr="00EC57EE">
        <w:rPr>
          <w:rFonts w:ascii="Times New Roman" w:hAnsi="Times New Roman"/>
          <w:szCs w:val="24"/>
          <w:lang w:val="en-US" w:eastAsia="en-US"/>
        </w:rPr>
        <w:t>(</w:t>
      </w:r>
      <w:r w:rsidR="00EC57EE" w:rsidRPr="00EC57EE">
        <w:rPr>
          <w:rFonts w:ascii="Times New Roman" w:hAnsi="Times New Roman"/>
          <w:szCs w:val="24"/>
          <w:lang w:val="sr-Cyrl-RS" w:eastAsia="en-US"/>
        </w:rPr>
        <w:t>б</w:t>
      </w:r>
      <w:r w:rsidR="00EC57EE" w:rsidRPr="00EC57EE">
        <w:rPr>
          <w:rFonts w:ascii="Times New Roman" w:hAnsi="Times New Roman"/>
          <w:szCs w:val="24"/>
          <w:lang w:val="en-US" w:eastAsia="en-US"/>
        </w:rPr>
        <w:t xml:space="preserve">) </w:t>
      </w:r>
      <w:r w:rsidR="00EC57EE" w:rsidRPr="00EC57EE">
        <w:rPr>
          <w:rFonts w:ascii="Times New Roman" w:hAnsi="Times New Roman"/>
          <w:szCs w:val="24"/>
          <w:lang w:val="sr-Cyrl-RS" w:eastAsia="en-US"/>
        </w:rPr>
        <w:t>јачање нацоналног здравственог система у циљу подизања нивоа приправности у Србији.</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Пројекат је структуиран кроз спровођење активности подељених у две основне компоненте:</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Компонента 1: Хитан одговор на COVID-19 (91,03 милиона ЕУР), и</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Компонента 2: Управљање реализацијом и праћење и евалуација (0,92 милиона ЕУР).</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У оквиру Компоненте 1, предвиђено је финансирање следећих активности у оквиру 3 поткомпоненте:</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Потомпонента 1.1: Детекција случајева, потврда заразе, праћење контаката, евиденција, извештавање, кроз:</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 xml:space="preserve"> - Јачање система надзора болести, националних референтних лабораторија и лабораторија у сектору јавног здравља и епидемиолошких капацитета за рано откривање и потврђивање случајева,</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 xml:space="preserve">- Комбиновање откривања нових случајева са активним праћењем контаката, </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 Пружање подршке епидемиолошким истраживањима,</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 xml:space="preserve">- Јачање капацитета за процену здравствених ризика, </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 xml:space="preserve">- Пружање правовремених података и информација потребних за  доношење одлука и одговора и активности усмерених на  ублажавање епидемије </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 Подршка јачању информационог система Зајмопримца за управљање у здравству како би се олакшало евидентирање и правовремена виртуелна размена информација.</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Додатна подршка ће бити пружена за јачање информационог система за управљање у здравству како би се олакшало евидентирање и правовремена размена информација. Конкретно, пројекат ће омогућити следеће: (а) успостављање две додатне регионалне COVID-19 лабораторије, у оквиру Клиничког центра Војводине у Новом Саду и Клиничког центра у Крагујевцу са капацитетом од 1000 узорака на дан, што ће повећати укупне капацитете тестирања у Србији на преко 9000 тестова дневно;  (б) набавку додатне заштитне опреме на основу потреба које утврђује РФЗО; (в) интеграцију свих „SARS-CoV2 лабораторија“ у систему здравствене заштите у здравствени информациони систем, како би се осигурала благовремена дисеминација резултата и створио свеобухватан електронски  систем надзора над COVIDом-19; (г) успостављање брзог тестирања на Аеродрому „Никола Тесла” Београд и Аеродрому „Константин Велики“ у Нишу, као и на одабраним граничним прелазима за путнички саобраћај, који треба да имају ову могућност кроз тзв. „drive-through” ili „walk-in“ пунктове за тестирање, који омогућавају узимање већег броја узорака по сату уз пуну безбедност тестираних, као и обучено особље са заштитном опремом за поступање са грађанима који су тестирани као позитивни, уз могућност њиховог транспорта до изолационог центра.</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 xml:space="preserve">Потомпонента 1.2: Мере физичког дистанцирања и спремност за комуникацију, кроз: </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lastRenderedPageBreak/>
        <w:t>- израду смерница о фазним мерама физичког дистанцирања за операционализацију постојећих или нових закона и прописа, подршку координацији између надлежних министарстава и институција и подршка Министарству здравља у заштити  здравствених радника и других укључених у активности контроле пандемије.</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 подршку спровођењу превентивних мера комплементарних социјалном дистанцирању, као што је промовисање личне хигијене, укључујући прање руку, и дистрибуција и употреба маски, заједно са подизањем свести и промовисању учешћа заједнице у успоравању развоја пандемије, са интервенцијама усмереним на осетљиве заједнице, укључујући ромску популацију, кориснице сигурних женских кућа и затворенике,</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 развој и дистрибуција основног комуникацијског материјала за ширу јавност о –COVIDу-19 и превентивним мерама,</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 развој информација и смерница за пружаоце здравствене заштите,</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 развој и спровођење обука, укључујући симпозијуме о надзору, лечењу и профилакси.</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Потомпонента 1.3: Јачање здравственог система, кроз:</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 јачање здравственог система кроз планирање спремности за пружање оптималне медицинске неге, одржавање основних услуга у заједници и минимизирање ризика за пацијенте и здравствено особље, укључујући обуку особља здравствених установа и радника на првој линији о мерама за ублажавање ризика, и обезбеђивање одговарајуће заштитне опреме и хигијенских материјала за ове раднике,</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 јачање капацитета болничког лечења успостављањем и реновирањем специјализованих јединица у одабраним болницама, израдом смерница за лечење и практичном обуком здравствених радника и смерницама за контролу инфекције у болницама.,</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 израду стратегија за повећање доступности болничких кревета, укључујући одлагање елективних процедура, строгу тријажу пацијената у свим здравственим установама и пацијената за пријем, и рано отпуштање уз додатно праћење од стране здравственог особља када је пацијент код куће,</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 xml:space="preserve">- обнављање и опремање одабраних домова здравља и болница за пружање критичних медицинских услуга и за суочавање са повећаном потражњом услуга насталом због избијања пандемије, развијање даљих мера унутар болница за контролу инфекције, укључујући неопходно побољшање услуга трансфузије крви како би се осигурала доступност безбедних крвних продуката. </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 подршку јединицама интензивне неге у болницама обезбеђивањем медицинске опреме и обуком здравствених тимова,</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 подршку у циљу јачања система за управљање и одлагање медицинског отпада, мобилизацију додатног здравственог особља, обуке здравственог особља, набавку медицинског материјала, дијагностичких реагенса, укључујући комплете, друге оперативне трошкове попут оних који се односе на мобилизацију здравствених тимова,</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 побољшање приступа корисника информацијама и научном знању путем, између осталог, прегледа и синтезе научних информација ради дистрибуције у јавној здравственој заједници и популацији,</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 изградњу капацитета за примењена и клиничка истраживања, укључујући етичке аспекте клиничких истраживања,</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 xml:space="preserve">- развој и дистрибуцију основних комуникационих материјала за повећање пажње и посвећености јавног сектора, приватног сектора и цивилног друштва за </w:t>
      </w:r>
      <w:r w:rsidRPr="00EC57EE">
        <w:rPr>
          <w:rFonts w:ascii="Times New Roman" w:hAnsi="Times New Roman"/>
          <w:szCs w:val="24"/>
          <w:lang w:val="sr-Cyrl-RS" w:eastAsia="en-US"/>
        </w:rPr>
        <w:lastRenderedPageBreak/>
        <w:t>подизање свести, знања и разумевања опште популације о ризику и потенцијалном утицају пандемије и за развој мулти-секторске стратегије за решавање, укључујући нарочито: (и) COVID -19; и (ии) опште превентивне мере као што су „препоручује се“ и „не препоручује се“ за ширу јавност,</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 Развој информација и смерница за пружаоце здравствене заштите,</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 Развој и спровођење обука, укључујући симпозијуме о надзору, лечењу и профилакси.</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Компонента 2: Управљање имплементацијом и праћење и евалуација Пројекта:</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bCs/>
          <w:szCs w:val="24"/>
          <w:lang w:val="sr-Cyrl-RS" w:eastAsia="en-US"/>
        </w:rPr>
        <w:t>Када је реч о управљању Пројектом, постојећа Јединица за координацију пројекта која је успостављена у оквиру Министарства здравља ради имплементације текућег пројекта Светске банке – „Другог пројекта развоја здравства Србије“, биће задужена за координацију пројектних активности, као и за фидуцијарне послове набавке и финансијског управљања. Поменута Јединица ће бити ојачана ангажовањем додатног особља и консултаната у складу са потребама.</w:t>
      </w:r>
    </w:p>
    <w:p w:rsidR="00EC57EE" w:rsidRPr="00EC57EE" w:rsidRDefault="00EC57EE" w:rsidP="00EC57EE">
      <w:pPr>
        <w:tabs>
          <w:tab w:val="left" w:pos="709"/>
        </w:tabs>
        <w:spacing w:line="240" w:lineRule="auto"/>
        <w:ind w:firstLine="720"/>
        <w:jc w:val="both"/>
        <w:rPr>
          <w:rFonts w:ascii="Times New Roman" w:hAnsi="Times New Roman"/>
          <w:szCs w:val="24"/>
          <w:lang w:val="sr-Cyrl-RS" w:eastAsia="en-US"/>
        </w:rPr>
      </w:pPr>
      <w:r w:rsidRPr="00EC57EE">
        <w:rPr>
          <w:rFonts w:ascii="Times New Roman" w:hAnsi="Times New Roman"/>
          <w:szCs w:val="24"/>
          <w:lang w:val="sr-Cyrl-RS" w:eastAsia="en-US"/>
        </w:rPr>
        <w:t>Министарство здравља биће задужено за свеукупну координацију и спровођење Пројекта у сарадњи са Републичким фондом за здравствено осигурање и мрежом институтâ за јавно здравље, који ће допринети планирању, спровођењу и праћењу активности у свом делокругу рада.</w:t>
      </w:r>
    </w:p>
    <w:p w:rsidR="00AA6051" w:rsidRPr="008B3155" w:rsidRDefault="00AA6051" w:rsidP="00126B03">
      <w:pPr>
        <w:tabs>
          <w:tab w:val="left" w:pos="709"/>
        </w:tabs>
        <w:spacing w:line="240" w:lineRule="auto"/>
        <w:ind w:firstLine="720"/>
        <w:jc w:val="both"/>
        <w:rPr>
          <w:rFonts w:ascii="Times New Roman" w:hAnsi="Times New Roman"/>
          <w:szCs w:val="24"/>
          <w:lang w:val="sr-Cyrl-CS" w:eastAsia="en-US"/>
        </w:rPr>
      </w:pPr>
      <w:r w:rsidRPr="006B7B1C">
        <w:rPr>
          <w:rFonts w:ascii="Times New Roman" w:hAnsi="Times New Roman"/>
          <w:szCs w:val="24"/>
          <w:lang w:val="sr-Cyrl-CS" w:eastAsia="en-US"/>
        </w:rPr>
        <w:t xml:space="preserve">Извештај са преговора прихваћен </w:t>
      </w:r>
      <w:r w:rsidRPr="00B25464">
        <w:rPr>
          <w:rFonts w:ascii="Times New Roman" w:hAnsi="Times New Roman"/>
          <w:szCs w:val="24"/>
          <w:lang w:val="sr-Cyrl-CS" w:eastAsia="en-US"/>
        </w:rPr>
        <w:t xml:space="preserve">је Закључком  Владе 05 Број: </w:t>
      </w:r>
      <w:r w:rsidR="00B25464" w:rsidRPr="00B25464">
        <w:rPr>
          <w:rFonts w:ascii="Times New Roman" w:hAnsi="Times New Roman"/>
          <w:szCs w:val="24"/>
          <w:lang w:val="sr-Cyrl-CS" w:eastAsia="en-US"/>
        </w:rPr>
        <w:t>48-4011/2020</w:t>
      </w:r>
      <w:r w:rsidR="00C64833" w:rsidRPr="00B25464">
        <w:rPr>
          <w:rFonts w:ascii="Times New Roman" w:hAnsi="Times New Roman"/>
          <w:szCs w:val="24"/>
          <w:lang w:val="sr-Cyrl-CS" w:eastAsia="en-US"/>
        </w:rPr>
        <w:t xml:space="preserve"> од </w:t>
      </w:r>
      <w:r w:rsidR="005576B0" w:rsidRPr="00B25464">
        <w:rPr>
          <w:rFonts w:ascii="Times New Roman" w:hAnsi="Times New Roman"/>
          <w:szCs w:val="24"/>
          <w:lang w:val="sr-Cyrl-CS" w:eastAsia="en-US"/>
        </w:rPr>
        <w:t>21</w:t>
      </w:r>
      <w:r w:rsidR="00C64833" w:rsidRPr="00B25464">
        <w:rPr>
          <w:rFonts w:ascii="Times New Roman" w:hAnsi="Times New Roman"/>
          <w:szCs w:val="24"/>
          <w:lang w:val="sr-Cyrl-CS" w:eastAsia="en-US"/>
        </w:rPr>
        <w:t xml:space="preserve">. </w:t>
      </w:r>
      <w:r w:rsidR="00B25464" w:rsidRPr="00B25464">
        <w:rPr>
          <w:rFonts w:ascii="Times New Roman" w:hAnsi="Times New Roman"/>
          <w:szCs w:val="24"/>
          <w:lang w:val="sr-Cyrl-CS" w:eastAsia="en-US"/>
        </w:rPr>
        <w:t>маја</w:t>
      </w:r>
      <w:r w:rsidR="00A75CCC" w:rsidRPr="00B25464">
        <w:rPr>
          <w:rFonts w:ascii="Times New Roman" w:hAnsi="Times New Roman"/>
          <w:szCs w:val="24"/>
          <w:lang w:val="sr-Cyrl-CS" w:eastAsia="en-US"/>
        </w:rPr>
        <w:t xml:space="preserve"> 20</w:t>
      </w:r>
      <w:r w:rsidR="00B25464" w:rsidRPr="00B25464">
        <w:rPr>
          <w:rFonts w:ascii="Times New Roman" w:hAnsi="Times New Roman"/>
          <w:szCs w:val="24"/>
          <w:lang w:val="sr-Cyrl-CS" w:eastAsia="en-US"/>
        </w:rPr>
        <w:t>20</w:t>
      </w:r>
      <w:r w:rsidRPr="00B25464">
        <w:rPr>
          <w:rFonts w:ascii="Times New Roman" w:hAnsi="Times New Roman"/>
          <w:szCs w:val="24"/>
          <w:lang w:val="sr-Cyrl-CS" w:eastAsia="en-US"/>
        </w:rPr>
        <w:t>. године, којим је истовремено усвојен Нацрт споразума о зајму (</w:t>
      </w:r>
      <w:r w:rsidR="00EC57EE" w:rsidRPr="00B25464">
        <w:rPr>
          <w:rFonts w:ascii="Times New Roman" w:hAnsi="Times New Roman"/>
          <w:szCs w:val="24"/>
        </w:rPr>
        <w:t>Пројекат “Xитан одговор Републике Србије на COVID-19</w:t>
      </w:r>
      <w:r w:rsidR="00EC57EE" w:rsidRPr="00B25464">
        <w:rPr>
          <w:rFonts w:ascii="Times New Roman" w:hAnsi="Times New Roman"/>
          <w:b/>
          <w:szCs w:val="24"/>
        </w:rPr>
        <w:t>“</w:t>
      </w:r>
      <w:r w:rsidRPr="00B25464">
        <w:rPr>
          <w:rFonts w:ascii="Times New Roman" w:hAnsi="Times New Roman"/>
          <w:szCs w:val="24"/>
          <w:lang w:val="sr-Cyrl-CS"/>
        </w:rPr>
        <w:t>)</w:t>
      </w:r>
      <w:r w:rsidRPr="00B25464">
        <w:rPr>
          <w:rFonts w:ascii="Times New Roman" w:hAnsi="Times New Roman"/>
          <w:szCs w:val="24"/>
          <w:lang w:val="sr-Cyrl-CS" w:eastAsia="en-US"/>
        </w:rPr>
        <w:t xml:space="preserve">  између Републике Србије и Међународне банке Србије</w:t>
      </w:r>
      <w:r w:rsidR="00315E98" w:rsidRPr="00B25464">
        <w:rPr>
          <w:rFonts w:ascii="Times New Roman" w:hAnsi="Times New Roman"/>
          <w:szCs w:val="24"/>
          <w:lang w:val="sr-Cyrl-CS" w:eastAsia="en-US"/>
        </w:rPr>
        <w:t xml:space="preserve">, </w:t>
      </w:r>
      <w:r w:rsidRPr="00B25464">
        <w:rPr>
          <w:rFonts w:ascii="Times New Roman" w:hAnsi="Times New Roman"/>
          <w:szCs w:val="24"/>
          <w:lang w:val="sr-Cyrl-CS" w:eastAsia="en-US"/>
        </w:rPr>
        <w:t xml:space="preserve">који је </w:t>
      </w:r>
      <w:r w:rsidRPr="00B25464">
        <w:rPr>
          <w:rFonts w:ascii="Times New Roman" w:hAnsi="Times New Roman"/>
          <w:szCs w:val="24"/>
          <w:lang w:val="sr-Cyrl-CS"/>
        </w:rPr>
        <w:t xml:space="preserve">потписан </w:t>
      </w:r>
      <w:r w:rsidR="005576B0" w:rsidRPr="00B25464">
        <w:rPr>
          <w:rFonts w:ascii="Times New Roman" w:hAnsi="Times New Roman"/>
          <w:szCs w:val="24"/>
          <w:lang w:val="sr-Cyrl-CS"/>
        </w:rPr>
        <w:t>2</w:t>
      </w:r>
      <w:r w:rsidR="00B25464" w:rsidRPr="00B25464">
        <w:rPr>
          <w:rFonts w:ascii="Times New Roman" w:hAnsi="Times New Roman"/>
          <w:szCs w:val="24"/>
          <w:lang w:val="sr-Cyrl-CS"/>
        </w:rPr>
        <w:t>9</w:t>
      </w:r>
      <w:r w:rsidRPr="00B25464">
        <w:rPr>
          <w:rFonts w:ascii="Times New Roman" w:hAnsi="Times New Roman"/>
          <w:szCs w:val="24"/>
          <w:lang w:val="sr-Cyrl-CS"/>
        </w:rPr>
        <w:t xml:space="preserve">. </w:t>
      </w:r>
      <w:r w:rsidR="00B25464" w:rsidRPr="00B25464">
        <w:rPr>
          <w:rFonts w:ascii="Times New Roman" w:hAnsi="Times New Roman"/>
          <w:szCs w:val="24"/>
          <w:lang w:val="sr-Cyrl-CS"/>
        </w:rPr>
        <w:t>маја</w:t>
      </w:r>
      <w:r w:rsidRPr="00B25464">
        <w:rPr>
          <w:rFonts w:ascii="Times New Roman" w:hAnsi="Times New Roman"/>
          <w:szCs w:val="24"/>
          <w:lang w:val="sr-Cyrl-CS"/>
        </w:rPr>
        <w:t xml:space="preserve"> 20</w:t>
      </w:r>
      <w:r w:rsidR="00B25464" w:rsidRPr="00B25464">
        <w:rPr>
          <w:rFonts w:ascii="Times New Roman" w:hAnsi="Times New Roman"/>
          <w:szCs w:val="24"/>
          <w:lang w:val="sr-Cyrl-CS"/>
        </w:rPr>
        <w:t>20</w:t>
      </w:r>
      <w:r w:rsidRPr="00B25464">
        <w:rPr>
          <w:rFonts w:ascii="Times New Roman" w:hAnsi="Times New Roman"/>
          <w:szCs w:val="24"/>
          <w:lang w:val="sr-Cyrl-CS"/>
        </w:rPr>
        <w:t>. године у Београду (потписник споразума у име Владе, као заступника Републике Србије</w:t>
      </w:r>
      <w:r w:rsidRPr="006B7B1C">
        <w:rPr>
          <w:rFonts w:ascii="Times New Roman" w:hAnsi="Times New Roman"/>
          <w:szCs w:val="24"/>
          <w:lang w:val="sr-Cyrl-CS"/>
        </w:rPr>
        <w:t xml:space="preserve">, је </w:t>
      </w:r>
      <w:r w:rsidR="00A75CCC" w:rsidRPr="006B7B1C">
        <w:rPr>
          <w:rFonts w:ascii="Times New Roman" w:hAnsi="Times New Roman"/>
          <w:szCs w:val="24"/>
          <w:lang w:val="sr-Cyrl-CS"/>
        </w:rPr>
        <w:t>Синиша Мали</w:t>
      </w:r>
      <w:r w:rsidRPr="006B7B1C">
        <w:rPr>
          <w:rFonts w:ascii="Times New Roman" w:hAnsi="Times New Roman"/>
          <w:szCs w:val="24"/>
          <w:lang w:val="sr-Cyrl-CS"/>
        </w:rPr>
        <w:t>, министар финансија).</w:t>
      </w:r>
      <w:r w:rsidRPr="008B3155">
        <w:rPr>
          <w:rFonts w:ascii="Times New Roman" w:hAnsi="Times New Roman"/>
          <w:szCs w:val="24"/>
          <w:lang w:val="sr-Cyrl-CS" w:eastAsia="en-US"/>
        </w:rPr>
        <w:t xml:space="preserve"> </w:t>
      </w:r>
    </w:p>
    <w:p w:rsidR="008E1154" w:rsidRPr="008B3155" w:rsidRDefault="008E1154" w:rsidP="00126B03">
      <w:pPr>
        <w:spacing w:line="240" w:lineRule="auto"/>
        <w:ind w:firstLine="630"/>
        <w:jc w:val="both"/>
        <w:rPr>
          <w:rFonts w:ascii="Times New Roman" w:hAnsi="Times New Roman"/>
          <w:bCs/>
          <w:szCs w:val="24"/>
          <w:lang w:val="sr-Cyrl-CS" w:eastAsia="en-US"/>
        </w:rPr>
      </w:pPr>
      <w:r w:rsidRPr="008B3155">
        <w:rPr>
          <w:rFonts w:ascii="Times New Roman" w:hAnsi="Times New Roman"/>
          <w:bCs/>
          <w:szCs w:val="24"/>
          <w:lang w:val="sr-Cyrl-CS" w:eastAsia="en-US"/>
        </w:rPr>
        <w:t xml:space="preserve">Свeтскa бaнкa ћe прaтити стaтус Прoјекта и спровођење договорених активности, кроз полугодишње мисије за подршку имплементацији. </w:t>
      </w:r>
    </w:p>
    <w:p w:rsidR="00EC57EE" w:rsidRPr="00EC57EE" w:rsidRDefault="00EC57EE" w:rsidP="00EC57EE">
      <w:pPr>
        <w:spacing w:line="240" w:lineRule="auto"/>
        <w:ind w:firstLine="630"/>
        <w:jc w:val="both"/>
        <w:rPr>
          <w:rFonts w:ascii="Times New Roman" w:hAnsi="Times New Roman"/>
          <w:bCs/>
          <w:szCs w:val="24"/>
          <w:lang w:val="sr-Cyrl-RS" w:eastAsia="en-US"/>
        </w:rPr>
      </w:pPr>
      <w:r w:rsidRPr="00EC57EE">
        <w:rPr>
          <w:rFonts w:ascii="Times New Roman" w:hAnsi="Times New Roman"/>
          <w:bCs/>
          <w:szCs w:val="24"/>
          <w:lang w:val="sr-Cyrl-RS" w:eastAsia="en-US"/>
        </w:rPr>
        <w:t>На преговорима је дефинисано да Споразум о зајму предвиђа коришћење механизма ретроактивног финансирања, који подразумева рефундацију трошкова из средстава зајма Светске банке у максималном износу до 36.000.000 евра, у циљу надокнаде за сва плаћања извршена по основу сузбијања последица насталих услед пандемије, пре датума потписивања Споразума о зајму, а почевши од 1. марта 2020. године, укључујући и тај датум.</w:t>
      </w:r>
    </w:p>
    <w:p w:rsidR="00254CC1" w:rsidRPr="008B3155" w:rsidRDefault="00254CC1" w:rsidP="00126B03">
      <w:pPr>
        <w:spacing w:line="240" w:lineRule="auto"/>
        <w:ind w:firstLine="630"/>
        <w:jc w:val="both"/>
        <w:rPr>
          <w:rFonts w:ascii="Times New Roman" w:hAnsi="Times New Roman"/>
          <w:szCs w:val="24"/>
          <w:lang w:val="sr-Cyrl-CS" w:eastAsia="en-US"/>
        </w:rPr>
      </w:pPr>
      <w:r w:rsidRPr="008B3155">
        <w:rPr>
          <w:rFonts w:ascii="Times New Roman" w:hAnsi="Times New Roman"/>
          <w:szCs w:val="24"/>
          <w:lang w:val="sr-Cyrl-CS" w:eastAsia="en-US"/>
        </w:rPr>
        <w:t>У складу са Општим условима Међународне банке за обнову и развој</w:t>
      </w:r>
      <w:r w:rsidR="00963621" w:rsidRPr="008B3155">
        <w:rPr>
          <w:rFonts w:ascii="Times New Roman" w:hAnsi="Times New Roman"/>
          <w:szCs w:val="24"/>
          <w:lang w:val="sr-Cyrl-CS"/>
        </w:rPr>
        <w:t xml:space="preserve"> </w:t>
      </w:r>
      <w:r w:rsidR="00963621" w:rsidRPr="008B3155">
        <w:rPr>
          <w:rFonts w:ascii="Times New Roman" w:hAnsi="Times New Roman"/>
          <w:szCs w:val="24"/>
          <w:lang w:val="sr-Cyrl-CS" w:eastAsia="en-US"/>
        </w:rPr>
        <w:t>од 14. децембра 2018. године</w:t>
      </w:r>
      <w:r w:rsidRPr="008B3155">
        <w:rPr>
          <w:rFonts w:ascii="Times New Roman" w:hAnsi="Times New Roman"/>
          <w:szCs w:val="24"/>
          <w:lang w:val="sr-Cyrl-CS" w:eastAsia="en-US"/>
        </w:rPr>
        <w:t xml:space="preserve">, </w:t>
      </w:r>
      <w:r w:rsidR="0092470E" w:rsidRPr="008B3155">
        <w:rPr>
          <w:rFonts w:ascii="Times New Roman" w:hAnsi="Times New Roman"/>
          <w:szCs w:val="24"/>
          <w:lang w:val="sr-Cyrl-CS" w:eastAsia="en-US"/>
        </w:rPr>
        <w:t>договорени су</w:t>
      </w:r>
      <w:r w:rsidRPr="008B3155">
        <w:rPr>
          <w:rFonts w:ascii="Times New Roman" w:hAnsi="Times New Roman"/>
          <w:szCs w:val="24"/>
          <w:lang w:val="sr-Cyrl-CS" w:eastAsia="en-US"/>
        </w:rPr>
        <w:t xml:space="preserve"> следећи финансијски услови: </w:t>
      </w:r>
    </w:p>
    <w:p w:rsidR="007068CE" w:rsidRPr="008B3155" w:rsidRDefault="007068CE" w:rsidP="00126B03">
      <w:pPr>
        <w:spacing w:line="240" w:lineRule="auto"/>
        <w:ind w:firstLine="630"/>
        <w:jc w:val="both"/>
        <w:rPr>
          <w:rFonts w:ascii="Times New Roman" w:hAnsi="Times New Roman"/>
          <w:szCs w:val="24"/>
          <w:lang w:val="sr-Cyrl-CS" w:eastAsia="en-US"/>
        </w:rPr>
      </w:pPr>
      <w:r w:rsidRPr="008B3155">
        <w:rPr>
          <w:rFonts w:ascii="Times New Roman" w:hAnsi="Times New Roman"/>
          <w:szCs w:val="24"/>
          <w:lang w:val="sr-Cyrl-CS" w:eastAsia="en-US"/>
        </w:rPr>
        <w:t xml:space="preserve">- износ задужења: </w:t>
      </w:r>
      <w:r w:rsidR="00EC57EE" w:rsidRPr="00EC57EE">
        <w:rPr>
          <w:rFonts w:ascii="Times New Roman" w:hAnsi="Times New Roman"/>
          <w:szCs w:val="24"/>
          <w:lang w:val="sr-Cyrl-RS" w:eastAsia="en-US"/>
        </w:rPr>
        <w:t>92.000.000 евра, што представља планирани износ одобрен од стране Банке од 100.000.000 УСД прерачунат у евре, применом курса 0,9195 УСД:1 ЕУР на дан 30. април 2020. године</w:t>
      </w:r>
      <w:r w:rsidRPr="008B3155">
        <w:rPr>
          <w:rFonts w:ascii="Times New Roman" w:hAnsi="Times New Roman"/>
          <w:szCs w:val="24"/>
          <w:lang w:val="sr-Cyrl-CS" w:eastAsia="en-US"/>
        </w:rPr>
        <w:t>;</w:t>
      </w:r>
    </w:p>
    <w:p w:rsidR="007068CE" w:rsidRPr="008B3155" w:rsidRDefault="007068CE" w:rsidP="00126B03">
      <w:pPr>
        <w:spacing w:line="240" w:lineRule="auto"/>
        <w:ind w:firstLine="630"/>
        <w:jc w:val="both"/>
        <w:rPr>
          <w:rFonts w:ascii="Times New Roman" w:hAnsi="Times New Roman"/>
          <w:szCs w:val="24"/>
          <w:lang w:val="sr-Cyrl-CS" w:eastAsia="en-US"/>
        </w:rPr>
      </w:pPr>
      <w:r w:rsidRPr="008B3155">
        <w:rPr>
          <w:rFonts w:ascii="Times New Roman" w:hAnsi="Times New Roman"/>
          <w:szCs w:val="24"/>
          <w:lang w:val="sr-Cyrl-CS" w:eastAsia="en-US"/>
        </w:rPr>
        <w:t>- повлачење зајма спроводиће се у складу са одредбама Споразума о зајму;</w:t>
      </w:r>
      <w:r w:rsidR="00EC57EE">
        <w:rPr>
          <w:rFonts w:ascii="Times New Roman" w:hAnsi="Times New Roman"/>
          <w:szCs w:val="24"/>
          <w:lang w:val="sr-Cyrl-CS" w:eastAsia="en-US"/>
        </w:rPr>
        <w:t xml:space="preserve"> </w:t>
      </w:r>
    </w:p>
    <w:p w:rsidR="007068CE" w:rsidRPr="008B3155" w:rsidRDefault="007068CE" w:rsidP="00126B03">
      <w:pPr>
        <w:spacing w:line="240" w:lineRule="auto"/>
        <w:ind w:firstLine="630"/>
        <w:jc w:val="both"/>
        <w:rPr>
          <w:rFonts w:ascii="Times New Roman" w:hAnsi="Times New Roman"/>
          <w:szCs w:val="24"/>
          <w:lang w:val="sr-Cyrl-CS" w:eastAsia="en-US"/>
        </w:rPr>
      </w:pPr>
      <w:r w:rsidRPr="008B3155">
        <w:rPr>
          <w:rFonts w:ascii="Times New Roman" w:hAnsi="Times New Roman"/>
          <w:szCs w:val="24"/>
          <w:lang w:val="sr-Cyrl-CS" w:eastAsia="en-US"/>
        </w:rPr>
        <w:t xml:space="preserve">- рок доспећа: </w:t>
      </w:r>
      <w:r w:rsidR="00EC57EE" w:rsidRPr="00EC57EE">
        <w:rPr>
          <w:rFonts w:ascii="Times New Roman" w:hAnsi="Times New Roman"/>
          <w:szCs w:val="24"/>
          <w:lang w:val="sr-Cyrl-CS" w:eastAsia="en-US"/>
        </w:rPr>
        <w:t>12 година, укључујући период почека од 3 година, уз отплату главнице у једнаким ратама, од којих прва доспева 15. јуна 2023. године, а последња 15. децембра 2031. године</w:t>
      </w:r>
      <w:r w:rsidRPr="008B3155">
        <w:rPr>
          <w:rFonts w:ascii="Times New Roman" w:hAnsi="Times New Roman"/>
          <w:szCs w:val="24"/>
          <w:lang w:val="sr-Cyrl-CS" w:eastAsia="en-US"/>
        </w:rPr>
        <w:t>;</w:t>
      </w:r>
    </w:p>
    <w:p w:rsidR="007068CE" w:rsidRPr="008B3155" w:rsidRDefault="007068CE" w:rsidP="00126B03">
      <w:pPr>
        <w:spacing w:line="240" w:lineRule="auto"/>
        <w:ind w:firstLine="630"/>
        <w:jc w:val="both"/>
        <w:rPr>
          <w:rFonts w:ascii="Times New Roman" w:hAnsi="Times New Roman"/>
          <w:szCs w:val="24"/>
          <w:lang w:val="sr-Cyrl-CS" w:eastAsia="en-US"/>
        </w:rPr>
      </w:pPr>
      <w:r w:rsidRPr="008B3155">
        <w:rPr>
          <w:rFonts w:ascii="Times New Roman" w:hAnsi="Times New Roman"/>
          <w:szCs w:val="24"/>
          <w:lang w:val="sr-Cyrl-CS" w:eastAsia="en-US"/>
        </w:rPr>
        <w:t xml:space="preserve">- </w:t>
      </w:r>
      <w:r w:rsidR="008E1154" w:rsidRPr="008B3155">
        <w:rPr>
          <w:rFonts w:ascii="Times New Roman" w:hAnsi="Times New Roman"/>
          <w:szCs w:val="24"/>
          <w:lang w:val="sr-Cyrl-CS" w:eastAsia="en-US"/>
        </w:rPr>
        <w:t xml:space="preserve">рок расположивости зајма: </w:t>
      </w:r>
      <w:r w:rsidR="00D31C40" w:rsidRPr="00D31C40">
        <w:rPr>
          <w:rFonts w:ascii="Times New Roman" w:hAnsi="Times New Roman"/>
          <w:szCs w:val="24"/>
          <w:lang w:val="sr-Cyrl-RS" w:eastAsia="en-US"/>
        </w:rPr>
        <w:t>средства зајма се могу повлачити још 4 месеца након 31. мај 2022. године, што је рок за завршетак Пројекта</w:t>
      </w:r>
      <w:r w:rsidRPr="008B3155">
        <w:rPr>
          <w:rFonts w:ascii="Times New Roman" w:hAnsi="Times New Roman"/>
          <w:szCs w:val="24"/>
          <w:lang w:val="sr-Cyrl-CS" w:eastAsia="en-US"/>
        </w:rPr>
        <w:t>;</w:t>
      </w:r>
    </w:p>
    <w:p w:rsidR="007068CE" w:rsidRPr="007C3CB4" w:rsidRDefault="007068CE" w:rsidP="00126B03">
      <w:pPr>
        <w:spacing w:line="240" w:lineRule="auto"/>
        <w:ind w:firstLine="630"/>
        <w:jc w:val="both"/>
        <w:rPr>
          <w:rFonts w:ascii="Times New Roman" w:hAnsi="Times New Roman"/>
          <w:szCs w:val="24"/>
          <w:lang w:val="en-US" w:eastAsia="en-US"/>
        </w:rPr>
      </w:pPr>
      <w:r w:rsidRPr="008B3155">
        <w:rPr>
          <w:rFonts w:ascii="Times New Roman" w:hAnsi="Times New Roman"/>
          <w:szCs w:val="24"/>
          <w:lang w:val="sr-Cyrl-CS" w:eastAsia="en-US"/>
        </w:rPr>
        <w:t xml:space="preserve">- приступна накнада: </w:t>
      </w:r>
      <w:r w:rsidR="00D31C40" w:rsidRPr="00D31C40">
        <w:rPr>
          <w:rFonts w:ascii="Times New Roman" w:hAnsi="Times New Roman"/>
          <w:szCs w:val="24"/>
          <w:lang w:val="sr-Cyrl-RS" w:eastAsia="en-US"/>
        </w:rPr>
        <w:t>0,25% на укупну главницу (230.000 евра) и плаћа се изсредстава зајма једнократно</w:t>
      </w:r>
      <w:r w:rsidR="007C3CB4">
        <w:rPr>
          <w:rFonts w:ascii="Times New Roman" w:hAnsi="Times New Roman"/>
          <w:szCs w:val="24"/>
          <w:lang w:val="sr-Cyrl-CS" w:eastAsia="en-US"/>
        </w:rPr>
        <w:t>;</w:t>
      </w:r>
    </w:p>
    <w:p w:rsidR="007068CE" w:rsidRPr="008B3155" w:rsidRDefault="007068CE" w:rsidP="00126B03">
      <w:pPr>
        <w:spacing w:line="240" w:lineRule="auto"/>
        <w:ind w:firstLine="630"/>
        <w:jc w:val="both"/>
        <w:rPr>
          <w:rFonts w:ascii="Times New Roman" w:hAnsi="Times New Roman"/>
          <w:szCs w:val="24"/>
          <w:lang w:val="sr-Cyrl-CS" w:eastAsia="en-US"/>
        </w:rPr>
      </w:pPr>
      <w:r w:rsidRPr="008B3155">
        <w:rPr>
          <w:rFonts w:ascii="Times New Roman" w:hAnsi="Times New Roman"/>
          <w:szCs w:val="24"/>
          <w:lang w:val="sr-Cyrl-CS" w:eastAsia="en-US"/>
        </w:rPr>
        <w:t>-</w:t>
      </w:r>
      <w:r w:rsidRPr="008B3155">
        <w:rPr>
          <w:rFonts w:ascii="Times New Roman" w:hAnsi="Times New Roman"/>
          <w:szCs w:val="24"/>
          <w:lang w:val="sr-Cyrl-CS" w:eastAsia="en-US"/>
        </w:rPr>
        <w:tab/>
        <w:t xml:space="preserve"> </w:t>
      </w:r>
      <w:r w:rsidR="00D31C40" w:rsidRPr="00D31C40">
        <w:rPr>
          <w:rFonts w:ascii="Times New Roman" w:hAnsi="Times New Roman"/>
          <w:szCs w:val="24"/>
          <w:lang w:val="sr-Cyrl-CS" w:eastAsia="en-US"/>
        </w:rPr>
        <w:t>накнада на неповучена средства износи 0,25% на годишњем нивоу, од чега од датума обрачуна накнаде на неповучена средства до навршене прве године од почетка обрачуна накнаде она износи 0%</w:t>
      </w:r>
      <w:r w:rsidRPr="008B3155">
        <w:rPr>
          <w:rFonts w:ascii="Times New Roman" w:hAnsi="Times New Roman"/>
          <w:szCs w:val="24"/>
          <w:lang w:val="sr-Cyrl-CS" w:eastAsia="en-US"/>
        </w:rPr>
        <w:t>;</w:t>
      </w:r>
    </w:p>
    <w:p w:rsidR="00254CC1" w:rsidRPr="008B3155" w:rsidRDefault="007068CE" w:rsidP="00126B03">
      <w:pPr>
        <w:spacing w:line="240" w:lineRule="auto"/>
        <w:ind w:firstLine="630"/>
        <w:jc w:val="both"/>
        <w:rPr>
          <w:rFonts w:ascii="Times New Roman" w:hAnsi="Times New Roman"/>
          <w:szCs w:val="24"/>
          <w:lang w:val="sr-Cyrl-CS" w:eastAsia="en-US"/>
        </w:rPr>
      </w:pPr>
      <w:r w:rsidRPr="008B3155">
        <w:rPr>
          <w:rFonts w:ascii="Times New Roman" w:hAnsi="Times New Roman"/>
          <w:szCs w:val="24"/>
          <w:lang w:val="sr-Cyrl-CS" w:eastAsia="en-US"/>
        </w:rPr>
        <w:lastRenderedPageBreak/>
        <w:tab/>
        <w:t xml:space="preserve">- каматна стопа: зајмопримац плаћа камату полугодишње (15. </w:t>
      </w:r>
      <w:r w:rsidR="00D31C40">
        <w:rPr>
          <w:rFonts w:ascii="Times New Roman" w:hAnsi="Times New Roman"/>
          <w:szCs w:val="24"/>
          <w:lang w:val="sr-Cyrl-CS" w:eastAsia="en-US"/>
        </w:rPr>
        <w:t>јуна</w:t>
      </w:r>
      <w:r w:rsidRPr="008B3155">
        <w:rPr>
          <w:rFonts w:ascii="Times New Roman" w:hAnsi="Times New Roman"/>
          <w:szCs w:val="24"/>
          <w:lang w:val="sr-Cyrl-CS" w:eastAsia="en-US"/>
        </w:rPr>
        <w:t xml:space="preserve"> и 15. </w:t>
      </w:r>
      <w:r w:rsidR="00D31C40">
        <w:rPr>
          <w:rFonts w:ascii="Times New Roman" w:hAnsi="Times New Roman"/>
          <w:szCs w:val="24"/>
          <w:lang w:val="sr-Cyrl-CS" w:eastAsia="en-US"/>
        </w:rPr>
        <w:t>децембра</w:t>
      </w:r>
      <w:r w:rsidRPr="008B3155">
        <w:rPr>
          <w:rFonts w:ascii="Times New Roman" w:hAnsi="Times New Roman"/>
          <w:szCs w:val="24"/>
          <w:lang w:val="sr-Cyrl-CS" w:eastAsia="en-US"/>
        </w:rPr>
        <w:t xml:space="preserve"> сваке године), за сваки каматни пeриод по Рeфeрeнтноj стопи за валуту заjма (шестомесечни </w:t>
      </w:r>
      <w:r w:rsidR="00B609E0" w:rsidRPr="008B3155">
        <w:rPr>
          <w:rFonts w:ascii="Times New Roman" w:hAnsi="Times New Roman"/>
          <w:szCs w:val="24"/>
          <w:lang w:val="sr-Cyrl-CS" w:eastAsia="en-US"/>
        </w:rPr>
        <w:t>EUR</w:t>
      </w:r>
      <w:r w:rsidR="009A4FBA">
        <w:rPr>
          <w:rFonts w:ascii="Times New Roman" w:hAnsi="Times New Roman"/>
          <w:szCs w:val="24"/>
          <w:lang w:val="en-US" w:eastAsia="en-US"/>
        </w:rPr>
        <w:t>IBOR</w:t>
      </w:r>
      <w:r w:rsidRPr="008B3155">
        <w:rPr>
          <w:rFonts w:ascii="Times New Roman" w:hAnsi="Times New Roman"/>
          <w:szCs w:val="24"/>
          <w:lang w:val="sr-Cyrl-CS" w:eastAsia="en-US"/>
        </w:rPr>
        <w:t>) ув</w:t>
      </w:r>
      <w:r w:rsidR="008E1154" w:rsidRPr="008B3155">
        <w:rPr>
          <w:rFonts w:ascii="Times New Roman" w:hAnsi="Times New Roman"/>
          <w:szCs w:val="24"/>
          <w:lang w:val="sr-Cyrl-CS" w:eastAsia="en-US"/>
        </w:rPr>
        <w:t>eћаној за фиксну маржу од 0,50%,</w:t>
      </w:r>
      <w:r w:rsidRPr="008B3155">
        <w:rPr>
          <w:rFonts w:ascii="Times New Roman" w:hAnsi="Times New Roman"/>
          <w:szCs w:val="24"/>
          <w:lang w:val="sr-Cyrl-CS" w:eastAsia="en-US"/>
        </w:rPr>
        <w:t xml:space="preserve"> </w:t>
      </w:r>
      <w:r w:rsidR="008E1154" w:rsidRPr="008B3155">
        <w:rPr>
          <w:rFonts w:ascii="Times New Roman" w:hAnsi="Times New Roman"/>
          <w:szCs w:val="24"/>
          <w:lang w:val="sr-Cyrl-CS" w:eastAsia="en-US"/>
        </w:rPr>
        <w:t>уз могућност различитих врста конверзије, ако се процени да је повољније са становишта управљања јавним дугом</w:t>
      </w:r>
      <w:r w:rsidRPr="008B3155">
        <w:rPr>
          <w:rFonts w:ascii="Times New Roman" w:hAnsi="Times New Roman"/>
          <w:szCs w:val="24"/>
          <w:lang w:val="sr-Cyrl-CS" w:eastAsia="en-US"/>
        </w:rPr>
        <w:t>.</w:t>
      </w:r>
      <w:r w:rsidR="00D31C40">
        <w:rPr>
          <w:rFonts w:ascii="Times New Roman" w:hAnsi="Times New Roman"/>
          <w:szCs w:val="24"/>
          <w:lang w:val="sr-Cyrl-CS" w:eastAsia="en-US"/>
        </w:rPr>
        <w:t xml:space="preserve"> </w:t>
      </w:r>
    </w:p>
    <w:p w:rsidR="007068CE" w:rsidRPr="008B3155" w:rsidRDefault="007068CE" w:rsidP="007068CE">
      <w:pPr>
        <w:ind w:firstLine="630"/>
        <w:jc w:val="both"/>
        <w:rPr>
          <w:rFonts w:ascii="Times New Roman" w:hAnsi="Times New Roman"/>
          <w:szCs w:val="24"/>
          <w:lang w:val="sr-Cyrl-CS" w:eastAsia="en-US"/>
        </w:rPr>
      </w:pPr>
    </w:p>
    <w:p w:rsidR="00CF4EB1" w:rsidRPr="008B3155" w:rsidRDefault="00517EA5" w:rsidP="00517EA5">
      <w:pPr>
        <w:pStyle w:val="BodyText"/>
        <w:tabs>
          <w:tab w:val="left" w:pos="0"/>
          <w:tab w:val="left" w:pos="851"/>
        </w:tabs>
        <w:spacing w:line="240" w:lineRule="auto"/>
        <w:ind w:right="0"/>
        <w:rPr>
          <w:rFonts w:ascii="Times New Roman" w:hAnsi="Times New Roman"/>
          <w:color w:val="auto"/>
          <w:szCs w:val="24"/>
          <w:lang w:val="sr-Cyrl-CS"/>
        </w:rPr>
      </w:pPr>
      <w:r>
        <w:rPr>
          <w:rFonts w:ascii="Times New Roman" w:hAnsi="Times New Roman"/>
          <w:bCs/>
          <w:color w:val="auto"/>
          <w:szCs w:val="24"/>
          <w:lang w:val="sr-Cyrl-CS"/>
        </w:rPr>
        <w:t>I</w:t>
      </w:r>
      <w:r w:rsidR="009121F9">
        <w:rPr>
          <w:rFonts w:ascii="Times New Roman" w:hAnsi="Times New Roman"/>
          <w:bCs/>
          <w:color w:val="auto"/>
          <w:szCs w:val="24"/>
          <w:lang w:val="sr-Cyrl-CS"/>
        </w:rPr>
        <w:t>II</w:t>
      </w:r>
      <w:r>
        <w:rPr>
          <w:rFonts w:ascii="Times New Roman" w:hAnsi="Times New Roman"/>
          <w:bCs/>
          <w:color w:val="auto"/>
          <w:szCs w:val="24"/>
          <w:lang w:val="sr-Cyrl-CS"/>
        </w:rPr>
        <w:t>.</w:t>
      </w:r>
      <w:r>
        <w:rPr>
          <w:rFonts w:ascii="Times New Roman" w:hAnsi="Times New Roman"/>
          <w:bCs/>
          <w:color w:val="auto"/>
          <w:szCs w:val="24"/>
          <w:lang w:val="sr-Cyrl-CS"/>
        </w:rPr>
        <w:tab/>
        <w:t xml:space="preserve"> </w:t>
      </w:r>
      <w:r w:rsidR="00CF4EB1" w:rsidRPr="008B3155">
        <w:rPr>
          <w:rFonts w:ascii="Times New Roman" w:hAnsi="Times New Roman"/>
          <w:color w:val="auto"/>
          <w:szCs w:val="24"/>
          <w:lang w:val="sr-Cyrl-CS"/>
        </w:rPr>
        <w:t xml:space="preserve">ФИНАНСИЈСКЕ ОБАВЕЗЕ И ПРОЦЕНА ФИНАНСИЈСКИХ СРЕДСТАВА КОЈА НАСТАЈУ ИЗВРШАВАЊЕМ ЗАКОНА    </w:t>
      </w:r>
      <w:r w:rsidR="00CF4EB1" w:rsidRPr="008B3155">
        <w:rPr>
          <w:rFonts w:ascii="Times New Roman" w:hAnsi="Times New Roman"/>
          <w:color w:val="auto"/>
          <w:szCs w:val="24"/>
          <w:lang w:val="sr-Cyrl-CS"/>
        </w:rPr>
        <w:tab/>
        <w:t xml:space="preserve"> </w:t>
      </w:r>
    </w:p>
    <w:p w:rsidR="00CF4EB1" w:rsidRPr="008B3155" w:rsidRDefault="00CF4EB1" w:rsidP="00CF4EB1">
      <w:pPr>
        <w:ind w:firstLine="720"/>
        <w:jc w:val="both"/>
        <w:rPr>
          <w:rFonts w:ascii="Times New Roman" w:hAnsi="Times New Roman"/>
          <w:b/>
          <w:bCs/>
          <w:szCs w:val="24"/>
          <w:lang w:val="sr-Cyrl-CS"/>
        </w:rPr>
      </w:pPr>
    </w:p>
    <w:p w:rsidR="00CF4EB1" w:rsidRPr="008B3155" w:rsidRDefault="00CF4EB1" w:rsidP="00CF4EB1">
      <w:pPr>
        <w:jc w:val="both"/>
        <w:rPr>
          <w:rFonts w:ascii="Times New Roman" w:hAnsi="Times New Roman"/>
          <w:szCs w:val="24"/>
          <w:lang w:val="sr-Cyrl-CS"/>
        </w:rPr>
      </w:pPr>
      <w:r w:rsidRPr="008B3155">
        <w:rPr>
          <w:rFonts w:ascii="Times New Roman" w:hAnsi="Times New Roman"/>
          <w:szCs w:val="24"/>
          <w:lang w:val="sr-Cyrl-CS"/>
        </w:rPr>
        <w:t xml:space="preserve"> </w:t>
      </w:r>
      <w:r w:rsidRPr="008B3155">
        <w:rPr>
          <w:rFonts w:ascii="Times New Roman" w:hAnsi="Times New Roman"/>
          <w:szCs w:val="24"/>
          <w:lang w:val="sr-Cyrl-CS"/>
        </w:rPr>
        <w:tab/>
        <w:t xml:space="preserve">За спровођење овог закона обезбеђиваће се средства у буџету Републике Србије. </w:t>
      </w:r>
    </w:p>
    <w:p w:rsidR="0014452F" w:rsidRPr="008B3155" w:rsidRDefault="0014452F" w:rsidP="0014452F">
      <w:pPr>
        <w:ind w:firstLine="720"/>
        <w:jc w:val="both"/>
        <w:rPr>
          <w:rFonts w:ascii="Times New Roman" w:hAnsi="Times New Roman"/>
          <w:szCs w:val="24"/>
          <w:lang w:val="sr-Cyrl-CS"/>
        </w:rPr>
      </w:pPr>
    </w:p>
    <w:sectPr w:rsidR="0014452F" w:rsidRPr="008B3155" w:rsidSect="00D227ED">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13" w:h="16834" w:code="9"/>
      <w:pgMar w:top="426" w:right="1411" w:bottom="993" w:left="1699" w:header="850" w:footer="36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E7A" w:rsidRDefault="00251E7A" w:rsidP="00E65142">
      <w:pPr>
        <w:spacing w:line="240" w:lineRule="auto"/>
      </w:pPr>
      <w:r>
        <w:separator/>
      </w:r>
    </w:p>
  </w:endnote>
  <w:endnote w:type="continuationSeparator" w:id="0">
    <w:p w:rsidR="00251E7A" w:rsidRDefault="00251E7A" w:rsidP="00E651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9E0" w:rsidRDefault="00B609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9E0" w:rsidRDefault="00B609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EC3" w:rsidRDefault="00251E7A">
    <w:pPr>
      <w:pStyle w:val="Footer"/>
      <w:jc w:val="center"/>
    </w:pPr>
  </w:p>
  <w:p w:rsidR="00384EC3" w:rsidRDefault="00251E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E7A" w:rsidRDefault="00251E7A" w:rsidP="00E65142">
      <w:pPr>
        <w:spacing w:line="240" w:lineRule="auto"/>
      </w:pPr>
      <w:r>
        <w:separator/>
      </w:r>
    </w:p>
  </w:footnote>
  <w:footnote w:type="continuationSeparator" w:id="0">
    <w:p w:rsidR="00251E7A" w:rsidRDefault="00251E7A" w:rsidP="00E6514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9E0" w:rsidRDefault="00B609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9770725"/>
      <w:docPartObj>
        <w:docPartGallery w:val="Page Numbers (Top of Page)"/>
        <w:docPartUnique/>
      </w:docPartObj>
    </w:sdtPr>
    <w:sdtEndPr>
      <w:rPr>
        <w:rFonts w:ascii="Times New Roman" w:hAnsi="Times New Roman"/>
      </w:rPr>
    </w:sdtEndPr>
    <w:sdtContent>
      <w:p w:rsidR="00133D2F" w:rsidRPr="00B609E0" w:rsidRDefault="00AA4A42">
        <w:pPr>
          <w:pStyle w:val="Header"/>
          <w:jc w:val="center"/>
          <w:rPr>
            <w:rFonts w:ascii="Times New Roman" w:hAnsi="Times New Roman"/>
          </w:rPr>
        </w:pPr>
        <w:r w:rsidRPr="00B609E0">
          <w:rPr>
            <w:rFonts w:ascii="Times New Roman" w:hAnsi="Times New Roman"/>
          </w:rPr>
          <w:fldChar w:fldCharType="begin"/>
        </w:r>
        <w:r w:rsidR="002258F5" w:rsidRPr="00B609E0">
          <w:rPr>
            <w:rFonts w:ascii="Times New Roman" w:hAnsi="Times New Roman"/>
          </w:rPr>
          <w:instrText xml:space="preserve"> PAGE   \* MERGEFORMAT </w:instrText>
        </w:r>
        <w:r w:rsidRPr="00B609E0">
          <w:rPr>
            <w:rFonts w:ascii="Times New Roman" w:hAnsi="Times New Roman"/>
          </w:rPr>
          <w:fldChar w:fldCharType="separate"/>
        </w:r>
        <w:r w:rsidR="00BF077C">
          <w:rPr>
            <w:rFonts w:ascii="Times New Roman" w:hAnsi="Times New Roman"/>
            <w:noProof/>
          </w:rPr>
          <w:t>5</w:t>
        </w:r>
        <w:r w:rsidRPr="00B609E0">
          <w:rPr>
            <w:rFonts w:ascii="Times New Roman" w:hAnsi="Times New Roman"/>
            <w:noProof/>
          </w:rPr>
          <w:fldChar w:fldCharType="end"/>
        </w:r>
      </w:p>
    </w:sdtContent>
  </w:sdt>
  <w:p w:rsidR="00384EC3" w:rsidRPr="00E12214" w:rsidRDefault="00251E7A" w:rsidP="00F56649">
    <w:pPr>
      <w:pStyle w:val="Header"/>
      <w:spacing w:after="480" w:line="240" w:lineRule="auto"/>
      <w:ind w:left="360"/>
      <w:jc w:val="center"/>
      <w:rPr>
        <w:color w:val="000000"/>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EC3" w:rsidRDefault="00251E7A" w:rsidP="0098438F">
    <w:pPr>
      <w:tabs>
        <w:tab w:val="right" w:pos="8789"/>
      </w:tabs>
      <w:spacing w:line="240" w:lineRule="auto"/>
      <w:rPr>
        <w:b/>
        <w:vanish/>
        <w:sz w:val="22"/>
        <w:szCs w:val="22"/>
        <w:u w:val="single"/>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CF3C41"/>
    <w:multiLevelType w:val="hybridMultilevel"/>
    <w:tmpl w:val="24AE975C"/>
    <w:lvl w:ilvl="0" w:tplc="9B047446">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nsid w:val="3B346AC2"/>
    <w:multiLevelType w:val="hybridMultilevel"/>
    <w:tmpl w:val="D5B4DACA"/>
    <w:lvl w:ilvl="0" w:tplc="20E2DFFA">
      <w:numFmt w:val="bullet"/>
      <w:lvlText w:val="-"/>
      <w:lvlJc w:val="left"/>
      <w:pPr>
        <w:ind w:left="2035" w:hanging="360"/>
      </w:pPr>
      <w:rPr>
        <w:rFonts w:ascii="Times New Roman" w:eastAsia="Calibri" w:hAnsi="Times New Roman" w:cs="Times New Roman" w:hint="default"/>
      </w:rPr>
    </w:lvl>
    <w:lvl w:ilvl="1" w:tplc="241A0003">
      <w:start w:val="1"/>
      <w:numFmt w:val="bullet"/>
      <w:lvlText w:val="o"/>
      <w:lvlJc w:val="left"/>
      <w:pPr>
        <w:ind w:left="2755" w:hanging="360"/>
      </w:pPr>
      <w:rPr>
        <w:rFonts w:ascii="Courier New" w:hAnsi="Courier New" w:cs="Courier New" w:hint="default"/>
      </w:rPr>
    </w:lvl>
    <w:lvl w:ilvl="2" w:tplc="241A0005">
      <w:start w:val="1"/>
      <w:numFmt w:val="bullet"/>
      <w:lvlText w:val=""/>
      <w:lvlJc w:val="left"/>
      <w:pPr>
        <w:ind w:left="3475" w:hanging="360"/>
      </w:pPr>
      <w:rPr>
        <w:rFonts w:ascii="Wingdings" w:hAnsi="Wingdings" w:hint="default"/>
      </w:rPr>
    </w:lvl>
    <w:lvl w:ilvl="3" w:tplc="241A0001">
      <w:start w:val="1"/>
      <w:numFmt w:val="bullet"/>
      <w:lvlText w:val=""/>
      <w:lvlJc w:val="left"/>
      <w:pPr>
        <w:ind w:left="4195" w:hanging="360"/>
      </w:pPr>
      <w:rPr>
        <w:rFonts w:ascii="Symbol" w:hAnsi="Symbol" w:hint="default"/>
      </w:rPr>
    </w:lvl>
    <w:lvl w:ilvl="4" w:tplc="241A0003">
      <w:start w:val="1"/>
      <w:numFmt w:val="bullet"/>
      <w:lvlText w:val="o"/>
      <w:lvlJc w:val="left"/>
      <w:pPr>
        <w:ind w:left="4915" w:hanging="360"/>
      </w:pPr>
      <w:rPr>
        <w:rFonts w:ascii="Courier New" w:hAnsi="Courier New" w:cs="Courier New" w:hint="default"/>
      </w:rPr>
    </w:lvl>
    <w:lvl w:ilvl="5" w:tplc="241A0005">
      <w:start w:val="1"/>
      <w:numFmt w:val="bullet"/>
      <w:lvlText w:val=""/>
      <w:lvlJc w:val="left"/>
      <w:pPr>
        <w:ind w:left="5635" w:hanging="360"/>
      </w:pPr>
      <w:rPr>
        <w:rFonts w:ascii="Wingdings" w:hAnsi="Wingdings" w:hint="default"/>
      </w:rPr>
    </w:lvl>
    <w:lvl w:ilvl="6" w:tplc="241A0001">
      <w:start w:val="1"/>
      <w:numFmt w:val="bullet"/>
      <w:lvlText w:val=""/>
      <w:lvlJc w:val="left"/>
      <w:pPr>
        <w:ind w:left="6355" w:hanging="360"/>
      </w:pPr>
      <w:rPr>
        <w:rFonts w:ascii="Symbol" w:hAnsi="Symbol" w:hint="default"/>
      </w:rPr>
    </w:lvl>
    <w:lvl w:ilvl="7" w:tplc="241A0003">
      <w:start w:val="1"/>
      <w:numFmt w:val="bullet"/>
      <w:lvlText w:val="o"/>
      <w:lvlJc w:val="left"/>
      <w:pPr>
        <w:ind w:left="7075" w:hanging="360"/>
      </w:pPr>
      <w:rPr>
        <w:rFonts w:ascii="Courier New" w:hAnsi="Courier New" w:cs="Courier New" w:hint="default"/>
      </w:rPr>
    </w:lvl>
    <w:lvl w:ilvl="8" w:tplc="241A0005">
      <w:start w:val="1"/>
      <w:numFmt w:val="bullet"/>
      <w:lvlText w:val=""/>
      <w:lvlJc w:val="left"/>
      <w:pPr>
        <w:ind w:left="779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EB1"/>
    <w:rsid w:val="00004F42"/>
    <w:rsid w:val="00032215"/>
    <w:rsid w:val="0004638A"/>
    <w:rsid w:val="0008575A"/>
    <w:rsid w:val="000B5708"/>
    <w:rsid w:val="000E6CFA"/>
    <w:rsid w:val="000F5A42"/>
    <w:rsid w:val="000F6DD4"/>
    <w:rsid w:val="00105078"/>
    <w:rsid w:val="00111F24"/>
    <w:rsid w:val="00114E85"/>
    <w:rsid w:val="00126B03"/>
    <w:rsid w:val="00133D2F"/>
    <w:rsid w:val="00141403"/>
    <w:rsid w:val="0014452F"/>
    <w:rsid w:val="00170734"/>
    <w:rsid w:val="00187CCB"/>
    <w:rsid w:val="001E7341"/>
    <w:rsid w:val="001F4552"/>
    <w:rsid w:val="002258F5"/>
    <w:rsid w:val="002458EF"/>
    <w:rsid w:val="00251E7A"/>
    <w:rsid w:val="00254CC1"/>
    <w:rsid w:val="00275893"/>
    <w:rsid w:val="002A4CC3"/>
    <w:rsid w:val="002F3D61"/>
    <w:rsid w:val="002F4319"/>
    <w:rsid w:val="00311F46"/>
    <w:rsid w:val="00315E98"/>
    <w:rsid w:val="003451B8"/>
    <w:rsid w:val="00352106"/>
    <w:rsid w:val="003612D3"/>
    <w:rsid w:val="003625EB"/>
    <w:rsid w:val="00385DA7"/>
    <w:rsid w:val="003B4BA2"/>
    <w:rsid w:val="003C234D"/>
    <w:rsid w:val="003E1349"/>
    <w:rsid w:val="003E1D94"/>
    <w:rsid w:val="00401255"/>
    <w:rsid w:val="004140B1"/>
    <w:rsid w:val="004562F9"/>
    <w:rsid w:val="004662EA"/>
    <w:rsid w:val="004673B9"/>
    <w:rsid w:val="004734D9"/>
    <w:rsid w:val="00492098"/>
    <w:rsid w:val="004969A5"/>
    <w:rsid w:val="004B0D47"/>
    <w:rsid w:val="004B2455"/>
    <w:rsid w:val="004C67E8"/>
    <w:rsid w:val="004E462B"/>
    <w:rsid w:val="004F6F5B"/>
    <w:rsid w:val="00505EC1"/>
    <w:rsid w:val="00513EC9"/>
    <w:rsid w:val="00517EA5"/>
    <w:rsid w:val="00525C0E"/>
    <w:rsid w:val="00537F21"/>
    <w:rsid w:val="00540D90"/>
    <w:rsid w:val="0054220E"/>
    <w:rsid w:val="005540D5"/>
    <w:rsid w:val="005576B0"/>
    <w:rsid w:val="00561B4F"/>
    <w:rsid w:val="005B62C6"/>
    <w:rsid w:val="005C022D"/>
    <w:rsid w:val="00600C7B"/>
    <w:rsid w:val="00631806"/>
    <w:rsid w:val="00633327"/>
    <w:rsid w:val="0063383A"/>
    <w:rsid w:val="00677955"/>
    <w:rsid w:val="006B7B1C"/>
    <w:rsid w:val="006C1417"/>
    <w:rsid w:val="006C197E"/>
    <w:rsid w:val="006C6514"/>
    <w:rsid w:val="006E09A5"/>
    <w:rsid w:val="006F5E5A"/>
    <w:rsid w:val="007016DD"/>
    <w:rsid w:val="007068CE"/>
    <w:rsid w:val="0072685A"/>
    <w:rsid w:val="00740D5F"/>
    <w:rsid w:val="0074774E"/>
    <w:rsid w:val="007C3BC8"/>
    <w:rsid w:val="007C3CB4"/>
    <w:rsid w:val="00804F8A"/>
    <w:rsid w:val="00824A02"/>
    <w:rsid w:val="00825352"/>
    <w:rsid w:val="008366C0"/>
    <w:rsid w:val="00840200"/>
    <w:rsid w:val="00847B00"/>
    <w:rsid w:val="00877F65"/>
    <w:rsid w:val="00886370"/>
    <w:rsid w:val="008967A7"/>
    <w:rsid w:val="008B3155"/>
    <w:rsid w:val="008B7526"/>
    <w:rsid w:val="008C349A"/>
    <w:rsid w:val="008C534B"/>
    <w:rsid w:val="008D21B9"/>
    <w:rsid w:val="008D499B"/>
    <w:rsid w:val="008E1154"/>
    <w:rsid w:val="008E2417"/>
    <w:rsid w:val="008E7317"/>
    <w:rsid w:val="008F5D1A"/>
    <w:rsid w:val="0090120A"/>
    <w:rsid w:val="009056A1"/>
    <w:rsid w:val="009121F9"/>
    <w:rsid w:val="0092470E"/>
    <w:rsid w:val="00933095"/>
    <w:rsid w:val="00945A5B"/>
    <w:rsid w:val="00945C29"/>
    <w:rsid w:val="009544E6"/>
    <w:rsid w:val="00963621"/>
    <w:rsid w:val="009A4FBA"/>
    <w:rsid w:val="00A112BA"/>
    <w:rsid w:val="00A67625"/>
    <w:rsid w:val="00A75CCC"/>
    <w:rsid w:val="00AA4A42"/>
    <w:rsid w:val="00AA6051"/>
    <w:rsid w:val="00AA605A"/>
    <w:rsid w:val="00B0351F"/>
    <w:rsid w:val="00B06225"/>
    <w:rsid w:val="00B16010"/>
    <w:rsid w:val="00B17E1A"/>
    <w:rsid w:val="00B25464"/>
    <w:rsid w:val="00B609E0"/>
    <w:rsid w:val="00B91557"/>
    <w:rsid w:val="00BF077C"/>
    <w:rsid w:val="00BF508C"/>
    <w:rsid w:val="00C03A02"/>
    <w:rsid w:val="00C12FE0"/>
    <w:rsid w:val="00C13BBB"/>
    <w:rsid w:val="00C26BE4"/>
    <w:rsid w:val="00C61643"/>
    <w:rsid w:val="00C64833"/>
    <w:rsid w:val="00C72384"/>
    <w:rsid w:val="00C80F55"/>
    <w:rsid w:val="00C82CE7"/>
    <w:rsid w:val="00C938F9"/>
    <w:rsid w:val="00CA038F"/>
    <w:rsid w:val="00CA1E6B"/>
    <w:rsid w:val="00CA3AA7"/>
    <w:rsid w:val="00CB5B6B"/>
    <w:rsid w:val="00CC2B6C"/>
    <w:rsid w:val="00CC3A26"/>
    <w:rsid w:val="00CF4EB1"/>
    <w:rsid w:val="00D15EA4"/>
    <w:rsid w:val="00D16F19"/>
    <w:rsid w:val="00D227ED"/>
    <w:rsid w:val="00D243BD"/>
    <w:rsid w:val="00D31C40"/>
    <w:rsid w:val="00D34928"/>
    <w:rsid w:val="00D51FED"/>
    <w:rsid w:val="00D60BC1"/>
    <w:rsid w:val="00D613BE"/>
    <w:rsid w:val="00D955B4"/>
    <w:rsid w:val="00DB2C5A"/>
    <w:rsid w:val="00DE1C18"/>
    <w:rsid w:val="00DF3578"/>
    <w:rsid w:val="00E012B8"/>
    <w:rsid w:val="00E21607"/>
    <w:rsid w:val="00E52B2A"/>
    <w:rsid w:val="00E56329"/>
    <w:rsid w:val="00E65142"/>
    <w:rsid w:val="00E65F41"/>
    <w:rsid w:val="00E739DA"/>
    <w:rsid w:val="00E7712E"/>
    <w:rsid w:val="00E81738"/>
    <w:rsid w:val="00E87A96"/>
    <w:rsid w:val="00E934B0"/>
    <w:rsid w:val="00E93A79"/>
    <w:rsid w:val="00EC02EF"/>
    <w:rsid w:val="00EC57EE"/>
    <w:rsid w:val="00EE65A6"/>
    <w:rsid w:val="00F12FAA"/>
    <w:rsid w:val="00F228BF"/>
    <w:rsid w:val="00F25316"/>
    <w:rsid w:val="00F347E6"/>
    <w:rsid w:val="00F539F5"/>
    <w:rsid w:val="00F7544C"/>
    <w:rsid w:val="00FC6B24"/>
    <w:rsid w:val="00FD154F"/>
    <w:rsid w:val="00FE4FF0"/>
    <w:rsid w:val="00FF54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EB1"/>
    <w:pPr>
      <w:spacing w:after="0" w:line="312" w:lineRule="exact"/>
    </w:pPr>
    <w:rPr>
      <w:rFonts w:ascii="Arial" w:eastAsia="Times New Roman" w:hAnsi="Arial" w:cs="Times New Roman"/>
      <w:sz w:val="24"/>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F4EB1"/>
    <w:rPr>
      <w:sz w:val="16"/>
    </w:rPr>
  </w:style>
  <w:style w:type="character" w:customStyle="1" w:styleId="FooterChar">
    <w:name w:val="Footer Char"/>
    <w:basedOn w:val="DefaultParagraphFont"/>
    <w:link w:val="Footer"/>
    <w:rsid w:val="00CF4EB1"/>
    <w:rPr>
      <w:rFonts w:ascii="Arial" w:eastAsia="Times New Roman" w:hAnsi="Arial" w:cs="Times New Roman"/>
      <w:sz w:val="16"/>
      <w:szCs w:val="20"/>
      <w:lang w:val="de-DE" w:eastAsia="de-DE"/>
    </w:rPr>
  </w:style>
  <w:style w:type="paragraph" w:styleId="Header">
    <w:name w:val="header"/>
    <w:basedOn w:val="Normal"/>
    <w:link w:val="HeaderChar"/>
    <w:uiPriority w:val="99"/>
    <w:rsid w:val="00CF4EB1"/>
  </w:style>
  <w:style w:type="character" w:customStyle="1" w:styleId="HeaderChar">
    <w:name w:val="Header Char"/>
    <w:basedOn w:val="DefaultParagraphFont"/>
    <w:link w:val="Header"/>
    <w:uiPriority w:val="99"/>
    <w:rsid w:val="00CF4EB1"/>
    <w:rPr>
      <w:rFonts w:ascii="Arial" w:eastAsia="Times New Roman" w:hAnsi="Arial" w:cs="Times New Roman"/>
      <w:sz w:val="24"/>
      <w:szCs w:val="20"/>
      <w:lang w:val="de-DE" w:eastAsia="de-DE"/>
    </w:rPr>
  </w:style>
  <w:style w:type="paragraph" w:styleId="BodyText">
    <w:name w:val="Body Text"/>
    <w:basedOn w:val="Normal"/>
    <w:link w:val="BodyTextChar"/>
    <w:rsid w:val="00CF4EB1"/>
    <w:pPr>
      <w:tabs>
        <w:tab w:val="left" w:pos="570"/>
        <w:tab w:val="left" w:pos="1150"/>
        <w:tab w:val="left" w:pos="4890"/>
        <w:tab w:val="left" w:pos="6330"/>
      </w:tabs>
      <w:spacing w:line="360" w:lineRule="atLeast"/>
      <w:ind w:right="-6"/>
      <w:jc w:val="both"/>
    </w:pPr>
    <w:rPr>
      <w:color w:val="0000FF"/>
    </w:rPr>
  </w:style>
  <w:style w:type="character" w:customStyle="1" w:styleId="BodyTextChar">
    <w:name w:val="Body Text Char"/>
    <w:basedOn w:val="DefaultParagraphFont"/>
    <w:link w:val="BodyText"/>
    <w:rsid w:val="00CF4EB1"/>
    <w:rPr>
      <w:rFonts w:ascii="Arial" w:eastAsia="Times New Roman" w:hAnsi="Arial" w:cs="Times New Roman"/>
      <w:color w:val="0000FF"/>
      <w:sz w:val="24"/>
      <w:szCs w:val="20"/>
      <w:lang w:val="de-DE" w:eastAsia="de-DE"/>
    </w:rPr>
  </w:style>
  <w:style w:type="paragraph" w:styleId="FootnoteText">
    <w:name w:val="footnote text"/>
    <w:basedOn w:val="Normal"/>
    <w:link w:val="FootnoteTextChar"/>
    <w:uiPriority w:val="99"/>
    <w:semiHidden/>
    <w:unhideWhenUsed/>
    <w:rsid w:val="005C022D"/>
    <w:pPr>
      <w:spacing w:line="240" w:lineRule="auto"/>
    </w:pPr>
    <w:rPr>
      <w:rFonts w:ascii="Times New Roman" w:hAnsi="Times New Roman"/>
      <w:sz w:val="20"/>
      <w:lang w:val="en-US" w:eastAsia="en-US"/>
    </w:rPr>
  </w:style>
  <w:style w:type="character" w:customStyle="1" w:styleId="FootnoteTextChar">
    <w:name w:val="Footnote Text Char"/>
    <w:basedOn w:val="DefaultParagraphFont"/>
    <w:link w:val="FootnoteText"/>
    <w:uiPriority w:val="99"/>
    <w:semiHidden/>
    <w:rsid w:val="005C022D"/>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C022D"/>
    <w:rPr>
      <w:vertAlign w:val="superscript"/>
    </w:rPr>
  </w:style>
  <w:style w:type="paragraph" w:styleId="BalloonText">
    <w:name w:val="Balloon Text"/>
    <w:basedOn w:val="Normal"/>
    <w:link w:val="BalloonTextChar"/>
    <w:uiPriority w:val="99"/>
    <w:semiHidden/>
    <w:unhideWhenUsed/>
    <w:rsid w:val="004B0D4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0D47"/>
    <w:rPr>
      <w:rFonts w:ascii="Segoe UI" w:eastAsia="Times New Roman" w:hAnsi="Segoe UI" w:cs="Segoe UI"/>
      <w:sz w:val="18"/>
      <w:szCs w:val="18"/>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EB1"/>
    <w:pPr>
      <w:spacing w:after="0" w:line="312" w:lineRule="exact"/>
    </w:pPr>
    <w:rPr>
      <w:rFonts w:ascii="Arial" w:eastAsia="Times New Roman" w:hAnsi="Arial" w:cs="Times New Roman"/>
      <w:sz w:val="24"/>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F4EB1"/>
    <w:rPr>
      <w:sz w:val="16"/>
    </w:rPr>
  </w:style>
  <w:style w:type="character" w:customStyle="1" w:styleId="FooterChar">
    <w:name w:val="Footer Char"/>
    <w:basedOn w:val="DefaultParagraphFont"/>
    <w:link w:val="Footer"/>
    <w:rsid w:val="00CF4EB1"/>
    <w:rPr>
      <w:rFonts w:ascii="Arial" w:eastAsia="Times New Roman" w:hAnsi="Arial" w:cs="Times New Roman"/>
      <w:sz w:val="16"/>
      <w:szCs w:val="20"/>
      <w:lang w:val="de-DE" w:eastAsia="de-DE"/>
    </w:rPr>
  </w:style>
  <w:style w:type="paragraph" w:styleId="Header">
    <w:name w:val="header"/>
    <w:basedOn w:val="Normal"/>
    <w:link w:val="HeaderChar"/>
    <w:uiPriority w:val="99"/>
    <w:rsid w:val="00CF4EB1"/>
  </w:style>
  <w:style w:type="character" w:customStyle="1" w:styleId="HeaderChar">
    <w:name w:val="Header Char"/>
    <w:basedOn w:val="DefaultParagraphFont"/>
    <w:link w:val="Header"/>
    <w:uiPriority w:val="99"/>
    <w:rsid w:val="00CF4EB1"/>
    <w:rPr>
      <w:rFonts w:ascii="Arial" w:eastAsia="Times New Roman" w:hAnsi="Arial" w:cs="Times New Roman"/>
      <w:sz w:val="24"/>
      <w:szCs w:val="20"/>
      <w:lang w:val="de-DE" w:eastAsia="de-DE"/>
    </w:rPr>
  </w:style>
  <w:style w:type="paragraph" w:styleId="BodyText">
    <w:name w:val="Body Text"/>
    <w:basedOn w:val="Normal"/>
    <w:link w:val="BodyTextChar"/>
    <w:rsid w:val="00CF4EB1"/>
    <w:pPr>
      <w:tabs>
        <w:tab w:val="left" w:pos="570"/>
        <w:tab w:val="left" w:pos="1150"/>
        <w:tab w:val="left" w:pos="4890"/>
        <w:tab w:val="left" w:pos="6330"/>
      </w:tabs>
      <w:spacing w:line="360" w:lineRule="atLeast"/>
      <w:ind w:right="-6"/>
      <w:jc w:val="both"/>
    </w:pPr>
    <w:rPr>
      <w:color w:val="0000FF"/>
    </w:rPr>
  </w:style>
  <w:style w:type="character" w:customStyle="1" w:styleId="BodyTextChar">
    <w:name w:val="Body Text Char"/>
    <w:basedOn w:val="DefaultParagraphFont"/>
    <w:link w:val="BodyText"/>
    <w:rsid w:val="00CF4EB1"/>
    <w:rPr>
      <w:rFonts w:ascii="Arial" w:eastAsia="Times New Roman" w:hAnsi="Arial" w:cs="Times New Roman"/>
      <w:color w:val="0000FF"/>
      <w:sz w:val="24"/>
      <w:szCs w:val="20"/>
      <w:lang w:val="de-DE" w:eastAsia="de-DE"/>
    </w:rPr>
  </w:style>
  <w:style w:type="paragraph" w:styleId="FootnoteText">
    <w:name w:val="footnote text"/>
    <w:basedOn w:val="Normal"/>
    <w:link w:val="FootnoteTextChar"/>
    <w:uiPriority w:val="99"/>
    <w:semiHidden/>
    <w:unhideWhenUsed/>
    <w:rsid w:val="005C022D"/>
    <w:pPr>
      <w:spacing w:line="240" w:lineRule="auto"/>
    </w:pPr>
    <w:rPr>
      <w:rFonts w:ascii="Times New Roman" w:hAnsi="Times New Roman"/>
      <w:sz w:val="20"/>
      <w:lang w:val="en-US" w:eastAsia="en-US"/>
    </w:rPr>
  </w:style>
  <w:style w:type="character" w:customStyle="1" w:styleId="FootnoteTextChar">
    <w:name w:val="Footnote Text Char"/>
    <w:basedOn w:val="DefaultParagraphFont"/>
    <w:link w:val="FootnoteText"/>
    <w:uiPriority w:val="99"/>
    <w:semiHidden/>
    <w:rsid w:val="005C022D"/>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C022D"/>
    <w:rPr>
      <w:vertAlign w:val="superscript"/>
    </w:rPr>
  </w:style>
  <w:style w:type="paragraph" w:styleId="BalloonText">
    <w:name w:val="Balloon Text"/>
    <w:basedOn w:val="Normal"/>
    <w:link w:val="BalloonTextChar"/>
    <w:uiPriority w:val="99"/>
    <w:semiHidden/>
    <w:unhideWhenUsed/>
    <w:rsid w:val="004B0D4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0D47"/>
    <w:rPr>
      <w:rFonts w:ascii="Segoe UI" w:eastAsia="Times New Roman" w:hAnsi="Segoe UI" w:cs="Segoe UI"/>
      <w:sz w:val="18"/>
      <w:szCs w:val="1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1967</Words>
  <Characters>11217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Sofija Hut</cp:lastModifiedBy>
  <cp:revision>2</cp:revision>
  <cp:lastPrinted>2020-11-03T12:47:00Z</cp:lastPrinted>
  <dcterms:created xsi:type="dcterms:W3CDTF">2020-11-09T07:45:00Z</dcterms:created>
  <dcterms:modified xsi:type="dcterms:W3CDTF">2020-11-09T07:45:00Z</dcterms:modified>
</cp:coreProperties>
</file>