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08A" w:rsidRDefault="0085408A" w:rsidP="0085408A">
      <w:pPr>
        <w:jc w:val="center"/>
        <w:rPr>
          <w:b/>
          <w:lang w:val="sr-Cyrl-RS"/>
        </w:rPr>
      </w:pPr>
      <w:r w:rsidRPr="00197582">
        <w:rPr>
          <w:b/>
          <w:lang w:val="sr-Cyrl-RS"/>
        </w:rPr>
        <w:t>О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Б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Р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А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З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Л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О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Ж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Е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Њ</w:t>
      </w:r>
      <w:r w:rsidR="00ED4A1F">
        <w:rPr>
          <w:b/>
          <w:lang w:val="sr-Cyrl-RS"/>
        </w:rPr>
        <w:t xml:space="preserve"> </w:t>
      </w:r>
      <w:r w:rsidRPr="00197582">
        <w:rPr>
          <w:b/>
          <w:lang w:val="sr-Cyrl-RS"/>
        </w:rPr>
        <w:t>Е</w:t>
      </w:r>
    </w:p>
    <w:p w:rsidR="004A0094" w:rsidRDefault="004A0094" w:rsidP="0085408A">
      <w:pPr>
        <w:jc w:val="center"/>
        <w:rPr>
          <w:b/>
          <w:lang w:val="sr-Cyrl-RS"/>
        </w:rPr>
      </w:pPr>
    </w:p>
    <w:p w:rsidR="004A0094" w:rsidRDefault="004A0094" w:rsidP="0085408A">
      <w:pPr>
        <w:jc w:val="center"/>
        <w:rPr>
          <w:b/>
          <w:lang w:val="sr-Cyrl-RS"/>
        </w:rPr>
      </w:pPr>
    </w:p>
    <w:p w:rsidR="0085408A" w:rsidRDefault="0085408A" w:rsidP="0085408A">
      <w:pPr>
        <w:jc w:val="center"/>
        <w:rPr>
          <w:b/>
          <w:lang w:val="sr-Cyrl-RS"/>
        </w:rPr>
      </w:pPr>
    </w:p>
    <w:p w:rsidR="0085408A" w:rsidRPr="00197582" w:rsidRDefault="0085408A" w:rsidP="0085408A">
      <w:pPr>
        <w:numPr>
          <w:ilvl w:val="0"/>
          <w:numId w:val="1"/>
        </w:numPr>
        <w:jc w:val="both"/>
        <w:rPr>
          <w:b/>
          <w:lang w:val="sr-Latn-RS"/>
        </w:rPr>
      </w:pPr>
      <w:r>
        <w:rPr>
          <w:b/>
          <w:lang w:val="sr-Cyrl-RS"/>
        </w:rPr>
        <w:t>УСТАВНИ ОСНОВ</w:t>
      </w:r>
    </w:p>
    <w:p w:rsidR="0085408A" w:rsidRDefault="0085408A" w:rsidP="0085408A">
      <w:pPr>
        <w:jc w:val="both"/>
        <w:rPr>
          <w:b/>
          <w:lang w:val="sr-Cyrl-RS"/>
        </w:rPr>
      </w:pPr>
    </w:p>
    <w:p w:rsidR="0085408A" w:rsidRDefault="0040206A" w:rsidP="0040206A">
      <w:pPr>
        <w:tabs>
          <w:tab w:val="left" w:pos="1418"/>
        </w:tabs>
        <w:jc w:val="both"/>
        <w:rPr>
          <w:lang w:val="sr-Cyrl-RS"/>
        </w:rPr>
      </w:pPr>
      <w:r>
        <w:rPr>
          <w:lang w:val="sr-Cyrl-RS"/>
        </w:rPr>
        <w:tab/>
      </w:r>
      <w:r w:rsidR="0085408A" w:rsidRPr="002C61DB">
        <w:rPr>
          <w:lang w:val="sr-Cyrl-RS"/>
        </w:rPr>
        <w:t>Уставни основ за доношење Закона о потврђивању</w:t>
      </w:r>
      <w:r w:rsidR="0085408A">
        <w:rPr>
          <w:b/>
          <w:lang w:val="sr-Cyrl-RS"/>
        </w:rPr>
        <w:t xml:space="preserve"> </w:t>
      </w:r>
      <w:r w:rsidR="00DD7EB3">
        <w:t>Протокол</w:t>
      </w:r>
      <w:r w:rsidR="00DD7EB3">
        <w:rPr>
          <w:lang w:val="sr-Cyrl-RS"/>
        </w:rPr>
        <w:t>а</w:t>
      </w:r>
      <w:r w:rsidR="00DD7EB3">
        <w:t xml:space="preserve"> о одређивању тромеђне граничне тачке између Републике Србије, Црне Горе и Босне и Херцеговине</w:t>
      </w:r>
      <w:r w:rsidR="0085408A" w:rsidRPr="002C61DB">
        <w:t xml:space="preserve"> </w:t>
      </w:r>
      <w:r w:rsidR="0085408A">
        <w:rPr>
          <w:lang w:val="sr-Cyrl-RS"/>
        </w:rPr>
        <w:t>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</w:p>
    <w:p w:rsidR="0085408A" w:rsidRDefault="0085408A" w:rsidP="0085408A">
      <w:pPr>
        <w:ind w:left="360" w:firstLine="348"/>
        <w:jc w:val="both"/>
        <w:rPr>
          <w:b/>
          <w:lang w:val="sr-Cyrl-RS"/>
        </w:rPr>
      </w:pPr>
      <w:bookmarkStart w:id="0" w:name="_GoBack"/>
      <w:bookmarkEnd w:id="0"/>
    </w:p>
    <w:p w:rsidR="008C63E5" w:rsidRPr="002C61DB" w:rsidRDefault="008C63E5" w:rsidP="0085408A">
      <w:pPr>
        <w:ind w:left="360" w:firstLine="348"/>
        <w:jc w:val="both"/>
        <w:rPr>
          <w:b/>
          <w:lang w:val="sr-Cyrl-RS"/>
        </w:rPr>
      </w:pPr>
    </w:p>
    <w:p w:rsidR="0085408A" w:rsidRPr="002C61DB" w:rsidRDefault="0085408A" w:rsidP="0085408A">
      <w:pPr>
        <w:numPr>
          <w:ilvl w:val="0"/>
          <w:numId w:val="1"/>
        </w:numPr>
        <w:jc w:val="both"/>
        <w:rPr>
          <w:b/>
          <w:lang w:val="sr-Latn-RS"/>
        </w:rPr>
      </w:pPr>
      <w:r>
        <w:rPr>
          <w:b/>
          <w:lang w:val="sr-Cyrl-RS"/>
        </w:rPr>
        <w:t>РАЗЛОЗИ ЗБОГ КОЈИХ СЕ ПРЕДЛАЖЕ ПОТВРЂИВАЊЕ ПРОТОКОЛА</w:t>
      </w:r>
    </w:p>
    <w:p w:rsidR="0085408A" w:rsidRDefault="0085408A" w:rsidP="0085408A">
      <w:pPr>
        <w:jc w:val="both"/>
        <w:rPr>
          <w:b/>
          <w:lang w:val="sr-Cyrl-RS"/>
        </w:rPr>
      </w:pPr>
    </w:p>
    <w:p w:rsidR="0085408A" w:rsidRPr="009C18D0" w:rsidRDefault="0085408A" w:rsidP="0040206A">
      <w:pPr>
        <w:tabs>
          <w:tab w:val="left" w:pos="1418"/>
        </w:tabs>
        <w:jc w:val="both"/>
        <w:rPr>
          <w:lang w:val="sr-Cyrl-RS"/>
        </w:rPr>
      </w:pPr>
      <w:r>
        <w:rPr>
          <w:b/>
          <w:lang w:val="sr-Cyrl-RS"/>
        </w:rPr>
        <w:tab/>
      </w:r>
      <w:r w:rsidRPr="009C18D0">
        <w:rPr>
          <w:lang w:val="en-US"/>
        </w:rPr>
        <w:t xml:space="preserve">У </w:t>
      </w:r>
      <w:r>
        <w:rPr>
          <w:lang w:val="sr-Cyrl-RS"/>
        </w:rPr>
        <w:t>склопу приступних преговора Републике Србије са Европском унијом</w:t>
      </w:r>
      <w:r w:rsidRPr="009C18D0">
        <w:rPr>
          <w:lang w:val="en-US"/>
        </w:rPr>
        <w:t xml:space="preserve">, </w:t>
      </w:r>
      <w:proofErr w:type="spellStart"/>
      <w:r w:rsidRPr="009C18D0">
        <w:rPr>
          <w:lang w:val="en-US"/>
        </w:rPr>
        <w:t>неопходно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је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решити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сва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отворена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питања</w:t>
      </w:r>
      <w:proofErr w:type="spellEnd"/>
      <w:r w:rsidRPr="009C18D0">
        <w:rPr>
          <w:lang w:val="en-US"/>
        </w:rPr>
        <w:t xml:space="preserve"> у </w:t>
      </w:r>
      <w:proofErr w:type="spellStart"/>
      <w:r w:rsidRPr="009C18D0">
        <w:rPr>
          <w:lang w:val="en-US"/>
        </w:rPr>
        <w:t>вези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са</w:t>
      </w:r>
      <w:proofErr w:type="spellEnd"/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границама</w:t>
      </w:r>
      <w:proofErr w:type="spellEnd"/>
      <w:r w:rsidRPr="009C18D0">
        <w:rPr>
          <w:lang w:val="en-US"/>
        </w:rPr>
        <w:t xml:space="preserve"> (</w:t>
      </w:r>
      <w:proofErr w:type="spellStart"/>
      <w:r w:rsidRPr="009C18D0">
        <w:rPr>
          <w:lang w:val="en-US"/>
        </w:rPr>
        <w:t>Поглавље</w:t>
      </w:r>
      <w:proofErr w:type="spellEnd"/>
      <w:r w:rsidRPr="009C18D0">
        <w:rPr>
          <w:lang w:val="en-US"/>
        </w:rPr>
        <w:t xml:space="preserve"> 24 </w:t>
      </w:r>
      <w:r w:rsidR="00A25EDD" w:rsidRPr="00A25EDD">
        <w:rPr>
          <w:sz w:val="20"/>
          <w:szCs w:val="20"/>
          <w:lang w:val="en-US"/>
        </w:rPr>
        <w:t>–</w:t>
      </w:r>
      <w:r w:rsidRPr="009C18D0">
        <w:rPr>
          <w:lang w:val="en-US"/>
        </w:rPr>
        <w:t xml:space="preserve"> </w:t>
      </w:r>
      <w:proofErr w:type="spellStart"/>
      <w:r w:rsidRPr="009C18D0">
        <w:rPr>
          <w:lang w:val="en-US"/>
        </w:rPr>
        <w:t>Правда</w:t>
      </w:r>
      <w:proofErr w:type="spellEnd"/>
      <w:r w:rsidRPr="009C18D0">
        <w:rPr>
          <w:lang w:val="en-US"/>
        </w:rPr>
        <w:t xml:space="preserve">, </w:t>
      </w:r>
      <w:proofErr w:type="spellStart"/>
      <w:r w:rsidRPr="009C18D0">
        <w:rPr>
          <w:lang w:val="en-US"/>
        </w:rPr>
        <w:t>слободе</w:t>
      </w:r>
      <w:proofErr w:type="spellEnd"/>
      <w:r w:rsidRPr="009C18D0">
        <w:rPr>
          <w:lang w:val="en-US"/>
        </w:rPr>
        <w:t xml:space="preserve"> и </w:t>
      </w:r>
      <w:proofErr w:type="spellStart"/>
      <w:r w:rsidRPr="009C18D0">
        <w:rPr>
          <w:lang w:val="en-US"/>
        </w:rPr>
        <w:t>безбедност</w:t>
      </w:r>
      <w:proofErr w:type="spellEnd"/>
      <w:r w:rsidRPr="009C18D0">
        <w:rPr>
          <w:lang w:val="en-US"/>
        </w:rPr>
        <w:t>)</w:t>
      </w:r>
      <w:r>
        <w:rPr>
          <w:lang w:val="sr-Cyrl-RS"/>
        </w:rPr>
        <w:t>.</w:t>
      </w:r>
      <w:r w:rsidRPr="009C18D0">
        <w:rPr>
          <w:color w:val="000000"/>
          <w:spacing w:val="1"/>
          <w:lang w:val="sr-Cyrl-RS" w:eastAsia="en-US"/>
        </w:rPr>
        <w:t xml:space="preserve"> </w:t>
      </w:r>
      <w:r>
        <w:rPr>
          <w:color w:val="000000"/>
          <w:spacing w:val="1"/>
          <w:lang w:val="sr-Cyrl-RS" w:eastAsia="en-US"/>
        </w:rPr>
        <w:t xml:space="preserve">Одређивање тромеђне граничне тачке </w:t>
      </w:r>
      <w:r w:rsidRPr="009C18D0">
        <w:rPr>
          <w:lang w:val="sr-Cyrl-RS"/>
        </w:rPr>
        <w:t>је</w:t>
      </w:r>
      <w:r>
        <w:rPr>
          <w:lang w:val="sr-Cyrl-RS"/>
        </w:rPr>
        <w:t xml:space="preserve"> први корак у преговорима о утврђивању граничне линије</w:t>
      </w:r>
      <w:r w:rsidR="00A25EDD">
        <w:rPr>
          <w:lang w:val="sr-Cyrl-RS"/>
        </w:rPr>
        <w:t>,</w:t>
      </w:r>
      <w:r>
        <w:rPr>
          <w:lang w:val="sr-Cyrl-RS"/>
        </w:rPr>
        <w:t xml:space="preserve"> а Протокол о тромеђи</w:t>
      </w:r>
      <w:r w:rsidR="007C1F53">
        <w:rPr>
          <w:lang w:val="sr-Cyrl-RS"/>
        </w:rPr>
        <w:t xml:space="preserve"> је</w:t>
      </w:r>
      <w:r>
        <w:rPr>
          <w:lang w:val="sr-Cyrl-RS"/>
        </w:rPr>
        <w:t xml:space="preserve"> </w:t>
      </w:r>
      <w:r w:rsidRPr="009C18D0">
        <w:rPr>
          <w:lang w:val="sr-Cyrl-RS"/>
        </w:rPr>
        <w:t xml:space="preserve">посебан документ о државној </w:t>
      </w:r>
      <w:r>
        <w:rPr>
          <w:lang w:val="sr-Cyrl-RS"/>
        </w:rPr>
        <w:t>граници и саставни</w:t>
      </w:r>
      <w:r w:rsidRPr="009C18D0">
        <w:rPr>
          <w:lang w:val="sr-Cyrl-RS"/>
        </w:rPr>
        <w:t xml:space="preserve"> део граничне документације</w:t>
      </w:r>
      <w:r>
        <w:rPr>
          <w:lang w:val="sr-Cyrl-RS"/>
        </w:rPr>
        <w:t>. Закључивањем овог документа стварају се услови за наставак преговора  и решавања отвореног питања у вези са границама, односно унапређење билатералних односа са земљама потписницама.</w:t>
      </w:r>
    </w:p>
    <w:p w:rsidR="0085408A" w:rsidRDefault="0085408A" w:rsidP="0085408A">
      <w:pPr>
        <w:jc w:val="both"/>
        <w:rPr>
          <w:b/>
          <w:lang w:val="sr-Latn-RS"/>
        </w:rPr>
      </w:pPr>
    </w:p>
    <w:p w:rsidR="008C63E5" w:rsidRPr="00197582" w:rsidRDefault="008C63E5" w:rsidP="0085408A">
      <w:pPr>
        <w:jc w:val="both"/>
        <w:rPr>
          <w:b/>
          <w:lang w:val="sr-Latn-RS"/>
        </w:rPr>
      </w:pPr>
    </w:p>
    <w:p w:rsidR="0085408A" w:rsidRPr="00BE1316" w:rsidRDefault="00BE1316" w:rsidP="0085408A">
      <w:pPr>
        <w:numPr>
          <w:ilvl w:val="0"/>
          <w:numId w:val="1"/>
        </w:numPr>
        <w:jc w:val="both"/>
        <w:rPr>
          <w:b/>
          <w:lang w:val="sr-Cyrl-RS"/>
        </w:rPr>
      </w:pPr>
      <w:r w:rsidRPr="00BE1316">
        <w:rPr>
          <w:b/>
        </w:rPr>
        <w:t>СТВАРАЊЕ ФИНАНСИЈСКИХ ОБАВЕЗА ЗА РЕПУБЛИКУ СРБИЈУ</w:t>
      </w:r>
      <w:r w:rsidRPr="00BE1316">
        <w:t xml:space="preserve"> </w:t>
      </w:r>
      <w:r w:rsidRPr="00BE1316">
        <w:rPr>
          <w:b/>
        </w:rPr>
        <w:t>ИЗВРШАВАЊЕМ</w:t>
      </w:r>
      <w:r w:rsidRPr="00BE1316">
        <w:rPr>
          <w:b/>
          <w:lang w:val="sr-Cyrl-RS"/>
        </w:rPr>
        <w:t xml:space="preserve"> ПРОТОКОЛА </w:t>
      </w:r>
    </w:p>
    <w:p w:rsidR="00EF230F" w:rsidRDefault="00EF230F" w:rsidP="00EF230F">
      <w:pPr>
        <w:jc w:val="both"/>
        <w:rPr>
          <w:b/>
          <w:lang w:val="sr-Cyrl-RS"/>
        </w:rPr>
      </w:pPr>
    </w:p>
    <w:p w:rsidR="00EF230F" w:rsidRPr="00EF230F" w:rsidRDefault="00EF230F" w:rsidP="00EF230F">
      <w:pPr>
        <w:tabs>
          <w:tab w:val="left" w:pos="1276"/>
        </w:tabs>
        <w:jc w:val="both"/>
        <w:rPr>
          <w:lang w:val="sr-Latn-RS"/>
        </w:rPr>
      </w:pPr>
      <w:r>
        <w:rPr>
          <w:b/>
          <w:lang w:val="sr-Cyrl-RS"/>
        </w:rPr>
        <w:tab/>
      </w:r>
      <w:r>
        <w:rPr>
          <w:lang w:val="sr-Cyrl-RS"/>
        </w:rPr>
        <w:t xml:space="preserve">Извршавањем </w:t>
      </w:r>
      <w:r w:rsidR="00DA18F1">
        <w:t>Протокол</w:t>
      </w:r>
      <w:r w:rsidR="00DA18F1">
        <w:rPr>
          <w:lang w:val="sr-Cyrl-RS"/>
        </w:rPr>
        <w:t>а</w:t>
      </w:r>
      <w:r w:rsidR="00DA18F1">
        <w:t xml:space="preserve"> о одређивању тромеђне граничне тачке између Републике Србије, Црне Горе и Босне и Херцеговине</w:t>
      </w:r>
      <w:r>
        <w:rPr>
          <w:lang w:val="sr-Cyrl-RS"/>
        </w:rPr>
        <w:t xml:space="preserve"> не стварају се финансијске обавезе за Републику Србију</w:t>
      </w:r>
      <w:r w:rsidR="00DA18F1">
        <w:rPr>
          <w:lang w:val="sr-Cyrl-RS"/>
        </w:rPr>
        <w:t>, осим трошкова</w:t>
      </w:r>
      <w:r w:rsidR="0082355E">
        <w:rPr>
          <w:lang w:val="sr-Cyrl-RS"/>
        </w:rPr>
        <w:t xml:space="preserve"> путовања и трошкова</w:t>
      </w:r>
      <w:r w:rsidR="00DA18F1">
        <w:rPr>
          <w:lang w:val="sr-Cyrl-RS"/>
        </w:rPr>
        <w:t xml:space="preserve"> поста</w:t>
      </w:r>
      <w:r w:rsidR="008C63E5">
        <w:rPr>
          <w:lang w:val="sr-Cyrl-RS"/>
        </w:rPr>
        <w:t>вљања тромеђне граничне ознаке</w:t>
      </w:r>
      <w:r w:rsidR="00DA18F1">
        <w:rPr>
          <w:lang w:val="sr-Cyrl-RS"/>
        </w:rPr>
        <w:t xml:space="preserve"> које деле потписнице Протокола у подједнаком износу</w:t>
      </w:r>
      <w:r>
        <w:rPr>
          <w:lang w:val="sr-Cyrl-RS"/>
        </w:rPr>
        <w:t>.</w:t>
      </w:r>
    </w:p>
    <w:p w:rsidR="00A35384" w:rsidRDefault="00A35384" w:rsidP="00EF230F">
      <w:pPr>
        <w:jc w:val="both"/>
        <w:rPr>
          <w:b/>
          <w:lang w:val="sr-Latn-RS"/>
        </w:rPr>
      </w:pPr>
    </w:p>
    <w:p w:rsidR="008C63E5" w:rsidRPr="00197582" w:rsidRDefault="008C63E5" w:rsidP="00EF230F">
      <w:pPr>
        <w:jc w:val="both"/>
        <w:rPr>
          <w:b/>
          <w:lang w:val="sr-Latn-RS"/>
        </w:rPr>
      </w:pPr>
    </w:p>
    <w:p w:rsidR="00EF230F" w:rsidRPr="002C61DB" w:rsidRDefault="00EF230F" w:rsidP="00EF230F">
      <w:pPr>
        <w:numPr>
          <w:ilvl w:val="0"/>
          <w:numId w:val="1"/>
        </w:numPr>
        <w:jc w:val="both"/>
        <w:rPr>
          <w:b/>
          <w:lang w:val="sr-Latn-RS"/>
        </w:rPr>
      </w:pPr>
      <w:r>
        <w:rPr>
          <w:b/>
          <w:lang w:val="sr-Cyrl-RS"/>
        </w:rPr>
        <w:t>ПРОЦЕНА ПОТРЕБНИХ ФИНАНСИЈСКИХ СРЕДСТАВА ЗА ИЗВРШАВАЊЕ ПРОТОКОЛА</w:t>
      </w:r>
    </w:p>
    <w:p w:rsidR="0085408A" w:rsidRDefault="0085408A" w:rsidP="0085408A">
      <w:pPr>
        <w:ind w:left="360"/>
        <w:jc w:val="both"/>
        <w:rPr>
          <w:lang w:val="sr-Cyrl-RS"/>
        </w:rPr>
      </w:pPr>
    </w:p>
    <w:p w:rsidR="0085408A" w:rsidRDefault="0040206A" w:rsidP="0040206A">
      <w:pPr>
        <w:tabs>
          <w:tab w:val="left" w:pos="1418"/>
        </w:tabs>
        <w:jc w:val="both"/>
        <w:rPr>
          <w:lang w:val="sr-Cyrl-RS"/>
        </w:rPr>
      </w:pPr>
      <w:r>
        <w:rPr>
          <w:lang w:val="sr-Cyrl-RS"/>
        </w:rPr>
        <w:tab/>
      </w:r>
      <w:r w:rsidR="0085408A" w:rsidRPr="008F1916">
        <w:rPr>
          <w:rFonts w:hint="eastAsia"/>
          <w:lang w:val="sr-Cyrl-RS"/>
        </w:rPr>
        <w:t>Средства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неопходна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за</w:t>
      </w:r>
      <w:r w:rsidR="0085408A" w:rsidRPr="008F1916">
        <w:rPr>
          <w:lang w:val="sr-Cyrl-RS"/>
        </w:rPr>
        <w:t xml:space="preserve"> </w:t>
      </w:r>
      <w:r w:rsidR="0085408A">
        <w:rPr>
          <w:lang w:val="sr-Cyrl-RS"/>
        </w:rPr>
        <w:t xml:space="preserve">спровођење </w:t>
      </w:r>
      <w:r w:rsidR="00A3198C">
        <w:t>Протокол</w:t>
      </w:r>
      <w:r w:rsidR="00A3198C">
        <w:rPr>
          <w:lang w:val="sr-Cyrl-RS"/>
        </w:rPr>
        <w:t>а</w:t>
      </w:r>
      <w:r w:rsidR="00A3198C">
        <w:t xml:space="preserve"> о одређивању тромеђне граничне тачке између Републике Србије, Црне Горе и Босне и Херцеговине</w:t>
      </w:r>
      <w:r w:rsidR="00A25EDD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у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укупном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износу</w:t>
      </w:r>
      <w:r w:rsidR="0085408A" w:rsidRPr="008F1916">
        <w:rPr>
          <w:lang w:val="sr-Cyrl-RS"/>
        </w:rPr>
        <w:t xml:space="preserve"> </w:t>
      </w:r>
      <w:r w:rsidR="0085408A" w:rsidRPr="003D6907">
        <w:rPr>
          <w:rFonts w:hint="eastAsia"/>
          <w:lang w:val="sr-Cyrl-RS"/>
        </w:rPr>
        <w:t>од</w:t>
      </w:r>
      <w:r w:rsidR="0085408A" w:rsidRPr="003D6907">
        <w:rPr>
          <w:lang w:val="sr-Cyrl-RS"/>
        </w:rPr>
        <w:t xml:space="preserve"> </w:t>
      </w:r>
      <w:r w:rsidR="0085408A">
        <w:rPr>
          <w:lang w:val="sr-Cyrl-RS"/>
        </w:rPr>
        <w:t>202</w:t>
      </w:r>
      <w:r w:rsidR="0085408A" w:rsidRPr="007B042F">
        <w:rPr>
          <w:lang w:val="sr-Cyrl-RS"/>
        </w:rPr>
        <w:t>.000</w:t>
      </w:r>
      <w:r w:rsidR="00917F98">
        <w:rPr>
          <w:lang w:val="sr-Cyrl-RS"/>
        </w:rPr>
        <w:t>,00</w:t>
      </w:r>
      <w:r w:rsidR="0085408A" w:rsidRPr="003D6907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динара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обезбеђена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су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Законом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о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буџету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Републике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Србије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за</w:t>
      </w:r>
      <w:r w:rsidR="0085408A">
        <w:rPr>
          <w:lang w:val="sr-Cyrl-RS"/>
        </w:rPr>
        <w:t xml:space="preserve"> 2019</w:t>
      </w:r>
      <w:r w:rsidR="0085408A" w:rsidRPr="008F1916">
        <w:rPr>
          <w:lang w:val="sr-Cyrl-RS"/>
        </w:rPr>
        <w:t xml:space="preserve">. </w:t>
      </w:r>
      <w:r w:rsidR="0085408A" w:rsidRPr="008F1916">
        <w:rPr>
          <w:rFonts w:hint="eastAsia"/>
          <w:lang w:val="sr-Cyrl-RS"/>
        </w:rPr>
        <w:t>годину</w:t>
      </w:r>
      <w:r w:rsidR="0085408A" w:rsidRPr="008F1916">
        <w:rPr>
          <w:lang w:val="sr-Cyrl-RS"/>
        </w:rPr>
        <w:t xml:space="preserve"> („</w:t>
      </w:r>
      <w:r w:rsidR="0085408A" w:rsidRPr="008F1916">
        <w:rPr>
          <w:rFonts w:hint="eastAsia"/>
          <w:lang w:val="sr-Cyrl-RS"/>
        </w:rPr>
        <w:t>Службени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гласник</w:t>
      </w:r>
      <w:r w:rsidR="0085408A" w:rsidRPr="008F1916">
        <w:rPr>
          <w:lang w:val="sr-Cyrl-RS"/>
        </w:rPr>
        <w:t xml:space="preserve"> </w:t>
      </w:r>
      <w:r w:rsidR="0085408A" w:rsidRPr="008F1916">
        <w:rPr>
          <w:rFonts w:hint="eastAsia"/>
          <w:lang w:val="sr-Cyrl-RS"/>
        </w:rPr>
        <w:t>РС</w:t>
      </w:r>
      <w:r w:rsidR="00AA0256" w:rsidRPr="006C6EA7">
        <w:rPr>
          <w:bCs/>
          <w:color w:val="000000"/>
          <w:szCs w:val="20"/>
          <w:lang w:eastAsia="sr-Latn-CS"/>
        </w:rPr>
        <w:t>”</w:t>
      </w:r>
      <w:r w:rsidR="0085408A" w:rsidRPr="008F1916">
        <w:rPr>
          <w:lang w:val="sr-Cyrl-RS"/>
        </w:rPr>
        <w:t xml:space="preserve">, </w:t>
      </w:r>
      <w:r w:rsidR="0085408A" w:rsidRPr="008F1916">
        <w:rPr>
          <w:rFonts w:hint="eastAsia"/>
          <w:lang w:val="sr-Cyrl-RS"/>
        </w:rPr>
        <w:t>бр</w:t>
      </w:r>
      <w:r w:rsidR="00891D46">
        <w:rPr>
          <w:lang w:val="sr-Cyrl-RS"/>
        </w:rPr>
        <w:t>.</w:t>
      </w:r>
      <w:r w:rsidR="00AA0256">
        <w:rPr>
          <w:lang w:val="sr-Cyrl-RS"/>
        </w:rPr>
        <w:t xml:space="preserve"> 95/</w:t>
      </w:r>
      <w:r w:rsidR="0085408A">
        <w:rPr>
          <w:lang w:val="sr-Cyrl-RS"/>
        </w:rPr>
        <w:t>18</w:t>
      </w:r>
      <w:r w:rsidR="00891D46">
        <w:rPr>
          <w:lang w:val="sr-Cyrl-RS"/>
        </w:rPr>
        <w:t xml:space="preserve"> </w:t>
      </w:r>
      <w:r w:rsidR="0038009B">
        <w:rPr>
          <w:lang w:val="sr-Cyrl-RS"/>
        </w:rPr>
        <w:t>и</w:t>
      </w:r>
      <w:r w:rsidR="00891D46">
        <w:rPr>
          <w:lang w:val="sr-Cyrl-RS"/>
        </w:rPr>
        <w:t xml:space="preserve"> 72/19</w:t>
      </w:r>
      <w:r w:rsidR="0038009B">
        <w:rPr>
          <w:lang w:val="sr-Cyrl-RS"/>
        </w:rPr>
        <w:t>), на</w:t>
      </w:r>
      <w:r>
        <w:rPr>
          <w:color w:val="FF0000"/>
          <w:lang w:val="sr-Cyrl-RS"/>
        </w:rPr>
        <w:t xml:space="preserve"> </w:t>
      </w:r>
      <w:r w:rsidR="0038009B">
        <w:rPr>
          <w:rFonts w:hint="eastAsia"/>
          <w:lang w:val="sr-Cyrl-RS"/>
        </w:rPr>
        <w:t>Разделу</w:t>
      </w:r>
      <w:r w:rsidR="0085408A" w:rsidRPr="002D5231">
        <w:rPr>
          <w:lang w:val="sr-Cyrl-RS"/>
        </w:rPr>
        <w:t xml:space="preserve"> 17 </w:t>
      </w:r>
      <w:r w:rsidRPr="0040206A">
        <w:rPr>
          <w:sz w:val="20"/>
          <w:szCs w:val="20"/>
          <w:lang w:val="sr-Cyrl-RS"/>
        </w:rPr>
        <w:t>–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Министарство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спољних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послова</w:t>
      </w:r>
      <w:r w:rsidR="0082355E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у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износу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од</w:t>
      </w:r>
      <w:r w:rsidR="0085408A">
        <w:rPr>
          <w:lang w:val="sr-Cyrl-RS"/>
        </w:rPr>
        <w:t xml:space="preserve"> 97</w:t>
      </w:r>
      <w:r w:rsidR="0085408A" w:rsidRPr="002D5231">
        <w:rPr>
          <w:lang w:val="sr-Cyrl-RS"/>
        </w:rPr>
        <w:t>.000</w:t>
      </w:r>
      <w:r w:rsidR="003C71BB">
        <w:rPr>
          <w:lang w:val="sr-Cyrl-RS"/>
        </w:rPr>
        <w:t>,00</w:t>
      </w:r>
      <w:r w:rsidR="0085408A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динара</w:t>
      </w:r>
      <w:r w:rsidR="003C71BB">
        <w:rPr>
          <w:lang w:val="sr-Cyrl-RS"/>
        </w:rPr>
        <w:t xml:space="preserve"> и на </w:t>
      </w:r>
      <w:r w:rsidR="003C71BB">
        <w:rPr>
          <w:rFonts w:hint="eastAsia"/>
          <w:lang w:val="sr-Cyrl-RS"/>
        </w:rPr>
        <w:t>Разделу</w:t>
      </w:r>
      <w:r w:rsidR="0085408A" w:rsidRPr="002D5231">
        <w:rPr>
          <w:lang w:val="sr-Cyrl-RS"/>
        </w:rPr>
        <w:t xml:space="preserve"> 38</w:t>
      </w:r>
      <w:r w:rsidR="003C71BB">
        <w:rPr>
          <w:lang w:val="sr-Cyrl-RS"/>
        </w:rPr>
        <w:t xml:space="preserve"> </w:t>
      </w:r>
      <w:r w:rsidR="003C71BB" w:rsidRPr="003C71BB">
        <w:rPr>
          <w:sz w:val="20"/>
          <w:szCs w:val="20"/>
          <w:lang w:val="sr-Cyrl-RS"/>
        </w:rPr>
        <w:t>–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</w:rPr>
        <w:t>Републички геодетски завод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у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износу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од</w:t>
      </w:r>
      <w:r w:rsidR="0085408A">
        <w:rPr>
          <w:lang w:val="sr-Cyrl-RS"/>
        </w:rPr>
        <w:t xml:space="preserve"> 105</w:t>
      </w:r>
      <w:r w:rsidR="0085408A" w:rsidRPr="002D5231">
        <w:rPr>
          <w:lang w:val="sr-Cyrl-RS"/>
        </w:rPr>
        <w:t>.000</w:t>
      </w:r>
      <w:r w:rsidR="003C71BB">
        <w:rPr>
          <w:lang w:val="sr-Cyrl-RS"/>
        </w:rPr>
        <w:t>,00</w:t>
      </w:r>
      <w:r w:rsidR="0085408A" w:rsidRPr="002D5231">
        <w:rPr>
          <w:lang w:val="sr-Cyrl-RS"/>
        </w:rPr>
        <w:t xml:space="preserve"> </w:t>
      </w:r>
      <w:r w:rsidR="0085408A" w:rsidRPr="002D5231">
        <w:rPr>
          <w:rFonts w:hint="eastAsia"/>
          <w:lang w:val="sr-Cyrl-RS"/>
        </w:rPr>
        <w:t>динара</w:t>
      </w:r>
      <w:r w:rsidR="0085408A" w:rsidRPr="002D5231">
        <w:rPr>
          <w:lang w:val="sr-Cyrl-RS"/>
        </w:rPr>
        <w:t>.</w:t>
      </w:r>
    </w:p>
    <w:p w:rsidR="0082355E" w:rsidRDefault="0082355E" w:rsidP="0040206A">
      <w:pPr>
        <w:tabs>
          <w:tab w:val="left" w:pos="1418"/>
        </w:tabs>
        <w:jc w:val="both"/>
        <w:rPr>
          <w:lang w:val="sr-Cyrl-RS"/>
        </w:rPr>
      </w:pPr>
      <w:r>
        <w:rPr>
          <w:lang w:val="sr-Cyrl-RS"/>
        </w:rPr>
        <w:tab/>
        <w:t xml:space="preserve">У случају да се извршавање Протокола настави у наредним годинама, средства ће бити планирана на истим разделима у оквиру лимита одређеног од стране </w:t>
      </w:r>
      <w:r w:rsidRPr="0082355E">
        <w:rPr>
          <w:bCs/>
          <w:color w:val="000000"/>
        </w:rPr>
        <w:t>Министарства финансија</w:t>
      </w:r>
      <w:r>
        <w:rPr>
          <w:lang w:val="sr-Cyrl-RS"/>
        </w:rPr>
        <w:t>.</w:t>
      </w:r>
    </w:p>
    <w:p w:rsidR="00ED4A1F" w:rsidRDefault="00ED4A1F" w:rsidP="0040206A">
      <w:pPr>
        <w:tabs>
          <w:tab w:val="left" w:pos="1418"/>
        </w:tabs>
        <w:jc w:val="both"/>
        <w:rPr>
          <w:lang w:val="sr-Cyrl-RS"/>
        </w:rPr>
      </w:pPr>
    </w:p>
    <w:p w:rsidR="00ED4A1F" w:rsidRDefault="00ED4A1F" w:rsidP="0040206A">
      <w:pPr>
        <w:tabs>
          <w:tab w:val="left" w:pos="1418"/>
        </w:tabs>
        <w:jc w:val="both"/>
        <w:rPr>
          <w:lang w:val="sr-Cyrl-RS"/>
        </w:rPr>
      </w:pPr>
    </w:p>
    <w:sectPr w:rsidR="00ED4A1F" w:rsidSect="00197582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C6537"/>
    <w:multiLevelType w:val="hybridMultilevel"/>
    <w:tmpl w:val="556C787A"/>
    <w:lvl w:ilvl="0" w:tplc="02641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8A"/>
    <w:rsid w:val="000C1DE1"/>
    <w:rsid w:val="000C2481"/>
    <w:rsid w:val="000F79A5"/>
    <w:rsid w:val="0010778F"/>
    <w:rsid w:val="00136480"/>
    <w:rsid w:val="001C3BE2"/>
    <w:rsid w:val="001F057B"/>
    <w:rsid w:val="00270A56"/>
    <w:rsid w:val="003361E8"/>
    <w:rsid w:val="0038009B"/>
    <w:rsid w:val="003C71BB"/>
    <w:rsid w:val="0040206A"/>
    <w:rsid w:val="004148DF"/>
    <w:rsid w:val="004A0094"/>
    <w:rsid w:val="004C6CA1"/>
    <w:rsid w:val="004F2938"/>
    <w:rsid w:val="004F71F0"/>
    <w:rsid w:val="00565254"/>
    <w:rsid w:val="005855E2"/>
    <w:rsid w:val="006213FE"/>
    <w:rsid w:val="00676C1C"/>
    <w:rsid w:val="00692F7B"/>
    <w:rsid w:val="00693BFE"/>
    <w:rsid w:val="006D0057"/>
    <w:rsid w:val="00746DD2"/>
    <w:rsid w:val="00760DB2"/>
    <w:rsid w:val="0079569A"/>
    <w:rsid w:val="007C1F53"/>
    <w:rsid w:val="007F6DDC"/>
    <w:rsid w:val="00800FB9"/>
    <w:rsid w:val="0082355E"/>
    <w:rsid w:val="00836BD4"/>
    <w:rsid w:val="0085408A"/>
    <w:rsid w:val="0086200E"/>
    <w:rsid w:val="00864BA2"/>
    <w:rsid w:val="00890C0E"/>
    <w:rsid w:val="00891D46"/>
    <w:rsid w:val="008C63E5"/>
    <w:rsid w:val="00917F98"/>
    <w:rsid w:val="00967FAA"/>
    <w:rsid w:val="009911EA"/>
    <w:rsid w:val="009E01A4"/>
    <w:rsid w:val="00A25EDD"/>
    <w:rsid w:val="00A3198C"/>
    <w:rsid w:val="00A333BE"/>
    <w:rsid w:val="00A35384"/>
    <w:rsid w:val="00A63BFF"/>
    <w:rsid w:val="00A82B08"/>
    <w:rsid w:val="00AA0256"/>
    <w:rsid w:val="00AB7EFA"/>
    <w:rsid w:val="00AC6537"/>
    <w:rsid w:val="00B554DD"/>
    <w:rsid w:val="00B61EDA"/>
    <w:rsid w:val="00BA420F"/>
    <w:rsid w:val="00BE1316"/>
    <w:rsid w:val="00BF6F7A"/>
    <w:rsid w:val="00C82A63"/>
    <w:rsid w:val="00CC5152"/>
    <w:rsid w:val="00CD2EF7"/>
    <w:rsid w:val="00DA18F1"/>
    <w:rsid w:val="00DD7EB3"/>
    <w:rsid w:val="00E344D2"/>
    <w:rsid w:val="00ED4A1F"/>
    <w:rsid w:val="00EE00FA"/>
    <w:rsid w:val="00EE4AA3"/>
    <w:rsid w:val="00EF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A7C689"/>
  <w15:chartTrackingRefBased/>
  <w15:docId w15:val="{05DED7A4-431D-4637-A61E-449E562C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08A"/>
    <w:rPr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0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A0094"/>
    <w:rPr>
      <w:rFonts w:ascii="Segoe UI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Daktilobiro02</cp:lastModifiedBy>
  <cp:revision>21</cp:revision>
  <cp:lastPrinted>2019-12-27T10:22:00Z</cp:lastPrinted>
  <dcterms:created xsi:type="dcterms:W3CDTF">2019-12-26T12:13:00Z</dcterms:created>
  <dcterms:modified xsi:type="dcterms:W3CDTF">2019-12-27T10:22:00Z</dcterms:modified>
</cp:coreProperties>
</file>