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1E3" w:rsidRPr="008F0243" w:rsidRDefault="006961E3" w:rsidP="006130E2">
      <w:pPr>
        <w:ind w:left="-720" w:firstLine="720"/>
        <w:jc w:val="center"/>
        <w:rPr>
          <w:lang w:val="sr-Cyrl-CS"/>
        </w:rPr>
      </w:pPr>
      <w:r w:rsidRPr="008F0243">
        <w:rPr>
          <w:lang w:val="sr-Cyrl-CS"/>
        </w:rPr>
        <w:t>О Б Р А З Л О Ж Е Њ Е</w:t>
      </w:r>
    </w:p>
    <w:p w:rsidR="00113ACC" w:rsidRPr="008F0243" w:rsidRDefault="00113ACC" w:rsidP="006130E2">
      <w:pPr>
        <w:ind w:left="-720" w:firstLine="720"/>
        <w:jc w:val="center"/>
        <w:rPr>
          <w:lang w:val="sr-Cyrl-CS"/>
        </w:rPr>
      </w:pPr>
    </w:p>
    <w:p w:rsidR="00FC1322" w:rsidRPr="008F0243" w:rsidRDefault="00FC1322" w:rsidP="006130E2">
      <w:pPr>
        <w:ind w:left="-720" w:firstLine="720"/>
        <w:jc w:val="center"/>
        <w:rPr>
          <w:lang w:val="sr-Cyrl-CS"/>
        </w:rPr>
      </w:pPr>
    </w:p>
    <w:p w:rsidR="006961E3" w:rsidRPr="008F0243" w:rsidRDefault="006961E3" w:rsidP="006130E2">
      <w:pPr>
        <w:rPr>
          <w:bCs/>
          <w:lang w:val="sr-Cyrl-CS"/>
        </w:rPr>
      </w:pPr>
      <w:r w:rsidRPr="008F0243">
        <w:rPr>
          <w:bCs/>
          <w:lang w:val="sr-Cyrl-CS"/>
        </w:rPr>
        <w:t xml:space="preserve"> </w:t>
      </w:r>
      <w:r w:rsidRPr="008F0243">
        <w:rPr>
          <w:bCs/>
          <w:lang w:val="sr-Cyrl-CS"/>
        </w:rPr>
        <w:tab/>
        <w:t>I. УСТАВНИ ОСНОВ ЗА ДОНОШЕЊЕ ЗАКОНА</w:t>
      </w:r>
    </w:p>
    <w:p w:rsidR="006961E3" w:rsidRPr="008F0243" w:rsidRDefault="006961E3" w:rsidP="006130E2">
      <w:pPr>
        <w:rPr>
          <w:bCs/>
          <w:lang w:val="sr-Cyrl-CS"/>
        </w:rPr>
      </w:pPr>
    </w:p>
    <w:p w:rsidR="0040226C" w:rsidRPr="008F0243" w:rsidRDefault="006961E3" w:rsidP="006130E2">
      <w:pPr>
        <w:jc w:val="both"/>
        <w:rPr>
          <w:lang w:val="sr-Cyrl-CS"/>
        </w:rPr>
      </w:pPr>
      <w:r w:rsidRPr="008F0243">
        <w:rPr>
          <w:lang w:val="sr-Cyrl-CS"/>
        </w:rPr>
        <w:t xml:space="preserve"> </w:t>
      </w:r>
      <w:r w:rsidRPr="008F0243">
        <w:rPr>
          <w:lang w:val="sr-Cyrl-CS"/>
        </w:rPr>
        <w:tab/>
      </w:r>
      <w:r w:rsidR="0040226C" w:rsidRPr="008F0243">
        <w:rPr>
          <w:lang w:val="sr-Cyrl-CS"/>
        </w:rPr>
        <w:t>Уставни основ за доношење овог закона садржан је у одредби члана 9</w:t>
      </w:r>
      <w:r w:rsidR="003C4052" w:rsidRPr="008F0243">
        <w:rPr>
          <w:lang w:val="sr-Cyrl-CS"/>
        </w:rPr>
        <w:t>3</w:t>
      </w:r>
      <w:r w:rsidR="0040226C" w:rsidRPr="008F0243">
        <w:rPr>
          <w:lang w:val="sr-Cyrl-CS"/>
        </w:rPr>
        <w:t xml:space="preserve">. став 1. Устава Републике Србије, којом је прописано да </w:t>
      </w:r>
      <w:r w:rsidR="003C4052" w:rsidRPr="008F0243">
        <w:rPr>
          <w:lang w:val="sr-Cyrl-CS"/>
        </w:rPr>
        <w:t>Република Србија, аутономне покрајине и јединице локалне самоуправе могу да се задужују</w:t>
      </w:r>
      <w:r w:rsidR="00AE55C5" w:rsidRPr="008F0243">
        <w:rPr>
          <w:lang w:val="sr-Cyrl-CS"/>
        </w:rPr>
        <w:t>, као и члана 97. тачка 15. Устава Републике Србије, према којој Република Србија уређује и обезбеђује финансирање остваривања права и дужности Републике Србије, утврђених Уставом и законом.</w:t>
      </w:r>
    </w:p>
    <w:p w:rsidR="006961E3" w:rsidRPr="008F0243" w:rsidRDefault="0040226C" w:rsidP="006130E2">
      <w:pPr>
        <w:jc w:val="both"/>
        <w:rPr>
          <w:lang w:val="sr-Cyrl-CS"/>
        </w:rPr>
      </w:pPr>
      <w:r w:rsidRPr="008F0243">
        <w:rPr>
          <w:lang w:val="sr-Cyrl-CS"/>
        </w:rPr>
        <w:t xml:space="preserve"> </w:t>
      </w:r>
    </w:p>
    <w:p w:rsidR="006961E3" w:rsidRPr="008F0243" w:rsidRDefault="006961E3" w:rsidP="006130E2">
      <w:pPr>
        <w:ind w:firstLine="720"/>
        <w:jc w:val="both"/>
        <w:rPr>
          <w:lang w:val="sr-Cyrl-CS"/>
        </w:rPr>
      </w:pPr>
      <w:r w:rsidRPr="008F0243">
        <w:rPr>
          <w:bCs/>
          <w:lang w:val="sr-Cyrl-CS"/>
        </w:rPr>
        <w:t xml:space="preserve"> II. РАЗЛОЗИ ЗА ДОНОШЕЊЕ ЗАКОНА</w:t>
      </w:r>
      <w:r w:rsidR="0069359B" w:rsidRPr="008F0243">
        <w:rPr>
          <w:bCs/>
          <w:lang w:val="sr-Cyrl-CS"/>
        </w:rPr>
        <w:t xml:space="preserve"> - ПОТВРЂИВАЊЕ</w:t>
      </w:r>
    </w:p>
    <w:p w:rsidR="006961E3" w:rsidRPr="008F0243" w:rsidRDefault="006961E3" w:rsidP="006130E2">
      <w:pPr>
        <w:rPr>
          <w:bCs/>
          <w:lang w:val="sr-Cyrl-CS"/>
        </w:rPr>
      </w:pPr>
    </w:p>
    <w:p w:rsidR="00E80D89" w:rsidRPr="008F0243" w:rsidRDefault="00E80D89" w:rsidP="00321414">
      <w:pPr>
        <w:ind w:firstLine="708"/>
        <w:jc w:val="both"/>
        <w:rPr>
          <w:noProof/>
          <w:lang w:val="sr-Cyrl-CS"/>
        </w:rPr>
      </w:pPr>
      <w:r w:rsidRPr="008F0243">
        <w:rPr>
          <w:lang w:val="sr-Cyrl-CS"/>
        </w:rPr>
        <w:t xml:space="preserve">Разлози за доношење Закона о потврђивању </w:t>
      </w:r>
      <w:proofErr w:type="spellStart"/>
      <w:r w:rsidR="006C134E" w:rsidRPr="008F0243">
        <w:rPr>
          <w:lang w:val="sr-Cyrl-CS"/>
        </w:rPr>
        <w:t>Уговорa</w:t>
      </w:r>
      <w:proofErr w:type="spellEnd"/>
      <w:r w:rsidR="006C134E" w:rsidRPr="008F0243">
        <w:rPr>
          <w:lang w:val="sr-Cyrl-CS"/>
        </w:rPr>
        <w:t xml:space="preserve"> о кредиту између Републике Србије (као Корисника кредита) и T.C. </w:t>
      </w:r>
      <w:proofErr w:type="spellStart"/>
      <w:r w:rsidR="006C134E" w:rsidRPr="008F0243">
        <w:rPr>
          <w:lang w:val="sr-Cyrl-CS"/>
        </w:rPr>
        <w:t>Ziraat</w:t>
      </w:r>
      <w:proofErr w:type="spellEnd"/>
      <w:r w:rsidR="006C134E" w:rsidRPr="008F0243">
        <w:rPr>
          <w:lang w:val="sr-Cyrl-CS"/>
        </w:rPr>
        <w:t xml:space="preserve"> </w:t>
      </w:r>
      <w:proofErr w:type="spellStart"/>
      <w:r w:rsidR="006C134E" w:rsidRPr="008F0243">
        <w:rPr>
          <w:lang w:val="sr-Cyrl-CS"/>
        </w:rPr>
        <w:t>Bankasi</w:t>
      </w:r>
      <w:proofErr w:type="spellEnd"/>
      <w:r w:rsidR="006C134E" w:rsidRPr="008F0243">
        <w:rPr>
          <w:lang w:val="sr-Cyrl-CS"/>
        </w:rPr>
        <w:t xml:space="preserve"> A.Ş. и </w:t>
      </w:r>
      <w:proofErr w:type="spellStart"/>
      <w:r w:rsidR="006C134E" w:rsidRPr="008F0243">
        <w:rPr>
          <w:lang w:val="sr-Cyrl-CS"/>
        </w:rPr>
        <w:t>Denizbank</w:t>
      </w:r>
      <w:proofErr w:type="spellEnd"/>
      <w:r w:rsidR="006C134E" w:rsidRPr="008F0243">
        <w:rPr>
          <w:lang w:val="sr-Cyrl-CS"/>
        </w:rPr>
        <w:t xml:space="preserve"> A.Ş. (као Давалаца кредита), потписан</w:t>
      </w:r>
      <w:r w:rsidR="00D03CA3" w:rsidRPr="008F0243">
        <w:rPr>
          <w:lang w:val="sr-Cyrl-CS"/>
        </w:rPr>
        <w:t>ог</w:t>
      </w:r>
      <w:r w:rsidR="006C134E" w:rsidRPr="008F0243">
        <w:rPr>
          <w:lang w:val="sr-Cyrl-CS"/>
        </w:rPr>
        <w:t xml:space="preserve"> 25. децембра 2019. године</w:t>
      </w:r>
      <w:r w:rsidR="00BA558F" w:rsidRPr="008F0243">
        <w:rPr>
          <w:lang w:val="sr-Cyrl-CS"/>
        </w:rPr>
        <w:t>,</w:t>
      </w:r>
      <w:r w:rsidRPr="008F0243">
        <w:rPr>
          <w:lang w:val="sr-Cyrl-CS"/>
        </w:rPr>
        <w:t xml:space="preserve"> садржани су у одредби члана 5. став 2. Закона о јавном дугу („Службени гласник РС”, бр. 61/05, 107/09</w:t>
      </w:r>
      <w:r w:rsidR="00321414" w:rsidRPr="008F0243">
        <w:rPr>
          <w:lang w:val="sr-Cyrl-CS"/>
        </w:rPr>
        <w:t xml:space="preserve">, </w:t>
      </w:r>
      <w:r w:rsidRPr="008F0243">
        <w:rPr>
          <w:lang w:val="sr-Cyrl-CS"/>
        </w:rPr>
        <w:t>78/11</w:t>
      </w:r>
      <w:r w:rsidR="00CC1AE1" w:rsidRPr="008F0243">
        <w:rPr>
          <w:lang w:val="sr-Cyrl-CS"/>
        </w:rPr>
        <w:t>,</w:t>
      </w:r>
      <w:r w:rsidR="00321414" w:rsidRPr="008F0243">
        <w:rPr>
          <w:lang w:val="sr-Cyrl-CS"/>
        </w:rPr>
        <w:t xml:space="preserve"> 68/15</w:t>
      </w:r>
      <w:r w:rsidR="00CC1AE1" w:rsidRPr="008F0243">
        <w:rPr>
          <w:lang w:val="sr-Cyrl-CS"/>
        </w:rPr>
        <w:t xml:space="preserve"> и 95/18</w:t>
      </w:r>
      <w:r w:rsidRPr="008F0243">
        <w:rPr>
          <w:lang w:val="sr-Cyrl-CS"/>
        </w:rPr>
        <w:t>) према којој Народна скупштина одлучује о задуживању Републике Србије</w:t>
      </w:r>
      <w:r w:rsidR="000B1A47" w:rsidRPr="008F0243">
        <w:rPr>
          <w:noProof/>
          <w:lang w:val="sr-Cyrl-CS"/>
        </w:rPr>
        <w:t>.</w:t>
      </w:r>
    </w:p>
    <w:p w:rsidR="006C134E" w:rsidRPr="008F0243" w:rsidRDefault="006C134E" w:rsidP="006C134E">
      <w:pPr>
        <w:ind w:firstLine="708"/>
        <w:jc w:val="both"/>
        <w:rPr>
          <w:noProof/>
          <w:lang w:val="sr-Cyrl-CS"/>
        </w:rPr>
      </w:pPr>
      <w:r w:rsidRPr="008F0243">
        <w:rPr>
          <w:noProof/>
          <w:lang w:val="sr-Cyrl-CS"/>
        </w:rPr>
        <w:t>Споразум између Владе Републике Србије и Владе Републике Турске о сарадњи у области инфраструктурних пројеката, потписан је 26. октобра 2009. године („Службени гласник РС - Међународни уговориˮ број 1/10) у жељи унапређења билатералне сарадње у области развоја пројеката саобраћајне инфраструктуре као и других пројеката од обостраног значаја.</w:t>
      </w:r>
    </w:p>
    <w:p w:rsidR="006C134E" w:rsidRPr="008F0243" w:rsidRDefault="006C134E" w:rsidP="006C134E">
      <w:pPr>
        <w:ind w:firstLine="708"/>
        <w:jc w:val="both"/>
        <w:rPr>
          <w:noProof/>
          <w:lang w:val="sr-Cyrl-CS"/>
        </w:rPr>
      </w:pPr>
      <w:r w:rsidRPr="008F0243">
        <w:rPr>
          <w:noProof/>
          <w:lang w:val="sr-Cyrl-CS"/>
        </w:rPr>
        <w:tab/>
        <w:t>Писмо о намерама између Министарства грађевинарства, саобраћаја и инфраструктуре Републике Србије и Министарства транспорта, поморства и комуникација Републике Турске о јачању и проширењ</w:t>
      </w:r>
      <w:r w:rsidR="00D03CA3" w:rsidRPr="008F0243">
        <w:rPr>
          <w:noProof/>
          <w:lang w:val="sr-Cyrl-CS"/>
        </w:rPr>
        <w:t>у</w:t>
      </w:r>
      <w:r w:rsidRPr="008F0243">
        <w:rPr>
          <w:noProof/>
          <w:lang w:val="sr-Cyrl-CS"/>
        </w:rPr>
        <w:t xml:space="preserve"> сарадње у области транспорта и инфраструктуре, од 10. октобра 2017. године, предвиђа сарадњу на изградњи путне мреже кроз Србију</w:t>
      </w:r>
      <w:r w:rsidR="000A781B" w:rsidRPr="008F0243">
        <w:rPr>
          <w:noProof/>
          <w:lang w:val="sr-Cyrl-CS"/>
        </w:rPr>
        <w:t>.</w:t>
      </w:r>
    </w:p>
    <w:p w:rsidR="006C134E" w:rsidRPr="008F0243" w:rsidRDefault="006C134E" w:rsidP="006C134E">
      <w:pPr>
        <w:ind w:firstLine="708"/>
        <w:jc w:val="both"/>
        <w:rPr>
          <w:noProof/>
          <w:lang w:val="sr-Cyrl-CS"/>
        </w:rPr>
      </w:pPr>
      <w:r w:rsidRPr="008F0243">
        <w:rPr>
          <w:noProof/>
          <w:lang w:val="sr-Cyrl-CS"/>
        </w:rPr>
        <w:tab/>
        <w:t xml:space="preserve">На основу напред наведеног споразума, 6. маја 2018. године потписан је Меморандум о разумевању између Министарства грађевинарства, саобраћаја и инфраструктуре Републике Србије и турске компаније „TASYAPIˮ Insaat Taahhut Sanayi ve Ticaret A.S. (у даљем тексту: TASYAPI), са циљем унапређења путнe транспортне инфраструктуре кроз анализу могућности за изградњу аутопута кроз Србију на правцу Пожега-Ужице-Котроман, односно на деоници Кузмин-Сремска Рача и рехабилитацију путне инфраструктуре на државном путу II A реда, бр. 203, Нови Пазар – Тутин и на државном путу I Б реда, број 29, Аљиновићи – Сјеница – Нови Пазар. </w:t>
      </w:r>
    </w:p>
    <w:p w:rsidR="006C134E" w:rsidRPr="008F0243" w:rsidRDefault="006C134E" w:rsidP="006C134E">
      <w:pPr>
        <w:ind w:firstLine="708"/>
        <w:jc w:val="both"/>
        <w:rPr>
          <w:noProof/>
          <w:lang w:val="sr-Cyrl-CS"/>
        </w:rPr>
      </w:pPr>
      <w:r w:rsidRPr="008F0243">
        <w:rPr>
          <w:noProof/>
          <w:lang w:val="sr-Cyrl-CS"/>
        </w:rPr>
        <w:tab/>
        <w:t>Корак даље у остваривању заједничког деловања постигнут је потписивањем Оквирног споразума између Владе Републике Србије и TASYAPI о сарадњи у области инфраструктурних пројеката oд 21. септембра 2018. године. На овај начин, стране су ближе одредиле предмет сарадње и дефинисале пројекте на којима ће сарађивати, као и њихову оквирну вредност на бази оквирних пројектантских процена.</w:t>
      </w:r>
    </w:p>
    <w:p w:rsidR="006C134E" w:rsidRPr="008F0243" w:rsidRDefault="006C134E" w:rsidP="006C134E">
      <w:pPr>
        <w:ind w:firstLine="708"/>
        <w:jc w:val="both"/>
        <w:rPr>
          <w:noProof/>
          <w:lang w:val="sr-Cyrl-CS"/>
        </w:rPr>
      </w:pPr>
      <w:r w:rsidRPr="008F0243">
        <w:rPr>
          <w:noProof/>
          <w:lang w:val="sr-Cyrl-CS"/>
        </w:rPr>
        <w:t xml:space="preserve">Потписивањем два комерцијална уговора са TASYAPI, сарадња је конкретизована. Први је потписан 29. октобра 2018. године за израду плана детаљне регулације, пројектне документације и извођење радова на реконструкцији државног пута II A реда, бр. 203, Нови Пазар – Тутин (у даљем тексту: Пројекат 1), између Владе Републике Србије, Јавног предузећа „Путеви Србије”, Београд и TASYAPI (у даљем тексту: Комерцијални уговор 1). Други по реду, Комерцијални уговор за </w:t>
      </w:r>
      <w:r w:rsidRPr="008F0243">
        <w:rPr>
          <w:noProof/>
          <w:lang w:val="sr-Cyrl-CS"/>
        </w:rPr>
        <w:lastRenderedPageBreak/>
        <w:t>израду плана детаљне регулације, пројеката и извођење радова на аутопуту Сремска Рача - Кузмин и моста преко реке Саве и пројекат за деоницу Пожега-Котроман (Пројекат 2),  потписан је 19. децембра 2018. године између Владе Републике Србије, Јавног предузећа „Путеви Србије”, Београд и TASYAPI (у даљем тексту: Комерцијални уговор 2).</w:t>
      </w:r>
    </w:p>
    <w:p w:rsidR="00CF1BE2" w:rsidRPr="008F0243" w:rsidRDefault="00CF1BE2" w:rsidP="00CF1BE2">
      <w:pPr>
        <w:ind w:firstLine="708"/>
        <w:jc w:val="both"/>
        <w:rPr>
          <w:noProof/>
          <w:lang w:val="sr-Cyrl-CS"/>
        </w:rPr>
      </w:pPr>
      <w:r w:rsidRPr="008F0243">
        <w:rPr>
          <w:noProof/>
          <w:lang w:val="sr-Cyrl-CS"/>
        </w:rPr>
        <w:t>Законом о буџету Републике Србије за 2019. годину („Службени гласник РС”, бр. 95/18 и 72/19) у члану 3. предвиђено је задуживање Републике Србије код Републике Турске, посредством турских банака, за пројекте у области грађевинарства у максималном износу до 265.000.000 евра, које обухвата и финансирање пројеката из Комерцијалног уговора 1 и Комерцијалног уговора 2.</w:t>
      </w:r>
    </w:p>
    <w:p w:rsidR="009B7AAF" w:rsidRPr="008F0243" w:rsidRDefault="009B7AAF" w:rsidP="009B7AAF">
      <w:pPr>
        <w:ind w:firstLine="708"/>
        <w:jc w:val="both"/>
        <w:rPr>
          <w:lang w:val="sr-Cyrl-CS"/>
        </w:rPr>
      </w:pPr>
      <w:r w:rsidRPr="008F0243">
        <w:rPr>
          <w:lang w:val="sr-Cyrl-CS"/>
        </w:rPr>
        <w:t xml:space="preserve">Према Комерцијалном уговору 1 услуге обухватају активности израде ревидираног идејног пројекта, Плана детаљне регулације и Пројекта за извођење радова, Пројекта за грађевинску дозволу за нови мост на км 6+700, Пројекта изведеног стања након завршетка и свих других пројеката, студија и техничких контрола неопходних за добијање грађевинске дозволе и извршење радова у складу са домаћим прописима који регулишу област планирања и изградње. </w:t>
      </w:r>
    </w:p>
    <w:p w:rsidR="009B7AAF" w:rsidRPr="008F0243" w:rsidRDefault="009B7AAF" w:rsidP="009B7AAF">
      <w:pPr>
        <w:ind w:firstLine="708"/>
        <w:jc w:val="both"/>
        <w:rPr>
          <w:lang w:val="sr-Cyrl-CS"/>
        </w:rPr>
      </w:pPr>
      <w:r w:rsidRPr="008F0243">
        <w:rPr>
          <w:lang w:val="sr-Cyrl-CS"/>
        </w:rPr>
        <w:t xml:space="preserve">Радови дефинисани </w:t>
      </w:r>
      <w:proofErr w:type="spellStart"/>
      <w:r w:rsidRPr="008F0243">
        <w:rPr>
          <w:lang w:val="sr-Cyrl-CS"/>
        </w:rPr>
        <w:t>Комерција</w:t>
      </w:r>
      <w:proofErr w:type="spellEnd"/>
      <w:r w:rsidR="008F0243">
        <w:rPr>
          <w:lang w:val="sr-Cyrl-RS"/>
        </w:rPr>
        <w:t>л</w:t>
      </w:r>
      <w:proofErr w:type="spellStart"/>
      <w:r w:rsidRPr="008F0243">
        <w:rPr>
          <w:lang w:val="sr-Cyrl-CS"/>
        </w:rPr>
        <w:t>ним</w:t>
      </w:r>
      <w:proofErr w:type="spellEnd"/>
      <w:r w:rsidRPr="008F0243">
        <w:rPr>
          <w:lang w:val="sr-Cyrl-CS"/>
        </w:rPr>
        <w:t xml:space="preserve"> уговором 1 односе се на реконструкцију државног пута II А реда, бр. 203, Нови Пазар</w:t>
      </w:r>
      <w:r w:rsidR="008101EB" w:rsidRPr="008F0243">
        <w:rPr>
          <w:lang w:val="sr-Cyrl-CS"/>
        </w:rPr>
        <w:t xml:space="preserve"> </w:t>
      </w:r>
      <w:r w:rsidRPr="008F0243">
        <w:rPr>
          <w:lang w:val="sr-Cyrl-CS"/>
        </w:rPr>
        <w:t xml:space="preserve">-Тутин, укључујући и саобраћајну сигнализацију, грађевински и други неопходан материјал, као и добијање свих атеста, сертификата и тестова који су неопходни за поступак техничког испитивања и добијања употребне дозволе. </w:t>
      </w:r>
    </w:p>
    <w:p w:rsidR="009B7AAF" w:rsidRPr="008F0243" w:rsidRDefault="009B7AAF" w:rsidP="009B7AAF">
      <w:pPr>
        <w:ind w:firstLine="708"/>
        <w:jc w:val="both"/>
        <w:rPr>
          <w:lang w:val="sr-Cyrl-CS"/>
        </w:rPr>
      </w:pPr>
      <w:r w:rsidRPr="008F0243">
        <w:rPr>
          <w:lang w:val="sr-Cyrl-CS"/>
        </w:rPr>
        <w:t xml:space="preserve">Прихваћена уговорна цена по Комерцијалном уговору 1 је 24.000.000 </w:t>
      </w:r>
      <w:proofErr w:type="spellStart"/>
      <w:r w:rsidRPr="008F0243">
        <w:rPr>
          <w:lang w:val="sr-Cyrl-CS"/>
        </w:rPr>
        <w:t>евра</w:t>
      </w:r>
      <w:proofErr w:type="spellEnd"/>
      <w:r w:rsidRPr="008F0243">
        <w:rPr>
          <w:lang w:val="sr-Cyrl-CS"/>
        </w:rPr>
        <w:t xml:space="preserve">. Рок за припрему Идејног пројекта, Плана детаљне регулације, Пројекта за извођење радова (не укључујући време за разматрање и одобрење) је </w:t>
      </w:r>
      <w:r w:rsidR="008101EB" w:rsidRPr="008F0243">
        <w:rPr>
          <w:lang w:val="sr-Cyrl-CS"/>
        </w:rPr>
        <w:t>десет</w:t>
      </w:r>
      <w:r w:rsidRPr="008F0243">
        <w:rPr>
          <w:lang w:val="sr-Cyrl-CS"/>
        </w:rPr>
        <w:t xml:space="preserve"> месеци од датума потписивања Комерцијалног уговора 1, а за извршење радова до 24 месеца, рачунајући од Датума почетка радова.</w:t>
      </w:r>
    </w:p>
    <w:p w:rsidR="009B7AAF" w:rsidRPr="008F0243" w:rsidRDefault="009B7AAF" w:rsidP="009B7AAF">
      <w:pPr>
        <w:ind w:firstLine="708"/>
        <w:jc w:val="both"/>
        <w:rPr>
          <w:lang w:val="sr-Cyrl-CS"/>
        </w:rPr>
      </w:pPr>
      <w:r w:rsidRPr="008F0243">
        <w:rPr>
          <w:lang w:val="sr-Cyrl-CS"/>
        </w:rPr>
        <w:t xml:space="preserve">Према </w:t>
      </w:r>
      <w:proofErr w:type="spellStart"/>
      <w:r w:rsidRPr="008F0243">
        <w:rPr>
          <w:lang w:val="sr-Cyrl-CS"/>
        </w:rPr>
        <w:t>Kомерцијалном</w:t>
      </w:r>
      <w:proofErr w:type="spellEnd"/>
      <w:r w:rsidRPr="008F0243">
        <w:rPr>
          <w:lang w:val="sr-Cyrl-CS"/>
        </w:rPr>
        <w:t xml:space="preserve"> уговору 2, чија је уговорна цена 250.000.000 </w:t>
      </w:r>
      <w:proofErr w:type="spellStart"/>
      <w:r w:rsidRPr="008F0243">
        <w:rPr>
          <w:lang w:val="sr-Cyrl-CS"/>
        </w:rPr>
        <w:t>евра</w:t>
      </w:r>
      <w:proofErr w:type="spellEnd"/>
      <w:r w:rsidRPr="008F0243">
        <w:rPr>
          <w:lang w:val="sr-Cyrl-CS"/>
        </w:rPr>
        <w:t xml:space="preserve">, припрема Студије изводљивости са Идејним пројектом, Планом детаљне регулације, Пројекта грађевинске дозволе и Пројекта за извођење радова за деоницу Сремска </w:t>
      </w:r>
      <w:proofErr w:type="spellStart"/>
      <w:r w:rsidRPr="008F0243">
        <w:rPr>
          <w:lang w:val="sr-Cyrl-CS"/>
        </w:rPr>
        <w:t>Рача-Кузмин</w:t>
      </w:r>
      <w:proofErr w:type="spellEnd"/>
      <w:r w:rsidRPr="008F0243">
        <w:rPr>
          <w:lang w:val="sr-Cyrl-CS"/>
        </w:rPr>
        <w:t xml:space="preserve"> трајаће 24 месеца од датума ступања на снагу овог уговора, док ће извођење радова за ту деоницу трајати до 48 месеци од Датума почетка радова. Израда Студије изводљивости са Идејним пројектом за деоницу Пожега - Котроман трајаће 42 месеца од датума ступања на снагу наведеног уговора. Такође, извођење радова на мосту преко реке Саве трајаће 48 месеци од Датума почетка радова.</w:t>
      </w:r>
    </w:p>
    <w:p w:rsidR="009B7AAF" w:rsidRPr="008F0243" w:rsidRDefault="009B7AAF" w:rsidP="009B7AAF">
      <w:pPr>
        <w:ind w:firstLine="708"/>
        <w:jc w:val="both"/>
        <w:rPr>
          <w:lang w:val="sr-Cyrl-CS"/>
        </w:rPr>
      </w:pPr>
      <w:r w:rsidRPr="008F0243">
        <w:rPr>
          <w:lang w:val="sr-Cyrl-CS"/>
        </w:rPr>
        <w:t xml:space="preserve">Предвиђено је да се оба пројекта финансирају из средстава </w:t>
      </w:r>
      <w:proofErr w:type="spellStart"/>
      <w:r w:rsidRPr="008F0243">
        <w:rPr>
          <w:lang w:val="sr-Cyrl-CS"/>
        </w:rPr>
        <w:t>синдицираног</w:t>
      </w:r>
      <w:proofErr w:type="spellEnd"/>
      <w:r w:rsidRPr="008F0243">
        <w:rPr>
          <w:lang w:val="sr-Cyrl-CS"/>
        </w:rPr>
        <w:t xml:space="preserve"> кредита који ће Републици Србији, као кориснику кредита, одобрити T.C. </w:t>
      </w:r>
      <w:proofErr w:type="spellStart"/>
      <w:r w:rsidRPr="008F0243">
        <w:rPr>
          <w:lang w:val="sr-Cyrl-CS"/>
        </w:rPr>
        <w:t>Ziraat</w:t>
      </w:r>
      <w:proofErr w:type="spellEnd"/>
      <w:r w:rsidRPr="008F0243">
        <w:rPr>
          <w:lang w:val="sr-Cyrl-CS"/>
        </w:rPr>
        <w:t xml:space="preserve"> </w:t>
      </w:r>
      <w:proofErr w:type="spellStart"/>
      <w:r w:rsidRPr="008F0243">
        <w:rPr>
          <w:lang w:val="sr-Cyrl-CS"/>
        </w:rPr>
        <w:t>Bankasi</w:t>
      </w:r>
      <w:proofErr w:type="spellEnd"/>
      <w:r w:rsidRPr="008F0243">
        <w:rPr>
          <w:lang w:val="sr-Cyrl-CS"/>
        </w:rPr>
        <w:t xml:space="preserve"> A.Ş. и </w:t>
      </w:r>
      <w:proofErr w:type="spellStart"/>
      <w:r w:rsidRPr="008F0243">
        <w:rPr>
          <w:lang w:val="sr-Cyrl-CS"/>
        </w:rPr>
        <w:t>Denizbank</w:t>
      </w:r>
      <w:proofErr w:type="spellEnd"/>
      <w:r w:rsidRPr="008F0243">
        <w:rPr>
          <w:lang w:val="sr-Cyrl-CS"/>
        </w:rPr>
        <w:t xml:space="preserve"> A.Ş. са седиштем у Републици Турској (у даљем тексту: </w:t>
      </w:r>
      <w:proofErr w:type="spellStart"/>
      <w:r w:rsidRPr="008F0243">
        <w:rPr>
          <w:lang w:val="sr-Cyrl-CS"/>
        </w:rPr>
        <w:t>Ziraat</w:t>
      </w:r>
      <w:proofErr w:type="spellEnd"/>
      <w:r w:rsidRPr="008F0243">
        <w:rPr>
          <w:lang w:val="sr-Cyrl-CS"/>
        </w:rPr>
        <w:t xml:space="preserve"> Bank и </w:t>
      </w:r>
      <w:proofErr w:type="spellStart"/>
      <w:r w:rsidRPr="008F0243">
        <w:rPr>
          <w:lang w:val="sr-Cyrl-CS"/>
        </w:rPr>
        <w:t>Denizbank</w:t>
      </w:r>
      <w:proofErr w:type="spellEnd"/>
      <w:r w:rsidRPr="008F0243">
        <w:rPr>
          <w:lang w:val="sr-Cyrl-CS"/>
        </w:rPr>
        <w:t>), за покриће 80% вредности Комерцијалног уговора 1 и Комерцијалног уговора 2, док преосталих 20% финансира српска страна из буџетских средстава.</w:t>
      </w:r>
      <w:r w:rsidRPr="008F0243">
        <w:rPr>
          <w:lang w:val="sr-Cyrl-CS"/>
        </w:rPr>
        <w:tab/>
      </w:r>
    </w:p>
    <w:p w:rsidR="009B7AAF" w:rsidRPr="008F0243" w:rsidRDefault="009B7AAF" w:rsidP="009B7AAF">
      <w:pPr>
        <w:ind w:firstLine="708"/>
        <w:jc w:val="both"/>
        <w:rPr>
          <w:lang w:val="sr-Cyrl-CS"/>
        </w:rPr>
      </w:pPr>
      <w:r w:rsidRPr="008F0243">
        <w:rPr>
          <w:lang w:val="sr-Cyrl-CS"/>
        </w:rPr>
        <w:t>Како би се обезбедило кредитно финансирање наведених пројеката, а на основу Закључака Владе 05 Број: 48-1108/2019 од 7. фебруара 2019. године и 05 Број: 48-1439/2019-1 од 14. фебруара 2019. године, Министарство финансија Републике Србије је првобитно поднело две кредитне пријаве турској EXIM банци. Међутим, након сагледавања достављене пројектне документације и утврђивања турског учешћа у пројектима, као и због строгог поштовања правила Организације за економску сарадњу и развој (</w:t>
      </w:r>
      <w:proofErr w:type="spellStart"/>
      <w:r w:rsidRPr="008F0243">
        <w:rPr>
          <w:i/>
          <w:lang w:val="sr-Cyrl-CS"/>
        </w:rPr>
        <w:t>Organisation</w:t>
      </w:r>
      <w:proofErr w:type="spellEnd"/>
      <w:r w:rsidRPr="008F0243">
        <w:rPr>
          <w:i/>
          <w:lang w:val="sr-Cyrl-CS"/>
        </w:rPr>
        <w:t xml:space="preserve"> for </w:t>
      </w:r>
      <w:proofErr w:type="spellStart"/>
      <w:r w:rsidRPr="008F0243">
        <w:rPr>
          <w:i/>
          <w:lang w:val="sr-Cyrl-CS"/>
        </w:rPr>
        <w:t>Economic</w:t>
      </w:r>
      <w:proofErr w:type="spellEnd"/>
      <w:r w:rsidRPr="008F0243">
        <w:rPr>
          <w:i/>
          <w:lang w:val="sr-Cyrl-CS"/>
        </w:rPr>
        <w:t xml:space="preserve"> </w:t>
      </w:r>
      <w:proofErr w:type="spellStart"/>
      <w:r w:rsidRPr="008F0243">
        <w:rPr>
          <w:i/>
          <w:lang w:val="sr-Cyrl-CS"/>
        </w:rPr>
        <w:t>Co-operation</w:t>
      </w:r>
      <w:proofErr w:type="spellEnd"/>
      <w:r w:rsidRPr="008F0243">
        <w:rPr>
          <w:i/>
          <w:lang w:val="sr-Cyrl-CS"/>
        </w:rPr>
        <w:t xml:space="preserve"> </w:t>
      </w:r>
      <w:proofErr w:type="spellStart"/>
      <w:r w:rsidRPr="008F0243">
        <w:rPr>
          <w:i/>
          <w:lang w:val="sr-Cyrl-CS"/>
        </w:rPr>
        <w:t>and</w:t>
      </w:r>
      <w:proofErr w:type="spellEnd"/>
      <w:r w:rsidRPr="008F0243">
        <w:rPr>
          <w:i/>
          <w:lang w:val="sr-Cyrl-CS"/>
        </w:rPr>
        <w:t xml:space="preserve"> </w:t>
      </w:r>
      <w:proofErr w:type="spellStart"/>
      <w:r w:rsidRPr="008F0243">
        <w:rPr>
          <w:i/>
          <w:lang w:val="sr-Cyrl-CS"/>
        </w:rPr>
        <w:t>Development</w:t>
      </w:r>
      <w:proofErr w:type="spellEnd"/>
      <w:r w:rsidRPr="008F0243">
        <w:rPr>
          <w:i/>
          <w:lang w:val="sr-Cyrl-CS"/>
        </w:rPr>
        <w:t xml:space="preserve"> – OECD</w:t>
      </w:r>
      <w:r w:rsidRPr="008F0243">
        <w:rPr>
          <w:lang w:val="sr-Cyrl-CS"/>
        </w:rPr>
        <w:t xml:space="preserve">) да банка може да подржи финансирање извоза које покрива 85% учешћа турске робе и услуга за наведене пројекте, EXIM банка није била у могућности да одобри Републици Србији тражене извозне кредите, препустивши оцену подобности за финансирање пројеката </w:t>
      </w:r>
      <w:proofErr w:type="spellStart"/>
      <w:r w:rsidRPr="008F0243">
        <w:rPr>
          <w:lang w:val="sr-Cyrl-CS"/>
        </w:rPr>
        <w:t>Ziraat</w:t>
      </w:r>
      <w:proofErr w:type="spellEnd"/>
      <w:r w:rsidRPr="008F0243">
        <w:rPr>
          <w:lang w:val="sr-Cyrl-CS"/>
        </w:rPr>
        <w:t xml:space="preserve"> Bank, као водећој банкарској институцији у </w:t>
      </w:r>
      <w:r w:rsidRPr="008F0243">
        <w:rPr>
          <w:lang w:val="sr-Cyrl-CS"/>
        </w:rPr>
        <w:lastRenderedPageBreak/>
        <w:t xml:space="preserve">државном власништву која подржава све сегменте турске економије. Српској страни је предложен </w:t>
      </w:r>
      <w:proofErr w:type="spellStart"/>
      <w:r w:rsidRPr="008F0243">
        <w:rPr>
          <w:lang w:val="sr-Cyrl-CS"/>
        </w:rPr>
        <w:t>синдицирани</w:t>
      </w:r>
      <w:proofErr w:type="spellEnd"/>
      <w:r w:rsidRPr="008F0243">
        <w:rPr>
          <w:lang w:val="sr-Cyrl-CS"/>
        </w:rPr>
        <w:t xml:space="preserve"> кредит за финансирање оба пројекта, кроз закључивање уговора о кредиту са конзорцијумом </w:t>
      </w:r>
      <w:proofErr w:type="spellStart"/>
      <w:r w:rsidRPr="008F0243">
        <w:rPr>
          <w:lang w:val="sr-Cyrl-CS"/>
        </w:rPr>
        <w:t>Ziraat</w:t>
      </w:r>
      <w:proofErr w:type="spellEnd"/>
      <w:r w:rsidRPr="008F0243">
        <w:rPr>
          <w:lang w:val="sr-Cyrl-CS"/>
        </w:rPr>
        <w:t xml:space="preserve"> Bank и </w:t>
      </w:r>
      <w:proofErr w:type="spellStart"/>
      <w:r w:rsidRPr="008F0243">
        <w:rPr>
          <w:lang w:val="sr-Cyrl-CS"/>
        </w:rPr>
        <w:t>Denizbank</w:t>
      </w:r>
      <w:proofErr w:type="spellEnd"/>
      <w:r w:rsidRPr="008F0243">
        <w:rPr>
          <w:bCs/>
          <w:lang w:val="sr-Cyrl-CS"/>
        </w:rPr>
        <w:t xml:space="preserve"> (укључујући и њихове огранке у земљи и иностранству заједно са огранцима у </w:t>
      </w:r>
      <w:proofErr w:type="spellStart"/>
      <w:r w:rsidRPr="008F0243">
        <w:rPr>
          <w:bCs/>
          <w:lang w:val="sr-Cyrl-CS"/>
        </w:rPr>
        <w:t>Бахреину</w:t>
      </w:r>
      <w:proofErr w:type="spellEnd"/>
      <w:r w:rsidRPr="008F0243">
        <w:rPr>
          <w:bCs/>
          <w:lang w:val="sr-Cyrl-CS"/>
        </w:rPr>
        <w:t>)</w:t>
      </w:r>
      <w:r w:rsidRPr="008F0243">
        <w:rPr>
          <w:lang w:val="sr-Cyrl-CS"/>
        </w:rPr>
        <w:t xml:space="preserve">, свака са својим уделом у кредиту, док би улогу агента имала </w:t>
      </w:r>
      <w:proofErr w:type="spellStart"/>
      <w:r w:rsidRPr="008F0243">
        <w:rPr>
          <w:lang w:val="sr-Cyrl-CS"/>
        </w:rPr>
        <w:t>Ziraat</w:t>
      </w:r>
      <w:proofErr w:type="spellEnd"/>
      <w:r w:rsidRPr="008F0243">
        <w:rPr>
          <w:lang w:val="sr-Cyrl-CS"/>
        </w:rPr>
        <w:t xml:space="preserve"> Bank.</w:t>
      </w:r>
    </w:p>
    <w:p w:rsidR="009B7AAF" w:rsidRPr="008F0243" w:rsidRDefault="009B7AAF" w:rsidP="009B7AAF">
      <w:pPr>
        <w:ind w:firstLine="708"/>
        <w:jc w:val="both"/>
        <w:rPr>
          <w:lang w:val="sr-Cyrl-CS"/>
        </w:rPr>
      </w:pPr>
      <w:r w:rsidRPr="008F0243">
        <w:rPr>
          <w:lang w:val="sr-Cyrl-CS"/>
        </w:rPr>
        <w:t>Закључком Владе 05 Број: 48</w:t>
      </w:r>
      <w:r w:rsidR="00DD58FA">
        <w:rPr>
          <w:lang w:val="sr-Cyrl-CS"/>
        </w:rPr>
        <w:t>-</w:t>
      </w:r>
      <w:bookmarkStart w:id="0" w:name="_GoBack"/>
      <w:bookmarkEnd w:id="0"/>
      <w:r w:rsidRPr="008F0243">
        <w:rPr>
          <w:lang w:val="sr-Cyrl-CS"/>
        </w:rPr>
        <w:t>4935/2019 од 23. маја 2019. године утврђена је Основа и одређена делегација Републике Србије за вођење преговора</w:t>
      </w:r>
      <w:r w:rsidR="00AD73DE" w:rsidRPr="008F0243">
        <w:rPr>
          <w:lang w:val="sr-Cyrl-CS"/>
        </w:rPr>
        <w:t xml:space="preserve"> са </w:t>
      </w:r>
      <w:proofErr w:type="spellStart"/>
      <w:r w:rsidR="00AD73DE" w:rsidRPr="008F0243">
        <w:rPr>
          <w:lang w:val="sr-Cyrl-CS"/>
        </w:rPr>
        <w:t>Ziraat</w:t>
      </w:r>
      <w:proofErr w:type="spellEnd"/>
      <w:r w:rsidR="00AD73DE" w:rsidRPr="008F0243">
        <w:rPr>
          <w:lang w:val="sr-Cyrl-CS"/>
        </w:rPr>
        <w:t xml:space="preserve"> Bank и </w:t>
      </w:r>
      <w:proofErr w:type="spellStart"/>
      <w:r w:rsidR="00AD73DE" w:rsidRPr="008F0243">
        <w:rPr>
          <w:lang w:val="sr-Cyrl-CS"/>
        </w:rPr>
        <w:t>Denizbank</w:t>
      </w:r>
      <w:proofErr w:type="spellEnd"/>
      <w:r w:rsidRPr="008F0243">
        <w:rPr>
          <w:lang w:val="sr-Cyrl-CS"/>
        </w:rPr>
        <w:t>, како би се обезбедио кредит за финансирање Пројекта 1 и Пројекта 2.</w:t>
      </w:r>
    </w:p>
    <w:p w:rsidR="00DD264B" w:rsidRPr="008F0243" w:rsidRDefault="00DD264B" w:rsidP="00DD264B">
      <w:pPr>
        <w:ind w:firstLine="708"/>
        <w:jc w:val="both"/>
        <w:rPr>
          <w:noProof/>
          <w:lang w:val="sr-Cyrl-CS"/>
        </w:rPr>
      </w:pPr>
      <w:r w:rsidRPr="008F0243">
        <w:rPr>
          <w:noProof/>
          <w:lang w:val="sr-Cyrl-CS"/>
        </w:rPr>
        <w:t>Током интензивних преговора, вођених од маја 2019. године када је турска страна доставила први нацрт кредитног уговора и понудила финансијске услове који нису били прихватљиви, у телефонској и електронској комуникацији размењивани су коментари, сугестије и предлози за измену и допуну појединих одредби уговора о кредиту и побољшање услова задуживања. Дана 16. октобра 2019. године, у Београду су одржани преговори са представницима обе турске банке и њиховим правним саветницима CMS Law-Now из Истанбула и Petrikić &amp; Partneri AOD из Београда, у сарадњи са CMS Reich-Rohrwig Hainz, када су разматрана преостала отворена питања и договорени знатно повољнији услови кредита у односу на почетно понуђене, мерено укупним трошковима задуживања.</w:t>
      </w:r>
    </w:p>
    <w:p w:rsidR="00DD264B" w:rsidRPr="008F0243" w:rsidRDefault="00DD264B" w:rsidP="00DD264B">
      <w:pPr>
        <w:ind w:firstLine="708"/>
        <w:jc w:val="both"/>
        <w:rPr>
          <w:noProof/>
          <w:lang w:val="sr-Cyrl-CS"/>
        </w:rPr>
      </w:pPr>
      <w:r w:rsidRPr="008F0243">
        <w:rPr>
          <w:noProof/>
          <w:lang w:val="sr-Cyrl-CS"/>
        </w:rPr>
        <w:tab/>
        <w:t xml:space="preserve">Наиме, индикативна цена задуживања, која је поред фиксне каматне стопе од 2,5% годишње, укључивала провизију на неповучена средства (Commitment Fee) од 1,5% годишње, трошкове по основу плаћања премије осигурања приликом повлачења сваке транше (Risk Premium) и то: 9,7% за кредитну линију за Пројекат 1 и 6,5% за кредитну линију за Пројекат 2, једнократну провизију за организовање кредитног посла (Arrangement Fee) по стопи од 0,25% укупног износа кредита, провизију за одржавање (Maintenance Fee) од 0,4% и низ других, додатних накнада, трошкова, обештећења непознате висине (Agency Fee, Limit Allocatiоn, Break costs) и обавезу за корисника кредита да даваоцима кредита и Агенту рефундира трошкове потенцијалних преноса/трансфера права и обавеза са постојећих на нове даваоце кредита/агенте, припремања правних докумената или њиховог анексирања, ангажовања правних консултаната, и све то према према дискреционом праву банака, била је знатно изнад просечних стопа по којима се Република Србија задужује на међународном финансијском тржишту, код међународних финансијских институција или других билатералних кредитора. </w:t>
      </w:r>
    </w:p>
    <w:p w:rsidR="00880F00" w:rsidRPr="008F0243" w:rsidRDefault="00DD264B" w:rsidP="00DD264B">
      <w:pPr>
        <w:ind w:firstLine="708"/>
        <w:jc w:val="both"/>
        <w:rPr>
          <w:noProof/>
          <w:lang w:val="sr-Cyrl-CS"/>
        </w:rPr>
      </w:pPr>
      <w:r w:rsidRPr="008F0243">
        <w:rPr>
          <w:noProof/>
          <w:lang w:val="sr-Cyrl-CS"/>
        </w:rPr>
        <w:tab/>
        <w:t>У настојању да из трошкова кредита буду искључене додатне провизије и накнаде банкама или агенту, које нису биле уобичајене у досадашњој пракси задуживања Републике Србије и чија би висина била непознаница приликом закључивања кредитног уговора, српска страна је у преговорима постигла значајно повољније услове</w:t>
      </w:r>
      <w:r w:rsidR="00880F00" w:rsidRPr="008F0243">
        <w:rPr>
          <w:noProof/>
          <w:lang w:val="sr-Cyrl-CS"/>
        </w:rPr>
        <w:t>.</w:t>
      </w:r>
    </w:p>
    <w:p w:rsidR="00880F00" w:rsidRPr="008F0243" w:rsidRDefault="00880F00" w:rsidP="00DD264B">
      <w:pPr>
        <w:ind w:firstLine="708"/>
        <w:jc w:val="both"/>
        <w:rPr>
          <w:noProof/>
          <w:lang w:val="sr-Cyrl-CS"/>
        </w:rPr>
      </w:pPr>
      <w:r w:rsidRPr="008F0243">
        <w:rPr>
          <w:noProof/>
          <w:lang w:val="sr-Cyrl-CS"/>
        </w:rPr>
        <w:t>Након успешно окончаних преговора Влада је Закључком 05 Број: 48-12791/2019-01 од 20. децембра 2019. године прихватила Извештај са преговора са турским банкама у вези са одобравањем кредита за финансирањ</w:t>
      </w:r>
      <w:r w:rsidR="00EE6323" w:rsidRPr="008F0243">
        <w:rPr>
          <w:noProof/>
          <w:lang w:val="sr-Cyrl-CS"/>
        </w:rPr>
        <w:t>е Пројекта 1 и Пројекта 2 и усвo</w:t>
      </w:r>
      <w:r w:rsidRPr="008F0243">
        <w:rPr>
          <w:noProof/>
          <w:lang w:val="sr-Cyrl-CS"/>
        </w:rPr>
        <w:t>јила Нацрт уговора о кредиту између Републике Србије (као Корисника кредита) и T.C. Ziraat Bankasi A.Ş. и Denizbank A.Ş. (као Давалаца кредита).</w:t>
      </w:r>
    </w:p>
    <w:p w:rsidR="00DD264B" w:rsidRPr="008F0243" w:rsidRDefault="00880F00" w:rsidP="00DD264B">
      <w:pPr>
        <w:ind w:firstLine="708"/>
        <w:jc w:val="both"/>
        <w:rPr>
          <w:noProof/>
          <w:lang w:val="sr-Cyrl-CS"/>
        </w:rPr>
      </w:pPr>
      <w:r w:rsidRPr="008F0243">
        <w:rPr>
          <w:noProof/>
          <w:lang w:val="sr-Cyrl-CS"/>
        </w:rPr>
        <w:t>Наведеним</w:t>
      </w:r>
      <w:r w:rsidR="00DD264B" w:rsidRPr="008F0243">
        <w:rPr>
          <w:noProof/>
          <w:lang w:val="sr-Cyrl-CS"/>
        </w:rPr>
        <w:t xml:space="preserve"> </w:t>
      </w:r>
      <w:r w:rsidRPr="008F0243">
        <w:rPr>
          <w:noProof/>
          <w:lang w:val="sr-Cyrl-CS"/>
        </w:rPr>
        <w:t xml:space="preserve">уговором о кредиту договорени су финансијски услови </w:t>
      </w:r>
      <w:r w:rsidR="00DD264B" w:rsidRPr="008F0243">
        <w:rPr>
          <w:noProof/>
          <w:lang w:val="sr-Cyrl-CS"/>
        </w:rPr>
        <w:t>како следи:</w:t>
      </w:r>
    </w:p>
    <w:p w:rsidR="00DD264B" w:rsidRPr="008F0243" w:rsidRDefault="00DD264B" w:rsidP="00DD264B">
      <w:pPr>
        <w:ind w:firstLine="708"/>
        <w:jc w:val="both"/>
        <w:rPr>
          <w:noProof/>
          <w:lang w:val="sr-Cyrl-CS"/>
        </w:rPr>
      </w:pPr>
      <w:r w:rsidRPr="008F0243">
        <w:rPr>
          <w:noProof/>
          <w:lang w:val="sr-Cyrl-CS"/>
        </w:rPr>
        <w:tab/>
        <w:t>- Корисник кредита: Република Србија, коју представља министар финансија, у име Владе као заступника Републике Србије;</w:t>
      </w:r>
    </w:p>
    <w:p w:rsidR="00DD264B" w:rsidRPr="008F0243" w:rsidRDefault="00DD264B" w:rsidP="00DD264B">
      <w:pPr>
        <w:ind w:firstLine="708"/>
        <w:jc w:val="both"/>
        <w:rPr>
          <w:noProof/>
          <w:lang w:val="sr-Cyrl-CS"/>
        </w:rPr>
      </w:pPr>
      <w:r w:rsidRPr="008F0243">
        <w:rPr>
          <w:noProof/>
          <w:lang w:val="sr-Cyrl-CS"/>
        </w:rPr>
        <w:tab/>
        <w:t>- Даваоци кредита: Ziraat Bank и Denizbank, које ће преко својих филијала прикупљати потребна средства у сразмери 50% према 50%;</w:t>
      </w:r>
    </w:p>
    <w:p w:rsidR="00DD264B" w:rsidRPr="008F0243" w:rsidRDefault="00DD264B" w:rsidP="00DD264B">
      <w:pPr>
        <w:ind w:firstLine="708"/>
        <w:jc w:val="both"/>
        <w:rPr>
          <w:noProof/>
          <w:lang w:val="sr-Cyrl-CS"/>
        </w:rPr>
      </w:pPr>
      <w:r w:rsidRPr="008F0243">
        <w:rPr>
          <w:noProof/>
          <w:lang w:val="sr-Cyrl-CS"/>
        </w:rPr>
        <w:lastRenderedPageBreak/>
        <w:tab/>
        <w:t>- Агент: Ziraat Bank која ће у име давалаца кредита обављати послове његовог администрирања и бити задужена за координацију међусобних односа између свих учесника у кредитном аранжману и комуникацију са корисником кредита;</w:t>
      </w:r>
    </w:p>
    <w:p w:rsidR="00DD264B" w:rsidRPr="008F0243" w:rsidRDefault="00DD264B" w:rsidP="00DD264B">
      <w:pPr>
        <w:ind w:firstLine="708"/>
        <w:jc w:val="both"/>
        <w:rPr>
          <w:noProof/>
          <w:lang w:val="sr-Cyrl-CS"/>
        </w:rPr>
      </w:pPr>
      <w:r w:rsidRPr="008F0243">
        <w:rPr>
          <w:noProof/>
          <w:lang w:val="sr-Cyrl-CS"/>
        </w:rPr>
        <w:t>- Финансијер: Министарство грађевинарства, саобраћаја и инфраструктуре, према одредбама Закона о планирању и изградњи („Службени гласник РС”, бр. 72/0</w:t>
      </w:r>
      <w:r w:rsidR="005E61E9" w:rsidRPr="008F0243">
        <w:rPr>
          <w:noProof/>
          <w:lang w:val="sr-Cyrl-CS"/>
        </w:rPr>
        <w:t>9, 81/09-исправка, 64/10-УС, 24/11, 121/12, 42/13-УС, 50/13-УС, 98/13-</w:t>
      </w:r>
      <w:r w:rsidRPr="008F0243">
        <w:rPr>
          <w:noProof/>
          <w:lang w:val="sr-Cyrl-CS"/>
        </w:rPr>
        <w:t>УС, 132/14, 145/14, 8</w:t>
      </w:r>
      <w:r w:rsidR="005E61E9" w:rsidRPr="008F0243">
        <w:rPr>
          <w:noProof/>
          <w:lang w:val="sr-Cyrl-CS"/>
        </w:rPr>
        <w:t>3</w:t>
      </w:r>
      <w:r w:rsidRPr="008F0243">
        <w:rPr>
          <w:noProof/>
          <w:lang w:val="sr-Cyrl-CS"/>
        </w:rPr>
        <w:t>/18, 31/19 и 37/19-др. закон);</w:t>
      </w:r>
    </w:p>
    <w:p w:rsidR="00DD264B" w:rsidRPr="008F0243" w:rsidRDefault="00DD264B" w:rsidP="00DD264B">
      <w:pPr>
        <w:ind w:firstLine="708"/>
        <w:jc w:val="both"/>
        <w:rPr>
          <w:noProof/>
          <w:lang w:val="sr-Cyrl-CS"/>
        </w:rPr>
      </w:pPr>
      <w:r w:rsidRPr="008F0243">
        <w:rPr>
          <w:noProof/>
          <w:lang w:val="sr-Cyrl-CS"/>
        </w:rPr>
        <w:t>- Инвеститор: Јавно предузеће „Путеви Србије”, Београд;</w:t>
      </w:r>
    </w:p>
    <w:p w:rsidR="00DD264B" w:rsidRPr="008F0243" w:rsidRDefault="00DD264B" w:rsidP="00DD264B">
      <w:pPr>
        <w:ind w:firstLine="708"/>
        <w:jc w:val="both"/>
        <w:rPr>
          <w:noProof/>
          <w:lang w:val="sr-Cyrl-CS"/>
        </w:rPr>
      </w:pPr>
      <w:r w:rsidRPr="008F0243">
        <w:rPr>
          <w:noProof/>
          <w:lang w:val="sr-Cyrl-CS"/>
        </w:rPr>
        <w:t>- Извођач: TASYAPI</w:t>
      </w:r>
    </w:p>
    <w:p w:rsidR="00DD264B" w:rsidRPr="008F0243" w:rsidRDefault="00DD264B" w:rsidP="00DD264B">
      <w:pPr>
        <w:ind w:firstLine="708"/>
        <w:jc w:val="both"/>
        <w:rPr>
          <w:noProof/>
          <w:lang w:val="sr-Cyrl-CS"/>
        </w:rPr>
      </w:pPr>
      <w:r w:rsidRPr="008F0243">
        <w:rPr>
          <w:noProof/>
          <w:lang w:val="sr-Cyrl-CS"/>
        </w:rPr>
        <w:tab/>
        <w:t>- Износ укупног задужења до износа од 219.200.000 евра, које обухвата две посебне кредитне линије од 19.200.000 евра (80% вредности Комерцијалног уговора 1) и од 200.000.000 милиона евра (80% вредности Комерцијалног уговора 2);</w:t>
      </w:r>
    </w:p>
    <w:p w:rsidR="00DD264B" w:rsidRPr="008F0243" w:rsidRDefault="00DD264B" w:rsidP="00DD264B">
      <w:pPr>
        <w:ind w:firstLine="708"/>
        <w:jc w:val="both"/>
        <w:rPr>
          <w:noProof/>
          <w:lang w:val="sr-Cyrl-CS"/>
        </w:rPr>
      </w:pPr>
      <w:r w:rsidRPr="008F0243">
        <w:rPr>
          <w:noProof/>
          <w:lang w:val="sr-Cyrl-CS"/>
        </w:rPr>
        <w:tab/>
        <w:t>- Минимални износ транше коју корисник кредита може повући је милион евра;</w:t>
      </w:r>
    </w:p>
    <w:p w:rsidR="00DD264B" w:rsidRPr="008F0243" w:rsidRDefault="00DD264B" w:rsidP="00DD264B">
      <w:pPr>
        <w:ind w:firstLine="708"/>
        <w:jc w:val="both"/>
        <w:rPr>
          <w:noProof/>
          <w:lang w:val="sr-Cyrl-CS"/>
        </w:rPr>
      </w:pPr>
      <w:r w:rsidRPr="008F0243">
        <w:rPr>
          <w:noProof/>
          <w:lang w:val="sr-Cyrl-CS"/>
        </w:rPr>
        <w:tab/>
        <w:t>- Период расположивости средстава прве кредитне линије: 2 године од ефективности уговора о кредиту и у складу са роком за завршетак Пројекта 1;</w:t>
      </w:r>
    </w:p>
    <w:p w:rsidR="00DD264B" w:rsidRPr="008F0243" w:rsidRDefault="00DD264B" w:rsidP="00DD264B">
      <w:pPr>
        <w:ind w:firstLine="708"/>
        <w:jc w:val="both"/>
        <w:rPr>
          <w:noProof/>
          <w:lang w:val="sr-Cyrl-CS"/>
        </w:rPr>
      </w:pPr>
      <w:r w:rsidRPr="008F0243">
        <w:rPr>
          <w:noProof/>
          <w:lang w:val="sr-Cyrl-CS"/>
        </w:rPr>
        <w:tab/>
        <w:t>- Период расположивости средстава друге кредитне линије: 4 године од ефективности уговора о кредиту и у складу са роком за завршетак Пројекта 2;</w:t>
      </w:r>
    </w:p>
    <w:p w:rsidR="00DD264B" w:rsidRPr="008F0243" w:rsidRDefault="00DD264B" w:rsidP="00DD264B">
      <w:pPr>
        <w:ind w:firstLine="708"/>
        <w:jc w:val="both"/>
        <w:rPr>
          <w:noProof/>
          <w:lang w:val="sr-Cyrl-CS"/>
        </w:rPr>
      </w:pPr>
      <w:r w:rsidRPr="008F0243">
        <w:rPr>
          <w:noProof/>
          <w:lang w:val="sr-Cyrl-CS"/>
        </w:rPr>
        <w:tab/>
        <w:t>-  Перид почека прве кредитне линије: 2 године од повлачења прве транше кредитних средстава, док је период отплате главнице 10,5 година, у 21 једнакој полугодишњој рати;</w:t>
      </w:r>
    </w:p>
    <w:p w:rsidR="00DD264B" w:rsidRPr="008F0243" w:rsidRDefault="00DD264B" w:rsidP="00DD264B">
      <w:pPr>
        <w:ind w:firstLine="708"/>
        <w:jc w:val="both"/>
        <w:rPr>
          <w:noProof/>
          <w:lang w:val="sr-Cyrl-CS"/>
        </w:rPr>
      </w:pPr>
      <w:r w:rsidRPr="008F0243">
        <w:rPr>
          <w:noProof/>
          <w:lang w:val="sr-Cyrl-CS"/>
        </w:rPr>
        <w:tab/>
        <w:t>- Перид почека друге кредитне линије: 4 године од повлачења прве транше кредитних средстава, док је период отплате главнице 9 година година, у 18 једнаких полугодишњих рата;</w:t>
      </w:r>
    </w:p>
    <w:p w:rsidR="00DD264B" w:rsidRPr="008F0243" w:rsidRDefault="00DD264B" w:rsidP="00DD264B">
      <w:pPr>
        <w:ind w:firstLine="708"/>
        <w:jc w:val="both"/>
        <w:rPr>
          <w:noProof/>
          <w:lang w:val="sr-Cyrl-CS"/>
        </w:rPr>
      </w:pPr>
      <w:r w:rsidRPr="008F0243">
        <w:rPr>
          <w:noProof/>
          <w:lang w:val="sr-Cyrl-CS"/>
        </w:rPr>
        <w:tab/>
        <w:t>- Фиксна каматна стопа: 2,5% годишње за обе кредитне линије, која се обрачунава од датума првог повлачења сваке од две кредитне линије;</w:t>
      </w:r>
    </w:p>
    <w:p w:rsidR="00DD264B" w:rsidRPr="008F0243" w:rsidRDefault="00DD264B" w:rsidP="00DD264B">
      <w:pPr>
        <w:ind w:firstLine="708"/>
        <w:jc w:val="both"/>
        <w:rPr>
          <w:noProof/>
          <w:lang w:val="sr-Cyrl-CS"/>
        </w:rPr>
      </w:pPr>
      <w:r w:rsidRPr="008F0243">
        <w:rPr>
          <w:noProof/>
          <w:lang w:val="sr-Cyrl-CS"/>
        </w:rPr>
        <w:tab/>
        <w:t>- Провизија на неповучена средства: 0,75% годишње на износ неискоришћених средстава за сваку од кредитних линија током периода њихове расположивости, која се обрачунава од датума ступања на снагу уговора о кредиту;</w:t>
      </w:r>
    </w:p>
    <w:p w:rsidR="00DD264B" w:rsidRPr="008F0243" w:rsidRDefault="00DD264B" w:rsidP="00DD264B">
      <w:pPr>
        <w:ind w:firstLine="708"/>
        <w:jc w:val="both"/>
        <w:rPr>
          <w:noProof/>
          <w:lang w:val="sr-Cyrl-CS"/>
        </w:rPr>
      </w:pPr>
      <w:r w:rsidRPr="008F0243">
        <w:rPr>
          <w:noProof/>
          <w:lang w:val="sr-Cyrl-CS"/>
        </w:rPr>
        <w:tab/>
        <w:t>- Датуми плаћања обавеза су 30. април и 31. октобар сваке године;</w:t>
      </w:r>
    </w:p>
    <w:p w:rsidR="00DD264B" w:rsidRPr="008F0243" w:rsidRDefault="00DD264B" w:rsidP="00DD264B">
      <w:pPr>
        <w:ind w:firstLine="708"/>
        <w:jc w:val="both"/>
        <w:rPr>
          <w:noProof/>
          <w:lang w:val="sr-Cyrl-CS"/>
        </w:rPr>
      </w:pPr>
      <w:r w:rsidRPr="008F0243">
        <w:rPr>
          <w:noProof/>
          <w:lang w:val="sr-Cyrl-CS"/>
        </w:rPr>
        <w:tab/>
        <w:t>- Провизија  за организовање кредитног посла: 2,5 % на укупан износ кредита, која се плаћа једнократно, у року од 30 дана од датума ступања на снагу уговора о кредиту, сваком даваоцу кредита према његовом учешћу у синдицираном кредиту;</w:t>
      </w:r>
    </w:p>
    <w:p w:rsidR="00DD264B" w:rsidRPr="008F0243" w:rsidRDefault="00DD264B" w:rsidP="00DD264B">
      <w:pPr>
        <w:ind w:firstLine="708"/>
        <w:jc w:val="both"/>
        <w:rPr>
          <w:noProof/>
          <w:lang w:val="sr-Cyrl-CS"/>
        </w:rPr>
      </w:pPr>
      <w:r w:rsidRPr="008F0243">
        <w:rPr>
          <w:noProof/>
          <w:lang w:val="sr-Cyrl-CS"/>
        </w:rPr>
        <w:tab/>
        <w:t>- Провизија Агенту:  у износу од 10.000 евра годишње;</w:t>
      </w:r>
    </w:p>
    <w:p w:rsidR="00DD264B" w:rsidRPr="008F0243" w:rsidRDefault="00DD264B" w:rsidP="00DD264B">
      <w:pPr>
        <w:ind w:firstLine="708"/>
        <w:jc w:val="both"/>
        <w:rPr>
          <w:noProof/>
          <w:lang w:val="sr-Cyrl-CS"/>
        </w:rPr>
      </w:pPr>
      <w:r w:rsidRPr="008F0243">
        <w:rPr>
          <w:noProof/>
          <w:lang w:val="sr-Cyrl-CS"/>
        </w:rPr>
        <w:tab/>
        <w:t>- Без плаћања премије осигурања за кредит;</w:t>
      </w:r>
    </w:p>
    <w:p w:rsidR="00DD264B" w:rsidRPr="008F0243" w:rsidRDefault="00DD264B" w:rsidP="00DD264B">
      <w:pPr>
        <w:ind w:firstLine="708"/>
        <w:jc w:val="both"/>
        <w:rPr>
          <w:noProof/>
          <w:lang w:val="sr-Cyrl-CS"/>
        </w:rPr>
      </w:pPr>
      <w:r w:rsidRPr="008F0243">
        <w:rPr>
          <w:noProof/>
          <w:lang w:val="sr-Cyrl-CS"/>
        </w:rPr>
        <w:tab/>
        <w:t>- Затезна каматна стопа: обрачунава се по стопи од 1% изнад редовне каматне стопе.</w:t>
      </w:r>
    </w:p>
    <w:p w:rsidR="009B7AAF" w:rsidRPr="008F0243" w:rsidRDefault="00DD264B" w:rsidP="00DD264B">
      <w:pPr>
        <w:ind w:firstLine="708"/>
        <w:jc w:val="both"/>
        <w:rPr>
          <w:noProof/>
          <w:lang w:val="sr-Cyrl-CS"/>
        </w:rPr>
      </w:pPr>
      <w:r w:rsidRPr="008F0243">
        <w:rPr>
          <w:noProof/>
          <w:lang w:val="sr-Cyrl-CS"/>
        </w:rPr>
        <w:tab/>
        <w:t>Сагледавањем стварних трошкова задуживања, и с обзиром на чињеницу да је у преговорима из трошкова искључено плаћање премије осигурања у износу од 1,86 милиона евра за кредитну линију од 19,2 милиона евра и 13 милиона евра за кредитну линију од 200 милиона евра, као и значајно снижена стопа провизије на неповучена средства са 1,5% на 0,75% годишње, да су даваоци кредита и Агент одустали од провизије за одржавање, управљање и других накнада или обештећања, који су уобичајени у банкарској пракси код одобравања синдицираних кредита, наведени финансијски услови прихваћени су као повољни  и одрживи.</w:t>
      </w:r>
    </w:p>
    <w:p w:rsidR="006C134E" w:rsidRPr="008F0243" w:rsidRDefault="006C134E" w:rsidP="00321414">
      <w:pPr>
        <w:ind w:firstLine="708"/>
        <w:jc w:val="both"/>
        <w:rPr>
          <w:noProof/>
          <w:lang w:val="sr-Cyrl-CS"/>
        </w:rPr>
      </w:pPr>
    </w:p>
    <w:p w:rsidR="00406A9D" w:rsidRPr="008F0243" w:rsidRDefault="00406A9D" w:rsidP="002C2746">
      <w:pPr>
        <w:ind w:firstLine="708"/>
        <w:jc w:val="both"/>
        <w:rPr>
          <w:lang w:val="sr-Cyrl-CS"/>
        </w:rPr>
      </w:pPr>
    </w:p>
    <w:p w:rsidR="00AE55C5" w:rsidRPr="008F0243" w:rsidRDefault="00AE55C5" w:rsidP="002C2746">
      <w:pPr>
        <w:ind w:firstLine="708"/>
        <w:jc w:val="both"/>
        <w:rPr>
          <w:lang w:val="sr-Cyrl-CS"/>
        </w:rPr>
      </w:pPr>
    </w:p>
    <w:p w:rsidR="00AE55C5" w:rsidRPr="008F0243" w:rsidRDefault="00AE55C5" w:rsidP="002C2746">
      <w:pPr>
        <w:ind w:firstLine="708"/>
        <w:jc w:val="both"/>
        <w:rPr>
          <w:lang w:val="sr-Cyrl-CS"/>
        </w:rPr>
      </w:pPr>
    </w:p>
    <w:p w:rsidR="00AE55C5" w:rsidRPr="008F0243" w:rsidRDefault="00AE55C5" w:rsidP="002C2746">
      <w:pPr>
        <w:ind w:firstLine="708"/>
        <w:jc w:val="both"/>
        <w:rPr>
          <w:lang w:val="sr-Cyrl-CS"/>
        </w:rPr>
      </w:pPr>
    </w:p>
    <w:p w:rsidR="00692046" w:rsidRPr="008F0243" w:rsidRDefault="00692046" w:rsidP="00692046">
      <w:pPr>
        <w:ind w:firstLine="720"/>
        <w:jc w:val="both"/>
        <w:rPr>
          <w:lang w:val="sr-Cyrl-CS"/>
        </w:rPr>
      </w:pPr>
      <w:r w:rsidRPr="008F0243">
        <w:rPr>
          <w:lang w:val="sr-Cyrl-CS"/>
        </w:rPr>
        <w:lastRenderedPageBreak/>
        <w:t xml:space="preserve">III. ОБЈАШЊЕЊЕ ОСНОВНИХ ПРАВНИХ ИНСТИТУТА И ПОЈЕДИНАЧНИХ РЕШЕЊА </w:t>
      </w:r>
    </w:p>
    <w:p w:rsidR="00692046" w:rsidRPr="008F0243" w:rsidRDefault="00692046" w:rsidP="00692046">
      <w:pPr>
        <w:jc w:val="both"/>
        <w:rPr>
          <w:lang w:val="sr-Cyrl-CS"/>
        </w:rPr>
      </w:pPr>
    </w:p>
    <w:p w:rsidR="00692046" w:rsidRPr="008F0243" w:rsidRDefault="00692046" w:rsidP="00692046">
      <w:pPr>
        <w:ind w:firstLine="720"/>
        <w:jc w:val="both"/>
        <w:rPr>
          <w:rFonts w:eastAsia="SimSun"/>
          <w:lang w:val="sr-Cyrl-CS"/>
        </w:rPr>
      </w:pPr>
      <w:r w:rsidRPr="008F0243">
        <w:rPr>
          <w:lang w:val="sr-Cyrl-CS"/>
        </w:rPr>
        <w:t xml:space="preserve">Одредбом члана 1. </w:t>
      </w:r>
      <w:r w:rsidR="008101EB" w:rsidRPr="008F0243">
        <w:rPr>
          <w:lang w:val="sr-Cyrl-CS"/>
        </w:rPr>
        <w:t xml:space="preserve">овог закона </w:t>
      </w:r>
      <w:r w:rsidRPr="008F0243">
        <w:rPr>
          <w:lang w:val="sr-Cyrl-CS"/>
        </w:rPr>
        <w:t>предвиђа се потврђивање</w:t>
      </w:r>
      <w:r w:rsidR="00D34420" w:rsidRPr="008F0243">
        <w:rPr>
          <w:lang w:val="sr-Cyrl-CS"/>
        </w:rPr>
        <w:t xml:space="preserve"> Уговора о кредиту између Републике Србије (као Корисника кредита) и T.C. </w:t>
      </w:r>
      <w:proofErr w:type="spellStart"/>
      <w:r w:rsidR="00D34420" w:rsidRPr="008F0243">
        <w:rPr>
          <w:lang w:val="sr-Cyrl-CS"/>
        </w:rPr>
        <w:t>Ziraat</w:t>
      </w:r>
      <w:proofErr w:type="spellEnd"/>
      <w:r w:rsidR="00D34420" w:rsidRPr="008F0243">
        <w:rPr>
          <w:lang w:val="sr-Cyrl-CS"/>
        </w:rPr>
        <w:t xml:space="preserve"> </w:t>
      </w:r>
      <w:proofErr w:type="spellStart"/>
      <w:r w:rsidR="00D34420" w:rsidRPr="008F0243">
        <w:rPr>
          <w:lang w:val="sr-Cyrl-CS"/>
        </w:rPr>
        <w:t>Bankasi</w:t>
      </w:r>
      <w:proofErr w:type="spellEnd"/>
      <w:r w:rsidR="00D34420" w:rsidRPr="008F0243">
        <w:rPr>
          <w:lang w:val="sr-Cyrl-CS"/>
        </w:rPr>
        <w:t xml:space="preserve"> A.Ş. и </w:t>
      </w:r>
      <w:proofErr w:type="spellStart"/>
      <w:r w:rsidR="00D34420" w:rsidRPr="008F0243">
        <w:rPr>
          <w:lang w:val="sr-Cyrl-CS"/>
        </w:rPr>
        <w:t>Denizbank</w:t>
      </w:r>
      <w:proofErr w:type="spellEnd"/>
      <w:r w:rsidR="00D34420" w:rsidRPr="008F0243">
        <w:rPr>
          <w:lang w:val="sr-Cyrl-CS"/>
        </w:rPr>
        <w:t xml:space="preserve"> A.Ş. (као Давалаца кредита)</w:t>
      </w:r>
      <w:r w:rsidR="008A5066" w:rsidRPr="008F0243">
        <w:rPr>
          <w:rFonts w:eastAsia="SimSun"/>
          <w:lang w:val="sr-Cyrl-CS"/>
        </w:rPr>
        <w:t>, потписаног</w:t>
      </w:r>
      <w:r w:rsidR="00305959" w:rsidRPr="008F0243">
        <w:rPr>
          <w:rFonts w:eastAsia="SimSun"/>
          <w:lang w:val="sr-Cyrl-CS"/>
        </w:rPr>
        <w:t xml:space="preserve"> </w:t>
      </w:r>
      <w:r w:rsidR="002C2746" w:rsidRPr="008F0243">
        <w:rPr>
          <w:rFonts w:eastAsia="SimSun"/>
          <w:lang w:val="sr-Cyrl-CS"/>
        </w:rPr>
        <w:t>у Београду</w:t>
      </w:r>
      <w:r w:rsidR="00D34420" w:rsidRPr="008F0243">
        <w:rPr>
          <w:rFonts w:eastAsia="SimSun"/>
          <w:lang w:val="sr-Cyrl-CS"/>
        </w:rPr>
        <w:t>,</w:t>
      </w:r>
      <w:r w:rsidR="002C2746" w:rsidRPr="008F0243">
        <w:rPr>
          <w:rFonts w:eastAsia="SimSun"/>
          <w:lang w:val="sr-Cyrl-CS"/>
        </w:rPr>
        <w:t xml:space="preserve"> </w:t>
      </w:r>
      <w:r w:rsidR="00D34420" w:rsidRPr="008F0243">
        <w:rPr>
          <w:rFonts w:eastAsia="SimSun"/>
          <w:lang w:val="sr-Cyrl-CS"/>
        </w:rPr>
        <w:t>25</w:t>
      </w:r>
      <w:r w:rsidR="002C2746" w:rsidRPr="008F0243">
        <w:rPr>
          <w:rFonts w:eastAsia="SimSun"/>
          <w:lang w:val="sr-Cyrl-CS" w:eastAsia="zh-CN"/>
        </w:rPr>
        <w:t xml:space="preserve">. </w:t>
      </w:r>
      <w:r w:rsidR="00D34420" w:rsidRPr="008F0243">
        <w:rPr>
          <w:rFonts w:eastAsia="SimSun"/>
          <w:lang w:val="sr-Cyrl-CS" w:eastAsia="zh-CN"/>
        </w:rPr>
        <w:t>дец</w:t>
      </w:r>
      <w:r w:rsidR="002C2746" w:rsidRPr="008F0243">
        <w:rPr>
          <w:rFonts w:eastAsia="SimSun"/>
          <w:lang w:val="sr-Cyrl-CS" w:eastAsia="zh-CN"/>
        </w:rPr>
        <w:t>ембра 2019. године</w:t>
      </w:r>
      <w:r w:rsidR="00746BDE" w:rsidRPr="008F0243">
        <w:rPr>
          <w:lang w:val="sr-Cyrl-CS"/>
        </w:rPr>
        <w:t xml:space="preserve">, </w:t>
      </w:r>
      <w:r w:rsidRPr="008F0243">
        <w:rPr>
          <w:rFonts w:eastAsia="SimSun"/>
          <w:lang w:val="sr-Cyrl-CS"/>
        </w:rPr>
        <w:t>у оригиналу на енглеском језику.</w:t>
      </w:r>
    </w:p>
    <w:p w:rsidR="00692046" w:rsidRPr="008F0243" w:rsidRDefault="00692046" w:rsidP="00692046">
      <w:pPr>
        <w:ind w:firstLine="720"/>
        <w:jc w:val="both"/>
        <w:rPr>
          <w:lang w:val="sr-Cyrl-CS"/>
        </w:rPr>
      </w:pPr>
      <w:r w:rsidRPr="008F0243">
        <w:rPr>
          <w:lang w:val="sr-Cyrl-CS"/>
        </w:rPr>
        <w:t xml:space="preserve"> Одредба члана 2. </w:t>
      </w:r>
      <w:r w:rsidR="008101EB" w:rsidRPr="008F0243">
        <w:rPr>
          <w:lang w:val="sr-Cyrl-CS"/>
        </w:rPr>
        <w:t xml:space="preserve">овог закона </w:t>
      </w:r>
      <w:r w:rsidRPr="008F0243">
        <w:rPr>
          <w:lang w:val="sr-Cyrl-CS"/>
        </w:rPr>
        <w:t xml:space="preserve">садржи текст </w:t>
      </w:r>
      <w:r w:rsidR="00D34420" w:rsidRPr="008F0243">
        <w:rPr>
          <w:rFonts w:eastAsia="SimSun"/>
          <w:lang w:val="sr-Cyrl-CS"/>
        </w:rPr>
        <w:t xml:space="preserve">Уговора о кредиту између Републике Србије (као Корисника кредита) и T.C. </w:t>
      </w:r>
      <w:proofErr w:type="spellStart"/>
      <w:r w:rsidR="00D34420" w:rsidRPr="008F0243">
        <w:rPr>
          <w:rFonts w:eastAsia="SimSun"/>
          <w:lang w:val="sr-Cyrl-CS"/>
        </w:rPr>
        <w:t>Ziraat</w:t>
      </w:r>
      <w:proofErr w:type="spellEnd"/>
      <w:r w:rsidR="00D34420" w:rsidRPr="008F0243">
        <w:rPr>
          <w:rFonts w:eastAsia="SimSun"/>
          <w:lang w:val="sr-Cyrl-CS"/>
        </w:rPr>
        <w:t xml:space="preserve"> </w:t>
      </w:r>
      <w:proofErr w:type="spellStart"/>
      <w:r w:rsidR="00D34420" w:rsidRPr="008F0243">
        <w:rPr>
          <w:rFonts w:eastAsia="SimSun"/>
          <w:lang w:val="sr-Cyrl-CS"/>
        </w:rPr>
        <w:t>Bankasi</w:t>
      </w:r>
      <w:proofErr w:type="spellEnd"/>
      <w:r w:rsidR="00D34420" w:rsidRPr="008F0243">
        <w:rPr>
          <w:rFonts w:eastAsia="SimSun"/>
          <w:lang w:val="sr-Cyrl-CS"/>
        </w:rPr>
        <w:t xml:space="preserve"> A.Ş. и </w:t>
      </w:r>
      <w:proofErr w:type="spellStart"/>
      <w:r w:rsidR="00D34420" w:rsidRPr="008F0243">
        <w:rPr>
          <w:rFonts w:eastAsia="SimSun"/>
          <w:lang w:val="sr-Cyrl-CS"/>
        </w:rPr>
        <w:t>Denizbank</w:t>
      </w:r>
      <w:proofErr w:type="spellEnd"/>
      <w:r w:rsidR="00D34420" w:rsidRPr="008F0243">
        <w:rPr>
          <w:rFonts w:eastAsia="SimSun"/>
          <w:lang w:val="sr-Cyrl-CS"/>
        </w:rPr>
        <w:t xml:space="preserve"> A.Ş. (као Давалаца кредита)</w:t>
      </w:r>
      <w:r w:rsidRPr="008F0243">
        <w:rPr>
          <w:rFonts w:eastAsia="SimSun"/>
          <w:lang w:val="sr-Cyrl-CS"/>
        </w:rPr>
        <w:t xml:space="preserve">, </w:t>
      </w:r>
      <w:r w:rsidRPr="008F0243">
        <w:rPr>
          <w:lang w:val="sr-Cyrl-CS"/>
        </w:rPr>
        <w:t>у оригиналу на енглеском језику и у преводу на српски језик.</w:t>
      </w:r>
    </w:p>
    <w:p w:rsidR="00692046" w:rsidRPr="008F0243" w:rsidRDefault="00692046" w:rsidP="00692046">
      <w:pPr>
        <w:ind w:firstLine="720"/>
        <w:jc w:val="both"/>
        <w:rPr>
          <w:lang w:val="sr-Cyrl-CS"/>
        </w:rPr>
      </w:pPr>
      <w:r w:rsidRPr="008F0243">
        <w:rPr>
          <w:lang w:val="sr-Cyrl-CS"/>
        </w:rPr>
        <w:t xml:space="preserve">Одредбом члана 3. уређује се ступање на снагу овог закона. </w:t>
      </w:r>
    </w:p>
    <w:p w:rsidR="00AE55C5" w:rsidRPr="008F0243" w:rsidRDefault="00AE55C5" w:rsidP="00692046">
      <w:pPr>
        <w:ind w:firstLine="720"/>
        <w:jc w:val="both"/>
        <w:rPr>
          <w:lang w:val="sr-Cyrl-CS"/>
        </w:rPr>
      </w:pPr>
    </w:p>
    <w:p w:rsidR="00692046" w:rsidRPr="008F0243" w:rsidRDefault="00692046" w:rsidP="00692046">
      <w:pPr>
        <w:ind w:firstLine="720"/>
        <w:jc w:val="both"/>
        <w:rPr>
          <w:bCs/>
          <w:lang w:val="sr-Cyrl-CS"/>
        </w:rPr>
      </w:pPr>
    </w:p>
    <w:p w:rsidR="00692046" w:rsidRPr="008F0243" w:rsidRDefault="00692046" w:rsidP="00692046">
      <w:pPr>
        <w:ind w:firstLine="720"/>
        <w:jc w:val="both"/>
        <w:rPr>
          <w:bCs/>
          <w:lang w:val="sr-Cyrl-CS"/>
        </w:rPr>
      </w:pPr>
      <w:r w:rsidRPr="008F0243">
        <w:rPr>
          <w:bCs/>
          <w:lang w:val="sr-Cyrl-CS"/>
        </w:rPr>
        <w:t>IV. ПРОЦЕНА ИЗНОСА ФИНАНСИЈСКИХ СРЕДСТАВА ПОТРЕБНИХ ЗА   СПРОВОЂЕЊЕ ЗАКОНА</w:t>
      </w:r>
    </w:p>
    <w:p w:rsidR="00692046" w:rsidRPr="008F0243" w:rsidRDefault="00692046" w:rsidP="00692046">
      <w:pPr>
        <w:jc w:val="both"/>
        <w:rPr>
          <w:lang w:val="sr-Cyrl-CS"/>
        </w:rPr>
      </w:pPr>
    </w:p>
    <w:p w:rsidR="00692046" w:rsidRPr="008F0243" w:rsidRDefault="00692046" w:rsidP="00692046">
      <w:pPr>
        <w:jc w:val="both"/>
        <w:rPr>
          <w:lang w:val="sr-Cyrl-CS"/>
        </w:rPr>
      </w:pPr>
      <w:r w:rsidRPr="008F0243">
        <w:rPr>
          <w:lang w:val="sr-Cyrl-CS"/>
        </w:rPr>
        <w:tab/>
        <w:t>За спровођење овог закона обезбеђиваће се средства у буџету Републике Србије.</w:t>
      </w:r>
    </w:p>
    <w:p w:rsidR="00692046" w:rsidRPr="008F0243" w:rsidRDefault="00692046" w:rsidP="00692046">
      <w:pPr>
        <w:jc w:val="both"/>
        <w:rPr>
          <w:lang w:val="sr-Cyrl-CS"/>
        </w:rPr>
      </w:pPr>
    </w:p>
    <w:sectPr w:rsidR="00692046" w:rsidRPr="008F0243" w:rsidSect="003C2142">
      <w:headerReference w:type="even" r:id="rId7"/>
      <w:headerReference w:type="default" r:id="rId8"/>
      <w:footerReference w:type="even" r:id="rId9"/>
      <w:pgSz w:w="11909" w:h="16834" w:code="9"/>
      <w:pgMar w:top="1276" w:right="1469"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9F4" w:rsidRDefault="000C59F4">
      <w:r>
        <w:separator/>
      </w:r>
    </w:p>
  </w:endnote>
  <w:endnote w:type="continuationSeparator" w:id="0">
    <w:p w:rsidR="000C59F4" w:rsidRDefault="000C5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726477" w:rsidP="00774B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26477" w:rsidRDefault="0072647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9F4" w:rsidRDefault="000C59F4">
      <w:r>
        <w:separator/>
      </w:r>
    </w:p>
  </w:footnote>
  <w:footnote w:type="continuationSeparator" w:id="0">
    <w:p w:rsidR="000C59F4" w:rsidRDefault="000C59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726477" w:rsidP="00062F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26477" w:rsidRDefault="007264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726477" w:rsidP="004A33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D58FA">
      <w:rPr>
        <w:rStyle w:val="PageNumber"/>
        <w:noProof/>
      </w:rPr>
      <w:t>5</w:t>
    </w:r>
    <w:r>
      <w:rPr>
        <w:rStyle w:val="PageNumber"/>
      </w:rPr>
      <w:fldChar w:fldCharType="end"/>
    </w:r>
  </w:p>
  <w:p w:rsidR="00726477" w:rsidRDefault="007264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E4FF3"/>
    <w:multiLevelType w:val="hybridMultilevel"/>
    <w:tmpl w:val="C988099A"/>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721758E"/>
    <w:multiLevelType w:val="hybridMultilevel"/>
    <w:tmpl w:val="B3AAFF54"/>
    <w:lvl w:ilvl="0" w:tplc="6950C1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3" w15:restartNumberingAfterBreak="0">
    <w:nsid w:val="30C07DDC"/>
    <w:multiLevelType w:val="multilevel"/>
    <w:tmpl w:val="B712C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024CFF"/>
    <w:multiLevelType w:val="hybridMultilevel"/>
    <w:tmpl w:val="DE46A94A"/>
    <w:lvl w:ilvl="0" w:tplc="903825BA">
      <w:numFmt w:val="bullet"/>
      <w:lvlText w:val="-"/>
      <w:lvlJc w:val="left"/>
      <w:pPr>
        <w:tabs>
          <w:tab w:val="num" w:pos="1680"/>
        </w:tabs>
        <w:ind w:left="1680" w:hanging="9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5AC4DB6"/>
    <w:multiLevelType w:val="hybridMultilevel"/>
    <w:tmpl w:val="8D928F3E"/>
    <w:lvl w:ilvl="0" w:tplc="CEF2BB1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6A0136"/>
    <w:multiLevelType w:val="hybridMultilevel"/>
    <w:tmpl w:val="5CC0954C"/>
    <w:lvl w:ilvl="0" w:tplc="7562CC4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57A475B2"/>
    <w:multiLevelType w:val="hybridMultilevel"/>
    <w:tmpl w:val="DA0C83E4"/>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7"/>
  </w:num>
  <w:num w:numId="5">
    <w:abstractNumId w:val="3"/>
  </w:num>
  <w:num w:numId="6">
    <w:abstractNumId w:val="2"/>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E17"/>
    <w:rsid w:val="00032B9A"/>
    <w:rsid w:val="000437FA"/>
    <w:rsid w:val="00062F06"/>
    <w:rsid w:val="00064108"/>
    <w:rsid w:val="000821BE"/>
    <w:rsid w:val="000828FE"/>
    <w:rsid w:val="000934C3"/>
    <w:rsid w:val="0009350A"/>
    <w:rsid w:val="000A50DC"/>
    <w:rsid w:val="000A781B"/>
    <w:rsid w:val="000B0459"/>
    <w:rsid w:val="000B1A47"/>
    <w:rsid w:val="000B433B"/>
    <w:rsid w:val="000B4E48"/>
    <w:rsid w:val="000B53A9"/>
    <w:rsid w:val="000B70BA"/>
    <w:rsid w:val="000C1F4C"/>
    <w:rsid w:val="000C4E82"/>
    <w:rsid w:val="000C59F4"/>
    <w:rsid w:val="000D143F"/>
    <w:rsid w:val="000E05B7"/>
    <w:rsid w:val="00103B05"/>
    <w:rsid w:val="00113ACC"/>
    <w:rsid w:val="0011444A"/>
    <w:rsid w:val="00117CB4"/>
    <w:rsid w:val="00126325"/>
    <w:rsid w:val="00137165"/>
    <w:rsid w:val="00144767"/>
    <w:rsid w:val="00147749"/>
    <w:rsid w:val="00153626"/>
    <w:rsid w:val="001651DD"/>
    <w:rsid w:val="001667F5"/>
    <w:rsid w:val="00194E3B"/>
    <w:rsid w:val="001A3B02"/>
    <w:rsid w:val="001A6A09"/>
    <w:rsid w:val="001A7148"/>
    <w:rsid w:val="001A77EC"/>
    <w:rsid w:val="001B66FD"/>
    <w:rsid w:val="001C546D"/>
    <w:rsid w:val="001C5E2D"/>
    <w:rsid w:val="001E1C8B"/>
    <w:rsid w:val="001E418E"/>
    <w:rsid w:val="001E7107"/>
    <w:rsid w:val="001F1228"/>
    <w:rsid w:val="00204A89"/>
    <w:rsid w:val="002052E3"/>
    <w:rsid w:val="002236F8"/>
    <w:rsid w:val="0022669F"/>
    <w:rsid w:val="00241C0E"/>
    <w:rsid w:val="00243DD8"/>
    <w:rsid w:val="00253453"/>
    <w:rsid w:val="00255BA5"/>
    <w:rsid w:val="0025659C"/>
    <w:rsid w:val="0025742D"/>
    <w:rsid w:val="00272201"/>
    <w:rsid w:val="00282F56"/>
    <w:rsid w:val="00286C70"/>
    <w:rsid w:val="00291078"/>
    <w:rsid w:val="002912F5"/>
    <w:rsid w:val="002978D5"/>
    <w:rsid w:val="002A19F2"/>
    <w:rsid w:val="002C140C"/>
    <w:rsid w:val="002C2746"/>
    <w:rsid w:val="002F1750"/>
    <w:rsid w:val="0030234C"/>
    <w:rsid w:val="00302F02"/>
    <w:rsid w:val="00305959"/>
    <w:rsid w:val="00316AB7"/>
    <w:rsid w:val="00321404"/>
    <w:rsid w:val="00321414"/>
    <w:rsid w:val="003234C8"/>
    <w:rsid w:val="00344F7E"/>
    <w:rsid w:val="003627B1"/>
    <w:rsid w:val="0037221F"/>
    <w:rsid w:val="00375309"/>
    <w:rsid w:val="0038219E"/>
    <w:rsid w:val="00384EA3"/>
    <w:rsid w:val="00387AD2"/>
    <w:rsid w:val="003B34BB"/>
    <w:rsid w:val="003C0CD0"/>
    <w:rsid w:val="003C2142"/>
    <w:rsid w:val="003C4052"/>
    <w:rsid w:val="003E6854"/>
    <w:rsid w:val="003E6BA6"/>
    <w:rsid w:val="003F7B23"/>
    <w:rsid w:val="0040226C"/>
    <w:rsid w:val="00406A9D"/>
    <w:rsid w:val="0041332A"/>
    <w:rsid w:val="00423BF8"/>
    <w:rsid w:val="004651F6"/>
    <w:rsid w:val="00470AE5"/>
    <w:rsid w:val="00475346"/>
    <w:rsid w:val="00475C98"/>
    <w:rsid w:val="00485D86"/>
    <w:rsid w:val="004A33F0"/>
    <w:rsid w:val="004A3461"/>
    <w:rsid w:val="004B0478"/>
    <w:rsid w:val="004B4959"/>
    <w:rsid w:val="004E689B"/>
    <w:rsid w:val="00507384"/>
    <w:rsid w:val="00507842"/>
    <w:rsid w:val="005233EB"/>
    <w:rsid w:val="00525E17"/>
    <w:rsid w:val="005330EB"/>
    <w:rsid w:val="00542F03"/>
    <w:rsid w:val="00543111"/>
    <w:rsid w:val="00547727"/>
    <w:rsid w:val="005532A5"/>
    <w:rsid w:val="0056231B"/>
    <w:rsid w:val="00562EF5"/>
    <w:rsid w:val="00564468"/>
    <w:rsid w:val="005667F8"/>
    <w:rsid w:val="00572EFC"/>
    <w:rsid w:val="005759C0"/>
    <w:rsid w:val="00584A3D"/>
    <w:rsid w:val="00590734"/>
    <w:rsid w:val="005937ED"/>
    <w:rsid w:val="00596B97"/>
    <w:rsid w:val="005A62CD"/>
    <w:rsid w:val="005B7034"/>
    <w:rsid w:val="005B78AF"/>
    <w:rsid w:val="005C0446"/>
    <w:rsid w:val="005C442E"/>
    <w:rsid w:val="005C77BF"/>
    <w:rsid w:val="005D0A0B"/>
    <w:rsid w:val="005D4E8E"/>
    <w:rsid w:val="005E61E9"/>
    <w:rsid w:val="005F3A87"/>
    <w:rsid w:val="005F7752"/>
    <w:rsid w:val="00604F72"/>
    <w:rsid w:val="00606517"/>
    <w:rsid w:val="00612F27"/>
    <w:rsid w:val="006130E2"/>
    <w:rsid w:val="00621F25"/>
    <w:rsid w:val="00624117"/>
    <w:rsid w:val="0064720E"/>
    <w:rsid w:val="00654444"/>
    <w:rsid w:val="006610A8"/>
    <w:rsid w:val="006655D8"/>
    <w:rsid w:val="0069053B"/>
    <w:rsid w:val="00692046"/>
    <w:rsid w:val="0069359B"/>
    <w:rsid w:val="006941D5"/>
    <w:rsid w:val="006961E3"/>
    <w:rsid w:val="006A4795"/>
    <w:rsid w:val="006B2DE0"/>
    <w:rsid w:val="006B3D26"/>
    <w:rsid w:val="006B4040"/>
    <w:rsid w:val="006B496A"/>
    <w:rsid w:val="006B561D"/>
    <w:rsid w:val="006B6E0D"/>
    <w:rsid w:val="006C134E"/>
    <w:rsid w:val="006C32B0"/>
    <w:rsid w:val="006C3AB7"/>
    <w:rsid w:val="006C671B"/>
    <w:rsid w:val="006C6834"/>
    <w:rsid w:val="006E57BB"/>
    <w:rsid w:val="006E6033"/>
    <w:rsid w:val="006F005C"/>
    <w:rsid w:val="006F0436"/>
    <w:rsid w:val="006F1D87"/>
    <w:rsid w:val="0070299B"/>
    <w:rsid w:val="007173D8"/>
    <w:rsid w:val="0072050A"/>
    <w:rsid w:val="00723279"/>
    <w:rsid w:val="00726477"/>
    <w:rsid w:val="00726F00"/>
    <w:rsid w:val="00740858"/>
    <w:rsid w:val="00746BDE"/>
    <w:rsid w:val="00756EEE"/>
    <w:rsid w:val="007603E0"/>
    <w:rsid w:val="00771254"/>
    <w:rsid w:val="00774BEC"/>
    <w:rsid w:val="007769D6"/>
    <w:rsid w:val="00792FB6"/>
    <w:rsid w:val="00796DC0"/>
    <w:rsid w:val="007B14FA"/>
    <w:rsid w:val="007C3802"/>
    <w:rsid w:val="007D3CBB"/>
    <w:rsid w:val="007E5871"/>
    <w:rsid w:val="007F45DA"/>
    <w:rsid w:val="007F76C7"/>
    <w:rsid w:val="008101EB"/>
    <w:rsid w:val="00812742"/>
    <w:rsid w:val="00836B68"/>
    <w:rsid w:val="00845874"/>
    <w:rsid w:val="0085379B"/>
    <w:rsid w:val="008604C6"/>
    <w:rsid w:val="00862E50"/>
    <w:rsid w:val="00864A3D"/>
    <w:rsid w:val="00866F6D"/>
    <w:rsid w:val="00874CB0"/>
    <w:rsid w:val="00880F00"/>
    <w:rsid w:val="00884A19"/>
    <w:rsid w:val="00890B04"/>
    <w:rsid w:val="00890DFB"/>
    <w:rsid w:val="008A2893"/>
    <w:rsid w:val="008A5066"/>
    <w:rsid w:val="008B4ED3"/>
    <w:rsid w:val="008B4F87"/>
    <w:rsid w:val="008C220C"/>
    <w:rsid w:val="008C39C2"/>
    <w:rsid w:val="008C45A6"/>
    <w:rsid w:val="008D29F9"/>
    <w:rsid w:val="008E640C"/>
    <w:rsid w:val="008F0243"/>
    <w:rsid w:val="008F15A3"/>
    <w:rsid w:val="008F54A3"/>
    <w:rsid w:val="009014BF"/>
    <w:rsid w:val="009142C3"/>
    <w:rsid w:val="00923785"/>
    <w:rsid w:val="009327F0"/>
    <w:rsid w:val="009333FB"/>
    <w:rsid w:val="00933B8D"/>
    <w:rsid w:val="00935EEF"/>
    <w:rsid w:val="00940CF7"/>
    <w:rsid w:val="0094174E"/>
    <w:rsid w:val="00947089"/>
    <w:rsid w:val="00947F14"/>
    <w:rsid w:val="0096620B"/>
    <w:rsid w:val="00966D91"/>
    <w:rsid w:val="0097521F"/>
    <w:rsid w:val="0098613B"/>
    <w:rsid w:val="00995A30"/>
    <w:rsid w:val="009A5A8F"/>
    <w:rsid w:val="009A781A"/>
    <w:rsid w:val="009B3000"/>
    <w:rsid w:val="009B79F9"/>
    <w:rsid w:val="009B7AAF"/>
    <w:rsid w:val="009C0011"/>
    <w:rsid w:val="009C0876"/>
    <w:rsid w:val="009C1B3F"/>
    <w:rsid w:val="009C2FD0"/>
    <w:rsid w:val="009C535A"/>
    <w:rsid w:val="009D3B96"/>
    <w:rsid w:val="009E43BE"/>
    <w:rsid w:val="009E66D1"/>
    <w:rsid w:val="009E6D0B"/>
    <w:rsid w:val="009F0496"/>
    <w:rsid w:val="009F3404"/>
    <w:rsid w:val="00A037E5"/>
    <w:rsid w:val="00A16918"/>
    <w:rsid w:val="00A1714E"/>
    <w:rsid w:val="00A211D5"/>
    <w:rsid w:val="00A24C0E"/>
    <w:rsid w:val="00A56DC0"/>
    <w:rsid w:val="00A67B90"/>
    <w:rsid w:val="00AA5172"/>
    <w:rsid w:val="00AA5E8B"/>
    <w:rsid w:val="00AA7FD3"/>
    <w:rsid w:val="00AB1D87"/>
    <w:rsid w:val="00AC23DB"/>
    <w:rsid w:val="00AC319E"/>
    <w:rsid w:val="00AC6967"/>
    <w:rsid w:val="00AC6E28"/>
    <w:rsid w:val="00AD73DE"/>
    <w:rsid w:val="00AE0B32"/>
    <w:rsid w:val="00AE55C5"/>
    <w:rsid w:val="00AF05CC"/>
    <w:rsid w:val="00B01134"/>
    <w:rsid w:val="00B04E49"/>
    <w:rsid w:val="00B11D1A"/>
    <w:rsid w:val="00B15893"/>
    <w:rsid w:val="00B207D5"/>
    <w:rsid w:val="00B21F0D"/>
    <w:rsid w:val="00B31EEB"/>
    <w:rsid w:val="00B41779"/>
    <w:rsid w:val="00B41E3D"/>
    <w:rsid w:val="00B6096C"/>
    <w:rsid w:val="00B8231A"/>
    <w:rsid w:val="00B82F86"/>
    <w:rsid w:val="00B92820"/>
    <w:rsid w:val="00B92834"/>
    <w:rsid w:val="00B949C6"/>
    <w:rsid w:val="00BA558F"/>
    <w:rsid w:val="00BE4ADF"/>
    <w:rsid w:val="00BF6BB4"/>
    <w:rsid w:val="00C06E8B"/>
    <w:rsid w:val="00C14179"/>
    <w:rsid w:val="00C161E1"/>
    <w:rsid w:val="00C21708"/>
    <w:rsid w:val="00C454A1"/>
    <w:rsid w:val="00C54BEC"/>
    <w:rsid w:val="00C574E3"/>
    <w:rsid w:val="00C645D8"/>
    <w:rsid w:val="00C661C9"/>
    <w:rsid w:val="00C8045C"/>
    <w:rsid w:val="00C8159D"/>
    <w:rsid w:val="00C8376C"/>
    <w:rsid w:val="00C847B1"/>
    <w:rsid w:val="00C90848"/>
    <w:rsid w:val="00C90E26"/>
    <w:rsid w:val="00C95A13"/>
    <w:rsid w:val="00CB0050"/>
    <w:rsid w:val="00CB11E2"/>
    <w:rsid w:val="00CB387A"/>
    <w:rsid w:val="00CB391B"/>
    <w:rsid w:val="00CC1AE1"/>
    <w:rsid w:val="00CC41C3"/>
    <w:rsid w:val="00CC77B9"/>
    <w:rsid w:val="00CF1B02"/>
    <w:rsid w:val="00CF1BE2"/>
    <w:rsid w:val="00D03CA3"/>
    <w:rsid w:val="00D055F0"/>
    <w:rsid w:val="00D07955"/>
    <w:rsid w:val="00D34420"/>
    <w:rsid w:val="00D42C6F"/>
    <w:rsid w:val="00D57EE4"/>
    <w:rsid w:val="00D60D13"/>
    <w:rsid w:val="00D6104B"/>
    <w:rsid w:val="00D7163A"/>
    <w:rsid w:val="00D71C65"/>
    <w:rsid w:val="00D809EF"/>
    <w:rsid w:val="00DA3A35"/>
    <w:rsid w:val="00DD264B"/>
    <w:rsid w:val="00DD58FA"/>
    <w:rsid w:val="00DE046C"/>
    <w:rsid w:val="00DF2E0D"/>
    <w:rsid w:val="00DF2F34"/>
    <w:rsid w:val="00DF3348"/>
    <w:rsid w:val="00DF6741"/>
    <w:rsid w:val="00E219CE"/>
    <w:rsid w:val="00E3026C"/>
    <w:rsid w:val="00E376A0"/>
    <w:rsid w:val="00E40475"/>
    <w:rsid w:val="00E45A97"/>
    <w:rsid w:val="00E45C01"/>
    <w:rsid w:val="00E53694"/>
    <w:rsid w:val="00E64495"/>
    <w:rsid w:val="00E77BF9"/>
    <w:rsid w:val="00E80D89"/>
    <w:rsid w:val="00E80F05"/>
    <w:rsid w:val="00E82B95"/>
    <w:rsid w:val="00E85949"/>
    <w:rsid w:val="00E8762A"/>
    <w:rsid w:val="00E92AE5"/>
    <w:rsid w:val="00E93238"/>
    <w:rsid w:val="00EA60E5"/>
    <w:rsid w:val="00EC3998"/>
    <w:rsid w:val="00EC61DD"/>
    <w:rsid w:val="00EE09D2"/>
    <w:rsid w:val="00EE585F"/>
    <w:rsid w:val="00EE6323"/>
    <w:rsid w:val="00EE6B63"/>
    <w:rsid w:val="00EF6FF3"/>
    <w:rsid w:val="00F01185"/>
    <w:rsid w:val="00F332F8"/>
    <w:rsid w:val="00F333C3"/>
    <w:rsid w:val="00F62120"/>
    <w:rsid w:val="00F765C6"/>
    <w:rsid w:val="00F81A44"/>
    <w:rsid w:val="00F84AFF"/>
    <w:rsid w:val="00F86715"/>
    <w:rsid w:val="00F90C89"/>
    <w:rsid w:val="00F9113C"/>
    <w:rsid w:val="00F9386E"/>
    <w:rsid w:val="00FC1322"/>
    <w:rsid w:val="00FC6CBA"/>
    <w:rsid w:val="00FD0E68"/>
    <w:rsid w:val="00FE006C"/>
    <w:rsid w:val="00FE46FB"/>
    <w:rsid w:val="00FE755B"/>
    <w:rsid w:val="00FE7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991700"/>
  <w15:docId w15:val="{FB0C984A-1923-4AFC-875E-4CF368E4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
    <w:basedOn w:val="Normal"/>
    <w:link w:val="ListParagraphChar"/>
    <w:uiPriority w:val="34"/>
    <w:qFormat/>
    <w:rsid w:val="00DA3A35"/>
    <w:pPr>
      <w:ind w:left="720"/>
      <w:contextualSpacing/>
    </w:pPr>
  </w:style>
  <w:style w:type="character" w:customStyle="1" w:styleId="ListParagraphChar">
    <w:name w:val="List Paragraph Char"/>
    <w:aliases w:val="List Paragraph à moi Char,lista_2 Char,Számozott lista 1 Char,Eszeri felsorolás Char,Listaszerű bekezdés1 Char,List Paragraph1 Char,Welt L Char Char,Welt L Char1,Bullet List Char,FooterText Char,numbered Char,列出段落 Char,列出段落1 Char"/>
    <w:link w:val="ListParagraph"/>
    <w:uiPriority w:val="34"/>
    <w:locked/>
    <w:rsid w:val="00884A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71238">
      <w:bodyDiv w:val="1"/>
      <w:marLeft w:val="0"/>
      <w:marRight w:val="0"/>
      <w:marTop w:val="0"/>
      <w:marBottom w:val="0"/>
      <w:divBdr>
        <w:top w:val="none" w:sz="0" w:space="0" w:color="auto"/>
        <w:left w:val="none" w:sz="0" w:space="0" w:color="auto"/>
        <w:bottom w:val="none" w:sz="0" w:space="0" w:color="auto"/>
        <w:right w:val="none" w:sz="0" w:space="0" w:color="auto"/>
      </w:divBdr>
    </w:div>
    <w:div w:id="342437702">
      <w:bodyDiv w:val="1"/>
      <w:marLeft w:val="0"/>
      <w:marRight w:val="0"/>
      <w:marTop w:val="0"/>
      <w:marBottom w:val="0"/>
      <w:divBdr>
        <w:top w:val="none" w:sz="0" w:space="0" w:color="auto"/>
        <w:left w:val="none" w:sz="0" w:space="0" w:color="auto"/>
        <w:bottom w:val="none" w:sz="0" w:space="0" w:color="auto"/>
        <w:right w:val="none" w:sz="0" w:space="0" w:color="auto"/>
      </w:divBdr>
    </w:div>
    <w:div w:id="422267401">
      <w:bodyDiv w:val="1"/>
      <w:marLeft w:val="0"/>
      <w:marRight w:val="0"/>
      <w:marTop w:val="0"/>
      <w:marBottom w:val="0"/>
      <w:divBdr>
        <w:top w:val="none" w:sz="0" w:space="0" w:color="auto"/>
        <w:left w:val="none" w:sz="0" w:space="0" w:color="auto"/>
        <w:bottom w:val="none" w:sz="0" w:space="0" w:color="auto"/>
        <w:right w:val="none" w:sz="0" w:space="0" w:color="auto"/>
      </w:divBdr>
    </w:div>
    <w:div w:id="602878751">
      <w:bodyDiv w:val="1"/>
      <w:marLeft w:val="0"/>
      <w:marRight w:val="0"/>
      <w:marTop w:val="0"/>
      <w:marBottom w:val="0"/>
      <w:divBdr>
        <w:top w:val="none" w:sz="0" w:space="0" w:color="auto"/>
        <w:left w:val="none" w:sz="0" w:space="0" w:color="auto"/>
        <w:bottom w:val="none" w:sz="0" w:space="0" w:color="auto"/>
        <w:right w:val="none" w:sz="0" w:space="0" w:color="auto"/>
      </w:divBdr>
    </w:div>
    <w:div w:id="608048513">
      <w:bodyDiv w:val="1"/>
      <w:marLeft w:val="0"/>
      <w:marRight w:val="0"/>
      <w:marTop w:val="0"/>
      <w:marBottom w:val="0"/>
      <w:divBdr>
        <w:top w:val="none" w:sz="0" w:space="0" w:color="auto"/>
        <w:left w:val="none" w:sz="0" w:space="0" w:color="auto"/>
        <w:bottom w:val="none" w:sz="0" w:space="0" w:color="auto"/>
        <w:right w:val="none" w:sz="0" w:space="0" w:color="auto"/>
      </w:divBdr>
    </w:div>
    <w:div w:id="1455253507">
      <w:bodyDiv w:val="1"/>
      <w:marLeft w:val="0"/>
      <w:marRight w:val="0"/>
      <w:marTop w:val="0"/>
      <w:marBottom w:val="0"/>
      <w:divBdr>
        <w:top w:val="none" w:sz="0" w:space="0" w:color="auto"/>
        <w:left w:val="none" w:sz="0" w:space="0" w:color="auto"/>
        <w:bottom w:val="none" w:sz="0" w:space="0" w:color="auto"/>
        <w:right w:val="none" w:sz="0" w:space="0" w:color="auto"/>
      </w:divBdr>
    </w:div>
    <w:div w:id="1608613703">
      <w:bodyDiv w:val="1"/>
      <w:marLeft w:val="0"/>
      <w:marRight w:val="0"/>
      <w:marTop w:val="0"/>
      <w:marBottom w:val="0"/>
      <w:divBdr>
        <w:top w:val="none" w:sz="0" w:space="0" w:color="auto"/>
        <w:left w:val="none" w:sz="0" w:space="0" w:color="auto"/>
        <w:bottom w:val="none" w:sz="0" w:space="0" w:color="auto"/>
        <w:right w:val="none" w:sz="0" w:space="0" w:color="auto"/>
      </w:divBdr>
    </w:div>
    <w:div w:id="1861553386">
      <w:bodyDiv w:val="1"/>
      <w:marLeft w:val="0"/>
      <w:marRight w:val="0"/>
      <w:marTop w:val="0"/>
      <w:marBottom w:val="0"/>
      <w:divBdr>
        <w:top w:val="none" w:sz="0" w:space="0" w:color="auto"/>
        <w:left w:val="none" w:sz="0" w:space="0" w:color="auto"/>
        <w:bottom w:val="none" w:sz="0" w:space="0" w:color="auto"/>
        <w:right w:val="none" w:sz="0" w:space="0" w:color="auto"/>
      </w:divBdr>
    </w:div>
    <w:div w:id="1976181006">
      <w:bodyDiv w:val="1"/>
      <w:marLeft w:val="0"/>
      <w:marRight w:val="0"/>
      <w:marTop w:val="0"/>
      <w:marBottom w:val="0"/>
      <w:divBdr>
        <w:top w:val="none" w:sz="0" w:space="0" w:color="auto"/>
        <w:left w:val="none" w:sz="0" w:space="0" w:color="auto"/>
        <w:bottom w:val="none" w:sz="0" w:space="0" w:color="auto"/>
        <w:right w:val="none" w:sz="0" w:space="0" w:color="auto"/>
      </w:divBdr>
    </w:div>
    <w:div w:id="209585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2087</Words>
  <Characters>11896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Ministarstvo finansija i ekonomije</Company>
  <LinksUpToDate>false</LinksUpToDate>
  <CharactersWithSpaces>13956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Zora</dc:creator>
  <cp:lastModifiedBy>Snezana Marinovic</cp:lastModifiedBy>
  <cp:revision>7</cp:revision>
  <cp:lastPrinted>2019-12-30T11:19:00Z</cp:lastPrinted>
  <dcterms:created xsi:type="dcterms:W3CDTF">2019-12-30T09:06:00Z</dcterms:created>
  <dcterms:modified xsi:type="dcterms:W3CDTF">2019-12-30T11:21:00Z</dcterms:modified>
</cp:coreProperties>
</file>