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96" w:rsidRDefault="00C37096" w:rsidP="002A3DED">
      <w:pPr>
        <w:pStyle w:val="Default"/>
        <w:jc w:val="center"/>
        <w:rPr>
          <w:rFonts w:ascii="Times New Roman" w:hAnsi="Times New Roman" w:cs="Times New Roman"/>
          <w:bCs/>
        </w:rPr>
      </w:pPr>
      <w:r w:rsidRPr="002A3DED">
        <w:rPr>
          <w:rFonts w:ascii="Times New Roman" w:hAnsi="Times New Roman" w:cs="Times New Roman"/>
          <w:bCs/>
        </w:rPr>
        <w:t>О Б Р А З Л О Ж Е Њ Е</w:t>
      </w:r>
    </w:p>
    <w:p w:rsidR="002A3DED" w:rsidRPr="002A3DED" w:rsidRDefault="002A3DED" w:rsidP="002A3DED">
      <w:pPr>
        <w:pStyle w:val="Default"/>
        <w:jc w:val="center"/>
        <w:rPr>
          <w:rFonts w:ascii="Times New Roman" w:hAnsi="Times New Roman" w:cs="Times New Roman"/>
        </w:rPr>
      </w:pPr>
    </w:p>
    <w:p w:rsidR="00C37096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 xml:space="preserve"> </w:t>
      </w:r>
      <w:r w:rsidR="00C37096" w:rsidRPr="002A3DED">
        <w:rPr>
          <w:rFonts w:ascii="Times New Roman" w:hAnsi="Times New Roman" w:cs="Times New Roman"/>
        </w:rPr>
        <w:t xml:space="preserve">УСТАВНИ ОСНОВ ЗА ДОНОШЕЊЕ ЗАКОНА </w:t>
      </w:r>
    </w:p>
    <w:p w:rsidR="002A3DED" w:rsidRPr="002A3DED" w:rsidRDefault="002A3DED" w:rsidP="002A3DED">
      <w:pPr>
        <w:pStyle w:val="Default"/>
        <w:jc w:val="both"/>
        <w:rPr>
          <w:rFonts w:ascii="Times New Roman" w:hAnsi="Times New Roman" w:cs="Times New Roman"/>
        </w:rPr>
      </w:pPr>
    </w:p>
    <w:p w:rsidR="00C37096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2A3DED">
        <w:rPr>
          <w:rFonts w:ascii="Times New Roman" w:hAnsi="Times New Roman" w:cs="Times New Roman"/>
        </w:rPr>
        <w:t>Уставни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основ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за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доношење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овог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закона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садржан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је</w:t>
      </w:r>
      <w:proofErr w:type="spellEnd"/>
      <w:r w:rsidRPr="002A3DED">
        <w:rPr>
          <w:rFonts w:ascii="Times New Roman" w:hAnsi="Times New Roman" w:cs="Times New Roman"/>
        </w:rPr>
        <w:t xml:space="preserve"> у </w:t>
      </w:r>
      <w:proofErr w:type="spellStart"/>
      <w:r w:rsidRPr="002A3DED">
        <w:rPr>
          <w:rFonts w:ascii="Times New Roman" w:hAnsi="Times New Roman" w:cs="Times New Roman"/>
        </w:rPr>
        <w:t>одредби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члана</w:t>
      </w:r>
      <w:proofErr w:type="spellEnd"/>
      <w:r w:rsidRPr="002A3DED">
        <w:rPr>
          <w:rFonts w:ascii="Times New Roman" w:hAnsi="Times New Roman" w:cs="Times New Roman"/>
        </w:rPr>
        <w:t xml:space="preserve"> 99. </w:t>
      </w:r>
      <w:proofErr w:type="spellStart"/>
      <w:r w:rsidRPr="002A3DED">
        <w:rPr>
          <w:rFonts w:ascii="Times New Roman" w:hAnsi="Times New Roman" w:cs="Times New Roman"/>
        </w:rPr>
        <w:t>став</w:t>
      </w:r>
      <w:proofErr w:type="spellEnd"/>
      <w:r w:rsidRPr="002A3DED">
        <w:rPr>
          <w:rFonts w:ascii="Times New Roman" w:hAnsi="Times New Roman" w:cs="Times New Roman"/>
        </w:rPr>
        <w:t xml:space="preserve"> 1. </w:t>
      </w:r>
      <w:proofErr w:type="spellStart"/>
      <w:r w:rsidRPr="002A3DED">
        <w:rPr>
          <w:rFonts w:ascii="Times New Roman" w:hAnsi="Times New Roman" w:cs="Times New Roman"/>
        </w:rPr>
        <w:t>тачка</w:t>
      </w:r>
      <w:proofErr w:type="spellEnd"/>
      <w:r w:rsidRPr="002A3DED">
        <w:rPr>
          <w:rFonts w:ascii="Times New Roman" w:hAnsi="Times New Roman" w:cs="Times New Roman"/>
        </w:rPr>
        <w:t xml:space="preserve"> 4. </w:t>
      </w:r>
      <w:proofErr w:type="spellStart"/>
      <w:r w:rsidRPr="002A3DED">
        <w:rPr>
          <w:rFonts w:ascii="Times New Roman" w:hAnsi="Times New Roman" w:cs="Times New Roman"/>
        </w:rPr>
        <w:t>Устава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Републике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Србије</w:t>
      </w:r>
      <w:proofErr w:type="spellEnd"/>
      <w:r w:rsidRPr="002A3DED">
        <w:rPr>
          <w:rFonts w:ascii="Times New Roman" w:hAnsi="Times New Roman" w:cs="Times New Roman"/>
        </w:rPr>
        <w:t xml:space="preserve">, </w:t>
      </w:r>
      <w:proofErr w:type="spellStart"/>
      <w:r w:rsidRPr="002A3DED">
        <w:rPr>
          <w:rFonts w:ascii="Times New Roman" w:hAnsi="Times New Roman" w:cs="Times New Roman"/>
        </w:rPr>
        <w:t>којом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је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прописано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да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Народна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скупштина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потврђује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међународне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уговоре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кад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је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законом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предвиђена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обавеза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њиховог</w:t>
      </w:r>
      <w:proofErr w:type="spellEnd"/>
      <w:r w:rsidRPr="002A3DED">
        <w:rPr>
          <w:rFonts w:ascii="Times New Roman" w:hAnsi="Times New Roman" w:cs="Times New Roman"/>
        </w:rPr>
        <w:t xml:space="preserve"> </w:t>
      </w:r>
      <w:proofErr w:type="spellStart"/>
      <w:r w:rsidRPr="002A3DED">
        <w:rPr>
          <w:rFonts w:ascii="Times New Roman" w:hAnsi="Times New Roman" w:cs="Times New Roman"/>
        </w:rPr>
        <w:t>потврђивања</w:t>
      </w:r>
      <w:proofErr w:type="spellEnd"/>
      <w:r w:rsidRPr="002A3DED">
        <w:rPr>
          <w:rFonts w:ascii="Times New Roman" w:hAnsi="Times New Roman" w:cs="Times New Roman"/>
        </w:rPr>
        <w:t xml:space="preserve">. </w:t>
      </w:r>
    </w:p>
    <w:p w:rsidR="002A3DED" w:rsidRPr="002A3DED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2A3DED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>II. РАЗЛОЗИ ЗА ПОТВРЂИВАЊЕ УГОВОРА</w:t>
      </w:r>
    </w:p>
    <w:p w:rsidR="00C37096" w:rsidRPr="00767F1C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sz w:val="12"/>
          <w:szCs w:val="12"/>
        </w:rPr>
      </w:pPr>
      <w:r w:rsidRPr="002A3DE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FC1276" w:rsidRDefault="00C37096" w:rsidP="00402772">
      <w:pPr>
        <w:tabs>
          <w:tab w:val="left" w:pos="0"/>
        </w:tabs>
        <w:ind w:firstLine="720"/>
        <w:jc w:val="both"/>
      </w:pPr>
      <w:proofErr w:type="spellStart"/>
      <w:proofErr w:type="gramStart"/>
      <w:r w:rsidRPr="002A3DED">
        <w:t>Разлози</w:t>
      </w:r>
      <w:proofErr w:type="spellEnd"/>
      <w:r w:rsidRPr="002A3DED">
        <w:t xml:space="preserve"> </w:t>
      </w:r>
      <w:proofErr w:type="spellStart"/>
      <w:r w:rsidRPr="002A3DED">
        <w:t>за</w:t>
      </w:r>
      <w:proofErr w:type="spellEnd"/>
      <w:r w:rsidRPr="002A3DED">
        <w:t xml:space="preserve"> </w:t>
      </w:r>
      <w:proofErr w:type="spellStart"/>
      <w:r w:rsidRPr="002A3DED">
        <w:t>потврђивањe</w:t>
      </w:r>
      <w:proofErr w:type="spellEnd"/>
      <w:r w:rsidRPr="002A3DED">
        <w:t xml:space="preserve"> </w:t>
      </w:r>
      <w:proofErr w:type="spellStart"/>
      <w:r w:rsidRPr="002A3DED">
        <w:t>Уговора</w:t>
      </w:r>
      <w:proofErr w:type="spellEnd"/>
      <w:r w:rsidRPr="002A3DED">
        <w:t xml:space="preserve"> о </w:t>
      </w:r>
      <w:proofErr w:type="spellStart"/>
      <w:r w:rsidRPr="002A3DED">
        <w:t>гаранцији</w:t>
      </w:r>
      <w:proofErr w:type="spellEnd"/>
      <w:r w:rsidRPr="002A3DED">
        <w:t xml:space="preserve"> (</w:t>
      </w:r>
      <w:proofErr w:type="spellStart"/>
      <w:r w:rsidR="00402772">
        <w:t>Набавка</w:t>
      </w:r>
      <w:proofErr w:type="spellEnd"/>
      <w:r w:rsidR="00402772">
        <w:t xml:space="preserve"> </w:t>
      </w:r>
      <w:proofErr w:type="spellStart"/>
      <w:r w:rsidR="00402772">
        <w:t>возних</w:t>
      </w:r>
      <w:proofErr w:type="spellEnd"/>
      <w:r w:rsidR="00402772">
        <w:t xml:space="preserve"> </w:t>
      </w:r>
      <w:proofErr w:type="spellStart"/>
      <w:r w:rsidR="00402772">
        <w:t>средстава</w:t>
      </w:r>
      <w:proofErr w:type="spellEnd"/>
      <w:r w:rsidR="00402772">
        <w:t xml:space="preserve"> </w:t>
      </w:r>
      <w:proofErr w:type="spellStart"/>
      <w:r w:rsidR="00402772">
        <w:t>за</w:t>
      </w:r>
      <w:proofErr w:type="spellEnd"/>
      <w:r w:rsidR="00402772">
        <w:t xml:space="preserve"> </w:t>
      </w:r>
      <w:proofErr w:type="spellStart"/>
      <w:r w:rsidR="00402772">
        <w:t>Србија</w:t>
      </w:r>
      <w:proofErr w:type="spellEnd"/>
      <w:r w:rsidR="00402772">
        <w:t xml:space="preserve"> </w:t>
      </w:r>
      <w:proofErr w:type="spellStart"/>
      <w:r w:rsidR="00402772">
        <w:t>Воз</w:t>
      </w:r>
      <w:proofErr w:type="spellEnd"/>
      <w:r w:rsidR="002A3DED">
        <w:t>)</w:t>
      </w:r>
      <w:r w:rsidRPr="002A3DED">
        <w:t xml:space="preserve"> </w:t>
      </w:r>
      <w:proofErr w:type="spellStart"/>
      <w:r w:rsidRPr="002A3DED">
        <w:t>између</w:t>
      </w:r>
      <w:proofErr w:type="spellEnd"/>
      <w:r w:rsidRPr="002A3DED">
        <w:t xml:space="preserve"> </w:t>
      </w:r>
      <w:proofErr w:type="spellStart"/>
      <w:r w:rsidRPr="002A3DED">
        <w:t>Републике</w:t>
      </w:r>
      <w:proofErr w:type="spellEnd"/>
      <w:r w:rsidRPr="002A3DED">
        <w:t xml:space="preserve"> </w:t>
      </w:r>
      <w:proofErr w:type="spellStart"/>
      <w:r w:rsidRPr="002A3DED">
        <w:t>Србије</w:t>
      </w:r>
      <w:proofErr w:type="spellEnd"/>
      <w:r w:rsidRPr="002A3DED">
        <w:t xml:space="preserve"> и </w:t>
      </w:r>
      <w:proofErr w:type="spellStart"/>
      <w:r w:rsidRPr="002A3DED">
        <w:t>Европске</w:t>
      </w:r>
      <w:proofErr w:type="spellEnd"/>
      <w:r w:rsidRPr="002A3DED">
        <w:t xml:space="preserve"> </w:t>
      </w:r>
      <w:proofErr w:type="spellStart"/>
      <w:r w:rsidRPr="002A3DED">
        <w:t>банке</w:t>
      </w:r>
      <w:proofErr w:type="spellEnd"/>
      <w:r w:rsidRPr="002A3DED">
        <w:t xml:space="preserve"> </w:t>
      </w:r>
      <w:proofErr w:type="spellStart"/>
      <w:r w:rsidRPr="002A3DED">
        <w:t>за</w:t>
      </w:r>
      <w:proofErr w:type="spellEnd"/>
      <w:r w:rsidRPr="002A3DED">
        <w:t xml:space="preserve"> </w:t>
      </w:r>
      <w:proofErr w:type="spellStart"/>
      <w:r w:rsidRPr="002A3DED">
        <w:t>обнову</w:t>
      </w:r>
      <w:proofErr w:type="spellEnd"/>
      <w:r w:rsidRPr="002A3DED">
        <w:t xml:space="preserve"> и </w:t>
      </w:r>
      <w:proofErr w:type="spellStart"/>
      <w:r w:rsidRPr="002A3DED">
        <w:t>развој</w:t>
      </w:r>
      <w:proofErr w:type="spellEnd"/>
      <w:r w:rsidRPr="002A3DED">
        <w:t xml:space="preserve">, </w:t>
      </w:r>
      <w:r w:rsidR="0056268D">
        <w:rPr>
          <w:lang w:val="sr-Cyrl-RS"/>
        </w:rPr>
        <w:t xml:space="preserve">који је </w:t>
      </w:r>
      <w:proofErr w:type="spellStart"/>
      <w:r w:rsidR="0056268D">
        <w:t>потписан</w:t>
      </w:r>
      <w:proofErr w:type="spellEnd"/>
      <w:r w:rsidR="00F163C6">
        <w:t xml:space="preserve"> </w:t>
      </w:r>
      <w:r w:rsidR="00402772">
        <w:t>31</w:t>
      </w:r>
      <w:r w:rsidRPr="002A3DED">
        <w:t>.</w:t>
      </w:r>
      <w:proofErr w:type="gramEnd"/>
      <w:r w:rsidRPr="002A3DED">
        <w:t xml:space="preserve"> </w:t>
      </w:r>
      <w:proofErr w:type="spellStart"/>
      <w:r w:rsidR="00F163C6">
        <w:t>октобра</w:t>
      </w:r>
      <w:proofErr w:type="spellEnd"/>
      <w:r w:rsidRPr="002A3DED">
        <w:t xml:space="preserve"> 201</w:t>
      </w:r>
      <w:r w:rsidR="00402772">
        <w:t>9</w:t>
      </w:r>
      <w:r w:rsidRPr="002A3DED">
        <w:t xml:space="preserve">. </w:t>
      </w:r>
      <w:proofErr w:type="spellStart"/>
      <w:r w:rsidRPr="002A3DED">
        <w:t>године</w:t>
      </w:r>
      <w:proofErr w:type="spellEnd"/>
      <w:r w:rsidRPr="002A3DED">
        <w:t xml:space="preserve"> у </w:t>
      </w:r>
      <w:proofErr w:type="spellStart"/>
      <w:r w:rsidRPr="002A3DED">
        <w:t>Београду</w:t>
      </w:r>
      <w:proofErr w:type="spellEnd"/>
      <w:r w:rsidRPr="002A3DED">
        <w:t xml:space="preserve"> (у </w:t>
      </w:r>
      <w:proofErr w:type="spellStart"/>
      <w:r w:rsidRPr="002A3DED">
        <w:t>даљем</w:t>
      </w:r>
      <w:proofErr w:type="spellEnd"/>
      <w:r w:rsidRPr="002A3DED">
        <w:t xml:space="preserve"> </w:t>
      </w:r>
      <w:proofErr w:type="spellStart"/>
      <w:r w:rsidRPr="002A3DED">
        <w:t>тексту</w:t>
      </w:r>
      <w:proofErr w:type="spellEnd"/>
      <w:r w:rsidRPr="002A3DED">
        <w:t xml:space="preserve">: </w:t>
      </w:r>
      <w:proofErr w:type="spellStart"/>
      <w:r w:rsidRPr="002A3DED">
        <w:t>Уговор</w:t>
      </w:r>
      <w:proofErr w:type="spellEnd"/>
      <w:r w:rsidRPr="002A3DED">
        <w:t xml:space="preserve"> о </w:t>
      </w:r>
      <w:proofErr w:type="spellStart"/>
      <w:r w:rsidRPr="002A3DED">
        <w:t>гаранцији</w:t>
      </w:r>
      <w:proofErr w:type="spellEnd"/>
      <w:r w:rsidRPr="002A3DED">
        <w:t xml:space="preserve">), </w:t>
      </w:r>
      <w:proofErr w:type="spellStart"/>
      <w:r w:rsidRPr="002A3DED">
        <w:t>садржани</w:t>
      </w:r>
      <w:proofErr w:type="spellEnd"/>
      <w:r w:rsidRPr="002A3DED">
        <w:t xml:space="preserve"> </w:t>
      </w:r>
      <w:proofErr w:type="spellStart"/>
      <w:r w:rsidRPr="002A3DED">
        <w:t>су</w:t>
      </w:r>
      <w:proofErr w:type="spellEnd"/>
      <w:r w:rsidRPr="002A3DED">
        <w:t xml:space="preserve"> у </w:t>
      </w:r>
      <w:proofErr w:type="spellStart"/>
      <w:r w:rsidRPr="002A3DED">
        <w:t>чињеници</w:t>
      </w:r>
      <w:proofErr w:type="spellEnd"/>
      <w:r w:rsidRPr="002A3DED">
        <w:t xml:space="preserve"> </w:t>
      </w:r>
      <w:proofErr w:type="spellStart"/>
      <w:r w:rsidRPr="002A3DED">
        <w:t>да</w:t>
      </w:r>
      <w:proofErr w:type="spellEnd"/>
      <w:r w:rsidRPr="002A3DED">
        <w:t xml:space="preserve"> </w:t>
      </w:r>
      <w:proofErr w:type="spellStart"/>
      <w:r w:rsidRPr="002A3DED">
        <w:t>је</w:t>
      </w:r>
      <w:proofErr w:type="spellEnd"/>
      <w:r w:rsidRPr="002A3DED">
        <w:t xml:space="preserve"> </w:t>
      </w:r>
      <w:proofErr w:type="spellStart"/>
      <w:r w:rsidRPr="002A3DED">
        <w:t>Европска</w:t>
      </w:r>
      <w:proofErr w:type="spellEnd"/>
      <w:r w:rsidRPr="002A3DED">
        <w:t xml:space="preserve"> </w:t>
      </w:r>
      <w:proofErr w:type="spellStart"/>
      <w:r w:rsidRPr="002A3DED">
        <w:t>банка</w:t>
      </w:r>
      <w:proofErr w:type="spellEnd"/>
      <w:r w:rsidRPr="002A3DED">
        <w:t xml:space="preserve"> </w:t>
      </w:r>
      <w:proofErr w:type="spellStart"/>
      <w:r w:rsidRPr="002A3DED">
        <w:t>за</w:t>
      </w:r>
      <w:proofErr w:type="spellEnd"/>
      <w:r w:rsidRPr="002A3DED">
        <w:t xml:space="preserve"> </w:t>
      </w:r>
      <w:proofErr w:type="spellStart"/>
      <w:r w:rsidRPr="002A3DED">
        <w:t>обнову</w:t>
      </w:r>
      <w:proofErr w:type="spellEnd"/>
      <w:r w:rsidRPr="002A3DED">
        <w:t xml:space="preserve"> и </w:t>
      </w:r>
      <w:proofErr w:type="spellStart"/>
      <w:r w:rsidRPr="002A3DED">
        <w:t>развој</w:t>
      </w:r>
      <w:proofErr w:type="spellEnd"/>
      <w:r w:rsidR="005C324C">
        <w:t xml:space="preserve"> (у </w:t>
      </w:r>
      <w:proofErr w:type="spellStart"/>
      <w:r w:rsidR="005C324C">
        <w:t>даљем</w:t>
      </w:r>
      <w:proofErr w:type="spellEnd"/>
      <w:r w:rsidR="005C324C">
        <w:t xml:space="preserve"> </w:t>
      </w:r>
      <w:proofErr w:type="spellStart"/>
      <w:r w:rsidR="005C324C">
        <w:t>тексту</w:t>
      </w:r>
      <w:proofErr w:type="spellEnd"/>
      <w:r w:rsidR="005C324C">
        <w:t xml:space="preserve">: </w:t>
      </w:r>
      <w:proofErr w:type="spellStart"/>
      <w:r w:rsidR="005C324C">
        <w:t>EBRD</w:t>
      </w:r>
      <w:proofErr w:type="spellEnd"/>
      <w:r w:rsidR="005C324C">
        <w:t>)</w:t>
      </w:r>
      <w:r w:rsidRPr="002A3DED">
        <w:t xml:space="preserve"> </w:t>
      </w:r>
      <w:proofErr w:type="spellStart"/>
      <w:r w:rsidRPr="002A3DED">
        <w:t>одобр</w:t>
      </w:r>
      <w:r w:rsidR="00402772">
        <w:t>ила</w:t>
      </w:r>
      <w:proofErr w:type="spellEnd"/>
      <w:r w:rsidR="00402772">
        <w:t xml:space="preserve"> </w:t>
      </w:r>
      <w:proofErr w:type="spellStart"/>
      <w:r w:rsidRPr="002A3DED">
        <w:t>зајам</w:t>
      </w:r>
      <w:proofErr w:type="spellEnd"/>
      <w:r w:rsidRPr="002A3DED">
        <w:t xml:space="preserve"> </w:t>
      </w:r>
      <w:proofErr w:type="spellStart"/>
      <w:r w:rsidRPr="002A3DED">
        <w:t>од</w:t>
      </w:r>
      <w:proofErr w:type="spellEnd"/>
      <w:r w:rsidRPr="002A3DED">
        <w:t xml:space="preserve"> </w:t>
      </w:r>
      <w:r w:rsidR="00402772">
        <w:t>100</w:t>
      </w:r>
      <w:r w:rsidRPr="002A3DED">
        <w:t xml:space="preserve"> </w:t>
      </w:r>
      <w:proofErr w:type="spellStart"/>
      <w:r w:rsidRPr="002A3DED">
        <w:t>милиона</w:t>
      </w:r>
      <w:proofErr w:type="spellEnd"/>
      <w:r w:rsidRPr="002A3DED">
        <w:t xml:space="preserve"> </w:t>
      </w:r>
      <w:proofErr w:type="spellStart"/>
      <w:r w:rsidRPr="002A3DED">
        <w:t>евра</w:t>
      </w:r>
      <w:proofErr w:type="spellEnd"/>
      <w:r w:rsidRPr="002A3DED">
        <w:t xml:space="preserve"> </w:t>
      </w:r>
      <w:proofErr w:type="spellStart"/>
      <w:r w:rsidR="00402772">
        <w:t>Акционарском</w:t>
      </w:r>
      <w:proofErr w:type="spellEnd"/>
      <w:r w:rsidR="00402772">
        <w:t xml:space="preserve"> </w:t>
      </w:r>
      <w:proofErr w:type="spellStart"/>
      <w:r w:rsidR="00402772">
        <w:t>друштву</w:t>
      </w:r>
      <w:proofErr w:type="spellEnd"/>
      <w:r w:rsidR="00402772">
        <w:t xml:space="preserve"> </w:t>
      </w:r>
      <w:proofErr w:type="spellStart"/>
      <w:r w:rsidR="00402772">
        <w:t>за</w:t>
      </w:r>
      <w:proofErr w:type="spellEnd"/>
      <w:r w:rsidR="00402772">
        <w:t xml:space="preserve"> </w:t>
      </w:r>
      <w:proofErr w:type="spellStart"/>
      <w:r w:rsidR="00402772">
        <w:t>железнички</w:t>
      </w:r>
      <w:proofErr w:type="spellEnd"/>
      <w:r w:rsidR="00402772">
        <w:t xml:space="preserve"> </w:t>
      </w:r>
      <w:proofErr w:type="spellStart"/>
      <w:r w:rsidR="00402772">
        <w:t>превоз</w:t>
      </w:r>
      <w:proofErr w:type="spellEnd"/>
      <w:r w:rsidR="00402772">
        <w:t xml:space="preserve"> </w:t>
      </w:r>
      <w:proofErr w:type="spellStart"/>
      <w:r w:rsidR="00402772">
        <w:t>путника</w:t>
      </w:r>
      <w:proofErr w:type="spellEnd"/>
      <w:r w:rsidR="00402772">
        <w:t xml:space="preserve"> </w:t>
      </w:r>
      <w:r w:rsidR="00402772" w:rsidRPr="002A3DED">
        <w:t>„</w:t>
      </w:r>
      <w:proofErr w:type="spellStart"/>
      <w:r w:rsidR="00402772">
        <w:t>Србија</w:t>
      </w:r>
      <w:proofErr w:type="spellEnd"/>
      <w:r w:rsidR="00402772">
        <w:t xml:space="preserve"> </w:t>
      </w:r>
      <w:proofErr w:type="spellStart"/>
      <w:r w:rsidR="00402772">
        <w:t>Воз</w:t>
      </w:r>
      <w:proofErr w:type="spellEnd"/>
      <w:r w:rsidR="00402772" w:rsidRPr="002A3DED">
        <w:t>”</w:t>
      </w:r>
      <w:r w:rsidR="00402772">
        <w:t xml:space="preserve">, </w:t>
      </w:r>
      <w:proofErr w:type="spellStart"/>
      <w:r w:rsidR="00402772">
        <w:t>Београд</w:t>
      </w:r>
      <w:proofErr w:type="spellEnd"/>
      <w:r w:rsidR="00402772">
        <w:t xml:space="preserve"> (у </w:t>
      </w:r>
      <w:proofErr w:type="spellStart"/>
      <w:r w:rsidR="00402772">
        <w:t>даљем</w:t>
      </w:r>
      <w:proofErr w:type="spellEnd"/>
      <w:r w:rsidR="00402772">
        <w:t xml:space="preserve"> </w:t>
      </w:r>
      <w:proofErr w:type="spellStart"/>
      <w:r w:rsidR="00402772">
        <w:t>тексту</w:t>
      </w:r>
      <w:proofErr w:type="spellEnd"/>
      <w:r w:rsidR="00402772">
        <w:t xml:space="preserve">: </w:t>
      </w:r>
      <w:proofErr w:type="spellStart"/>
      <w:r w:rsidR="00402772">
        <w:t>Србија</w:t>
      </w:r>
      <w:proofErr w:type="spellEnd"/>
      <w:r w:rsidR="00402772">
        <w:t xml:space="preserve"> </w:t>
      </w:r>
      <w:proofErr w:type="spellStart"/>
      <w:r w:rsidR="00402772">
        <w:t>Воз</w:t>
      </w:r>
      <w:proofErr w:type="spellEnd"/>
      <w:r w:rsidR="00402772">
        <w:t xml:space="preserve">), </w:t>
      </w:r>
      <w:proofErr w:type="spellStart"/>
      <w:r w:rsidR="00402772" w:rsidRPr="002A3DED">
        <w:t>као</w:t>
      </w:r>
      <w:proofErr w:type="spellEnd"/>
      <w:r w:rsidR="00402772" w:rsidRPr="002A3DED">
        <w:t xml:space="preserve"> </w:t>
      </w:r>
      <w:proofErr w:type="spellStart"/>
      <w:r w:rsidR="00402772" w:rsidRPr="002A3DED">
        <w:t>зајмопримц</w:t>
      </w:r>
      <w:r w:rsidR="00402772">
        <w:t>у</w:t>
      </w:r>
      <w:proofErr w:type="spellEnd"/>
      <w:r w:rsidR="00402772">
        <w:t xml:space="preserve">, </w:t>
      </w:r>
      <w:proofErr w:type="spellStart"/>
      <w:r w:rsidR="00402772">
        <w:t>према</w:t>
      </w:r>
      <w:proofErr w:type="spellEnd"/>
      <w:r w:rsidR="00402772" w:rsidRPr="002A3DED">
        <w:t xml:space="preserve"> </w:t>
      </w:r>
      <w:proofErr w:type="spellStart"/>
      <w:r w:rsidR="00402772" w:rsidRPr="002A3DED">
        <w:t>Уговору</w:t>
      </w:r>
      <w:proofErr w:type="spellEnd"/>
      <w:r w:rsidR="00402772" w:rsidRPr="002A3DED">
        <w:t xml:space="preserve"> о </w:t>
      </w:r>
      <w:proofErr w:type="spellStart"/>
      <w:r w:rsidR="00402772" w:rsidRPr="002A3DED">
        <w:t>зајму</w:t>
      </w:r>
      <w:proofErr w:type="spellEnd"/>
      <w:r w:rsidR="00402772">
        <w:t xml:space="preserve"> (</w:t>
      </w:r>
      <w:proofErr w:type="spellStart"/>
      <w:r w:rsidR="00402772">
        <w:t>Набавка</w:t>
      </w:r>
      <w:proofErr w:type="spellEnd"/>
      <w:r w:rsidR="00402772">
        <w:t xml:space="preserve"> </w:t>
      </w:r>
      <w:proofErr w:type="spellStart"/>
      <w:r w:rsidR="00402772">
        <w:t>возних</w:t>
      </w:r>
      <w:proofErr w:type="spellEnd"/>
      <w:r w:rsidR="00402772">
        <w:t xml:space="preserve"> </w:t>
      </w:r>
      <w:proofErr w:type="spellStart"/>
      <w:r w:rsidR="00402772">
        <w:t>средстава</w:t>
      </w:r>
      <w:proofErr w:type="spellEnd"/>
      <w:r w:rsidR="00402772">
        <w:t xml:space="preserve"> </w:t>
      </w:r>
      <w:proofErr w:type="spellStart"/>
      <w:r w:rsidR="00402772">
        <w:t>за</w:t>
      </w:r>
      <w:proofErr w:type="spellEnd"/>
      <w:r w:rsidR="00402772">
        <w:t xml:space="preserve"> </w:t>
      </w:r>
      <w:proofErr w:type="spellStart"/>
      <w:r w:rsidR="00402772">
        <w:t>Србија</w:t>
      </w:r>
      <w:proofErr w:type="spellEnd"/>
      <w:r w:rsidR="00402772">
        <w:t xml:space="preserve"> </w:t>
      </w:r>
      <w:proofErr w:type="spellStart"/>
      <w:r w:rsidR="00402772">
        <w:t>Воз</w:t>
      </w:r>
      <w:proofErr w:type="spellEnd"/>
      <w:r w:rsidR="00402772">
        <w:t>)</w:t>
      </w:r>
      <w:r w:rsidR="00FC1276">
        <w:t xml:space="preserve"> </w:t>
      </w:r>
      <w:proofErr w:type="spellStart"/>
      <w:r w:rsidR="00FC1276">
        <w:t>који</w:t>
      </w:r>
      <w:proofErr w:type="spellEnd"/>
      <w:r w:rsidR="00FC1276">
        <w:t xml:space="preserve"> </w:t>
      </w:r>
      <w:proofErr w:type="spellStart"/>
      <w:r w:rsidR="00FC1276">
        <w:t>је</w:t>
      </w:r>
      <w:proofErr w:type="spellEnd"/>
      <w:r w:rsidR="00FC1276">
        <w:t xml:space="preserve"> </w:t>
      </w:r>
      <w:proofErr w:type="spellStart"/>
      <w:r w:rsidR="00FC1276">
        <w:t>такође</w:t>
      </w:r>
      <w:proofErr w:type="spellEnd"/>
      <w:r w:rsidR="00FC1276">
        <w:t xml:space="preserve"> </w:t>
      </w:r>
      <w:proofErr w:type="spellStart"/>
      <w:r w:rsidR="00FC1276">
        <w:t>потписан</w:t>
      </w:r>
      <w:proofErr w:type="spellEnd"/>
      <w:r w:rsidR="00FC1276">
        <w:t xml:space="preserve"> 31. </w:t>
      </w:r>
      <w:proofErr w:type="spellStart"/>
      <w:r w:rsidR="00FC1276">
        <w:t>октобра</w:t>
      </w:r>
      <w:proofErr w:type="spellEnd"/>
      <w:r w:rsidR="00FC1276">
        <w:t xml:space="preserve"> 2019. </w:t>
      </w:r>
      <w:proofErr w:type="spellStart"/>
      <w:r w:rsidR="00FC1276">
        <w:t>године</w:t>
      </w:r>
      <w:proofErr w:type="spellEnd"/>
      <w:r w:rsidR="00FC1276">
        <w:t xml:space="preserve"> (у </w:t>
      </w:r>
      <w:proofErr w:type="spellStart"/>
      <w:r w:rsidR="00FC1276">
        <w:t>даљем</w:t>
      </w:r>
      <w:proofErr w:type="spellEnd"/>
      <w:r w:rsidR="00FC1276">
        <w:t xml:space="preserve"> </w:t>
      </w:r>
      <w:proofErr w:type="spellStart"/>
      <w:r w:rsidR="00FC1276">
        <w:t>тексту</w:t>
      </w:r>
      <w:proofErr w:type="spellEnd"/>
      <w:r w:rsidR="00FC1276">
        <w:t xml:space="preserve">: </w:t>
      </w:r>
      <w:proofErr w:type="spellStart"/>
      <w:r w:rsidR="00FC1276">
        <w:t>Уговор</w:t>
      </w:r>
      <w:proofErr w:type="spellEnd"/>
      <w:r w:rsidR="00FC1276">
        <w:t xml:space="preserve"> о </w:t>
      </w:r>
      <w:proofErr w:type="spellStart"/>
      <w:r w:rsidR="00FC1276">
        <w:t>зајму</w:t>
      </w:r>
      <w:proofErr w:type="spellEnd"/>
      <w:r w:rsidR="00FC1276">
        <w:t xml:space="preserve">), </w:t>
      </w:r>
      <w:proofErr w:type="spellStart"/>
      <w:r w:rsidR="00FC1276">
        <w:t>уз</w:t>
      </w:r>
      <w:proofErr w:type="spellEnd"/>
      <w:r w:rsidR="00FC1276">
        <w:t xml:space="preserve"> </w:t>
      </w:r>
      <w:proofErr w:type="spellStart"/>
      <w:r w:rsidR="00FC1276">
        <w:t>услов</w:t>
      </w:r>
      <w:proofErr w:type="spellEnd"/>
      <w:r w:rsidR="00FC1276">
        <w:t xml:space="preserve"> </w:t>
      </w:r>
      <w:proofErr w:type="spellStart"/>
      <w:r w:rsidR="00FC1276">
        <w:t>да</w:t>
      </w:r>
      <w:proofErr w:type="spellEnd"/>
      <w:r w:rsidR="00FC1276">
        <w:t xml:space="preserve"> </w:t>
      </w:r>
      <w:proofErr w:type="spellStart"/>
      <w:r w:rsidR="00FC1276">
        <w:t>Република</w:t>
      </w:r>
      <w:proofErr w:type="spellEnd"/>
      <w:r w:rsidR="00FC1276">
        <w:t xml:space="preserve"> </w:t>
      </w:r>
      <w:proofErr w:type="spellStart"/>
      <w:r w:rsidR="00FC1276">
        <w:t>Србија</w:t>
      </w:r>
      <w:proofErr w:type="spellEnd"/>
      <w:r w:rsidR="00FC1276">
        <w:t xml:space="preserve"> </w:t>
      </w:r>
      <w:proofErr w:type="spellStart"/>
      <w:r w:rsidR="00FC1276">
        <w:t>гарантује</w:t>
      </w:r>
      <w:proofErr w:type="spellEnd"/>
      <w:r w:rsidR="00FC1276">
        <w:t xml:space="preserve"> </w:t>
      </w:r>
      <w:proofErr w:type="spellStart"/>
      <w:r w:rsidR="00FC1276">
        <w:t>за</w:t>
      </w:r>
      <w:proofErr w:type="spellEnd"/>
      <w:r w:rsidR="00FC1276">
        <w:t xml:space="preserve"> </w:t>
      </w:r>
      <w:proofErr w:type="spellStart"/>
      <w:r w:rsidR="00FC1276">
        <w:t>обавезе</w:t>
      </w:r>
      <w:proofErr w:type="spellEnd"/>
      <w:r w:rsidR="00FC1276">
        <w:t xml:space="preserve"> </w:t>
      </w:r>
      <w:proofErr w:type="spellStart"/>
      <w:r w:rsidR="00FC1276">
        <w:t>зајмопримц</w:t>
      </w:r>
      <w:r w:rsidR="005C324C">
        <w:t>a</w:t>
      </w:r>
      <w:proofErr w:type="spellEnd"/>
      <w:r w:rsidR="00FC1276">
        <w:t>.</w:t>
      </w:r>
    </w:p>
    <w:p w:rsidR="00FC1276" w:rsidRDefault="00FC1276" w:rsidP="00402772">
      <w:pPr>
        <w:tabs>
          <w:tab w:val="left" w:pos="0"/>
        </w:tabs>
        <w:ind w:firstLine="720"/>
        <w:jc w:val="both"/>
        <w:rPr>
          <w:lang w:val="sr-Cyrl-CS"/>
        </w:rPr>
      </w:pPr>
      <w:proofErr w:type="spellStart"/>
      <w:r>
        <w:t>Према</w:t>
      </w:r>
      <w:proofErr w:type="spellEnd"/>
      <w:r>
        <w:t xml:space="preserve"> </w:t>
      </w:r>
      <w:proofErr w:type="spellStart"/>
      <w:r>
        <w:t>одредби</w:t>
      </w:r>
      <w:proofErr w:type="spellEnd"/>
      <w:r w:rsidRPr="00FC1276">
        <w:t xml:space="preserve"> </w:t>
      </w:r>
      <w:proofErr w:type="spellStart"/>
      <w:r>
        <w:t>члана</w:t>
      </w:r>
      <w:proofErr w:type="spellEnd"/>
      <w:r w:rsidRPr="007E6FC9">
        <w:t xml:space="preserve"> 5.</w:t>
      </w:r>
      <w:r>
        <w:t xml:space="preserve"> </w:t>
      </w:r>
      <w:proofErr w:type="spellStart"/>
      <w:r>
        <w:t>став</w:t>
      </w:r>
      <w:proofErr w:type="spellEnd"/>
      <w:r>
        <w:t xml:space="preserve"> 2. </w:t>
      </w:r>
      <w:proofErr w:type="spellStart"/>
      <w:r w:rsidRPr="007E6FC9">
        <w:t>Закона</w:t>
      </w:r>
      <w:proofErr w:type="spellEnd"/>
      <w:r w:rsidRPr="007E6FC9">
        <w:t xml:space="preserve"> о </w:t>
      </w:r>
      <w:proofErr w:type="spellStart"/>
      <w:r w:rsidRPr="007E6FC9">
        <w:t>јавном</w:t>
      </w:r>
      <w:proofErr w:type="spellEnd"/>
      <w:r w:rsidRPr="007E6FC9">
        <w:t xml:space="preserve"> </w:t>
      </w:r>
      <w:proofErr w:type="spellStart"/>
      <w:r w:rsidRPr="007E6FC9">
        <w:t>дугу</w:t>
      </w:r>
      <w:proofErr w:type="spellEnd"/>
      <w:r w:rsidRPr="007E6FC9">
        <w:t xml:space="preserve"> </w:t>
      </w:r>
      <w:r w:rsidRPr="007E6FC9">
        <w:rPr>
          <w:lang w:val="sr-Cyrl-CS"/>
        </w:rPr>
        <w:t>(„Службени гласник РС”, бр. 61/05, 107/09, 78/11</w:t>
      </w:r>
      <w:r>
        <w:rPr>
          <w:lang w:val="sr-Cyrl-CS"/>
        </w:rPr>
        <w:t xml:space="preserve">, </w:t>
      </w:r>
      <w:r w:rsidRPr="007E6FC9">
        <w:rPr>
          <w:lang w:val="sr-Cyrl-CS"/>
        </w:rPr>
        <w:t>68/15</w:t>
      </w:r>
      <w:r>
        <w:rPr>
          <w:lang w:val="sr-Cyrl-CS"/>
        </w:rPr>
        <w:t xml:space="preserve"> и 95/18</w:t>
      </w:r>
      <w:r w:rsidRPr="007E6FC9">
        <w:rPr>
          <w:lang w:val="sr-Cyrl-CS"/>
        </w:rPr>
        <w:t>)</w:t>
      </w:r>
      <w:r>
        <w:rPr>
          <w:lang w:val="sr-Cyrl-CS"/>
        </w:rPr>
        <w:t xml:space="preserve"> На</w:t>
      </w:r>
      <w:r w:rsidR="00625F4C">
        <w:rPr>
          <w:lang w:val="sr-Cyrl-CS"/>
        </w:rPr>
        <w:t>родна скупштина</w:t>
      </w:r>
      <w:r>
        <w:rPr>
          <w:lang w:val="sr-Cyrl-CS"/>
        </w:rPr>
        <w:t>, између осталог, одлучује о давању гаранција, као и непосредном преузимању обавеза у својству дужника по основу дате гаранције.</w:t>
      </w:r>
    </w:p>
    <w:p w:rsidR="008B35AE" w:rsidRDefault="00FC1276" w:rsidP="00402772">
      <w:pPr>
        <w:tabs>
          <w:tab w:val="left" w:pos="0"/>
        </w:tabs>
        <w:ind w:firstLine="720"/>
        <w:jc w:val="both"/>
        <w:rPr>
          <w:lang w:val="sr-Cyrl-CS"/>
        </w:rPr>
      </w:pPr>
      <w:r>
        <w:rPr>
          <w:lang w:val="sr-Cyrl-CS"/>
        </w:rPr>
        <w:t>Такође,</w:t>
      </w:r>
      <w:r w:rsidR="005C324C">
        <w:t xml:space="preserve"> </w:t>
      </w:r>
      <w:r w:rsidR="008B35AE">
        <w:rPr>
          <w:lang w:val="sr-Cyrl-CS"/>
        </w:rPr>
        <w:t xml:space="preserve">Народна скупштина потврђује </w:t>
      </w:r>
      <w:r>
        <w:rPr>
          <w:lang w:val="sr-Cyrl-CS"/>
        </w:rPr>
        <w:t>Уговор о гаранцији, као међународни уговор</w:t>
      </w:r>
      <w:r w:rsidR="008B35AE">
        <w:rPr>
          <w:lang w:val="sr-Cyrl-CS"/>
        </w:rPr>
        <w:t xml:space="preserve">, у складу са одредбама </w:t>
      </w:r>
      <w:r>
        <w:rPr>
          <w:lang w:val="sr-Cyrl-CS"/>
        </w:rPr>
        <w:t>члана 14. став 1. Закона о закључивању и извршавању међународних уговора (</w:t>
      </w:r>
      <w:r w:rsidRPr="007E6FC9">
        <w:rPr>
          <w:lang w:val="sr-Cyrl-CS"/>
        </w:rPr>
        <w:t>„Службени гласник РС”,</w:t>
      </w:r>
      <w:r>
        <w:rPr>
          <w:lang w:val="sr-Cyrl-CS"/>
        </w:rPr>
        <w:t xml:space="preserve"> број 32/13)</w:t>
      </w:r>
      <w:r w:rsidR="008B35AE">
        <w:rPr>
          <w:lang w:val="sr-Cyrl-CS"/>
        </w:rPr>
        <w:t>.</w:t>
      </w:r>
    </w:p>
    <w:p w:rsidR="008B35AE" w:rsidRPr="00452F35" w:rsidRDefault="008B35AE" w:rsidP="008B35AE">
      <w:pPr>
        <w:tabs>
          <w:tab w:val="left" w:pos="0"/>
          <w:tab w:val="left" w:pos="9360"/>
        </w:tabs>
        <w:ind w:firstLine="720"/>
        <w:jc w:val="both"/>
        <w:rPr>
          <w:lang w:val="sr-Cyrl-CS"/>
        </w:rPr>
      </w:pPr>
      <w:proofErr w:type="spellStart"/>
      <w:r w:rsidRPr="00686705">
        <w:t>Законо</w:t>
      </w:r>
      <w:r w:rsidR="00625F4C">
        <w:t>м</w:t>
      </w:r>
      <w:proofErr w:type="spellEnd"/>
      <w:r w:rsidR="00625F4C">
        <w:t xml:space="preserve"> о </w:t>
      </w:r>
      <w:proofErr w:type="spellStart"/>
      <w:r w:rsidR="00625F4C">
        <w:t>буџету</w:t>
      </w:r>
      <w:proofErr w:type="spellEnd"/>
      <w:r w:rsidR="00625F4C">
        <w:t xml:space="preserve"> </w:t>
      </w:r>
      <w:proofErr w:type="spellStart"/>
      <w:r w:rsidR="00625F4C">
        <w:t>Републике</w:t>
      </w:r>
      <w:proofErr w:type="spellEnd"/>
      <w:r w:rsidR="00625F4C">
        <w:t xml:space="preserve"> </w:t>
      </w:r>
      <w:proofErr w:type="spellStart"/>
      <w:r w:rsidR="00625F4C">
        <w:t>Србије</w:t>
      </w:r>
      <w:proofErr w:type="spellEnd"/>
      <w:r w:rsidR="00625F4C">
        <w:t xml:space="preserve"> </w:t>
      </w:r>
      <w:proofErr w:type="spellStart"/>
      <w:r w:rsidR="00625F4C">
        <w:t>за</w:t>
      </w:r>
      <w:proofErr w:type="spellEnd"/>
      <w:r w:rsidR="00625F4C">
        <w:t xml:space="preserve"> </w:t>
      </w:r>
      <w:r w:rsidRPr="00686705">
        <w:t>201</w:t>
      </w:r>
      <w:r>
        <w:t>9</w:t>
      </w:r>
      <w:r w:rsidRPr="00686705">
        <w:t xml:space="preserve">. </w:t>
      </w:r>
      <w:proofErr w:type="spellStart"/>
      <w:r w:rsidRPr="00686705">
        <w:t>годину</w:t>
      </w:r>
      <w:proofErr w:type="spellEnd"/>
      <w:r w:rsidRPr="00686705">
        <w:t xml:space="preserve"> </w:t>
      </w:r>
      <w:r w:rsidRPr="00686705">
        <w:rPr>
          <w:lang w:val="ru-RU"/>
        </w:rPr>
        <w:t>(„Службени гласник РС”, бр</w:t>
      </w:r>
      <w:r>
        <w:rPr>
          <w:lang w:val="ru-RU"/>
        </w:rPr>
        <w:t>. 95/18 и 72/19)</w:t>
      </w:r>
      <w:r w:rsidRPr="00686705">
        <w:rPr>
          <w:lang w:val="ru-RU"/>
        </w:rPr>
        <w:t xml:space="preserve"> предвиђено је давање гаранције Републике </w:t>
      </w:r>
      <w:r w:rsidRPr="00686705">
        <w:rPr>
          <w:lang w:val="sr-Cyrl-CS"/>
        </w:rPr>
        <w:t xml:space="preserve">Србије Европској банци за обнову и развој у износу до </w:t>
      </w:r>
      <w:r>
        <w:rPr>
          <w:lang w:val="sr-Cyrl-CS"/>
        </w:rPr>
        <w:t>100</w:t>
      </w:r>
      <w:r w:rsidRPr="00686705">
        <w:rPr>
          <w:lang w:val="sr-Cyrl-CS"/>
        </w:rPr>
        <w:t xml:space="preserve">.000.000 евра </w:t>
      </w:r>
      <w:r w:rsidRPr="00686705">
        <w:rPr>
          <w:lang w:val="ru-RU"/>
        </w:rPr>
        <w:t xml:space="preserve">по основу задужења </w:t>
      </w:r>
      <w:r>
        <w:rPr>
          <w:lang w:val="ru-RU"/>
        </w:rPr>
        <w:t>Србија Воза за финансирање набавке електромоторних гарнитура за регионални саобраћај (у даљем тексту: Пројекат), што је био правни основ за закључивање кредитног аранжмана и давање</w:t>
      </w:r>
      <w:r w:rsidRPr="001D3473">
        <w:rPr>
          <w:lang w:val="sr-Cyrl-CS"/>
        </w:rPr>
        <w:t xml:space="preserve"> </w:t>
      </w:r>
      <w:r w:rsidRPr="00452F35">
        <w:rPr>
          <w:lang w:val="sr-Cyrl-CS"/>
        </w:rPr>
        <w:t>државне гаранције у оквиру лимита утврђеног законом којим се уређује буџет Републике Србије.</w:t>
      </w:r>
    </w:p>
    <w:p w:rsidR="008B35AE" w:rsidRDefault="008B35AE" w:rsidP="008B35AE">
      <w:pPr>
        <w:tabs>
          <w:tab w:val="left" w:pos="0"/>
        </w:tabs>
        <w:ind w:firstLine="720"/>
        <w:jc w:val="both"/>
      </w:pPr>
      <w:proofErr w:type="spellStart"/>
      <w:r>
        <w:t>Један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проблема</w:t>
      </w:r>
      <w:proofErr w:type="spellEnd"/>
      <w:r>
        <w:t xml:space="preserve"> у </w:t>
      </w:r>
      <w:proofErr w:type="spellStart"/>
      <w:r>
        <w:t>функционисању</w:t>
      </w:r>
      <w:proofErr w:type="spellEnd"/>
      <w:r>
        <w:t xml:space="preserve"> </w:t>
      </w:r>
      <w:proofErr w:type="spellStart"/>
      <w:r>
        <w:t>железничког</w:t>
      </w:r>
      <w:proofErr w:type="spellEnd"/>
      <w:r>
        <w:t xml:space="preserve"> </w:t>
      </w:r>
      <w:proofErr w:type="spellStart"/>
      <w:r>
        <w:t>саобраћаја</w:t>
      </w:r>
      <w:proofErr w:type="spellEnd"/>
      <w:r>
        <w:t xml:space="preserve"> у </w:t>
      </w:r>
      <w:proofErr w:type="spellStart"/>
      <w:r>
        <w:t>нашој</w:t>
      </w:r>
      <w:proofErr w:type="spellEnd"/>
      <w:r>
        <w:t xml:space="preserve"> </w:t>
      </w:r>
      <w:proofErr w:type="spellStart"/>
      <w:r>
        <w:t>земљи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недостатак</w:t>
      </w:r>
      <w:proofErr w:type="spellEnd"/>
      <w:r>
        <w:t xml:space="preserve"> </w:t>
      </w:r>
      <w:proofErr w:type="spellStart"/>
      <w:r>
        <w:t>савремених</w:t>
      </w:r>
      <w:proofErr w:type="spellEnd"/>
      <w:r>
        <w:t xml:space="preserve"> </w:t>
      </w:r>
      <w:proofErr w:type="spellStart"/>
      <w:r>
        <w:t>гарнитура</w:t>
      </w:r>
      <w:proofErr w:type="spellEnd"/>
      <w:r>
        <w:t xml:space="preserve"> </w:t>
      </w:r>
      <w:proofErr w:type="spellStart"/>
      <w:r>
        <w:t>електромоторних</w:t>
      </w:r>
      <w:proofErr w:type="spellEnd"/>
      <w:r>
        <w:t xml:space="preserve"> </w:t>
      </w:r>
      <w:proofErr w:type="spellStart"/>
      <w:r>
        <w:t>возова</w:t>
      </w:r>
      <w:proofErr w:type="spellEnd"/>
      <w:r>
        <w:t xml:space="preserve">, </w:t>
      </w:r>
      <w:proofErr w:type="spellStart"/>
      <w:r>
        <w:t>техничка</w:t>
      </w:r>
      <w:proofErr w:type="spellEnd"/>
      <w:r>
        <w:t xml:space="preserve"> </w:t>
      </w:r>
      <w:proofErr w:type="spellStart"/>
      <w:r>
        <w:t>застарелост</w:t>
      </w:r>
      <w:proofErr w:type="spellEnd"/>
      <w:r>
        <w:t xml:space="preserve"> </w:t>
      </w:r>
      <w:proofErr w:type="spellStart"/>
      <w:r>
        <w:t>постојећих</w:t>
      </w:r>
      <w:proofErr w:type="spellEnd"/>
      <w:r>
        <w:t xml:space="preserve"> </w:t>
      </w:r>
      <w:proofErr w:type="spellStart"/>
      <w:r>
        <w:t>возних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, </w:t>
      </w:r>
      <w:proofErr w:type="spellStart"/>
      <w:r>
        <w:t>њихови</w:t>
      </w:r>
      <w:proofErr w:type="spellEnd"/>
      <w:r>
        <w:t xml:space="preserve"> </w:t>
      </w:r>
      <w:proofErr w:type="spellStart"/>
      <w:r>
        <w:t>високи</w:t>
      </w:r>
      <w:proofErr w:type="spellEnd"/>
      <w:r>
        <w:t xml:space="preserve"> </w:t>
      </w:r>
      <w:proofErr w:type="spellStart"/>
      <w:r>
        <w:t>трошкови</w:t>
      </w:r>
      <w:proofErr w:type="spellEnd"/>
      <w:r>
        <w:t xml:space="preserve"> </w:t>
      </w:r>
      <w:proofErr w:type="spellStart"/>
      <w:r>
        <w:t>експлоатације</w:t>
      </w:r>
      <w:proofErr w:type="spellEnd"/>
      <w:r>
        <w:t xml:space="preserve"> и </w:t>
      </w:r>
      <w:proofErr w:type="spellStart"/>
      <w:r>
        <w:t>низак</w:t>
      </w:r>
      <w:proofErr w:type="spellEnd"/>
      <w:r>
        <w:t xml:space="preserve"> </w:t>
      </w:r>
      <w:proofErr w:type="spellStart"/>
      <w:r>
        <w:t>проценат</w:t>
      </w:r>
      <w:proofErr w:type="spellEnd"/>
      <w:r>
        <w:t xml:space="preserve"> </w:t>
      </w:r>
      <w:proofErr w:type="spellStart"/>
      <w:r>
        <w:t>расположивости</w:t>
      </w:r>
      <w:proofErr w:type="spellEnd"/>
      <w:r>
        <w:t xml:space="preserve">,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значајнија</w:t>
      </w:r>
      <w:proofErr w:type="spellEnd"/>
      <w:r>
        <w:t xml:space="preserve"> </w:t>
      </w:r>
      <w:proofErr w:type="spellStart"/>
      <w:r>
        <w:t>улагања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сопствених</w:t>
      </w:r>
      <w:proofErr w:type="spellEnd"/>
      <w:r>
        <w:t xml:space="preserve">, </w:t>
      </w:r>
      <w:proofErr w:type="spellStart"/>
      <w:r>
        <w:t>расположивих</w:t>
      </w:r>
      <w:proofErr w:type="spellEnd"/>
      <w:r>
        <w:t xml:space="preserve"> </w:t>
      </w:r>
      <w:proofErr w:type="spellStart"/>
      <w:r>
        <w:t>средстава</w:t>
      </w:r>
      <w:proofErr w:type="spellEnd"/>
      <w:r>
        <w:t xml:space="preserve"> </w:t>
      </w:r>
      <w:proofErr w:type="spellStart"/>
      <w:r>
        <w:t>тако</w:t>
      </w:r>
      <w:proofErr w:type="spellEnd"/>
      <w:r>
        <w:t xml:space="preserve"> и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извора</w:t>
      </w:r>
      <w:proofErr w:type="spellEnd"/>
      <w:r>
        <w:t xml:space="preserve"> </w:t>
      </w:r>
      <w:proofErr w:type="spellStart"/>
      <w:r>
        <w:t>финансирања</w:t>
      </w:r>
      <w:proofErr w:type="spellEnd"/>
      <w:r>
        <w:t xml:space="preserve">, у </w:t>
      </w:r>
      <w:proofErr w:type="spellStart"/>
      <w:r>
        <w:t>виду</w:t>
      </w:r>
      <w:proofErr w:type="spellEnd"/>
      <w:r>
        <w:t xml:space="preserve"> </w:t>
      </w:r>
      <w:proofErr w:type="spellStart"/>
      <w:r>
        <w:t>кредитне</w:t>
      </w:r>
      <w:proofErr w:type="spellEnd"/>
      <w:r>
        <w:t xml:space="preserve"> </w:t>
      </w:r>
      <w:proofErr w:type="spellStart"/>
      <w:r>
        <w:t>подршке</w:t>
      </w:r>
      <w:proofErr w:type="spellEnd"/>
      <w:r>
        <w:t xml:space="preserve"> </w:t>
      </w:r>
      <w:proofErr w:type="spellStart"/>
      <w:r>
        <w:t>међународних</w:t>
      </w:r>
      <w:proofErr w:type="spellEnd"/>
      <w:r>
        <w:t xml:space="preserve"> </w:t>
      </w:r>
      <w:proofErr w:type="spellStart"/>
      <w:r>
        <w:t>финансијских</w:t>
      </w:r>
      <w:proofErr w:type="spellEnd"/>
      <w:r>
        <w:t xml:space="preserve"> </w:t>
      </w:r>
      <w:proofErr w:type="spellStart"/>
      <w:r>
        <w:t>институција</w:t>
      </w:r>
      <w:proofErr w:type="spellEnd"/>
      <w:r>
        <w:t xml:space="preserve"> и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билатералних</w:t>
      </w:r>
      <w:proofErr w:type="spellEnd"/>
      <w:r>
        <w:t xml:space="preserve"> </w:t>
      </w:r>
      <w:proofErr w:type="spellStart"/>
      <w:r>
        <w:t>зајмодаваца</w:t>
      </w:r>
      <w:proofErr w:type="spellEnd"/>
      <w:r>
        <w:t>.</w:t>
      </w:r>
    </w:p>
    <w:p w:rsidR="008B35AE" w:rsidRDefault="008B35AE" w:rsidP="008B35AE">
      <w:pPr>
        <w:autoSpaceDE w:val="0"/>
        <w:autoSpaceDN w:val="0"/>
        <w:adjustRightInd w:val="0"/>
        <w:ind w:firstLine="720"/>
        <w:jc w:val="both"/>
      </w:pPr>
      <w:r>
        <w:rPr>
          <w:lang w:val="sr-Cyrl-CS"/>
        </w:rPr>
        <w:t>Да би одговори</w:t>
      </w:r>
      <w:r w:rsidR="005C324C">
        <w:rPr>
          <w:lang w:val="sr-Cyrl-CS"/>
        </w:rPr>
        <w:t>о</w:t>
      </w:r>
      <w:r>
        <w:rPr>
          <w:lang w:val="sr-Cyrl-CS"/>
        </w:rPr>
        <w:t xml:space="preserve"> захтевима конкуренције на тржишту транспортних услуга у путничком саобраћају и у циљу побољшања организације, квалитета и економичности превозних услуга, Србија Воз ће спровести набавку 18 нових електромоторних гарнитура коју ће финансирати из средстава</w:t>
      </w:r>
      <w:r w:rsidR="005C324C">
        <w:rPr>
          <w:lang w:val="sr-Cyrl-CS"/>
        </w:rPr>
        <w:t xml:space="preserve"> овог зајма, одобреног уз државну гаранцију. </w:t>
      </w:r>
      <w:r>
        <w:rPr>
          <w:lang w:val="sr-Cyrl-CS"/>
        </w:rPr>
        <w:t>На тај начин би се допринело превазилажењу наведених проблема</w:t>
      </w:r>
      <w:r>
        <w:t xml:space="preserve">, </w:t>
      </w:r>
      <w:proofErr w:type="spellStart"/>
      <w:r>
        <w:t>достизању</w:t>
      </w:r>
      <w:proofErr w:type="spellEnd"/>
      <w:r>
        <w:t xml:space="preserve"> </w:t>
      </w:r>
      <w:proofErr w:type="spellStart"/>
      <w:r>
        <w:t>европских</w:t>
      </w:r>
      <w:proofErr w:type="spellEnd"/>
      <w:r>
        <w:t xml:space="preserve"> </w:t>
      </w:r>
      <w:proofErr w:type="spellStart"/>
      <w:r>
        <w:t>стандарда</w:t>
      </w:r>
      <w:proofErr w:type="spellEnd"/>
      <w:r>
        <w:t xml:space="preserve"> у </w:t>
      </w:r>
      <w:proofErr w:type="spellStart"/>
      <w:r>
        <w:t>погледу</w:t>
      </w:r>
      <w:proofErr w:type="spellEnd"/>
      <w:r>
        <w:t xml:space="preserve"> </w:t>
      </w:r>
      <w:proofErr w:type="spellStart"/>
      <w:r>
        <w:t>техничких</w:t>
      </w:r>
      <w:proofErr w:type="spellEnd"/>
      <w:r>
        <w:t xml:space="preserve"> </w:t>
      </w:r>
      <w:proofErr w:type="spellStart"/>
      <w:r>
        <w:t>карактеристика</w:t>
      </w:r>
      <w:proofErr w:type="spellEnd"/>
      <w:r>
        <w:t xml:space="preserve">,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очекиване</w:t>
      </w:r>
      <w:proofErr w:type="spellEnd"/>
      <w:r>
        <w:t xml:space="preserve"> </w:t>
      </w:r>
      <w:proofErr w:type="spellStart"/>
      <w:r>
        <w:t>ефекте</w:t>
      </w:r>
      <w:proofErr w:type="spellEnd"/>
      <w:r>
        <w:t xml:space="preserve"> и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за</w:t>
      </w:r>
      <w:proofErr w:type="spellEnd"/>
      <w:r>
        <w:t>:</w:t>
      </w:r>
    </w:p>
    <w:p w:rsidR="008B35AE" w:rsidRDefault="008B35AE" w:rsidP="008B35AE">
      <w:pPr>
        <w:tabs>
          <w:tab w:val="left" w:pos="0"/>
        </w:tabs>
        <w:jc w:val="both"/>
      </w:pPr>
      <w:r>
        <w:t xml:space="preserve"> </w:t>
      </w:r>
      <w:r w:rsidRPr="00C120C9">
        <w:rPr>
          <w:color w:val="000000"/>
        </w:rPr>
        <w:t xml:space="preserve"> </w:t>
      </w:r>
      <w:r>
        <w:tab/>
      </w:r>
      <w:r>
        <w:rPr>
          <w:lang w:val="ru-RU"/>
        </w:rPr>
        <w:t>- боље повезивање, привредни раст и развој региона;</w:t>
      </w:r>
    </w:p>
    <w:p w:rsidR="008B35AE" w:rsidRDefault="008B35AE" w:rsidP="008B35AE">
      <w:pPr>
        <w:pStyle w:val="BodyText3"/>
        <w:spacing w:after="0"/>
        <w:ind w:left="360"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већи удео железнице у структури различитих видова превоза;</w:t>
      </w:r>
    </w:p>
    <w:p w:rsidR="008B35AE" w:rsidRDefault="008B35AE" w:rsidP="008B35AE">
      <w:pPr>
        <w:pStyle w:val="BodyText3"/>
        <w:spacing w:after="0"/>
        <w:ind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 обезбеђење скраћеног времена путовања и константног квалитета услуге;</w:t>
      </w:r>
    </w:p>
    <w:p w:rsidR="008B35AE" w:rsidRDefault="008B35AE" w:rsidP="008B35AE">
      <w:pPr>
        <w:pStyle w:val="BodyText3"/>
        <w:spacing w:after="0"/>
        <w:ind w:left="360"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организацију превоза прилагођеног потребама корисника;</w:t>
      </w:r>
    </w:p>
    <w:p w:rsidR="008B35AE" w:rsidRDefault="008B35AE" w:rsidP="005C3100">
      <w:pPr>
        <w:pStyle w:val="BodyText3"/>
        <w:spacing w:after="0"/>
        <w:ind w:right="-6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допринос очувању животне средине који се огледа у мањем броју возила</w:t>
      </w:r>
      <w:r w:rsidR="005C310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3100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друмском саобраћају и у коришћењу еколошки повољнијег вида енергије;</w:t>
      </w:r>
    </w:p>
    <w:p w:rsidR="008B35AE" w:rsidRDefault="008B35AE" w:rsidP="008B35AE">
      <w:pPr>
        <w:pStyle w:val="BodyText3"/>
        <w:spacing w:after="0"/>
        <w:ind w:left="360"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повећање прихода од превоза путника;</w:t>
      </w:r>
    </w:p>
    <w:p w:rsidR="008B35AE" w:rsidRDefault="008B35AE" w:rsidP="008B35AE">
      <w:pPr>
        <w:tabs>
          <w:tab w:val="left" w:pos="720"/>
          <w:tab w:val="left" w:pos="900"/>
        </w:tabs>
        <w:jc w:val="both"/>
        <w:rPr>
          <w:bCs/>
          <w:lang w:val="sr-Cyrl-CS"/>
        </w:rPr>
      </w:pPr>
      <w:r>
        <w:rPr>
          <w:lang w:val="sr-Cyrl-CS"/>
        </w:rPr>
        <w:t xml:space="preserve">            - смањење трошкова експлоатације и одржавања, рад са високим</w:t>
      </w:r>
      <w:r w:rsidR="005C324C">
        <w:t xml:space="preserve"> </w:t>
      </w:r>
      <w:r>
        <w:rPr>
          <w:lang w:val="sr-Cyrl-CS"/>
        </w:rPr>
        <w:t>степеном поузданости и расположивости и са минималним трошковима животног циклуса.</w:t>
      </w:r>
    </w:p>
    <w:p w:rsidR="00DB72BA" w:rsidRDefault="005C324C" w:rsidP="00402772">
      <w:pPr>
        <w:tabs>
          <w:tab w:val="left" w:pos="0"/>
        </w:tabs>
        <w:ind w:firstLine="720"/>
        <w:jc w:val="both"/>
        <w:rPr>
          <w:lang w:val="sr-Cyrl-CS"/>
        </w:rPr>
      </w:pPr>
      <w:r>
        <w:rPr>
          <w:lang w:val="sr-Cyrl-CS"/>
        </w:rPr>
        <w:t>Закључком Владе 05 Број: 48-7</w:t>
      </w:r>
      <w:r>
        <w:t>853/2019</w:t>
      </w:r>
      <w:r>
        <w:rPr>
          <w:lang w:val="sr-Cyrl-CS"/>
        </w:rPr>
        <w:t xml:space="preserve"> од </w:t>
      </w:r>
      <w:r>
        <w:t>8</w:t>
      </w:r>
      <w:r>
        <w:rPr>
          <w:lang w:val="sr-Cyrl-CS"/>
        </w:rPr>
        <w:t>. августа 201</w:t>
      </w:r>
      <w:r>
        <w:t>9</w:t>
      </w:r>
      <w:r>
        <w:rPr>
          <w:lang w:val="sr-Cyrl-CS"/>
        </w:rPr>
        <w:t>. године, утврђена је Основа за вођење преговора са Европском банком за обнову и развој (у даљем тексту: Банка) и одређен састав делегације Републике Србије (представници Министарства финансија,</w:t>
      </w:r>
      <w:r>
        <w:t xml:space="preserve"> </w:t>
      </w:r>
      <w:r>
        <w:rPr>
          <w:lang w:val="sr-Cyrl-CS"/>
        </w:rPr>
        <w:t>Министарства грађевинарства, саобраћаја и инфраструктуре и Србија Воза</w:t>
      </w:r>
      <w:r w:rsidR="00DB72BA">
        <w:rPr>
          <w:lang w:val="sr-Cyrl-CS"/>
        </w:rPr>
        <w:t>), што је резултирало постизањем договора око закључивања кредитног аранжмана.</w:t>
      </w:r>
    </w:p>
    <w:p w:rsidR="00DB72BA" w:rsidRDefault="005C324C" w:rsidP="00402772">
      <w:pPr>
        <w:tabs>
          <w:tab w:val="left" w:pos="0"/>
        </w:tabs>
        <w:ind w:firstLine="720"/>
        <w:jc w:val="both"/>
      </w:pPr>
      <w:r>
        <w:rPr>
          <w:bCs/>
          <w:iCs/>
          <w:lang w:val="sr-Cyrl-CS"/>
        </w:rPr>
        <w:t xml:space="preserve"> </w:t>
      </w:r>
      <w:r>
        <w:rPr>
          <w:lang w:val="sr-Cyrl-CS"/>
        </w:rPr>
        <w:t xml:space="preserve"> </w:t>
      </w:r>
      <w:r w:rsidR="00DB72BA">
        <w:rPr>
          <w:lang w:val="sr-Cyrl-CS"/>
        </w:rPr>
        <w:t>Влада је Закључком 05 Број: 48-10663/2019 од 24. октобра 2019. године прихватила Извештај са преговора и Нацрт уговора о зајму и истовремено</w:t>
      </w:r>
      <w:r w:rsidR="00DB72BA">
        <w:t xml:space="preserve"> </w:t>
      </w:r>
      <w:proofErr w:type="spellStart"/>
      <w:r w:rsidR="00DB72BA">
        <w:t>усвојила</w:t>
      </w:r>
      <w:proofErr w:type="spellEnd"/>
      <w:r w:rsidR="00DB72BA">
        <w:t xml:space="preserve"> </w:t>
      </w:r>
      <w:proofErr w:type="spellStart"/>
      <w:r w:rsidR="00DB72BA">
        <w:t>Нацрт</w:t>
      </w:r>
      <w:proofErr w:type="spellEnd"/>
      <w:r w:rsidR="00DB72BA">
        <w:t xml:space="preserve"> </w:t>
      </w:r>
      <w:proofErr w:type="spellStart"/>
      <w:r w:rsidR="00DB72BA">
        <w:t>уговора</w:t>
      </w:r>
      <w:proofErr w:type="spellEnd"/>
      <w:r w:rsidR="00DB72BA">
        <w:t xml:space="preserve"> о </w:t>
      </w:r>
      <w:proofErr w:type="spellStart"/>
      <w:r w:rsidR="00DB72BA">
        <w:t>гаранцији</w:t>
      </w:r>
      <w:proofErr w:type="spellEnd"/>
      <w:r w:rsidR="00DB72BA">
        <w:t xml:space="preserve">, </w:t>
      </w:r>
      <w:proofErr w:type="spellStart"/>
      <w:r w:rsidR="00DB72BA">
        <w:t>након</w:t>
      </w:r>
      <w:proofErr w:type="spellEnd"/>
      <w:r w:rsidR="00DB72BA">
        <w:t xml:space="preserve"> </w:t>
      </w:r>
      <w:proofErr w:type="spellStart"/>
      <w:r w:rsidR="00DB72BA">
        <w:t>чега</w:t>
      </w:r>
      <w:proofErr w:type="spellEnd"/>
      <w:r w:rsidR="00DB72BA">
        <w:t xml:space="preserve"> </w:t>
      </w:r>
      <w:proofErr w:type="spellStart"/>
      <w:r w:rsidR="00DB72BA">
        <w:t>су</w:t>
      </w:r>
      <w:proofErr w:type="spellEnd"/>
      <w:r w:rsidR="00DB72BA">
        <w:t xml:space="preserve">  </w:t>
      </w:r>
      <w:proofErr w:type="spellStart"/>
      <w:r w:rsidR="00DB72BA">
        <w:t>оба</w:t>
      </w:r>
      <w:proofErr w:type="spellEnd"/>
      <w:r w:rsidR="00DB72BA">
        <w:t xml:space="preserve"> </w:t>
      </w:r>
      <w:proofErr w:type="spellStart"/>
      <w:r w:rsidR="00DB72BA">
        <w:t>уговора</w:t>
      </w:r>
      <w:proofErr w:type="spellEnd"/>
      <w:r w:rsidR="00DB72BA">
        <w:t xml:space="preserve"> </w:t>
      </w:r>
      <w:proofErr w:type="spellStart"/>
      <w:r w:rsidR="00DB72BA">
        <w:t>потписана</w:t>
      </w:r>
      <w:proofErr w:type="spellEnd"/>
      <w:r w:rsidR="00DB72BA">
        <w:t xml:space="preserve"> 31. </w:t>
      </w:r>
      <w:proofErr w:type="spellStart"/>
      <w:r w:rsidR="00DB72BA">
        <w:t>октобра</w:t>
      </w:r>
      <w:proofErr w:type="spellEnd"/>
      <w:r w:rsidR="00DB72BA">
        <w:t xml:space="preserve"> 2019. </w:t>
      </w:r>
      <w:proofErr w:type="spellStart"/>
      <w:r w:rsidR="00DB72BA">
        <w:t>године</w:t>
      </w:r>
      <w:proofErr w:type="spellEnd"/>
      <w:r w:rsidR="00DB72BA">
        <w:t>.</w:t>
      </w:r>
    </w:p>
    <w:p w:rsidR="003A6F41" w:rsidRDefault="00472751" w:rsidP="003A6F41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bCs/>
          <w:iCs/>
        </w:rPr>
        <w:t>Потврђивање</w:t>
      </w:r>
      <w:proofErr w:type="spellEnd"/>
      <w:r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D44C60">
        <w:rPr>
          <w:rFonts w:ascii="Times New Roman" w:hAnsi="Times New Roman" w:cs="Times New Roman"/>
          <w:bCs/>
          <w:iCs/>
        </w:rPr>
        <w:t>Уговора</w:t>
      </w:r>
      <w:proofErr w:type="spellEnd"/>
      <w:r w:rsidR="00D44C60">
        <w:rPr>
          <w:rFonts w:ascii="Times New Roman" w:hAnsi="Times New Roman" w:cs="Times New Roman"/>
          <w:bCs/>
          <w:iCs/>
        </w:rPr>
        <w:t xml:space="preserve"> о </w:t>
      </w:r>
      <w:proofErr w:type="spellStart"/>
      <w:r w:rsidR="00D44C60">
        <w:rPr>
          <w:rFonts w:ascii="Times New Roman" w:hAnsi="Times New Roman" w:cs="Times New Roman"/>
          <w:bCs/>
          <w:iCs/>
        </w:rPr>
        <w:t>гаранцији</w:t>
      </w:r>
      <w:proofErr w:type="spellEnd"/>
      <w:r w:rsidR="0039315B">
        <w:rPr>
          <w:rFonts w:ascii="Times New Roman" w:hAnsi="Times New Roman" w:cs="Times New Roman"/>
          <w:bCs/>
          <w:iCs/>
        </w:rPr>
        <w:t xml:space="preserve"> у </w:t>
      </w:r>
      <w:proofErr w:type="spellStart"/>
      <w:r w:rsidR="0039315B">
        <w:rPr>
          <w:rFonts w:ascii="Times New Roman" w:hAnsi="Times New Roman" w:cs="Times New Roman"/>
          <w:bCs/>
          <w:iCs/>
        </w:rPr>
        <w:t>Народној</w:t>
      </w:r>
      <w:proofErr w:type="spellEnd"/>
      <w:r w:rsidR="0039315B">
        <w:rPr>
          <w:rFonts w:ascii="Times New Roman" w:hAnsi="Times New Roman" w:cs="Times New Roman"/>
          <w:bCs/>
          <w:iCs/>
        </w:rPr>
        <w:t xml:space="preserve"> </w:t>
      </w:r>
      <w:proofErr w:type="spellStart"/>
      <w:r w:rsidR="0039315B">
        <w:rPr>
          <w:rFonts w:ascii="Times New Roman" w:hAnsi="Times New Roman" w:cs="Times New Roman"/>
          <w:bCs/>
          <w:iCs/>
        </w:rPr>
        <w:t>скупштини</w:t>
      </w:r>
      <w:proofErr w:type="spellEnd"/>
      <w:r w:rsidR="0039315B">
        <w:rPr>
          <w:rFonts w:ascii="Times New Roman" w:hAnsi="Times New Roman" w:cs="Times New Roman"/>
          <w:bCs/>
          <w:iCs/>
        </w:rPr>
        <w:t xml:space="preserve"> и </w:t>
      </w:r>
      <w:proofErr w:type="spellStart"/>
      <w:r w:rsidR="0039315B">
        <w:rPr>
          <w:rFonts w:ascii="Times New Roman" w:hAnsi="Times New Roman" w:cs="Times New Roman"/>
          <w:bCs/>
          <w:iCs/>
        </w:rPr>
        <w:t>к</w:t>
      </w:r>
      <w:r w:rsidR="00C658C5">
        <w:rPr>
          <w:rFonts w:ascii="Times New Roman" w:hAnsi="Times New Roman" w:cs="Times New Roman"/>
          <w:color w:val="auto"/>
        </w:rPr>
        <w:t>онтинуирано</w:t>
      </w:r>
      <w:proofErr w:type="spellEnd"/>
      <w:r w:rsidR="00C658C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658C5">
        <w:rPr>
          <w:rFonts w:ascii="Times New Roman" w:hAnsi="Times New Roman" w:cs="Times New Roman"/>
          <w:color w:val="auto"/>
        </w:rPr>
        <w:t>важење</w:t>
      </w:r>
      <w:proofErr w:type="spellEnd"/>
      <w:r w:rsidR="00C658C5"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658C5">
        <w:rPr>
          <w:rFonts w:ascii="Times New Roman" w:hAnsi="Times New Roman" w:cs="Times New Roman"/>
          <w:color w:val="auto"/>
        </w:rPr>
        <w:t>државне</w:t>
      </w:r>
      <w:proofErr w:type="spellEnd"/>
      <w:r w:rsidR="00C658C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658C5">
        <w:rPr>
          <w:rFonts w:ascii="Times New Roman" w:hAnsi="Times New Roman" w:cs="Times New Roman"/>
          <w:color w:val="auto"/>
        </w:rPr>
        <w:t>гаранције</w:t>
      </w:r>
      <w:proofErr w:type="spellEnd"/>
      <w:r w:rsidR="00D44C60">
        <w:rPr>
          <w:rFonts w:ascii="Times New Roman" w:hAnsi="Times New Roman" w:cs="Times New Roman"/>
          <w:color w:val="auto"/>
        </w:rPr>
        <w:t>,</w:t>
      </w:r>
      <w:r w:rsidR="00C658C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658C5">
        <w:rPr>
          <w:rFonts w:ascii="Times New Roman" w:hAnsi="Times New Roman" w:cs="Times New Roman"/>
          <w:color w:val="auto"/>
        </w:rPr>
        <w:t>дате</w:t>
      </w:r>
      <w:proofErr w:type="spellEnd"/>
      <w:r w:rsidR="00C658C5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C658C5">
        <w:rPr>
          <w:rFonts w:ascii="Times New Roman" w:hAnsi="Times New Roman" w:cs="Times New Roman"/>
          <w:color w:val="auto"/>
        </w:rPr>
        <w:t>корист</w:t>
      </w:r>
      <w:proofErr w:type="spellEnd"/>
      <w:r w:rsidR="00C658C5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658C5">
        <w:rPr>
          <w:rFonts w:ascii="Times New Roman" w:hAnsi="Times New Roman" w:cs="Times New Roman"/>
          <w:color w:val="auto"/>
        </w:rPr>
        <w:t>Банке</w:t>
      </w:r>
      <w:proofErr w:type="spellEnd"/>
      <w:r w:rsidR="00C658C5" w:rsidRPr="00C658C5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="00C658C5" w:rsidRPr="002A3DED">
        <w:rPr>
          <w:rFonts w:ascii="Times New Roman" w:hAnsi="Times New Roman" w:cs="Times New Roman"/>
        </w:rPr>
        <w:t>за</w:t>
      </w:r>
      <w:proofErr w:type="spellEnd"/>
      <w:r w:rsidR="00C658C5" w:rsidRPr="002A3DED">
        <w:rPr>
          <w:rFonts w:ascii="Times New Roman" w:hAnsi="Times New Roman" w:cs="Times New Roman"/>
        </w:rPr>
        <w:t xml:space="preserve"> </w:t>
      </w:r>
      <w:proofErr w:type="spellStart"/>
      <w:r w:rsidR="00D44C60">
        <w:rPr>
          <w:rFonts w:ascii="Times New Roman" w:hAnsi="Times New Roman" w:cs="Times New Roman"/>
        </w:rPr>
        <w:t>измирење</w:t>
      </w:r>
      <w:proofErr w:type="spellEnd"/>
      <w:r w:rsidR="00D44C60">
        <w:rPr>
          <w:rFonts w:ascii="Times New Roman" w:hAnsi="Times New Roman" w:cs="Times New Roman"/>
        </w:rPr>
        <w:t xml:space="preserve"> </w:t>
      </w:r>
      <w:proofErr w:type="spellStart"/>
      <w:r w:rsidR="00D44C60">
        <w:rPr>
          <w:rFonts w:ascii="Times New Roman" w:hAnsi="Times New Roman" w:cs="Times New Roman"/>
        </w:rPr>
        <w:t>обавеза</w:t>
      </w:r>
      <w:proofErr w:type="spellEnd"/>
      <w:r w:rsidR="00D44C60">
        <w:rPr>
          <w:rFonts w:ascii="Times New Roman" w:hAnsi="Times New Roman" w:cs="Times New Roman"/>
        </w:rPr>
        <w:t xml:space="preserve"> </w:t>
      </w:r>
      <w:proofErr w:type="spellStart"/>
      <w:r w:rsidR="00D44C60">
        <w:rPr>
          <w:rFonts w:ascii="Times New Roman" w:hAnsi="Times New Roman" w:cs="Times New Roman"/>
        </w:rPr>
        <w:t>зајмопримца</w:t>
      </w:r>
      <w:proofErr w:type="spellEnd"/>
      <w:r w:rsidR="003A6F41">
        <w:rPr>
          <w:rFonts w:ascii="Times New Roman" w:hAnsi="Times New Roman" w:cs="Times New Roman"/>
        </w:rPr>
        <w:t>,</w:t>
      </w:r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предуслови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су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за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исплату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одобрених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средстава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3A6F41">
        <w:rPr>
          <w:rFonts w:ascii="Times New Roman" w:hAnsi="Times New Roman" w:cs="Times New Roman"/>
          <w:color w:val="auto"/>
        </w:rPr>
        <w:t>спровођење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закљученог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3A6F41">
        <w:rPr>
          <w:rFonts w:ascii="Times New Roman" w:hAnsi="Times New Roman" w:cs="Times New Roman"/>
          <w:color w:val="auto"/>
        </w:rPr>
        <w:t>Уговора</w:t>
      </w:r>
      <w:proofErr w:type="spellEnd"/>
      <w:r w:rsidR="003A6F41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="003A6F41">
        <w:rPr>
          <w:rFonts w:ascii="Times New Roman" w:hAnsi="Times New Roman" w:cs="Times New Roman"/>
          <w:color w:val="auto"/>
        </w:rPr>
        <w:t>зајму</w:t>
      </w:r>
      <w:proofErr w:type="spellEnd"/>
      <w:r w:rsidR="003A6F41">
        <w:rPr>
          <w:rFonts w:ascii="Times New Roman" w:hAnsi="Times New Roman" w:cs="Times New Roman"/>
          <w:color w:val="auto"/>
        </w:rPr>
        <w:t>.</w:t>
      </w:r>
    </w:p>
    <w:p w:rsidR="00704B57" w:rsidRPr="003A6F41" w:rsidRDefault="00E235EC" w:rsidP="003A6F41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3A6F41">
        <w:rPr>
          <w:rFonts w:ascii="Times New Roman" w:hAnsi="Times New Roman" w:cs="Times New Roman"/>
          <w:bCs/>
          <w:iCs/>
          <w:lang w:val="sr-Cyrl-CS"/>
        </w:rPr>
        <w:t>У</w:t>
      </w:r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циљу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координације</w:t>
      </w:r>
      <w:proofErr w:type="spellEnd"/>
      <w:r w:rsidRPr="003A6F41">
        <w:rPr>
          <w:rFonts w:ascii="Times New Roman" w:eastAsia="Calibri" w:hAnsi="Times New Roman" w:cs="Times New Roman"/>
        </w:rPr>
        <w:t xml:space="preserve">, </w:t>
      </w:r>
      <w:proofErr w:type="spellStart"/>
      <w:r w:rsidRPr="003A6F41">
        <w:rPr>
          <w:rFonts w:ascii="Times New Roman" w:eastAsia="Calibri" w:hAnsi="Times New Roman" w:cs="Times New Roman"/>
        </w:rPr>
        <w:t>управљања</w:t>
      </w:r>
      <w:proofErr w:type="spellEnd"/>
      <w:r w:rsidRPr="003A6F41">
        <w:rPr>
          <w:rFonts w:ascii="Times New Roman" w:eastAsia="Calibri" w:hAnsi="Times New Roman" w:cs="Times New Roman"/>
        </w:rPr>
        <w:t xml:space="preserve">, </w:t>
      </w:r>
      <w:proofErr w:type="spellStart"/>
      <w:r w:rsidRPr="003A6F41">
        <w:rPr>
          <w:rFonts w:ascii="Times New Roman" w:eastAsia="Calibri" w:hAnsi="Times New Roman" w:cs="Times New Roman"/>
        </w:rPr>
        <w:t>праћења</w:t>
      </w:r>
      <w:proofErr w:type="spellEnd"/>
      <w:r w:rsidRPr="003A6F41">
        <w:rPr>
          <w:rFonts w:ascii="Times New Roman" w:eastAsia="Calibri" w:hAnsi="Times New Roman" w:cs="Times New Roman"/>
        </w:rPr>
        <w:t xml:space="preserve"> и </w:t>
      </w:r>
      <w:proofErr w:type="spellStart"/>
      <w:r w:rsidRPr="003A6F41">
        <w:rPr>
          <w:rFonts w:ascii="Times New Roman" w:eastAsia="Calibri" w:hAnsi="Times New Roman" w:cs="Times New Roman"/>
        </w:rPr>
        <w:t>оцењивања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свих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аспеката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реализације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Пројекта</w:t>
      </w:r>
      <w:proofErr w:type="spellEnd"/>
      <w:r w:rsidRPr="003A6F41">
        <w:rPr>
          <w:rFonts w:ascii="Times New Roman" w:eastAsia="Calibri" w:hAnsi="Times New Roman" w:cs="Times New Roman"/>
        </w:rPr>
        <w:t xml:space="preserve">, </w:t>
      </w:r>
      <w:proofErr w:type="spellStart"/>
      <w:r w:rsidRPr="003A6F41">
        <w:rPr>
          <w:rFonts w:ascii="Times New Roman" w:eastAsia="Calibri" w:hAnsi="Times New Roman" w:cs="Times New Roman"/>
        </w:rPr>
        <w:t>зајмопримац</w:t>
      </w:r>
      <w:proofErr w:type="spellEnd"/>
      <w:r w:rsidRPr="003A6F41">
        <w:rPr>
          <w:rFonts w:ascii="Times New Roman" w:hAnsi="Times New Roman" w:cs="Times New Roman"/>
        </w:rPr>
        <w:t xml:space="preserve"> </w:t>
      </w:r>
      <w:proofErr w:type="spellStart"/>
      <w:r w:rsidR="00704B57" w:rsidRPr="003A6F41">
        <w:rPr>
          <w:rFonts w:ascii="Times New Roman" w:hAnsi="Times New Roman" w:cs="Times New Roman"/>
        </w:rPr>
        <w:t>ће</w:t>
      </w:r>
      <w:proofErr w:type="spellEnd"/>
      <w:r w:rsidRPr="003A6F41">
        <w:rPr>
          <w:rFonts w:ascii="Times New Roman" w:hAnsi="Times New Roman" w:cs="Times New Roman"/>
        </w:rPr>
        <w:t xml:space="preserve"> </w:t>
      </w:r>
      <w:r w:rsidRPr="003A6F41">
        <w:rPr>
          <w:rFonts w:ascii="Times New Roman" w:eastAsia="Calibri" w:hAnsi="Times New Roman" w:cs="Times New Roman"/>
        </w:rPr>
        <w:t xml:space="preserve">у </w:t>
      </w:r>
      <w:proofErr w:type="spellStart"/>
      <w:r w:rsidRPr="003A6F41">
        <w:rPr>
          <w:rFonts w:ascii="Times New Roman" w:eastAsia="Calibri" w:hAnsi="Times New Roman" w:cs="Times New Roman"/>
        </w:rPr>
        <w:t>складу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са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пројектним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задатком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hAnsi="Times New Roman" w:cs="Times New Roman"/>
        </w:rPr>
        <w:t>формира</w:t>
      </w:r>
      <w:r w:rsidR="00704B57" w:rsidRPr="003A6F41">
        <w:rPr>
          <w:rFonts w:ascii="Times New Roman" w:hAnsi="Times New Roman" w:cs="Times New Roman"/>
        </w:rPr>
        <w:t>ти</w:t>
      </w:r>
      <w:proofErr w:type="spellEnd"/>
      <w:r w:rsidR="00704B57" w:rsidRPr="003A6F41">
        <w:rPr>
          <w:rFonts w:ascii="Times New Roman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Јединицу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за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реализацију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Пројекта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са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адекватним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ресурсима</w:t>
      </w:r>
      <w:proofErr w:type="spellEnd"/>
      <w:r w:rsidRPr="003A6F41">
        <w:rPr>
          <w:rFonts w:ascii="Times New Roman" w:eastAsia="Calibri" w:hAnsi="Times New Roman" w:cs="Times New Roman"/>
        </w:rPr>
        <w:t xml:space="preserve"> и </w:t>
      </w:r>
      <w:proofErr w:type="spellStart"/>
      <w:r w:rsidRPr="003A6F41">
        <w:rPr>
          <w:rFonts w:ascii="Times New Roman" w:eastAsia="Calibri" w:hAnsi="Times New Roman" w:cs="Times New Roman"/>
        </w:rPr>
        <w:t>особљем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одговарајућих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квалиф</w:t>
      </w:r>
      <w:r w:rsidR="00AF2D0D" w:rsidRPr="003A6F41">
        <w:rPr>
          <w:rFonts w:ascii="Times New Roman" w:eastAsia="Calibri" w:hAnsi="Times New Roman" w:cs="Times New Roman"/>
        </w:rPr>
        <w:t>ик</w:t>
      </w:r>
      <w:r w:rsidRPr="003A6F41">
        <w:rPr>
          <w:rFonts w:ascii="Times New Roman" w:eastAsia="Calibri" w:hAnsi="Times New Roman" w:cs="Times New Roman"/>
        </w:rPr>
        <w:t>ација</w:t>
      </w:r>
      <w:proofErr w:type="spellEnd"/>
      <w:r w:rsidRPr="003A6F41">
        <w:rPr>
          <w:rFonts w:ascii="Times New Roman" w:eastAsia="Calibri" w:hAnsi="Times New Roman" w:cs="Times New Roman"/>
        </w:rPr>
        <w:t xml:space="preserve">, </w:t>
      </w:r>
      <w:proofErr w:type="spellStart"/>
      <w:r w:rsidRPr="003A6F41">
        <w:rPr>
          <w:rFonts w:ascii="Times New Roman" w:eastAsia="Calibri" w:hAnsi="Times New Roman" w:cs="Times New Roman"/>
        </w:rPr>
        <w:t>коју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ће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="00551517" w:rsidRPr="003A6F41">
        <w:rPr>
          <w:rFonts w:ascii="Times New Roman" w:eastAsia="Calibri" w:hAnsi="Times New Roman" w:cs="Times New Roman"/>
        </w:rPr>
        <w:t>до</w:t>
      </w:r>
      <w:proofErr w:type="spellEnd"/>
      <w:r w:rsidR="00551517"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="00551517" w:rsidRPr="003A6F41">
        <w:rPr>
          <w:rFonts w:ascii="Times New Roman" w:eastAsia="Calibri" w:hAnsi="Times New Roman" w:cs="Times New Roman"/>
        </w:rPr>
        <w:t>краја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реализације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Пројекта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одржава</w:t>
      </w:r>
      <w:r w:rsidRPr="003A6F41">
        <w:rPr>
          <w:rFonts w:ascii="Times New Roman" w:hAnsi="Times New Roman" w:cs="Times New Roman"/>
        </w:rPr>
        <w:t>ти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оперативном</w:t>
      </w:r>
      <w:proofErr w:type="spellEnd"/>
      <w:r w:rsidRPr="003A6F41">
        <w:rPr>
          <w:rFonts w:ascii="Times New Roman" w:eastAsia="Calibri" w:hAnsi="Times New Roman" w:cs="Times New Roman"/>
        </w:rPr>
        <w:t xml:space="preserve">, </w:t>
      </w:r>
      <w:proofErr w:type="spellStart"/>
      <w:r w:rsidRPr="003A6F41">
        <w:rPr>
          <w:rFonts w:ascii="Times New Roman" w:eastAsia="Calibri" w:hAnsi="Times New Roman" w:cs="Times New Roman"/>
        </w:rPr>
        <w:t>на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начин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задовољавајући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за</w:t>
      </w:r>
      <w:proofErr w:type="spellEnd"/>
      <w:r w:rsidRPr="003A6F41">
        <w:rPr>
          <w:rFonts w:ascii="Times New Roman" w:eastAsia="Calibri" w:hAnsi="Times New Roman" w:cs="Times New Roman"/>
        </w:rPr>
        <w:t xml:space="preserve"> </w:t>
      </w:r>
      <w:proofErr w:type="spellStart"/>
      <w:r w:rsidRPr="003A6F41">
        <w:rPr>
          <w:rFonts w:ascii="Times New Roman" w:eastAsia="Calibri" w:hAnsi="Times New Roman" w:cs="Times New Roman"/>
        </w:rPr>
        <w:t>Банку</w:t>
      </w:r>
      <w:proofErr w:type="spellEnd"/>
      <w:r w:rsidRPr="003A6F41">
        <w:rPr>
          <w:rFonts w:ascii="Times New Roman" w:eastAsia="Calibri" w:hAnsi="Times New Roman" w:cs="Times New Roman"/>
        </w:rPr>
        <w:t>.</w:t>
      </w:r>
    </w:p>
    <w:p w:rsidR="00704B57" w:rsidRPr="00282D6B" w:rsidRDefault="00704B57" w:rsidP="00704B57">
      <w:pPr>
        <w:tabs>
          <w:tab w:val="left" w:pos="360"/>
        </w:tabs>
        <w:jc w:val="both"/>
      </w:pPr>
      <w:r>
        <w:rPr>
          <w:rFonts w:eastAsia="Calibri"/>
          <w:bCs/>
          <w:iCs/>
          <w:lang w:val="sr-Cyrl-CS"/>
        </w:rPr>
        <w:tab/>
      </w:r>
      <w:r>
        <w:rPr>
          <w:rFonts w:eastAsia="Calibri"/>
          <w:bCs/>
          <w:iCs/>
          <w:lang w:val="sr-Cyrl-CS"/>
        </w:rPr>
        <w:tab/>
      </w:r>
      <w:r w:rsidR="00E235EC" w:rsidRPr="00A7063E">
        <w:rPr>
          <w:rFonts w:eastAsia="Calibri"/>
          <w:bCs/>
          <w:iCs/>
          <w:lang w:val="sr-Cyrl-CS"/>
        </w:rPr>
        <w:t>Поред</w:t>
      </w:r>
      <w:r w:rsidR="00E235EC">
        <w:rPr>
          <w:bCs/>
          <w:iCs/>
          <w:lang w:val="sr-Cyrl-CS"/>
        </w:rPr>
        <w:t xml:space="preserve"> средстава зајма</w:t>
      </w:r>
      <w:r>
        <w:rPr>
          <w:bCs/>
          <w:iCs/>
          <w:lang w:val="sr-Cyrl-CS"/>
        </w:rPr>
        <w:t>,</w:t>
      </w:r>
      <w:r w:rsidR="00E235EC">
        <w:rPr>
          <w:bCs/>
          <w:iCs/>
          <w:lang w:val="sr-Cyrl-CS"/>
        </w:rPr>
        <w:t xml:space="preserve"> </w:t>
      </w:r>
      <w:r w:rsidR="00E235EC">
        <w:rPr>
          <w:rFonts w:eastAsia="Calibri"/>
          <w:bCs/>
          <w:iCs/>
          <w:lang w:val="sr-Cyrl-CS"/>
        </w:rPr>
        <w:t xml:space="preserve">Банка </w:t>
      </w:r>
      <w:r>
        <w:rPr>
          <w:rFonts w:eastAsia="Calibri"/>
          <w:bCs/>
          <w:iCs/>
          <w:lang w:val="sr-Cyrl-CS"/>
        </w:rPr>
        <w:t xml:space="preserve">ће </w:t>
      </w:r>
      <w:r w:rsidRPr="00282D6B">
        <w:rPr>
          <w:bCs/>
          <w:iCs/>
          <w:lang w:val="sr-Cyrl-CS"/>
        </w:rPr>
        <w:t>одобрити и бесповратна средства тех</w:t>
      </w:r>
      <w:proofErr w:type="spellStart"/>
      <w:r w:rsidRPr="00282D6B">
        <w:t>ничке</w:t>
      </w:r>
      <w:proofErr w:type="spellEnd"/>
      <w:r w:rsidRPr="00282D6B">
        <w:t xml:space="preserve"> </w:t>
      </w:r>
      <w:proofErr w:type="spellStart"/>
      <w:r w:rsidRPr="00282D6B">
        <w:t>сарадње</w:t>
      </w:r>
      <w:proofErr w:type="spellEnd"/>
      <w:r w:rsidRPr="00282D6B">
        <w:t xml:space="preserve"> </w:t>
      </w:r>
      <w:proofErr w:type="spellStart"/>
      <w:r w:rsidRPr="00282D6B">
        <w:t>за</w:t>
      </w:r>
      <w:proofErr w:type="spellEnd"/>
      <w:r w:rsidRPr="00282D6B">
        <w:t xml:space="preserve"> </w:t>
      </w:r>
      <w:proofErr w:type="spellStart"/>
      <w:r w:rsidRPr="00282D6B">
        <w:t>ангажовање</w:t>
      </w:r>
      <w:proofErr w:type="spellEnd"/>
      <w:r w:rsidRPr="00282D6B">
        <w:t xml:space="preserve"> </w:t>
      </w:r>
      <w:proofErr w:type="spellStart"/>
      <w:r w:rsidRPr="00282D6B">
        <w:t>реномираних</w:t>
      </w:r>
      <w:proofErr w:type="spellEnd"/>
      <w:r w:rsidRPr="00282D6B">
        <w:t xml:space="preserve"> </w:t>
      </w:r>
      <w:proofErr w:type="spellStart"/>
      <w:r w:rsidRPr="00282D6B">
        <w:t>консултаната</w:t>
      </w:r>
      <w:proofErr w:type="spellEnd"/>
      <w:r w:rsidRPr="00282D6B">
        <w:t xml:space="preserve"> </w:t>
      </w:r>
      <w:proofErr w:type="spellStart"/>
      <w:r w:rsidRPr="00282D6B">
        <w:t>који</w:t>
      </w:r>
      <w:proofErr w:type="spellEnd"/>
      <w:r w:rsidRPr="00282D6B">
        <w:t xml:space="preserve"> </w:t>
      </w:r>
      <w:proofErr w:type="spellStart"/>
      <w:r w:rsidRPr="00282D6B">
        <w:t>ће</w:t>
      </w:r>
      <w:proofErr w:type="spellEnd"/>
      <w:r w:rsidRPr="00282D6B">
        <w:t xml:space="preserve"> </w:t>
      </w:r>
      <w:proofErr w:type="spellStart"/>
      <w:r w:rsidRPr="00282D6B">
        <w:t>пружати</w:t>
      </w:r>
      <w:proofErr w:type="spellEnd"/>
      <w:r w:rsidRPr="00282D6B">
        <w:t xml:space="preserve"> </w:t>
      </w:r>
      <w:proofErr w:type="spellStart"/>
      <w:r w:rsidRPr="00282D6B">
        <w:t>подршку</w:t>
      </w:r>
      <w:proofErr w:type="spellEnd"/>
      <w:r w:rsidRPr="00282D6B">
        <w:t xml:space="preserve"> </w:t>
      </w:r>
      <w:proofErr w:type="spellStart"/>
      <w:r w:rsidRPr="00282D6B">
        <w:t>Јединици</w:t>
      </w:r>
      <w:proofErr w:type="spellEnd"/>
      <w:r w:rsidRPr="00282D6B">
        <w:t xml:space="preserve"> </w:t>
      </w:r>
      <w:proofErr w:type="spellStart"/>
      <w:r w:rsidRPr="00282D6B">
        <w:t>за</w:t>
      </w:r>
      <w:proofErr w:type="spellEnd"/>
      <w:r w:rsidRPr="00282D6B">
        <w:t xml:space="preserve"> </w:t>
      </w:r>
      <w:proofErr w:type="spellStart"/>
      <w:r w:rsidRPr="00282D6B">
        <w:t>реализацију</w:t>
      </w:r>
      <w:proofErr w:type="spellEnd"/>
      <w:r w:rsidRPr="00282D6B">
        <w:t xml:space="preserve"> </w:t>
      </w:r>
      <w:proofErr w:type="spellStart"/>
      <w:r>
        <w:t>П</w:t>
      </w:r>
      <w:r w:rsidRPr="00282D6B">
        <w:t>ројекта</w:t>
      </w:r>
      <w:proofErr w:type="spellEnd"/>
      <w:r w:rsidRPr="00282D6B">
        <w:t xml:space="preserve"> и </w:t>
      </w:r>
      <w:proofErr w:type="spellStart"/>
      <w:r w:rsidRPr="00282D6B">
        <w:t>пратити</w:t>
      </w:r>
      <w:proofErr w:type="spellEnd"/>
      <w:r w:rsidRPr="00282D6B">
        <w:t xml:space="preserve"> </w:t>
      </w:r>
      <w:proofErr w:type="spellStart"/>
      <w:r w:rsidRPr="00282D6B">
        <w:t>процесе</w:t>
      </w:r>
      <w:proofErr w:type="spellEnd"/>
      <w:r w:rsidRPr="00282D6B">
        <w:t xml:space="preserve"> </w:t>
      </w:r>
      <w:proofErr w:type="spellStart"/>
      <w:r w:rsidRPr="00282D6B">
        <w:t>спровођења</w:t>
      </w:r>
      <w:proofErr w:type="spellEnd"/>
      <w:r w:rsidRPr="00282D6B">
        <w:t xml:space="preserve"> </w:t>
      </w:r>
      <w:proofErr w:type="spellStart"/>
      <w:r w:rsidRPr="00282D6B">
        <w:t>Пројекта</w:t>
      </w:r>
      <w:proofErr w:type="spellEnd"/>
      <w:r w:rsidRPr="00282D6B">
        <w:t>.</w:t>
      </w:r>
    </w:p>
    <w:p w:rsidR="00452F35" w:rsidRDefault="00551517" w:rsidP="00704B57">
      <w:pPr>
        <w:tabs>
          <w:tab w:val="left" w:pos="36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="00704B57">
        <w:rPr>
          <w:lang w:val="sr-Cyrl-CS"/>
        </w:rPr>
        <w:tab/>
      </w:r>
      <w:r w:rsidR="00452F35" w:rsidRPr="00452F35">
        <w:rPr>
          <w:lang w:val="sr-Cyrl-CS"/>
        </w:rPr>
        <w:t>Према одредбама Стандардних услова</w:t>
      </w:r>
      <w:r w:rsidR="00704B57">
        <w:rPr>
          <w:lang w:val="sr-Cyrl-CS"/>
        </w:rPr>
        <w:t xml:space="preserve"> пословања Банке од 1. октобра 2018. године, које Банка</w:t>
      </w:r>
      <w:r w:rsidR="00704B57" w:rsidRPr="009E6342">
        <w:rPr>
          <w:lang w:val="sr-Cyrl-CS"/>
        </w:rPr>
        <w:t xml:space="preserve"> </w:t>
      </w:r>
      <w:r w:rsidR="00704B57">
        <w:rPr>
          <w:lang w:val="sr-Cyrl-CS"/>
        </w:rPr>
        <w:t>примењује у својој пословној политици и пракси приликом одобравања зајмова клијентима уз државну гаранцију, овај</w:t>
      </w:r>
      <w:r w:rsidR="0039315B">
        <w:rPr>
          <w:lang w:val="sr-Cyrl-CS"/>
        </w:rPr>
        <w:t xml:space="preserve"> зајам је одобрен под </w:t>
      </w:r>
      <w:r w:rsidR="00452F35" w:rsidRPr="00452F35">
        <w:rPr>
          <w:lang w:val="sr-Cyrl-CS"/>
        </w:rPr>
        <w:t>следећи</w:t>
      </w:r>
      <w:r w:rsidR="0039315B">
        <w:rPr>
          <w:lang w:val="sr-Cyrl-CS"/>
        </w:rPr>
        <w:t>м</w:t>
      </w:r>
      <w:r w:rsidR="00704B57">
        <w:rPr>
          <w:lang w:val="sr-Cyrl-CS"/>
        </w:rPr>
        <w:t xml:space="preserve"> финансијским условима</w:t>
      </w:r>
      <w:r w:rsidR="00452F35" w:rsidRPr="00452F35">
        <w:rPr>
          <w:lang w:val="ru-RU"/>
        </w:rPr>
        <w:t>:</w:t>
      </w:r>
      <w:r w:rsidR="00452F35" w:rsidRPr="00452F35">
        <w:rPr>
          <w:bCs/>
          <w:lang w:val="sr-Cyrl-CS"/>
        </w:rPr>
        <w:t xml:space="preserve"> </w:t>
      </w:r>
    </w:p>
    <w:p w:rsidR="00704B57" w:rsidRDefault="00704B57" w:rsidP="00704B57">
      <w:pPr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износ задужења 100.000.000 евра;</w:t>
      </w:r>
    </w:p>
    <w:p w:rsidR="00704B57" w:rsidRPr="007237B8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период расположивости зајма је до 15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новембра</w:t>
      </w:r>
      <w:proofErr w:type="spellEnd"/>
      <w:r>
        <w:rPr>
          <w:rFonts w:ascii="Times New Roman" w:hAnsi="Times New Roman"/>
          <w:sz w:val="24"/>
          <w:szCs w:val="24"/>
        </w:rPr>
        <w:t xml:space="preserve"> 2023.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04B57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очекивани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завршетак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Пројекта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31. </w:t>
      </w:r>
      <w:proofErr w:type="spellStart"/>
      <w:r>
        <w:rPr>
          <w:rFonts w:ascii="Times New Roman" w:hAnsi="Times New Roman"/>
          <w:sz w:val="24"/>
          <w:szCs w:val="24"/>
        </w:rPr>
        <w:t>јануар</w:t>
      </w:r>
      <w:proofErr w:type="spellEnd"/>
      <w:r>
        <w:rPr>
          <w:rFonts w:ascii="Times New Roman" w:hAnsi="Times New Roman"/>
          <w:sz w:val="24"/>
          <w:szCs w:val="24"/>
        </w:rPr>
        <w:t xml:space="preserve"> 2024.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04B57" w:rsidRPr="00876D0C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 w:rsidRPr="00313398">
        <w:rPr>
          <w:rFonts w:ascii="Times New Roman" w:hAnsi="Times New Roman"/>
          <w:sz w:val="24"/>
          <w:szCs w:val="24"/>
        </w:rPr>
        <w:t>исплат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313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3398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3133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3398">
        <w:rPr>
          <w:rFonts w:ascii="Times New Roman" w:hAnsi="Times New Roman"/>
          <w:sz w:val="24"/>
          <w:szCs w:val="24"/>
        </w:rPr>
        <w:t>зајма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вршиће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траншама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чији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минимални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износ</w:t>
      </w:r>
      <w:proofErr w:type="spellEnd"/>
      <w:r>
        <w:rPr>
          <w:rFonts w:ascii="Times New Roman" w:hAnsi="Times New Roman"/>
          <w:sz w:val="24"/>
          <w:szCs w:val="24"/>
        </w:rPr>
        <w:t xml:space="preserve"> 500.000 </w:t>
      </w:r>
      <w:proofErr w:type="spellStart"/>
      <w:r>
        <w:rPr>
          <w:rFonts w:ascii="Times New Roman" w:hAnsi="Times New Roman"/>
          <w:sz w:val="24"/>
          <w:szCs w:val="24"/>
        </w:rPr>
        <w:t>евра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04B57" w:rsidRPr="00876D0C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доспећа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зајма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почека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трајању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4 (</w:t>
      </w:r>
      <w:proofErr w:type="spellStart"/>
      <w:r>
        <w:rPr>
          <w:rFonts w:ascii="Times New Roman" w:hAnsi="Times New Roman"/>
          <w:sz w:val="24"/>
          <w:szCs w:val="24"/>
        </w:rPr>
        <w:t>четири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15. </w:t>
      </w:r>
      <w:proofErr w:type="spellStart"/>
      <w:r>
        <w:rPr>
          <w:rFonts w:ascii="Times New Roman" w:hAnsi="Times New Roman"/>
          <w:sz w:val="24"/>
          <w:szCs w:val="24"/>
        </w:rPr>
        <w:t>новембра</w:t>
      </w:r>
      <w:proofErr w:type="spellEnd"/>
      <w:r>
        <w:rPr>
          <w:rFonts w:ascii="Times New Roman" w:hAnsi="Times New Roman"/>
          <w:sz w:val="24"/>
          <w:szCs w:val="24"/>
        </w:rPr>
        <w:t xml:space="preserve"> 2023.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04B57" w:rsidRPr="00876D0C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  <w:lang w:val="sr-Cyrl-CS"/>
        </w:rPr>
      </w:pPr>
      <w:proofErr w:type="spellStart"/>
      <w:r>
        <w:rPr>
          <w:rFonts w:ascii="Times New Roman" w:hAnsi="Times New Roman"/>
          <w:sz w:val="24"/>
          <w:szCs w:val="24"/>
        </w:rPr>
        <w:t>датуми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плаћања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обавеза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камате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провизије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неповучена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главнице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15. </w:t>
      </w:r>
      <w:proofErr w:type="spellStart"/>
      <w:r>
        <w:rPr>
          <w:rFonts w:ascii="Times New Roman" w:hAnsi="Times New Roman"/>
          <w:sz w:val="24"/>
          <w:szCs w:val="24"/>
        </w:rPr>
        <w:t>мај</w:t>
      </w:r>
      <w:proofErr w:type="spellEnd"/>
      <w:r>
        <w:rPr>
          <w:rFonts w:ascii="Times New Roman" w:hAnsi="Times New Roman"/>
          <w:sz w:val="24"/>
          <w:szCs w:val="24"/>
        </w:rPr>
        <w:t xml:space="preserve"> и 15. </w:t>
      </w:r>
      <w:proofErr w:type="spellStart"/>
      <w:r>
        <w:rPr>
          <w:rFonts w:ascii="Times New Roman" w:hAnsi="Times New Roman"/>
          <w:sz w:val="24"/>
          <w:szCs w:val="24"/>
        </w:rPr>
        <w:t>новембар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сваке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04B57" w:rsidRPr="00B36A2B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30031">
        <w:rPr>
          <w:rFonts w:ascii="Times New Roman" w:hAnsi="Times New Roman"/>
          <w:sz w:val="24"/>
          <w:szCs w:val="24"/>
        </w:rPr>
        <w:t>зајмопримац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ће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зајам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отплаћивати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у 2</w:t>
      </w:r>
      <w:r>
        <w:rPr>
          <w:rFonts w:ascii="Times New Roman" w:hAnsi="Times New Roman"/>
          <w:sz w:val="24"/>
          <w:szCs w:val="24"/>
        </w:rPr>
        <w:t>2</w:t>
      </w:r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једнаке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полугодишње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рате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30031">
        <w:rPr>
          <w:rFonts w:ascii="Times New Roman" w:hAnsi="Times New Roman"/>
          <w:sz w:val="24"/>
          <w:szCs w:val="24"/>
        </w:rPr>
        <w:t>при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чему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је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први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датум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отплате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0031">
        <w:rPr>
          <w:rFonts w:ascii="Times New Roman" w:hAnsi="Times New Roman"/>
          <w:sz w:val="24"/>
          <w:szCs w:val="24"/>
        </w:rPr>
        <w:t>главнице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15. </w:t>
      </w:r>
      <w:proofErr w:type="spellStart"/>
      <w:r>
        <w:rPr>
          <w:rFonts w:ascii="Times New Roman" w:hAnsi="Times New Roman"/>
          <w:sz w:val="24"/>
          <w:szCs w:val="24"/>
        </w:rPr>
        <w:t>новембар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30031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E3003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30031">
        <w:rPr>
          <w:rFonts w:ascii="Times New Roman" w:hAnsi="Times New Roman"/>
          <w:sz w:val="24"/>
          <w:szCs w:val="24"/>
        </w:rPr>
        <w:t>године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E30031">
        <w:rPr>
          <w:rFonts w:ascii="Times New Roman" w:hAnsi="Times New Roman"/>
          <w:sz w:val="24"/>
          <w:szCs w:val="24"/>
        </w:rPr>
        <w:t>последњи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15. </w:t>
      </w:r>
      <w:proofErr w:type="spellStart"/>
      <w:r>
        <w:rPr>
          <w:rFonts w:ascii="Times New Roman" w:hAnsi="Times New Roman"/>
          <w:sz w:val="24"/>
          <w:szCs w:val="24"/>
        </w:rPr>
        <w:t>мај</w:t>
      </w:r>
      <w:proofErr w:type="spellEnd"/>
      <w:r w:rsidRPr="00E30031">
        <w:rPr>
          <w:rFonts w:ascii="Times New Roman" w:hAnsi="Times New Roman"/>
          <w:sz w:val="24"/>
          <w:szCs w:val="24"/>
        </w:rPr>
        <w:t xml:space="preserve"> 203</w:t>
      </w:r>
      <w:r>
        <w:rPr>
          <w:rFonts w:ascii="Times New Roman" w:hAnsi="Times New Roman"/>
          <w:sz w:val="24"/>
          <w:szCs w:val="24"/>
        </w:rPr>
        <w:t>4</w:t>
      </w:r>
      <w:r w:rsidRPr="00E3003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30031">
        <w:rPr>
          <w:rFonts w:ascii="Times New Roman" w:hAnsi="Times New Roman"/>
          <w:sz w:val="24"/>
          <w:szCs w:val="24"/>
        </w:rPr>
        <w:t>године</w:t>
      </w:r>
      <w:proofErr w:type="spellEnd"/>
      <w:r w:rsidRPr="00E30031">
        <w:rPr>
          <w:rFonts w:ascii="Times New Roman" w:hAnsi="Times New Roman"/>
          <w:sz w:val="24"/>
          <w:szCs w:val="24"/>
        </w:rPr>
        <w:t>;</w:t>
      </w:r>
    </w:p>
    <w:p w:rsidR="00704B57" w:rsidRPr="00E30031" w:rsidRDefault="00704B57" w:rsidP="00704B57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9439F">
        <w:rPr>
          <w:rFonts w:ascii="Times New Roman" w:hAnsi="Times New Roman"/>
          <w:bCs/>
          <w:sz w:val="24"/>
          <w:szCs w:val="24"/>
          <w:lang w:val="sr-Cyrl-CS"/>
        </w:rPr>
        <w:t>примена</w:t>
      </w:r>
      <w:r w:rsidRPr="00E30031">
        <w:rPr>
          <w:bCs/>
          <w:lang w:val="sr-Cyrl-CS"/>
        </w:rPr>
        <w:t xml:space="preserve"> </w:t>
      </w:r>
      <w:r w:rsidRPr="00E30031">
        <w:rPr>
          <w:rFonts w:ascii="Times New Roman" w:hAnsi="Times New Roman"/>
          <w:bCs/>
          <w:sz w:val="24"/>
          <w:szCs w:val="24"/>
          <w:lang w:val="sr-Cyrl-CS"/>
        </w:rPr>
        <w:t>варијабилн</w:t>
      </w:r>
      <w:r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E30031">
        <w:rPr>
          <w:rFonts w:ascii="Times New Roman" w:hAnsi="Times New Roman"/>
          <w:bCs/>
          <w:noProof/>
          <w:sz w:val="24"/>
          <w:szCs w:val="24"/>
          <w:lang w:val="ru-RU"/>
        </w:rPr>
        <w:t xml:space="preserve"> </w:t>
      </w:r>
      <w:r w:rsidRPr="00E30031">
        <w:rPr>
          <w:rFonts w:ascii="Times New Roman" w:hAnsi="Times New Roman"/>
          <w:noProof/>
          <w:sz w:val="24"/>
          <w:szCs w:val="24"/>
          <w:lang w:val="ru-RU"/>
        </w:rPr>
        <w:t>каматн</w:t>
      </w:r>
      <w:r>
        <w:rPr>
          <w:rFonts w:ascii="Times New Roman" w:hAnsi="Times New Roman"/>
          <w:noProof/>
          <w:sz w:val="24"/>
          <w:szCs w:val="24"/>
          <w:lang w:val="ru-RU"/>
        </w:rPr>
        <w:t>е</w:t>
      </w:r>
      <w:r w:rsidRPr="00E30031">
        <w:rPr>
          <w:rFonts w:ascii="Times New Roman" w:hAnsi="Times New Roman"/>
          <w:noProof/>
          <w:sz w:val="24"/>
          <w:szCs w:val="24"/>
          <w:lang w:val="ru-RU"/>
        </w:rPr>
        <w:t xml:space="preserve"> стоп</w:t>
      </w:r>
      <w:r>
        <w:rPr>
          <w:rFonts w:ascii="Times New Roman" w:hAnsi="Times New Roman"/>
          <w:noProof/>
          <w:sz w:val="24"/>
          <w:szCs w:val="24"/>
          <w:lang w:val="ru-RU"/>
        </w:rPr>
        <w:t>е</w:t>
      </w:r>
      <w:r w:rsidRPr="00E30031">
        <w:rPr>
          <w:rFonts w:ascii="Times New Roman" w:hAnsi="Times New Roman"/>
          <w:noProof/>
          <w:sz w:val="24"/>
          <w:szCs w:val="24"/>
          <w:lang w:val="ru-RU"/>
        </w:rPr>
        <w:t xml:space="preserve"> једнак</w:t>
      </w:r>
      <w:r>
        <w:rPr>
          <w:rFonts w:ascii="Times New Roman" w:hAnsi="Times New Roman"/>
          <w:noProof/>
          <w:sz w:val="24"/>
          <w:szCs w:val="24"/>
          <w:lang w:val="ru-RU"/>
        </w:rPr>
        <w:t>е</w:t>
      </w:r>
      <w:r w:rsidRPr="00E30031">
        <w:rPr>
          <w:rFonts w:ascii="Times New Roman" w:hAnsi="Times New Roman"/>
          <w:noProof/>
          <w:sz w:val="24"/>
          <w:szCs w:val="24"/>
          <w:lang w:val="ru-RU"/>
        </w:rPr>
        <w:t xml:space="preserve"> референтној каматној стопи - шестомесечни ЕУРИБОР, увећаној за фиксну маржу од 1%, уз могућност да се каматна стопа фиксира ако се процени да је то повољнија опција са становишта управљања јавним дугом</w:t>
      </w:r>
      <w:r w:rsidRPr="00E30031">
        <w:rPr>
          <w:rFonts w:ascii="Times New Roman" w:hAnsi="Times New Roman"/>
          <w:noProof/>
          <w:sz w:val="24"/>
          <w:szCs w:val="24"/>
        </w:rPr>
        <w:t>;</w:t>
      </w:r>
    </w:p>
    <w:p w:rsidR="00704B57" w:rsidRPr="00E30031" w:rsidRDefault="00704B57" w:rsidP="00704B57">
      <w:pPr>
        <w:numPr>
          <w:ilvl w:val="0"/>
          <w:numId w:val="2"/>
        </w:numPr>
        <w:jc w:val="both"/>
      </w:pPr>
      <w:proofErr w:type="spellStart"/>
      <w:r w:rsidRPr="00E30031">
        <w:lastRenderedPageBreak/>
        <w:t>предвиђена</w:t>
      </w:r>
      <w:proofErr w:type="spellEnd"/>
      <w:r w:rsidRPr="00E30031">
        <w:t xml:space="preserve"> </w:t>
      </w:r>
      <w:proofErr w:type="spellStart"/>
      <w:r w:rsidRPr="00E30031">
        <w:t>могућност</w:t>
      </w:r>
      <w:proofErr w:type="spellEnd"/>
      <w:r w:rsidRPr="00E30031">
        <w:t xml:space="preserve"> </w:t>
      </w:r>
      <w:proofErr w:type="spellStart"/>
      <w:r w:rsidRPr="00E30031">
        <w:t>превремене</w:t>
      </w:r>
      <w:proofErr w:type="spellEnd"/>
      <w:r w:rsidRPr="00E30031">
        <w:t xml:space="preserve"> </w:t>
      </w:r>
      <w:proofErr w:type="spellStart"/>
      <w:r w:rsidRPr="00E30031">
        <w:t>отплате</w:t>
      </w:r>
      <w:proofErr w:type="spellEnd"/>
      <w:r w:rsidRPr="00E30031">
        <w:t xml:space="preserve">, </w:t>
      </w:r>
      <w:proofErr w:type="spellStart"/>
      <w:r w:rsidRPr="00E30031">
        <w:t>као</w:t>
      </w:r>
      <w:proofErr w:type="spellEnd"/>
      <w:r w:rsidRPr="00E30031">
        <w:t xml:space="preserve"> и </w:t>
      </w:r>
      <w:proofErr w:type="spellStart"/>
      <w:r w:rsidRPr="00E30031">
        <w:t>отказивања</w:t>
      </w:r>
      <w:proofErr w:type="spellEnd"/>
      <w:r w:rsidRPr="00E30031">
        <w:t xml:space="preserve"> </w:t>
      </w:r>
      <w:proofErr w:type="spellStart"/>
      <w:r w:rsidRPr="00E30031">
        <w:t>зајма</w:t>
      </w:r>
      <w:proofErr w:type="spellEnd"/>
      <w:r w:rsidRPr="00E30031">
        <w:t xml:space="preserve"> у </w:t>
      </w:r>
      <w:proofErr w:type="spellStart"/>
      <w:r w:rsidRPr="00E30031">
        <w:t>минималном</w:t>
      </w:r>
      <w:proofErr w:type="spellEnd"/>
      <w:r w:rsidRPr="00E30031">
        <w:t xml:space="preserve"> </w:t>
      </w:r>
      <w:proofErr w:type="spellStart"/>
      <w:r w:rsidRPr="00E30031">
        <w:t>износу</w:t>
      </w:r>
      <w:proofErr w:type="spellEnd"/>
      <w:r w:rsidRPr="00E30031">
        <w:t xml:space="preserve"> </w:t>
      </w:r>
      <w:proofErr w:type="spellStart"/>
      <w:r w:rsidRPr="00E30031">
        <w:t>од</w:t>
      </w:r>
      <w:proofErr w:type="spellEnd"/>
      <w:r w:rsidRPr="00E30031">
        <w:t xml:space="preserve"> </w:t>
      </w:r>
      <w:r>
        <w:t>3</w:t>
      </w:r>
      <w:r w:rsidRPr="00E30031">
        <w:t xml:space="preserve">.000.000 </w:t>
      </w:r>
      <w:proofErr w:type="spellStart"/>
      <w:r w:rsidRPr="00E30031">
        <w:t>евра</w:t>
      </w:r>
      <w:proofErr w:type="spellEnd"/>
      <w:r w:rsidRPr="00E30031">
        <w:t xml:space="preserve">, </w:t>
      </w:r>
      <w:proofErr w:type="spellStart"/>
      <w:r w:rsidRPr="00E30031">
        <w:t>ако</w:t>
      </w:r>
      <w:proofErr w:type="spellEnd"/>
      <w:r w:rsidRPr="00E30031">
        <w:t xml:space="preserve"> </w:t>
      </w:r>
      <w:proofErr w:type="spellStart"/>
      <w:r w:rsidRPr="00E30031">
        <w:t>зајам</w:t>
      </w:r>
      <w:proofErr w:type="spellEnd"/>
      <w:r w:rsidRPr="00E30031">
        <w:t xml:space="preserve"> </w:t>
      </w:r>
      <w:proofErr w:type="spellStart"/>
      <w:r w:rsidRPr="00E30031">
        <w:t>подлеже</w:t>
      </w:r>
      <w:proofErr w:type="spellEnd"/>
      <w:r w:rsidRPr="00E30031">
        <w:t xml:space="preserve"> </w:t>
      </w:r>
      <w:proofErr w:type="spellStart"/>
      <w:r w:rsidRPr="00E30031">
        <w:t>варијабилној</w:t>
      </w:r>
      <w:proofErr w:type="spellEnd"/>
      <w:r w:rsidRPr="00E30031">
        <w:t xml:space="preserve"> </w:t>
      </w:r>
      <w:proofErr w:type="spellStart"/>
      <w:r w:rsidRPr="00E30031">
        <w:t>каматној</w:t>
      </w:r>
      <w:proofErr w:type="spellEnd"/>
      <w:r w:rsidRPr="00E30031">
        <w:t xml:space="preserve"> </w:t>
      </w:r>
      <w:proofErr w:type="spellStart"/>
      <w:r w:rsidRPr="00E30031">
        <w:t>стопи</w:t>
      </w:r>
      <w:proofErr w:type="spellEnd"/>
      <w:r w:rsidRPr="00E30031">
        <w:t xml:space="preserve">, </w:t>
      </w:r>
      <w:proofErr w:type="spellStart"/>
      <w:r w:rsidRPr="00E30031">
        <w:t>односно</w:t>
      </w:r>
      <w:proofErr w:type="spellEnd"/>
      <w:r w:rsidRPr="00E30031">
        <w:t xml:space="preserve"> </w:t>
      </w:r>
      <w:r>
        <w:t>4</w:t>
      </w:r>
      <w:r w:rsidRPr="00E30031">
        <w:t xml:space="preserve">.000.000 </w:t>
      </w:r>
      <w:proofErr w:type="spellStart"/>
      <w:r w:rsidRPr="00E30031">
        <w:t>евра</w:t>
      </w:r>
      <w:proofErr w:type="spellEnd"/>
      <w:r w:rsidRPr="00E30031">
        <w:t xml:space="preserve">, </w:t>
      </w:r>
      <w:proofErr w:type="spellStart"/>
      <w:r w:rsidRPr="00E30031">
        <w:t>ако</w:t>
      </w:r>
      <w:proofErr w:type="spellEnd"/>
      <w:r w:rsidRPr="00E30031">
        <w:t xml:space="preserve"> </w:t>
      </w:r>
      <w:proofErr w:type="spellStart"/>
      <w:r w:rsidRPr="00E30031">
        <w:t>зајам</w:t>
      </w:r>
      <w:proofErr w:type="spellEnd"/>
      <w:r w:rsidRPr="00E30031">
        <w:t xml:space="preserve"> </w:t>
      </w:r>
      <w:proofErr w:type="spellStart"/>
      <w:r w:rsidRPr="00E30031">
        <w:t>подлеже</w:t>
      </w:r>
      <w:proofErr w:type="spellEnd"/>
      <w:r w:rsidRPr="00E30031">
        <w:t xml:space="preserve"> </w:t>
      </w:r>
      <w:proofErr w:type="spellStart"/>
      <w:r w:rsidRPr="00E30031">
        <w:t>фиксној</w:t>
      </w:r>
      <w:proofErr w:type="spellEnd"/>
      <w:r w:rsidRPr="00E30031">
        <w:t xml:space="preserve"> </w:t>
      </w:r>
      <w:proofErr w:type="spellStart"/>
      <w:r w:rsidRPr="00E30031">
        <w:t>каматној</w:t>
      </w:r>
      <w:proofErr w:type="spellEnd"/>
      <w:r w:rsidRPr="00E30031">
        <w:t xml:space="preserve"> </w:t>
      </w:r>
      <w:proofErr w:type="spellStart"/>
      <w:r w:rsidRPr="00E30031">
        <w:t>стопи</w:t>
      </w:r>
      <w:proofErr w:type="spellEnd"/>
      <w:r w:rsidRPr="00E30031">
        <w:t>;</w:t>
      </w:r>
    </w:p>
    <w:p w:rsidR="00704B57" w:rsidRPr="00134416" w:rsidRDefault="00704B57" w:rsidP="00704B57">
      <w:pPr>
        <w:numPr>
          <w:ilvl w:val="0"/>
          <w:numId w:val="2"/>
        </w:numPr>
        <w:tabs>
          <w:tab w:val="left" w:pos="1080"/>
        </w:tabs>
        <w:jc w:val="both"/>
        <w:rPr>
          <w:bCs/>
          <w:lang w:val="sr-Cyrl-CS"/>
        </w:rPr>
      </w:pPr>
      <w:r w:rsidRPr="00134416">
        <w:rPr>
          <w:bCs/>
          <w:lang w:val="sr-Cyrl-CS"/>
        </w:rPr>
        <w:t>провизија</w:t>
      </w:r>
      <w:r>
        <w:rPr>
          <w:bCs/>
          <w:lang w:val="sr-Cyrl-CS"/>
        </w:rPr>
        <w:t xml:space="preserve"> која се плаћа банци</w:t>
      </w:r>
      <w:r w:rsidRPr="00134416">
        <w:rPr>
          <w:bCs/>
          <w:lang w:val="sr-Cyrl-CS"/>
        </w:rPr>
        <w:t xml:space="preserve"> за неискоришћени део зајма </w:t>
      </w:r>
      <w:r>
        <w:rPr>
          <w:bCs/>
          <w:lang w:val="sr-Cyrl-CS"/>
        </w:rPr>
        <w:t>од</w:t>
      </w:r>
      <w:r w:rsidRPr="00134416">
        <w:rPr>
          <w:bCs/>
          <w:lang w:val="sr-Cyrl-CS"/>
        </w:rPr>
        <w:t xml:space="preserve"> 0,5% годишње;</w:t>
      </w:r>
    </w:p>
    <w:p w:rsidR="00704B57" w:rsidRDefault="00704B57" w:rsidP="00704B57">
      <w:pPr>
        <w:numPr>
          <w:ilvl w:val="0"/>
          <w:numId w:val="2"/>
        </w:numPr>
        <w:tabs>
          <w:tab w:val="left" w:pos="720"/>
          <w:tab w:val="left" w:pos="900"/>
          <w:tab w:val="left" w:pos="1260"/>
        </w:tabs>
        <w:jc w:val="both"/>
        <w:rPr>
          <w:bCs/>
          <w:lang w:val="sr-Cyrl-CS"/>
        </w:rPr>
      </w:pPr>
      <w:r>
        <w:rPr>
          <w:bCs/>
          <w:lang w:val="sr-Cyrl-CS"/>
        </w:rPr>
        <w:t xml:space="preserve">   </w:t>
      </w:r>
      <w:r w:rsidRPr="00134416">
        <w:rPr>
          <w:bCs/>
          <w:lang w:val="sr-Cyrl-CS"/>
        </w:rPr>
        <w:t>приступна накнада која се једнократно плаћа ба</w:t>
      </w:r>
      <w:r>
        <w:rPr>
          <w:bCs/>
          <w:lang w:val="sr-Cyrl-CS"/>
        </w:rPr>
        <w:t>нци из средстава зајма у  износу од</w:t>
      </w:r>
      <w:r w:rsidRPr="00134416">
        <w:rPr>
          <w:bCs/>
          <w:lang w:val="sr-Cyrl-CS"/>
        </w:rPr>
        <w:t xml:space="preserve"> 1% </w:t>
      </w:r>
      <w:r>
        <w:rPr>
          <w:bCs/>
          <w:lang w:val="sr-Cyrl-CS"/>
        </w:rPr>
        <w:t xml:space="preserve">(1.000.000 евра) </w:t>
      </w:r>
      <w:r w:rsidRPr="00134416">
        <w:rPr>
          <w:bCs/>
          <w:lang w:val="sr-Cyrl-CS"/>
        </w:rPr>
        <w:t>од износа главнице</w:t>
      </w:r>
      <w:r>
        <w:rPr>
          <w:bCs/>
          <w:lang w:val="sr-Cyrl-CS"/>
        </w:rPr>
        <w:t xml:space="preserve"> зајма. </w:t>
      </w:r>
    </w:p>
    <w:p w:rsidR="0039315B" w:rsidRPr="00452F35" w:rsidRDefault="0039315B" w:rsidP="00B40258">
      <w:pPr>
        <w:tabs>
          <w:tab w:val="left" w:pos="0"/>
        </w:tabs>
        <w:jc w:val="both"/>
        <w:rPr>
          <w:bCs/>
          <w:lang w:val="sr-Cyrl-CS"/>
        </w:rPr>
      </w:pPr>
    </w:p>
    <w:p w:rsidR="00FB0673" w:rsidRDefault="00C37096" w:rsidP="00035F80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proofErr w:type="spellStart"/>
      <w:r w:rsidRPr="002A3DED">
        <w:rPr>
          <w:rFonts w:ascii="Times New Roman" w:hAnsi="Times New Roman" w:cs="Times New Roman"/>
          <w:color w:val="auto"/>
        </w:rPr>
        <w:t>Уговором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2A3DED">
        <w:rPr>
          <w:rFonts w:ascii="Times New Roman" w:hAnsi="Times New Roman" w:cs="Times New Roman"/>
          <w:color w:val="auto"/>
        </w:rPr>
        <w:t>гаранцији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предвиђено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је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да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Република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Србија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безусловно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гарантује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2A3DED">
        <w:rPr>
          <w:rFonts w:ascii="Times New Roman" w:hAnsi="Times New Roman" w:cs="Times New Roman"/>
          <w:color w:val="auto"/>
        </w:rPr>
        <w:t>као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примарни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дужник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, а </w:t>
      </w:r>
      <w:proofErr w:type="spellStart"/>
      <w:r w:rsidRPr="002A3DED">
        <w:rPr>
          <w:rFonts w:ascii="Times New Roman" w:hAnsi="Times New Roman" w:cs="Times New Roman"/>
          <w:color w:val="auto"/>
        </w:rPr>
        <w:t>не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само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као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гарант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2A3DED">
        <w:rPr>
          <w:rFonts w:ascii="Times New Roman" w:hAnsi="Times New Roman" w:cs="Times New Roman"/>
          <w:color w:val="auto"/>
        </w:rPr>
        <w:t>уредно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2A3DED">
        <w:rPr>
          <w:rFonts w:ascii="Times New Roman" w:hAnsi="Times New Roman" w:cs="Times New Roman"/>
          <w:color w:val="auto"/>
        </w:rPr>
        <w:t>благовремено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плаћање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свих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доспелих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износа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F25359">
        <w:rPr>
          <w:rFonts w:ascii="Times New Roman" w:hAnsi="Times New Roman" w:cs="Times New Roman"/>
          <w:color w:val="auto"/>
        </w:rPr>
        <w:t>извршавање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преузетих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обавеза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>
        <w:rPr>
          <w:rFonts w:ascii="Times New Roman" w:hAnsi="Times New Roman" w:cs="Times New Roman"/>
          <w:color w:val="auto"/>
        </w:rPr>
        <w:t>зајмопримца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="00F25359">
        <w:rPr>
          <w:rFonts w:ascii="Times New Roman" w:hAnsi="Times New Roman" w:cs="Times New Roman"/>
          <w:color w:val="auto"/>
        </w:rPr>
        <w:t>складу</w:t>
      </w:r>
      <w:proofErr w:type="spellEnd"/>
      <w:r w:rsidR="00F25359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F25359" w:rsidRPr="00553897">
        <w:rPr>
          <w:rFonts w:ascii="Times New Roman" w:hAnsi="Times New Roman" w:cs="Times New Roman"/>
          <w:color w:val="auto"/>
        </w:rPr>
        <w:t>са</w:t>
      </w:r>
      <w:proofErr w:type="spellEnd"/>
      <w:r w:rsidRPr="0055389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53897">
        <w:rPr>
          <w:rFonts w:ascii="Times New Roman" w:hAnsi="Times New Roman" w:cs="Times New Roman"/>
          <w:color w:val="auto"/>
        </w:rPr>
        <w:t>Уговором</w:t>
      </w:r>
      <w:proofErr w:type="spellEnd"/>
      <w:r w:rsidRPr="00553897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553897">
        <w:rPr>
          <w:rFonts w:ascii="Times New Roman" w:hAnsi="Times New Roman" w:cs="Times New Roman"/>
          <w:color w:val="auto"/>
        </w:rPr>
        <w:t>зајму</w:t>
      </w:r>
      <w:proofErr w:type="spellEnd"/>
      <w:r w:rsidRPr="00553897">
        <w:rPr>
          <w:rFonts w:ascii="Times New Roman" w:hAnsi="Times New Roman" w:cs="Times New Roman"/>
          <w:color w:val="auto"/>
        </w:rPr>
        <w:t>.</w:t>
      </w:r>
    </w:p>
    <w:p w:rsidR="00C37096" w:rsidRPr="002A3DED" w:rsidRDefault="00C37096" w:rsidP="000F35B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37096" w:rsidRPr="002A3DED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37096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III. ОБЈАШЊЕЊЕ ОСНОВНИХ ПРАВНИХ ИНСТИТУТА И ПОЈЕДИНАЧНИХ РЕШЕЊА </w:t>
      </w:r>
    </w:p>
    <w:p w:rsidR="00C4068A" w:rsidRPr="00C4068A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:rsidR="00C4068A" w:rsidRPr="00747569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</w:rPr>
      </w:pPr>
      <w:proofErr w:type="spellStart"/>
      <w:r w:rsidRPr="002A3DED">
        <w:rPr>
          <w:rFonts w:ascii="Times New Roman" w:hAnsi="Times New Roman" w:cs="Times New Roman"/>
          <w:color w:val="auto"/>
        </w:rPr>
        <w:t>Одредбом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члана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1. </w:t>
      </w:r>
      <w:r w:rsidR="00FA7BCB">
        <w:rPr>
          <w:rFonts w:ascii="Times New Roman" w:hAnsi="Times New Roman" w:cs="Times New Roman"/>
          <w:color w:val="auto"/>
          <w:lang w:val="sr-Cyrl-RS"/>
        </w:rPr>
        <w:t>овог</w:t>
      </w:r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закона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предвиђа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потврђивање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Уговора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2A3DED">
        <w:rPr>
          <w:rFonts w:ascii="Times New Roman" w:hAnsi="Times New Roman" w:cs="Times New Roman"/>
          <w:color w:val="auto"/>
        </w:rPr>
        <w:t>гаранцији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704B57">
        <w:rPr>
          <w:rFonts w:ascii="Times New Roman" w:hAnsi="Times New Roman" w:cs="Times New Roman"/>
          <w:color w:val="auto"/>
        </w:rPr>
        <w:t>Набавка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возних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средстава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за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Србија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Воз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2A3DED">
        <w:rPr>
          <w:rFonts w:ascii="Times New Roman" w:hAnsi="Times New Roman" w:cs="Times New Roman"/>
          <w:color w:val="auto"/>
        </w:rPr>
        <w:t>између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Србије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2A3DED">
        <w:rPr>
          <w:rFonts w:ascii="Times New Roman" w:hAnsi="Times New Roman" w:cs="Times New Roman"/>
          <w:color w:val="auto"/>
        </w:rPr>
        <w:t>Европске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банке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за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обнову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2A3DED">
        <w:rPr>
          <w:rFonts w:ascii="Times New Roman" w:hAnsi="Times New Roman" w:cs="Times New Roman"/>
          <w:color w:val="auto"/>
        </w:rPr>
        <w:t>развој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, </w:t>
      </w:r>
      <w:r w:rsidR="00FA7BCB">
        <w:rPr>
          <w:rFonts w:ascii="Times New Roman" w:hAnsi="Times New Roman" w:cs="Times New Roman"/>
          <w:color w:val="auto"/>
          <w:lang w:val="sr-Cyrl-RS"/>
        </w:rPr>
        <w:t xml:space="preserve">који је </w:t>
      </w:r>
      <w:proofErr w:type="spellStart"/>
      <w:r w:rsidR="00FA7BCB">
        <w:rPr>
          <w:rFonts w:ascii="Times New Roman" w:hAnsi="Times New Roman" w:cs="Times New Roman"/>
          <w:color w:val="auto"/>
        </w:rPr>
        <w:t>потписан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r w:rsidR="00472751" w:rsidRPr="002A3DED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="00472751" w:rsidRPr="002A3DED">
        <w:rPr>
          <w:rFonts w:ascii="Times New Roman" w:hAnsi="Times New Roman" w:cs="Times New Roman"/>
          <w:color w:val="auto"/>
        </w:rPr>
        <w:t>Београду</w:t>
      </w:r>
      <w:proofErr w:type="spellEnd"/>
      <w:r w:rsidR="00472751">
        <w:rPr>
          <w:rFonts w:ascii="Times New Roman" w:hAnsi="Times New Roman" w:cs="Times New Roman"/>
          <w:color w:val="auto"/>
        </w:rPr>
        <w:t xml:space="preserve">, </w:t>
      </w:r>
      <w:r w:rsidR="00704B57">
        <w:rPr>
          <w:rFonts w:ascii="Times New Roman" w:hAnsi="Times New Roman" w:cs="Times New Roman"/>
          <w:color w:val="auto"/>
        </w:rPr>
        <w:t>31</w:t>
      </w:r>
      <w:r w:rsidRPr="002A3DED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452F35">
        <w:rPr>
          <w:rFonts w:ascii="Times New Roman" w:hAnsi="Times New Roman" w:cs="Times New Roman"/>
          <w:color w:val="auto"/>
        </w:rPr>
        <w:t>октобра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201</w:t>
      </w:r>
      <w:r w:rsidR="00704B57">
        <w:rPr>
          <w:rFonts w:ascii="Times New Roman" w:hAnsi="Times New Roman" w:cs="Times New Roman"/>
          <w:color w:val="auto"/>
        </w:rPr>
        <w:t>9</w:t>
      </w:r>
      <w:r w:rsidRPr="002A3DED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747569">
        <w:rPr>
          <w:rFonts w:ascii="Times New Roman" w:hAnsi="Times New Roman" w:cs="Times New Roman"/>
          <w:color w:val="auto"/>
        </w:rPr>
        <w:t>г</w:t>
      </w:r>
      <w:r w:rsidRPr="002A3DED">
        <w:rPr>
          <w:rFonts w:ascii="Times New Roman" w:hAnsi="Times New Roman" w:cs="Times New Roman"/>
          <w:color w:val="auto"/>
        </w:rPr>
        <w:t>одине</w:t>
      </w:r>
      <w:proofErr w:type="spellEnd"/>
      <w:r w:rsidR="00747569">
        <w:rPr>
          <w:rFonts w:ascii="Times New Roman" w:hAnsi="Times New Roman" w:cs="Times New Roman"/>
          <w:color w:val="auto"/>
        </w:rPr>
        <w:t xml:space="preserve"> </w:t>
      </w:r>
      <w:r w:rsidR="00747569">
        <w:rPr>
          <w:rFonts w:ascii="Times New Roman" w:hAnsi="Times New Roman" w:cs="Times New Roman"/>
        </w:rPr>
        <w:t xml:space="preserve">у </w:t>
      </w:r>
      <w:proofErr w:type="spellStart"/>
      <w:r w:rsidR="00747569">
        <w:rPr>
          <w:rFonts w:ascii="Times New Roman" w:hAnsi="Times New Roman" w:cs="Times New Roman"/>
        </w:rPr>
        <w:t>оригиналу</w:t>
      </w:r>
      <w:proofErr w:type="spellEnd"/>
      <w:r w:rsidR="00747569">
        <w:rPr>
          <w:rFonts w:ascii="Times New Roman" w:hAnsi="Times New Roman" w:cs="Times New Roman"/>
        </w:rPr>
        <w:t xml:space="preserve"> </w:t>
      </w:r>
      <w:proofErr w:type="spellStart"/>
      <w:r w:rsidR="00747569">
        <w:rPr>
          <w:rFonts w:ascii="Times New Roman" w:hAnsi="Times New Roman" w:cs="Times New Roman"/>
        </w:rPr>
        <w:t>на</w:t>
      </w:r>
      <w:proofErr w:type="spellEnd"/>
      <w:r w:rsidR="00747569">
        <w:rPr>
          <w:rFonts w:ascii="Times New Roman" w:hAnsi="Times New Roman" w:cs="Times New Roman"/>
        </w:rPr>
        <w:t xml:space="preserve"> </w:t>
      </w:r>
      <w:proofErr w:type="spellStart"/>
      <w:r w:rsidR="00747569">
        <w:rPr>
          <w:rFonts w:ascii="Times New Roman" w:hAnsi="Times New Roman" w:cs="Times New Roman"/>
        </w:rPr>
        <w:t>енглеском</w:t>
      </w:r>
      <w:proofErr w:type="spellEnd"/>
      <w:r w:rsidR="00747569">
        <w:rPr>
          <w:rFonts w:ascii="Times New Roman" w:hAnsi="Times New Roman" w:cs="Times New Roman"/>
        </w:rPr>
        <w:t xml:space="preserve"> </w:t>
      </w:r>
      <w:proofErr w:type="spellStart"/>
      <w:r w:rsidR="00747569">
        <w:rPr>
          <w:rFonts w:ascii="Times New Roman" w:hAnsi="Times New Roman" w:cs="Times New Roman"/>
        </w:rPr>
        <w:t>језику</w:t>
      </w:r>
      <w:proofErr w:type="spellEnd"/>
      <w:r w:rsidR="00747569" w:rsidRPr="00A7427C">
        <w:rPr>
          <w:rFonts w:ascii="Times New Roman" w:hAnsi="Times New Roman" w:cs="Times New Roman"/>
        </w:rPr>
        <w:t xml:space="preserve">. 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Одредба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члана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2. </w:t>
      </w:r>
      <w:r w:rsidR="00FA7BCB">
        <w:rPr>
          <w:rFonts w:ascii="Times New Roman" w:hAnsi="Times New Roman" w:cs="Times New Roman"/>
          <w:color w:val="auto"/>
          <w:lang w:val="sr-Cyrl-RS"/>
        </w:rPr>
        <w:t>овог</w:t>
      </w:r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закона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садржи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текст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Уговора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о </w:t>
      </w:r>
      <w:proofErr w:type="spellStart"/>
      <w:r w:rsidRPr="002A3DED">
        <w:rPr>
          <w:rFonts w:ascii="Times New Roman" w:hAnsi="Times New Roman" w:cs="Times New Roman"/>
          <w:color w:val="auto"/>
        </w:rPr>
        <w:t>гаранцији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704B57">
        <w:rPr>
          <w:rFonts w:ascii="Times New Roman" w:hAnsi="Times New Roman" w:cs="Times New Roman"/>
          <w:color w:val="auto"/>
        </w:rPr>
        <w:t>Набавка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возних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средстава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за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Србија</w:t>
      </w:r>
      <w:proofErr w:type="spellEnd"/>
      <w:r w:rsidR="00704B5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04B57">
        <w:rPr>
          <w:rFonts w:ascii="Times New Roman" w:hAnsi="Times New Roman" w:cs="Times New Roman"/>
          <w:color w:val="auto"/>
        </w:rPr>
        <w:t>Воз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2A3DED">
        <w:rPr>
          <w:rFonts w:ascii="Times New Roman" w:hAnsi="Times New Roman" w:cs="Times New Roman"/>
          <w:color w:val="auto"/>
        </w:rPr>
        <w:t>између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Србије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2A3DED">
        <w:rPr>
          <w:rFonts w:ascii="Times New Roman" w:hAnsi="Times New Roman" w:cs="Times New Roman"/>
          <w:color w:val="auto"/>
        </w:rPr>
        <w:t>Европске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банке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за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обнову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2A3DED">
        <w:rPr>
          <w:rFonts w:ascii="Times New Roman" w:hAnsi="Times New Roman" w:cs="Times New Roman"/>
          <w:color w:val="auto"/>
        </w:rPr>
        <w:t>развој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, у </w:t>
      </w:r>
      <w:proofErr w:type="spellStart"/>
      <w:r w:rsidRPr="002A3DED">
        <w:rPr>
          <w:rFonts w:ascii="Times New Roman" w:hAnsi="Times New Roman" w:cs="Times New Roman"/>
          <w:color w:val="auto"/>
        </w:rPr>
        <w:t>оригиналу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енглеском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2A3DED">
        <w:rPr>
          <w:rFonts w:ascii="Times New Roman" w:hAnsi="Times New Roman" w:cs="Times New Roman"/>
          <w:color w:val="auto"/>
        </w:rPr>
        <w:t>преводу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српски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језик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. </w:t>
      </w:r>
    </w:p>
    <w:p w:rsidR="00C37096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Pr="002A3DED">
        <w:rPr>
          <w:rFonts w:ascii="Times New Roman" w:hAnsi="Times New Roman" w:cs="Times New Roman"/>
          <w:color w:val="auto"/>
        </w:rPr>
        <w:t>одредби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члана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3. </w:t>
      </w:r>
      <w:proofErr w:type="spellStart"/>
      <w:r w:rsidRPr="002A3DED">
        <w:rPr>
          <w:rFonts w:ascii="Times New Roman" w:hAnsi="Times New Roman" w:cs="Times New Roman"/>
          <w:color w:val="auto"/>
        </w:rPr>
        <w:t>уређује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ступање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снагу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овог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закона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. </w:t>
      </w:r>
    </w:p>
    <w:p w:rsidR="00C4068A" w:rsidRPr="00C4068A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4068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>IV. ФИНАНСИЈСКЕ ОБАВЕЗЕ И ПРОЦЕНА ФИНАНСИЈСКИХ СРЕДСТАВА КОЈА НАСТАЈУ ИЗВРШАВАЊЕМ ЗАКОНА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 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proofErr w:type="spellStart"/>
      <w:r w:rsidRPr="002A3DED">
        <w:rPr>
          <w:rFonts w:ascii="Times New Roman" w:hAnsi="Times New Roman" w:cs="Times New Roman"/>
          <w:color w:val="auto"/>
        </w:rPr>
        <w:t>За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спровођење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овог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закона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обезбеђиваће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средства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у </w:t>
      </w:r>
      <w:proofErr w:type="spellStart"/>
      <w:r w:rsidRPr="002A3DED">
        <w:rPr>
          <w:rFonts w:ascii="Times New Roman" w:hAnsi="Times New Roman" w:cs="Times New Roman"/>
          <w:color w:val="auto"/>
        </w:rPr>
        <w:t>буџету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Републике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2A3DED">
        <w:rPr>
          <w:rFonts w:ascii="Times New Roman" w:hAnsi="Times New Roman" w:cs="Times New Roman"/>
          <w:color w:val="auto"/>
        </w:rPr>
        <w:t>Србије</w:t>
      </w:r>
      <w:proofErr w:type="spellEnd"/>
      <w:r w:rsidRPr="002A3DED">
        <w:rPr>
          <w:rFonts w:ascii="Times New Roman" w:hAnsi="Times New Roman" w:cs="Times New Roman"/>
          <w:color w:val="auto"/>
        </w:rPr>
        <w:t xml:space="preserve">. </w:t>
      </w:r>
    </w:p>
    <w:p w:rsidR="00C37096" w:rsidRPr="002A3DED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sectPr w:rsidR="00C37096" w:rsidRPr="002A3DED" w:rsidSect="000C014A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19A" w:rsidRDefault="007E119A" w:rsidP="00FB0673">
      <w:r>
        <w:separator/>
      </w:r>
    </w:p>
  </w:endnote>
  <w:endnote w:type="continuationSeparator" w:id="0">
    <w:p w:rsidR="007E119A" w:rsidRDefault="007E119A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2BA" w:rsidRDefault="00DB72BA">
    <w:pPr>
      <w:pStyle w:val="Footer"/>
      <w:jc w:val="center"/>
    </w:pPr>
  </w:p>
  <w:p w:rsidR="00DB72BA" w:rsidRDefault="00DB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19A" w:rsidRDefault="007E119A" w:rsidP="00FB0673">
      <w:r>
        <w:separator/>
      </w:r>
    </w:p>
  </w:footnote>
  <w:footnote w:type="continuationSeparator" w:id="0">
    <w:p w:rsidR="007E119A" w:rsidRDefault="007E119A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96"/>
    <w:rsid w:val="00035F80"/>
    <w:rsid w:val="00065F25"/>
    <w:rsid w:val="000C014A"/>
    <w:rsid w:val="000F35BD"/>
    <w:rsid w:val="001A272D"/>
    <w:rsid w:val="001A2833"/>
    <w:rsid w:val="001A4C7E"/>
    <w:rsid w:val="001D2B24"/>
    <w:rsid w:val="001D3473"/>
    <w:rsid w:val="00264296"/>
    <w:rsid w:val="002A3DED"/>
    <w:rsid w:val="00333E37"/>
    <w:rsid w:val="0039315B"/>
    <w:rsid w:val="003A6F41"/>
    <w:rsid w:val="00402772"/>
    <w:rsid w:val="00405ADF"/>
    <w:rsid w:val="00452F35"/>
    <w:rsid w:val="00472751"/>
    <w:rsid w:val="005426CB"/>
    <w:rsid w:val="00551517"/>
    <w:rsid w:val="00553897"/>
    <w:rsid w:val="0056268D"/>
    <w:rsid w:val="005C3100"/>
    <w:rsid w:val="005C324C"/>
    <w:rsid w:val="00625F4C"/>
    <w:rsid w:val="0066629E"/>
    <w:rsid w:val="00686705"/>
    <w:rsid w:val="006B3CB2"/>
    <w:rsid w:val="006D530E"/>
    <w:rsid w:val="00704B57"/>
    <w:rsid w:val="00743AC2"/>
    <w:rsid w:val="00747569"/>
    <w:rsid w:val="0075062E"/>
    <w:rsid w:val="00767A5B"/>
    <w:rsid w:val="00767F1C"/>
    <w:rsid w:val="007C53DB"/>
    <w:rsid w:val="007E119A"/>
    <w:rsid w:val="008161DF"/>
    <w:rsid w:val="00881FF6"/>
    <w:rsid w:val="008B1475"/>
    <w:rsid w:val="008B35AE"/>
    <w:rsid w:val="0092778D"/>
    <w:rsid w:val="009651E5"/>
    <w:rsid w:val="009A1A16"/>
    <w:rsid w:val="009C0E55"/>
    <w:rsid w:val="00A14A5A"/>
    <w:rsid w:val="00A2629B"/>
    <w:rsid w:val="00A7063E"/>
    <w:rsid w:val="00A86F50"/>
    <w:rsid w:val="00AE43B6"/>
    <w:rsid w:val="00AF2D0D"/>
    <w:rsid w:val="00B40258"/>
    <w:rsid w:val="00B667AC"/>
    <w:rsid w:val="00B770E3"/>
    <w:rsid w:val="00B95611"/>
    <w:rsid w:val="00BC3EF4"/>
    <w:rsid w:val="00C2281F"/>
    <w:rsid w:val="00C37096"/>
    <w:rsid w:val="00C4068A"/>
    <w:rsid w:val="00C658C5"/>
    <w:rsid w:val="00D04F43"/>
    <w:rsid w:val="00D35F36"/>
    <w:rsid w:val="00D44C60"/>
    <w:rsid w:val="00D53D06"/>
    <w:rsid w:val="00D74979"/>
    <w:rsid w:val="00DB72BA"/>
    <w:rsid w:val="00E235EC"/>
    <w:rsid w:val="00EF0027"/>
    <w:rsid w:val="00F163C6"/>
    <w:rsid w:val="00F25359"/>
    <w:rsid w:val="00F35ABC"/>
    <w:rsid w:val="00F54C89"/>
    <w:rsid w:val="00FA7BCB"/>
    <w:rsid w:val="00FB0673"/>
    <w:rsid w:val="00F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4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Milica Djurkovic</cp:lastModifiedBy>
  <cp:revision>12</cp:revision>
  <cp:lastPrinted>2019-11-01T06:45:00Z</cp:lastPrinted>
  <dcterms:created xsi:type="dcterms:W3CDTF">2019-11-05T07:16:00Z</dcterms:created>
  <dcterms:modified xsi:type="dcterms:W3CDTF">2019-11-29T14:06:00Z</dcterms:modified>
</cp:coreProperties>
</file>