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gif" ContentType="image/gi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4.xml" ContentType="application/vnd.openxmlformats-officedocument.themeOverride+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5.xml" ContentType="application/vnd.openxmlformats-officedocument.themeOverride+xml"/>
  <Override PartName="/word/drawings/drawing1.xml" ContentType="application/vnd.openxmlformats-officedocument.drawingml.chartshapes+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6.xml" ContentType="application/vnd.openxmlformats-officedocument.themeOverride+xml"/>
  <Override PartName="/word/drawings/drawing2.xml" ContentType="application/vnd.openxmlformats-officedocument.drawingml.chartshapes+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7.xml" ContentType="application/vnd.openxmlformats-officedocument.themeOverride+xml"/>
  <Override PartName="/word/drawings/drawing3.xml" ContentType="application/vnd.openxmlformats-officedocument.drawingml.chartshapes+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8.xml" ContentType="application/vnd.openxmlformats-officedocument.themeOverride+xml"/>
  <Override PartName="/word/drawings/drawing4.xml" ContentType="application/vnd.openxmlformats-officedocument.drawingml.chartshapes+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9.xml" ContentType="application/vnd.openxmlformats-officedocument.themeOverride+xml"/>
  <Override PartName="/word/drawings/drawing5.xml" ContentType="application/vnd.openxmlformats-officedocument.drawingml.chartshapes+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theme/themeOverride10.xml" ContentType="application/vnd.openxmlformats-officedocument.themeOverride+xml"/>
  <Override PartName="/word/drawings/drawing6.xml" ContentType="application/vnd.openxmlformats-officedocument.drawingml.chartshapes+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theme/themeOverride11.xml" ContentType="application/vnd.openxmlformats-officedocument.themeOverride+xml"/>
  <Override PartName="/word/drawings/drawing7.xml" ContentType="application/vnd.openxmlformats-officedocument.drawingml.chartshapes+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theme/themeOverride12.xml" ContentType="application/vnd.openxmlformats-officedocument.themeOverride+xml"/>
  <Override PartName="/word/drawings/drawing8.xml" ContentType="application/vnd.openxmlformats-officedocument.drawingml.chartshapes+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theme/themeOverride13.xml" ContentType="application/vnd.openxmlformats-officedocument.themeOverride+xml"/>
  <Override PartName="/word/drawings/drawing9.xml" ContentType="application/vnd.openxmlformats-officedocument.drawingml.chartshapes+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theme/themeOverride14.xml" ContentType="application/vnd.openxmlformats-officedocument.themeOverride+xml"/>
  <Override PartName="/word/drawings/drawing10.xml" ContentType="application/vnd.openxmlformats-officedocument.drawingml.chartshapes+xml"/>
  <Override PartName="/word/charts/chart15.xml" ContentType="application/vnd.openxmlformats-officedocument.drawingml.chart+xml"/>
  <Override PartName="/word/charts/style15.xml" ContentType="application/vnd.ms-office.chartstyle+xml"/>
  <Override PartName="/word/charts/colors15.xml" ContentType="application/vnd.ms-office.chartcolorstyle+xml"/>
  <Override PartName="/word/theme/themeOverride15.xml" ContentType="application/vnd.openxmlformats-officedocument.themeOverride+xml"/>
  <Override PartName="/word/charts/chart16.xml" ContentType="application/vnd.openxmlformats-officedocument.drawingml.chart+xml"/>
  <Override PartName="/word/charts/style16.xml" ContentType="application/vnd.ms-office.chartstyle+xml"/>
  <Override PartName="/word/charts/colors16.xml" ContentType="application/vnd.ms-office.chartcolorstyle+xml"/>
  <Override PartName="/word/theme/themeOverride16.xml" ContentType="application/vnd.openxmlformats-officedocument.themeOverride+xml"/>
  <Override PartName="/word/charts/chart17.xml" ContentType="application/vnd.openxmlformats-officedocument.drawingml.chart+xml"/>
  <Override PartName="/word/charts/style17.xml" ContentType="application/vnd.ms-office.chartstyle+xml"/>
  <Override PartName="/word/charts/colors17.xml" ContentType="application/vnd.ms-office.chartcolorstyle+xml"/>
  <Override PartName="/word/theme/themeOverride17.xml" ContentType="application/vnd.openxmlformats-officedocument.themeOverride+xml"/>
  <Override PartName="/word/charts/chart18.xml" ContentType="application/vnd.openxmlformats-officedocument.drawingml.chart+xml"/>
  <Override PartName="/word/charts/style18.xml" ContentType="application/vnd.ms-office.chartstyle+xml"/>
  <Override PartName="/word/charts/colors18.xml" ContentType="application/vnd.ms-office.chartcolorstyle+xml"/>
  <Override PartName="/word/theme/themeOverride18.xml" ContentType="application/vnd.openxmlformats-officedocument.themeOverride+xml"/>
  <Override PartName="/word/charts/chart19.xml" ContentType="application/vnd.openxmlformats-officedocument.drawingml.chart+xml"/>
  <Override PartName="/word/charts/style19.xml" ContentType="application/vnd.ms-office.chartstyle+xml"/>
  <Override PartName="/word/charts/colors19.xml" ContentType="application/vnd.ms-office.chartcolorstyle+xml"/>
  <Override PartName="/word/theme/themeOverride19.xml" ContentType="application/vnd.openxmlformats-officedocument.themeOverride+xml"/>
  <Override PartName="/word/charts/chart20.xml" ContentType="application/vnd.openxmlformats-officedocument.drawingml.chart+xml"/>
  <Override PartName="/word/charts/style20.xml" ContentType="application/vnd.ms-office.chartstyle+xml"/>
  <Override PartName="/word/charts/colors20.xml" ContentType="application/vnd.ms-office.chartcolorstyle+xml"/>
  <Override PartName="/word/theme/themeOverride20.xml" ContentType="application/vnd.openxmlformats-officedocument.themeOverride+xml"/>
  <Override PartName="/word/charts/chart21.xml" ContentType="application/vnd.openxmlformats-officedocument.drawingml.chart+xml"/>
  <Override PartName="/word/charts/style21.xml" ContentType="application/vnd.ms-office.chartstyle+xml"/>
  <Override PartName="/word/charts/colors21.xml" ContentType="application/vnd.ms-office.chartcolorstyle+xml"/>
  <Override PartName="/word/theme/themeOverride21.xml" ContentType="application/vnd.openxmlformats-officedocument.themeOverride+xml"/>
  <Override PartName="/word/charts/chart22.xml" ContentType="application/vnd.openxmlformats-officedocument.drawingml.chart+xml"/>
  <Override PartName="/word/charts/style22.xml" ContentType="application/vnd.ms-office.chartstyle+xml"/>
  <Override PartName="/word/charts/colors22.xml" ContentType="application/vnd.ms-office.chartcolorstyle+xml"/>
  <Override PartName="/word/theme/themeOverride22.xml" ContentType="application/vnd.openxmlformats-officedocument.themeOverride+xml"/>
  <Override PartName="/word/charts/chart23.xml" ContentType="application/vnd.openxmlformats-officedocument.drawingml.chart+xml"/>
  <Override PartName="/word/charts/style23.xml" ContentType="application/vnd.ms-office.chartstyle+xml"/>
  <Override PartName="/word/charts/colors23.xml" ContentType="application/vnd.ms-office.chartcolorstyle+xml"/>
  <Override PartName="/word/theme/themeOverride23.xml" ContentType="application/vnd.openxmlformats-officedocument.themeOverride+xml"/>
  <Override PartName="/word/charts/chart24.xml" ContentType="application/vnd.openxmlformats-officedocument.drawingml.chart+xml"/>
  <Override PartName="/word/charts/style24.xml" ContentType="application/vnd.ms-office.chartstyle+xml"/>
  <Override PartName="/word/charts/colors24.xml" ContentType="application/vnd.ms-office.chartcolorstyle+xml"/>
  <Override PartName="/word/theme/themeOverride24.xml" ContentType="application/vnd.openxmlformats-officedocument.themeOverride+xml"/>
  <Override PartName="/word/charts/chart25.xml" ContentType="application/vnd.openxmlformats-officedocument.drawingml.chart+xml"/>
  <Override PartName="/word/charts/style25.xml" ContentType="application/vnd.ms-office.chartstyle+xml"/>
  <Override PartName="/word/charts/colors25.xml" ContentType="application/vnd.ms-office.chartcolorstyle+xml"/>
  <Override PartName="/word/theme/themeOverride25.xml" ContentType="application/vnd.openxmlformats-officedocument.themeOverride+xml"/>
  <Override PartName="/word/charts/chart26.xml" ContentType="application/vnd.openxmlformats-officedocument.drawingml.chart+xml"/>
  <Override PartName="/word/charts/style26.xml" ContentType="application/vnd.ms-office.chartstyle+xml"/>
  <Override PartName="/word/charts/colors26.xml" ContentType="application/vnd.ms-office.chartcolorstyle+xml"/>
  <Override PartName="/word/theme/themeOverride26.xml" ContentType="application/vnd.openxmlformats-officedocument.themeOverride+xml"/>
  <Override PartName="/word/charts/chart27.xml" ContentType="application/vnd.openxmlformats-officedocument.drawingml.chart+xml"/>
  <Override PartName="/word/charts/style27.xml" ContentType="application/vnd.ms-office.chartstyle+xml"/>
  <Override PartName="/word/charts/colors27.xml" ContentType="application/vnd.ms-office.chartcolorstyle+xml"/>
  <Override PartName="/word/theme/themeOverride27.xml" ContentType="application/vnd.openxmlformats-officedocument.themeOverride+xml"/>
  <Override PartName="/word/header11.xml" ContentType="application/vnd.openxmlformats-officedocument.wordprocessingml.header+xml"/>
  <Override PartName="/word/header12.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3.xml" ContentType="application/vnd.openxmlformats-officedocument.wordprocessingml.header+xml"/>
  <Override PartName="/word/charts/chart28.xml" ContentType="application/vnd.openxmlformats-officedocument.drawingml.chart+xml"/>
  <Override PartName="/word/charts/style28.xml" ContentType="application/vnd.ms-office.chartstyle+xml"/>
  <Override PartName="/word/charts/colors28.xml" ContentType="application/vnd.ms-office.chartcolorstyle+xml"/>
  <Override PartName="/word/theme/themeOverride28.xml" ContentType="application/vnd.openxmlformats-officedocument.themeOverride+xml"/>
  <Override PartName="/word/drawings/drawing11.xml" ContentType="application/vnd.openxmlformats-officedocument.drawingml.chartshapes+xml"/>
  <Override PartName="/word/charts/chart29.xml" ContentType="application/vnd.openxmlformats-officedocument.drawingml.chart+xml"/>
  <Override PartName="/word/charts/style29.xml" ContentType="application/vnd.ms-office.chartstyle+xml"/>
  <Override PartName="/word/charts/colors29.xml" ContentType="application/vnd.ms-office.chartcolorstyle+xml"/>
  <Override PartName="/word/theme/themeOverride29.xml" ContentType="application/vnd.openxmlformats-officedocument.themeOverride+xml"/>
  <Override PartName="/word/drawings/drawing12.xml" ContentType="application/vnd.openxmlformats-officedocument.drawingml.chartshapes+xml"/>
  <Override PartName="/word/charts/chart30.xml" ContentType="application/vnd.openxmlformats-officedocument.drawingml.chart+xml"/>
  <Override PartName="/word/charts/style30.xml" ContentType="application/vnd.ms-office.chartstyle+xml"/>
  <Override PartName="/word/charts/colors30.xml" ContentType="application/vnd.ms-office.chartcolorstyle+xml"/>
  <Override PartName="/word/theme/themeOverride30.xml" ContentType="application/vnd.openxmlformats-officedocument.themeOverride+xml"/>
  <Override PartName="/word/drawings/drawing13.xml" ContentType="application/vnd.openxmlformats-officedocument.drawingml.chartshapes+xml"/>
  <Override PartName="/word/footer12.xml" ContentType="application/vnd.openxmlformats-officedocument.wordprocessingml.footer+xml"/>
  <Override PartName="/word/footer13.xml" ContentType="application/vnd.openxmlformats-officedocument.wordprocessingml.footer+xml"/>
  <Override PartName="/word/charts/chart31.xml" ContentType="application/vnd.openxmlformats-officedocument.drawingml.chart+xml"/>
  <Override PartName="/word/charts/style31.xml" ContentType="application/vnd.ms-office.chartstyle+xml"/>
  <Override PartName="/word/charts/colors31.xml" ContentType="application/vnd.ms-office.chartcolorstyle+xml"/>
  <Override PartName="/word/theme/themeOverride31.xml" ContentType="application/vnd.openxmlformats-officedocument.themeOverride+xml"/>
  <Override PartName="/word/drawings/drawing14.xml" ContentType="application/vnd.openxmlformats-officedocument.drawingml.chartshapes+xml"/>
  <Override PartName="/word/charts/chart32.xml" ContentType="application/vnd.openxmlformats-officedocument.drawingml.chart+xml"/>
  <Override PartName="/word/charts/style32.xml" ContentType="application/vnd.ms-office.chartstyle+xml"/>
  <Override PartName="/word/charts/colors32.xml" ContentType="application/vnd.ms-office.chartcolorstyle+xml"/>
  <Override PartName="/word/theme/themeOverride32.xml" ContentType="application/vnd.openxmlformats-officedocument.themeOverride+xml"/>
  <Override PartName="/word/charts/chart33.xml" ContentType="application/vnd.openxmlformats-officedocument.drawingml.chart+xml"/>
  <Override PartName="/word/charts/style33.xml" ContentType="application/vnd.ms-office.chartstyle+xml"/>
  <Override PartName="/word/charts/colors33.xml" ContentType="application/vnd.ms-office.chartcolorstyle+xml"/>
  <Override PartName="/word/theme/themeOverride33.xml" ContentType="application/vnd.openxmlformats-officedocument.themeOverride+xml"/>
  <Override PartName="/word/charts/chart34.xml" ContentType="application/vnd.openxmlformats-officedocument.drawingml.chart+xml"/>
  <Override PartName="/word/charts/style34.xml" ContentType="application/vnd.ms-office.chartstyle+xml"/>
  <Override PartName="/word/charts/colors34.xml" ContentType="application/vnd.ms-office.chartcolorstyle+xml"/>
  <Override PartName="/word/theme/themeOverride34.xml" ContentType="application/vnd.openxmlformats-officedocument.themeOverride+xml"/>
  <Override PartName="/word/drawings/drawing15.xml" ContentType="application/vnd.openxmlformats-officedocument.drawingml.chartshapes+xml"/>
  <Override PartName="/word/charts/chart35.xml" ContentType="application/vnd.openxmlformats-officedocument.drawingml.chart+xml"/>
  <Override PartName="/word/charts/style35.xml" ContentType="application/vnd.ms-office.chartstyle+xml"/>
  <Override PartName="/word/charts/colors35.xml" ContentType="application/vnd.ms-office.chartcolorstyle+xml"/>
  <Override PartName="/word/theme/themeOverride35.xml" ContentType="application/vnd.openxmlformats-officedocument.themeOverride+xml"/>
  <Override PartName="/word/charts/chart36.xml" ContentType="application/vnd.openxmlformats-officedocument.drawingml.chart+xml"/>
  <Override PartName="/word/charts/style36.xml" ContentType="application/vnd.ms-office.chartstyle+xml"/>
  <Override PartName="/word/charts/colors36.xml" ContentType="application/vnd.ms-office.chartcolorstyle+xml"/>
  <Override PartName="/word/theme/themeOverride36.xml" ContentType="application/vnd.openxmlformats-officedocument.themeOverride+xml"/>
  <Override PartName="/word/drawings/drawing16.xml" ContentType="application/vnd.openxmlformats-officedocument.drawingml.chartshapes+xml"/>
  <Override PartName="/word/charts/chart37.xml" ContentType="application/vnd.openxmlformats-officedocument.drawingml.chart+xml"/>
  <Override PartName="/word/charts/style37.xml" ContentType="application/vnd.ms-office.chartstyle+xml"/>
  <Override PartName="/word/charts/colors37.xml" ContentType="application/vnd.ms-office.chartcolorstyle+xml"/>
  <Override PartName="/word/theme/themeOverride37.xml" ContentType="application/vnd.openxmlformats-officedocument.themeOverride+xml"/>
  <Override PartName="/word/charts/chart38.xml" ContentType="application/vnd.openxmlformats-officedocument.drawingml.chart+xml"/>
  <Override PartName="/word/charts/style38.xml" ContentType="application/vnd.ms-office.chartstyle+xml"/>
  <Override PartName="/word/charts/colors38.xml" ContentType="application/vnd.ms-office.chartcolorstyle+xml"/>
  <Override PartName="/word/theme/themeOverride38.xml" ContentType="application/vnd.openxmlformats-officedocument.themeOverride+xml"/>
  <Override PartName="/word/charts/chart39.xml" ContentType="application/vnd.openxmlformats-officedocument.drawingml.chart+xml"/>
  <Override PartName="/word/charts/style39.xml" ContentType="application/vnd.ms-office.chartstyle+xml"/>
  <Override PartName="/word/charts/colors39.xml" ContentType="application/vnd.ms-office.chartcolorstyle+xml"/>
  <Override PartName="/word/theme/themeOverride39.xml" ContentType="application/vnd.openxmlformats-officedocument.themeOverride+xml"/>
  <Override PartName="/word/drawings/drawing17.xml" ContentType="application/vnd.openxmlformats-officedocument.drawingml.chartshapes+xml"/>
  <Override PartName="/word/charts/chart40.xml" ContentType="application/vnd.openxmlformats-officedocument.drawingml.chart+xml"/>
  <Override PartName="/word/charts/style40.xml" ContentType="application/vnd.ms-office.chartstyle+xml"/>
  <Override PartName="/word/charts/colors40.xml" ContentType="application/vnd.ms-office.chartcolorstyle+xml"/>
  <Override PartName="/word/theme/themeOverride40.xml" ContentType="application/vnd.openxmlformats-officedocument.themeOverride+xml"/>
  <Override PartName="/word/drawings/drawing18.xml" ContentType="application/vnd.openxmlformats-officedocument.drawingml.chartshapes+xml"/>
  <Override PartName="/word/header14.xml" ContentType="application/vnd.openxmlformats-officedocument.wordprocessingml.header+xml"/>
  <Override PartName="/word/header15.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9.xml" ContentType="application/vnd.openxmlformats-officedocument.wordprocessingml.header+xml"/>
  <Override PartName="/word/charts/chart41.xml" ContentType="application/vnd.openxmlformats-officedocument.drawingml.chart+xml"/>
  <Override PartName="/word/theme/themeOverride41.xml" ContentType="application/vnd.openxmlformats-officedocument.themeOverride+xml"/>
  <Override PartName="/word/header20.xml" ContentType="application/vnd.openxmlformats-officedocument.wordprocessingml.header+xml"/>
  <Override PartName="/word/header21.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8.xml" ContentType="application/vnd.openxmlformats-officedocument.wordprocessingml.header+xml"/>
  <Override PartName="/word/charts/chart42.xml" ContentType="application/vnd.openxmlformats-officedocument.drawingml.chart+xml"/>
  <Override PartName="/word/charts/style41.xml" ContentType="application/vnd.ms-office.chartstyle+xml"/>
  <Override PartName="/word/charts/colors41.xml" ContentType="application/vnd.ms-office.chartcolorstyle+xml"/>
  <Override PartName="/word/header29.xml" ContentType="application/vnd.openxmlformats-officedocument.wordprocessingml.header+xml"/>
  <Override PartName="/word/header30.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header31.xml" ContentType="application/vnd.openxmlformats-officedocument.wordprocessingml.header+xml"/>
  <Override PartName="/word/charts/chart43.xml" ContentType="application/vnd.openxmlformats-officedocument.drawingml.chart+xml"/>
  <Override PartName="/word/charts/style42.xml" ContentType="application/vnd.ms-office.chartstyle+xml"/>
  <Override PartName="/word/charts/colors42.xml" ContentType="application/vnd.ms-office.chartcolorstyle+xml"/>
  <Override PartName="/word/charts/chart44.xml" ContentType="application/vnd.openxmlformats-officedocument.drawingml.chart+xml"/>
  <Override PartName="/word/charts/style43.xml" ContentType="application/vnd.ms-office.chartstyle+xml"/>
  <Override PartName="/word/charts/colors43.xml" ContentType="application/vnd.ms-office.chartcolorstyle+xml"/>
  <Override PartName="/word/theme/themeOverride42.xml" ContentType="application/vnd.openxmlformats-officedocument.themeOverride+xml"/>
  <Override PartName="/word/drawings/drawing19.xml" ContentType="application/vnd.openxmlformats-officedocument.drawingml.chartshapes+xml"/>
  <Override PartName="/word/charts/chart45.xml" ContentType="application/vnd.openxmlformats-officedocument.drawingml.chart+xml"/>
  <Override PartName="/word/charts/style44.xml" ContentType="application/vnd.ms-office.chartstyle+xml"/>
  <Override PartName="/word/charts/colors44.xml" ContentType="application/vnd.ms-office.chartcolorstyle+xml"/>
  <Override PartName="/word/theme/themeOverride43.xml" ContentType="application/vnd.openxmlformats-officedocument.themeOverride+xml"/>
  <Override PartName="/word/header32.xml" ContentType="application/vnd.openxmlformats-officedocument.wordprocessingml.header+xml"/>
  <Override PartName="/word/header33.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footer30.xml" ContentType="application/vnd.openxmlformats-officedocument.wordprocessingml.footer+xml"/>
  <Override PartName="/word/footer31.xml" ContentType="application/vnd.openxmlformats-officedocument.wordprocessingml.footer+xml"/>
  <Override PartName="/word/header40.xml" ContentType="application/vnd.openxmlformats-officedocument.wordprocessingml.header+xml"/>
  <Override PartName="/word/charts/chart46.xml" ContentType="application/vnd.openxmlformats-officedocument.drawingml.chart+xml"/>
  <Override PartName="/word/charts/style45.xml" ContentType="application/vnd.ms-office.chartstyle+xml"/>
  <Override PartName="/word/charts/colors45.xml" ContentType="application/vnd.ms-office.chartcolorstyle+xml"/>
  <Override PartName="/word/drawings/drawing20.xml" ContentType="application/vnd.openxmlformats-officedocument.drawingml.chartshapes+xml"/>
  <Override PartName="/word/charts/chart47.xml" ContentType="application/vnd.openxmlformats-officedocument.drawingml.chart+xml"/>
  <Override PartName="/word/charts/style46.xml" ContentType="application/vnd.ms-office.chartstyle+xml"/>
  <Override PartName="/word/charts/colors46.xml" ContentType="application/vnd.ms-office.chartcolorstyle+xml"/>
  <Override PartName="/word/drawings/drawing21.xml" ContentType="application/vnd.openxmlformats-officedocument.drawingml.chartshapes+xml"/>
  <Override PartName="/word/charts/chart48.xml" ContentType="application/vnd.openxmlformats-officedocument.drawingml.chart+xml"/>
  <Override PartName="/word/charts/style47.xml" ContentType="application/vnd.ms-office.chartstyle+xml"/>
  <Override PartName="/word/charts/colors47.xml" ContentType="application/vnd.ms-office.chartcolorstyle+xml"/>
  <Override PartName="/word/theme/themeOverride44.xml" ContentType="application/vnd.openxmlformats-officedocument.themeOverride+xml"/>
  <Override PartName="/word/drawings/drawing22.xml" ContentType="application/vnd.openxmlformats-officedocument.drawingml.chartshapes+xml"/>
  <Override PartName="/word/charts/chart49.xml" ContentType="application/vnd.openxmlformats-officedocument.drawingml.chart+xml"/>
  <Override PartName="/word/charts/style48.xml" ContentType="application/vnd.ms-office.chartstyle+xml"/>
  <Override PartName="/word/charts/colors48.xml" ContentType="application/vnd.ms-office.chartcolorstyle+xml"/>
  <Override PartName="/word/charts/chart50.xml" ContentType="application/vnd.openxmlformats-officedocument.drawingml.chart+xml"/>
  <Override PartName="/word/charts/style49.xml" ContentType="application/vnd.ms-office.chartstyle+xml"/>
  <Override PartName="/word/charts/colors49.xml" ContentType="application/vnd.ms-office.chartcolorstyle+xml"/>
  <Override PartName="/word/drawings/drawing23.xml" ContentType="application/vnd.openxmlformats-officedocument.drawingml.chartshapes+xml"/>
  <Override PartName="/word/header41.xml" ContentType="application/vnd.openxmlformats-officedocument.wordprocessingml.header+xml"/>
  <Override PartName="/word/header42.xml" ContentType="application/vnd.openxmlformats-officedocument.wordprocessingml.header+xml"/>
  <Override PartName="/word/footer32.xml" ContentType="application/vnd.openxmlformats-officedocument.wordprocessingml.footer+xml"/>
  <Override PartName="/word/footer33.xml" ContentType="application/vnd.openxmlformats-officedocument.wordprocessingml.footer+xml"/>
  <Override PartName="/word/header43.xml" ContentType="application/vnd.openxmlformats-officedocument.wordprocessingml.header+xml"/>
  <Override PartName="/word/charts/chart51.xml" ContentType="application/vnd.openxmlformats-officedocument.drawingml.chart+xml"/>
  <Override PartName="/word/charts/style50.xml" ContentType="application/vnd.ms-office.chartstyle+xml"/>
  <Override PartName="/word/charts/colors50.xml" ContentType="application/vnd.ms-office.chartcolorstyle+xml"/>
  <Override PartName="/word/theme/themeOverride45.xml" ContentType="application/vnd.openxmlformats-officedocument.themeOverride+xml"/>
  <Override PartName="/word/charts/chart52.xml" ContentType="application/vnd.openxmlformats-officedocument.drawingml.chart+xml"/>
  <Override PartName="/word/charts/style51.xml" ContentType="application/vnd.ms-office.chartstyle+xml"/>
  <Override PartName="/word/charts/colors51.xml" ContentType="application/vnd.ms-office.chartcolorstyle+xml"/>
  <Override PartName="/word/theme/themeOverride46.xml" ContentType="application/vnd.openxmlformats-officedocument.themeOverride+xml"/>
  <Override PartName="/word/charts/chart53.xml" ContentType="application/vnd.openxmlformats-officedocument.drawingml.chart+xml"/>
  <Override PartName="/word/charts/style52.xml" ContentType="application/vnd.ms-office.chartstyle+xml"/>
  <Override PartName="/word/charts/colors52.xml" ContentType="application/vnd.ms-office.chartcolorstyle+xml"/>
  <Override PartName="/word/theme/themeOverride47.xml" ContentType="application/vnd.openxmlformats-officedocument.themeOverride+xml"/>
  <Override PartName="/word/charts/chart54.xml" ContentType="application/vnd.openxmlformats-officedocument.drawingml.chart+xml"/>
  <Override PartName="/word/theme/themeOverride48.xml" ContentType="application/vnd.openxmlformats-officedocument.themeOverride+xml"/>
  <Override PartName="/word/charts/chart55.xml" ContentType="application/vnd.openxmlformats-officedocument.drawingml.chart+xml"/>
  <Override PartName="/word/theme/themeOverride49.xml" ContentType="application/vnd.openxmlformats-officedocument.themeOverride+xml"/>
  <Override PartName="/word/charts/chart56.xml" ContentType="application/vnd.openxmlformats-officedocument.drawingml.chart+xml"/>
  <Override PartName="/word/theme/themeOverride50.xml" ContentType="application/vnd.openxmlformats-officedocument.themeOverride+xml"/>
  <Override PartName="/word/charts/chart57.xml" ContentType="application/vnd.openxmlformats-officedocument.drawingml.chart+xml"/>
  <Override PartName="/word/theme/themeOverride51.xml" ContentType="application/vnd.openxmlformats-officedocument.themeOverride+xml"/>
  <Override PartName="/word/charts/chart58.xml" ContentType="application/vnd.openxmlformats-officedocument.drawingml.chart+xml"/>
  <Override PartName="/word/charts/style53.xml" ContentType="application/vnd.ms-office.chartstyle+xml"/>
  <Override PartName="/word/charts/colors53.xml" ContentType="application/vnd.ms-office.chartcolorstyle+xml"/>
  <Override PartName="/word/theme/themeOverride52.xml" ContentType="application/vnd.openxmlformats-officedocument.themeOverride+xml"/>
  <Override PartName="/word/charts/chart59.xml" ContentType="application/vnd.openxmlformats-officedocument.drawingml.chart+xml"/>
  <Override PartName="/word/theme/themeOverride53.xml" ContentType="application/vnd.openxmlformats-officedocument.themeOverride+xml"/>
  <Override PartName="/word/charts/chart60.xml" ContentType="application/vnd.openxmlformats-officedocument.drawingml.chart+xml"/>
  <Override PartName="/word/theme/themeOverride54.xml" ContentType="application/vnd.openxmlformats-officedocument.themeOverride+xml"/>
  <Override PartName="/word/header44.xml" ContentType="application/vnd.openxmlformats-officedocument.wordprocessingml.header+xml"/>
  <Override PartName="/word/footer3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harts/chart440.xml" ContentType="application/vnd.openxmlformats-officedocument.drawingml.chart+xml"/>
  <Override PartName="/word/theme/themeOverride420.xml" ContentType="application/vnd.openxmlformats-officedocument.themeOverride+xml"/>
  <Override PartName="/word/charts/colors430.xml" ContentType="application/vnd.ms-office.chartcolorstyle+xml"/>
  <Override PartName="/word/charts/style430.xml" ContentType="application/vnd.ms-office.chartstyle+xml"/>
  <Override PartName="/word/drawings/drawing190.xml" ContentType="application/vnd.openxmlformats-officedocument.drawingml.chartshap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B064D0F" w14:textId="32F80DD4" w:rsidR="00C55154" w:rsidRPr="007E770D" w:rsidRDefault="00C55154" w:rsidP="00B46CA9">
      <w:pPr>
        <w:spacing w:before="240"/>
        <w:ind w:firstLine="720"/>
        <w:rPr>
          <w:rFonts w:cstheme="minorHAnsi"/>
          <w:color w:val="auto"/>
          <w:sz w:val="48"/>
          <w:szCs w:val="64"/>
          <w:lang w:val="sr-Cyrl-CS"/>
        </w:rPr>
      </w:pPr>
      <w:r w:rsidRPr="007E770D">
        <w:rPr>
          <w:rFonts w:cstheme="minorHAnsi"/>
          <w:bCs/>
          <w:color w:val="auto"/>
          <w:szCs w:val="72"/>
          <w:lang w:val="sr-Cyrl-CS"/>
        </w:rPr>
        <w:t>На основу члана</w:t>
      </w:r>
      <w:r w:rsidR="00B46CA9" w:rsidRPr="007E770D">
        <w:rPr>
          <w:rFonts w:cstheme="minorHAnsi"/>
          <w:bCs/>
          <w:color w:val="auto"/>
          <w:szCs w:val="72"/>
          <w:lang w:val="sr-Cyrl-CS"/>
        </w:rPr>
        <w:t xml:space="preserve"> 27в став 1. и члана</w:t>
      </w:r>
      <w:r w:rsidRPr="007E770D">
        <w:rPr>
          <w:rFonts w:cstheme="minorHAnsi"/>
          <w:bCs/>
          <w:color w:val="auto"/>
          <w:szCs w:val="72"/>
          <w:lang w:val="sr-Cyrl-CS"/>
        </w:rPr>
        <w:t xml:space="preserve"> 31</w:t>
      </w:r>
      <w:r w:rsidR="003A3F7F" w:rsidRPr="007E770D">
        <w:rPr>
          <w:rFonts w:cstheme="minorHAnsi"/>
          <w:bCs/>
          <w:color w:val="auto"/>
          <w:szCs w:val="72"/>
          <w:lang w:val="sr-Cyrl-CS"/>
        </w:rPr>
        <w:t xml:space="preserve">. </w:t>
      </w:r>
      <w:r w:rsidRPr="007E770D">
        <w:rPr>
          <w:rFonts w:cstheme="minorHAnsi"/>
          <w:bCs/>
          <w:color w:val="auto"/>
          <w:szCs w:val="72"/>
          <w:lang w:val="sr-Cyrl-CS"/>
        </w:rPr>
        <w:t xml:space="preserve">став 1. тачка </w:t>
      </w:r>
      <w:r w:rsidR="008F73A2" w:rsidRPr="007E770D">
        <w:rPr>
          <w:rFonts w:cstheme="minorHAnsi"/>
          <w:bCs/>
          <w:color w:val="auto"/>
          <w:szCs w:val="72"/>
          <w:lang w:val="sr-Cyrl-CS"/>
        </w:rPr>
        <w:t>1) подтач.</w:t>
      </w:r>
      <w:r w:rsidR="00B46CA9" w:rsidRPr="007E770D">
        <w:rPr>
          <w:rFonts w:cstheme="minorHAnsi"/>
          <w:bCs/>
          <w:color w:val="auto"/>
          <w:szCs w:val="72"/>
          <w:lang w:val="sr-Cyrl-CS"/>
        </w:rPr>
        <w:t xml:space="preserve"> (</w:t>
      </w:r>
      <w:r w:rsidR="00AB0E2B" w:rsidRPr="007E770D">
        <w:rPr>
          <w:rFonts w:cstheme="minorHAnsi"/>
          <w:bCs/>
          <w:color w:val="auto"/>
          <w:szCs w:val="72"/>
          <w:lang w:val="sr-Cyrl-CS"/>
        </w:rPr>
        <w:t>13</w:t>
      </w:r>
      <w:r w:rsidR="00B46CA9" w:rsidRPr="007E770D">
        <w:rPr>
          <w:rFonts w:cstheme="minorHAnsi"/>
          <w:bCs/>
          <w:color w:val="auto"/>
          <w:szCs w:val="72"/>
          <w:lang w:val="sr-Cyrl-CS"/>
        </w:rPr>
        <w:t xml:space="preserve">) </w:t>
      </w:r>
      <w:r w:rsidR="008F73A2" w:rsidRPr="007E770D">
        <w:rPr>
          <w:rFonts w:cstheme="minorHAnsi"/>
          <w:bCs/>
          <w:color w:val="auto"/>
          <w:szCs w:val="72"/>
          <w:lang w:val="sr-Cyrl-CS"/>
        </w:rPr>
        <w:t xml:space="preserve">и (14) </w:t>
      </w:r>
      <w:r w:rsidR="00B46CA9" w:rsidRPr="007E770D">
        <w:rPr>
          <w:rFonts w:cstheme="minorHAnsi"/>
          <w:bCs/>
          <w:color w:val="auto"/>
          <w:szCs w:val="72"/>
          <w:lang w:val="sr-Cyrl-CS"/>
        </w:rPr>
        <w:t>Закона о буџетском систему („</w:t>
      </w:r>
      <w:r w:rsidRPr="007E770D">
        <w:rPr>
          <w:rFonts w:cstheme="minorHAnsi"/>
          <w:bCs/>
          <w:color w:val="auto"/>
          <w:szCs w:val="72"/>
          <w:lang w:val="sr-Cyrl-CS"/>
        </w:rPr>
        <w:t xml:space="preserve">Службени </w:t>
      </w:r>
      <w:r w:rsidR="00B46CA9" w:rsidRPr="007E770D">
        <w:rPr>
          <w:rFonts w:cstheme="minorHAnsi"/>
          <w:bCs/>
          <w:color w:val="auto"/>
          <w:szCs w:val="72"/>
          <w:lang w:val="sr-Cyrl-CS"/>
        </w:rPr>
        <w:t xml:space="preserve">гласник РСˮ, бр. 54/09, 73/10, 101/10, 101/11, 93/12, 62/13, 63/13-исправка, 108/13, 142/14, 68/15-др. закон, 103/15, 99/16, 113/17, </w:t>
      </w:r>
      <w:r w:rsidR="00AB0E2B" w:rsidRPr="007E770D">
        <w:rPr>
          <w:rFonts w:cstheme="minorHAnsi"/>
          <w:bCs/>
          <w:color w:val="auto"/>
          <w:szCs w:val="72"/>
          <w:lang w:val="sr-Cyrl-CS"/>
        </w:rPr>
        <w:t xml:space="preserve">95/18, </w:t>
      </w:r>
      <w:r w:rsidR="00B46CA9" w:rsidRPr="007E770D">
        <w:rPr>
          <w:rFonts w:cstheme="minorHAnsi"/>
          <w:bCs/>
          <w:color w:val="auto"/>
          <w:szCs w:val="72"/>
          <w:lang w:val="sr-Cyrl-CS"/>
        </w:rPr>
        <w:t>31/</w:t>
      </w:r>
      <w:r w:rsidRPr="007E770D">
        <w:rPr>
          <w:rFonts w:cstheme="minorHAnsi"/>
          <w:bCs/>
          <w:color w:val="auto"/>
          <w:szCs w:val="72"/>
          <w:lang w:val="sr-Cyrl-CS"/>
        </w:rPr>
        <w:t>19</w:t>
      </w:r>
      <w:r w:rsidR="00AB0E2B" w:rsidRPr="007E770D">
        <w:rPr>
          <w:color w:val="auto"/>
          <w:lang w:val="sr-Cyrl-CS"/>
        </w:rPr>
        <w:t xml:space="preserve"> </w:t>
      </w:r>
      <w:r w:rsidR="00AB0E2B" w:rsidRPr="007E770D">
        <w:rPr>
          <w:rFonts w:cstheme="minorHAnsi"/>
          <w:bCs/>
          <w:color w:val="auto"/>
          <w:szCs w:val="72"/>
          <w:lang w:val="sr-Cyrl-CS"/>
        </w:rPr>
        <w:t>и 72/19</w:t>
      </w:r>
      <w:r w:rsidRPr="007E770D">
        <w:rPr>
          <w:rFonts w:cstheme="minorHAnsi"/>
          <w:bCs/>
          <w:color w:val="auto"/>
          <w:szCs w:val="72"/>
          <w:lang w:val="sr-Cyrl-CS"/>
        </w:rPr>
        <w:t>),</w:t>
      </w:r>
    </w:p>
    <w:p w14:paraId="0BC6F837" w14:textId="525B84E5" w:rsidR="00C55154" w:rsidRPr="007E770D" w:rsidRDefault="00B46CA9" w:rsidP="00B46CA9">
      <w:pPr>
        <w:ind w:firstLine="720"/>
        <w:rPr>
          <w:rFonts w:cstheme="minorHAnsi"/>
          <w:bCs/>
          <w:color w:val="auto"/>
          <w:szCs w:val="72"/>
          <w:lang w:val="sr-Cyrl-CS"/>
        </w:rPr>
      </w:pPr>
      <w:r w:rsidRPr="007E770D">
        <w:rPr>
          <w:rFonts w:cstheme="minorHAnsi"/>
          <w:bCs/>
          <w:color w:val="auto"/>
          <w:szCs w:val="72"/>
          <w:lang w:val="sr-Cyrl-CS"/>
        </w:rPr>
        <w:t>Влада усваја</w:t>
      </w:r>
    </w:p>
    <w:p w14:paraId="6B2D1F8F" w14:textId="0566A986" w:rsidR="00C55154" w:rsidRPr="007E770D" w:rsidRDefault="008519F8" w:rsidP="008420D4">
      <w:pPr>
        <w:spacing w:after="0" w:line="240" w:lineRule="auto"/>
        <w:jc w:val="center"/>
        <w:rPr>
          <w:rFonts w:cstheme="minorHAnsi"/>
          <w:b/>
          <w:bCs/>
          <w:color w:val="auto"/>
          <w:sz w:val="26"/>
          <w:szCs w:val="26"/>
          <w:lang w:val="sr-Cyrl-CS"/>
        </w:rPr>
      </w:pPr>
      <w:bookmarkStart w:id="0" w:name="_GoBack"/>
      <w:r w:rsidRPr="007E770D">
        <w:rPr>
          <w:rFonts w:cstheme="minorHAnsi"/>
          <w:b/>
          <w:bCs/>
          <w:color w:val="auto"/>
          <w:sz w:val="26"/>
          <w:szCs w:val="26"/>
          <w:lang w:val="sr-Cyrl-CS"/>
        </w:rPr>
        <w:t xml:space="preserve">РЕВИДИРАНУ </w:t>
      </w:r>
      <w:r w:rsidR="00C55154" w:rsidRPr="007E770D">
        <w:rPr>
          <w:rFonts w:cstheme="minorHAnsi"/>
          <w:b/>
          <w:bCs/>
          <w:color w:val="auto"/>
          <w:sz w:val="26"/>
          <w:szCs w:val="26"/>
          <w:lang w:val="sr-Cyrl-CS"/>
        </w:rPr>
        <w:t>ФИСКАЛНУ СТРАТЕГИЈУ</w:t>
      </w:r>
    </w:p>
    <w:p w14:paraId="3D209906" w14:textId="77777777" w:rsidR="00C55154" w:rsidRPr="007E770D" w:rsidRDefault="00C55154" w:rsidP="008420D4">
      <w:pPr>
        <w:spacing w:after="0" w:line="240" w:lineRule="auto"/>
        <w:jc w:val="center"/>
        <w:rPr>
          <w:rFonts w:cstheme="minorHAnsi"/>
          <w:b/>
          <w:bCs/>
          <w:color w:val="auto"/>
          <w:sz w:val="26"/>
          <w:szCs w:val="26"/>
          <w:lang w:val="sr-Cyrl-CS"/>
        </w:rPr>
      </w:pPr>
      <w:r w:rsidRPr="007E770D">
        <w:rPr>
          <w:rFonts w:cstheme="minorHAnsi"/>
          <w:b/>
          <w:bCs/>
          <w:color w:val="auto"/>
          <w:sz w:val="26"/>
          <w:szCs w:val="26"/>
          <w:lang w:val="sr-Cyrl-CS"/>
        </w:rPr>
        <w:t>ЗА 2020. ГОДИНУ СА ПРОЈЕКЦИЈАМА ЗА 2021. И 2022. ГОДИНУ</w:t>
      </w:r>
      <w:bookmarkEnd w:id="0"/>
    </w:p>
    <w:p w14:paraId="269B608F" w14:textId="77777777" w:rsidR="00C55154" w:rsidRPr="007E770D" w:rsidRDefault="00C55154" w:rsidP="008420D4">
      <w:pPr>
        <w:spacing w:after="0" w:line="240" w:lineRule="auto"/>
        <w:jc w:val="center"/>
        <w:rPr>
          <w:rFonts w:cstheme="minorHAnsi"/>
          <w:b/>
          <w:bCs/>
          <w:color w:val="auto"/>
          <w:sz w:val="24"/>
          <w:szCs w:val="72"/>
          <w:lang w:val="sr-Cyrl-CS"/>
        </w:rPr>
      </w:pPr>
    </w:p>
    <w:p w14:paraId="31D41E93" w14:textId="77777777" w:rsidR="00C55154" w:rsidRPr="007E770D" w:rsidRDefault="00C55154" w:rsidP="00D20C27">
      <w:pPr>
        <w:pStyle w:val="Heading1"/>
        <w:jc w:val="center"/>
        <w:rPr>
          <w:rFonts w:asciiTheme="minorHAnsi" w:hAnsiTheme="minorHAnsi" w:cstheme="minorHAnsi"/>
          <w:b/>
          <w:color w:val="auto"/>
          <w:sz w:val="26"/>
          <w:szCs w:val="26"/>
          <w:lang w:val="sr-Cyrl-CS"/>
        </w:rPr>
      </w:pPr>
      <w:bookmarkStart w:id="1" w:name="_Toc23342459"/>
      <w:r w:rsidRPr="007E770D">
        <w:rPr>
          <w:rFonts w:asciiTheme="minorHAnsi" w:hAnsiTheme="minorHAnsi" w:cstheme="minorHAnsi"/>
          <w:b/>
          <w:color w:val="auto"/>
          <w:sz w:val="26"/>
          <w:szCs w:val="26"/>
          <w:lang w:val="sr-Cyrl-CS"/>
        </w:rPr>
        <w:t>I. МАКРОЕКОНОМСКИ ОКВИР ЗА ПЕРИОД ОД 2020. ДО 2022. ГОДИНЕ</w:t>
      </w:r>
      <w:bookmarkEnd w:id="1"/>
    </w:p>
    <w:p w14:paraId="31A5B1F7" w14:textId="77777777" w:rsidR="00C55154" w:rsidRPr="007E770D" w:rsidRDefault="00C55154" w:rsidP="00087CD9">
      <w:pPr>
        <w:spacing w:after="120"/>
        <w:jc w:val="center"/>
        <w:rPr>
          <w:rFonts w:cstheme="minorHAnsi"/>
          <w:color w:val="auto"/>
          <w:sz w:val="18"/>
          <w:lang w:val="sr-Cyrl-CS"/>
        </w:rPr>
      </w:pPr>
    </w:p>
    <w:p w14:paraId="3CA90BED" w14:textId="77777777" w:rsidR="00C55154" w:rsidRPr="007E770D" w:rsidRDefault="00C55154" w:rsidP="00D20C27">
      <w:pPr>
        <w:pStyle w:val="Heading2"/>
        <w:jc w:val="center"/>
        <w:rPr>
          <w:rFonts w:asciiTheme="minorHAnsi" w:hAnsiTheme="minorHAnsi" w:cstheme="minorHAnsi"/>
          <w:b/>
          <w:color w:val="auto"/>
          <w:sz w:val="24"/>
          <w:lang w:val="sr-Cyrl-CS"/>
        </w:rPr>
      </w:pPr>
      <w:bookmarkStart w:id="2" w:name="_Toc23342460"/>
      <w:r w:rsidRPr="007E770D">
        <w:rPr>
          <w:rFonts w:asciiTheme="minorHAnsi" w:hAnsiTheme="minorHAnsi" w:cstheme="minorHAnsi"/>
          <w:b/>
          <w:color w:val="auto"/>
          <w:sz w:val="22"/>
          <w:lang w:val="sr-Cyrl-CS"/>
        </w:rPr>
        <w:t xml:space="preserve">1. </w:t>
      </w:r>
      <w:r w:rsidRPr="007E770D">
        <w:rPr>
          <w:rFonts w:asciiTheme="minorHAnsi" w:hAnsiTheme="minorHAnsi" w:cstheme="minorHAnsi"/>
          <w:b/>
          <w:color w:val="auto"/>
          <w:sz w:val="24"/>
          <w:lang w:val="sr-Cyrl-CS"/>
        </w:rPr>
        <w:t>Општи оквир и главни циљеви и смернице економске политике</w:t>
      </w:r>
      <w:bookmarkEnd w:id="2"/>
    </w:p>
    <w:p w14:paraId="3C3B499B" w14:textId="77777777" w:rsidR="00C55154" w:rsidRPr="007E770D" w:rsidRDefault="00C55154" w:rsidP="00AF2359">
      <w:pPr>
        <w:rPr>
          <w:rFonts w:cstheme="minorHAnsi"/>
          <w:color w:val="auto"/>
          <w:sz w:val="18"/>
          <w:lang w:val="sr-Cyrl-CS"/>
        </w:rPr>
      </w:pPr>
    </w:p>
    <w:p w14:paraId="4983963A" w14:textId="77777777" w:rsidR="00C55154" w:rsidRPr="007E770D" w:rsidRDefault="00C55154" w:rsidP="00AF2359">
      <w:pPr>
        <w:rPr>
          <w:rFonts w:cstheme="minorHAnsi"/>
          <w:color w:val="auto"/>
          <w:lang w:val="sr-Cyrl-CS"/>
        </w:rPr>
        <w:sectPr w:rsidR="00C55154" w:rsidRPr="007E770D" w:rsidSect="007E770D">
          <w:headerReference w:type="even" r:id="rId8"/>
          <w:headerReference w:type="default" r:id="rId9"/>
          <w:footerReference w:type="even" r:id="rId10"/>
          <w:footerReference w:type="default" r:id="rId11"/>
          <w:headerReference w:type="first" r:id="rId12"/>
          <w:type w:val="continuous"/>
          <w:pgSz w:w="12240" w:h="15840"/>
          <w:pgMar w:top="1440" w:right="1440" w:bottom="1440" w:left="1440" w:header="720" w:footer="720" w:gutter="0"/>
          <w:cols w:space="720"/>
          <w:titlePg/>
          <w:docGrid w:linePitch="360"/>
        </w:sectPr>
      </w:pPr>
    </w:p>
    <w:p w14:paraId="51356383" w14:textId="0BEC71A0" w:rsidR="00747061" w:rsidRPr="007E770D" w:rsidRDefault="00747061" w:rsidP="00C130D2">
      <w:pPr>
        <w:rPr>
          <w:rFonts w:cstheme="minorHAnsi"/>
          <w:bCs/>
          <w:color w:val="auto"/>
          <w:szCs w:val="72"/>
          <w:lang w:val="sr-Cyrl-CS"/>
        </w:rPr>
      </w:pPr>
      <w:r w:rsidRPr="007E770D">
        <w:rPr>
          <w:rFonts w:cstheme="minorHAnsi"/>
          <w:bCs/>
          <w:color w:val="auto"/>
          <w:szCs w:val="72"/>
          <w:lang w:val="sr-Cyrl-CS"/>
        </w:rPr>
        <w:t xml:space="preserve">Током 2019. године настављено </w:t>
      </w:r>
      <w:r w:rsidR="003B31C0" w:rsidRPr="007E770D">
        <w:rPr>
          <w:rFonts w:cstheme="minorHAnsi"/>
          <w:bCs/>
          <w:color w:val="auto"/>
          <w:szCs w:val="72"/>
          <w:lang w:val="sr-Cyrl-CS"/>
        </w:rPr>
        <w:t xml:space="preserve">је </w:t>
      </w:r>
      <w:r w:rsidRPr="007E770D">
        <w:rPr>
          <w:rFonts w:cstheme="minorHAnsi"/>
          <w:bCs/>
          <w:color w:val="auto"/>
          <w:szCs w:val="72"/>
          <w:lang w:val="sr-Cyrl-CS"/>
        </w:rPr>
        <w:t>побољшање макроекономских перформанси српске привреде. Овај процес потврђен је</w:t>
      </w:r>
      <w:r w:rsidR="003B31C0" w:rsidRPr="007E770D">
        <w:rPr>
          <w:rFonts w:cstheme="minorHAnsi"/>
          <w:bCs/>
          <w:color w:val="auto"/>
          <w:szCs w:val="72"/>
          <w:lang w:val="sr-Cyrl-CS"/>
        </w:rPr>
        <w:t xml:space="preserve"> интензивираним</w:t>
      </w:r>
      <w:r w:rsidR="006F331C" w:rsidRPr="007E770D">
        <w:rPr>
          <w:rFonts w:cstheme="minorHAnsi"/>
          <w:bCs/>
          <w:color w:val="auto"/>
          <w:szCs w:val="72"/>
          <w:lang w:val="sr-Cyrl-CS"/>
        </w:rPr>
        <w:t xml:space="preserve"> приливом СДИ</w:t>
      </w:r>
      <w:r w:rsidRPr="007E770D">
        <w:rPr>
          <w:rFonts w:cstheme="minorHAnsi"/>
          <w:bCs/>
          <w:color w:val="auto"/>
          <w:szCs w:val="72"/>
          <w:lang w:val="sr-Cyrl-CS"/>
        </w:rPr>
        <w:t xml:space="preserve"> који ће до кра</w:t>
      </w:r>
      <w:r w:rsidR="004200F6" w:rsidRPr="007E770D">
        <w:rPr>
          <w:rFonts w:cstheme="minorHAnsi"/>
          <w:bCs/>
          <w:color w:val="auto"/>
          <w:szCs w:val="72"/>
          <w:lang w:val="sr-Cyrl-CS"/>
        </w:rPr>
        <w:t>ја године сасвим извесно достићи рекордни ниво, посматрано у периоду од 2007. за који постоје упоредиви подаци.</w:t>
      </w:r>
      <w:r w:rsidRPr="007E770D">
        <w:rPr>
          <w:rFonts w:ascii="Times New Roman" w:hAnsi="Times New Roman"/>
          <w:color w:val="auto"/>
          <w:szCs w:val="24"/>
          <w:lang w:val="sr-Cyrl-CS"/>
        </w:rPr>
        <w:t xml:space="preserve"> </w:t>
      </w:r>
      <w:r w:rsidRPr="007E770D">
        <w:rPr>
          <w:rFonts w:cstheme="minorHAnsi"/>
          <w:bCs/>
          <w:color w:val="auto"/>
          <w:szCs w:val="72"/>
          <w:lang w:val="sr-Cyrl-CS"/>
        </w:rPr>
        <w:t>Остварена побољшања препозната су и од стране рејтинг агенција, што је Србији у септембру донело ББ+ кредитни ре</w:t>
      </w:r>
      <w:r w:rsidR="006F331C" w:rsidRPr="007E770D">
        <w:rPr>
          <w:rFonts w:cstheme="minorHAnsi"/>
          <w:bCs/>
          <w:color w:val="auto"/>
          <w:szCs w:val="72"/>
          <w:lang w:val="sr-Cyrl-CS"/>
        </w:rPr>
        <w:t>јтинг, као непобитно</w:t>
      </w:r>
      <w:r w:rsidRPr="007E770D">
        <w:rPr>
          <w:rFonts w:cstheme="minorHAnsi"/>
          <w:bCs/>
          <w:color w:val="auto"/>
          <w:szCs w:val="72"/>
          <w:lang w:val="sr-Cyrl-CS"/>
        </w:rPr>
        <w:t xml:space="preserve"> признање успешности спроведених мера. Верификација побољшања добијена је и од стране ММФ, који кроз </w:t>
      </w:r>
      <w:r w:rsidR="00F35602" w:rsidRPr="007E770D">
        <w:rPr>
          <w:rFonts w:cstheme="minorHAnsi"/>
          <w:bCs/>
          <w:color w:val="auto"/>
          <w:szCs w:val="72"/>
          <w:lang w:val="sr-Cyrl-CS"/>
        </w:rPr>
        <w:t>подршку Инструмената за координацију политика (</w:t>
      </w:r>
      <w:r w:rsidR="00F35602" w:rsidRPr="007E770D">
        <w:rPr>
          <w:rFonts w:cstheme="minorHAnsi"/>
          <w:bCs/>
          <w:i/>
          <w:color w:val="auto"/>
          <w:szCs w:val="72"/>
          <w:lang w:val="sr-Cyrl-CS"/>
        </w:rPr>
        <w:t>Policy Coordination Instrument – PCI</w:t>
      </w:r>
      <w:r w:rsidR="00F35602" w:rsidRPr="007E770D">
        <w:rPr>
          <w:rFonts w:cstheme="minorHAnsi"/>
          <w:bCs/>
          <w:color w:val="auto"/>
          <w:szCs w:val="72"/>
          <w:lang w:val="sr-Cyrl-CS"/>
        </w:rPr>
        <w:t>) има саветодавну улогу и детаљан увид у реалне, фискалне и монетар</w:t>
      </w:r>
      <w:r w:rsidR="003B31C0" w:rsidRPr="007E770D">
        <w:rPr>
          <w:rFonts w:cstheme="minorHAnsi"/>
          <w:bCs/>
          <w:color w:val="auto"/>
          <w:szCs w:val="72"/>
          <w:lang w:val="sr-Cyrl-CS"/>
        </w:rPr>
        <w:t>не токове</w:t>
      </w:r>
      <w:r w:rsidR="00626E7B" w:rsidRPr="007E770D">
        <w:rPr>
          <w:rFonts w:cstheme="minorHAnsi"/>
          <w:bCs/>
          <w:color w:val="auto"/>
          <w:szCs w:val="72"/>
          <w:lang w:val="sr-Cyrl-CS"/>
        </w:rPr>
        <w:t>. Након јесење мисије, експерти ове институције су</w:t>
      </w:r>
      <w:r w:rsidR="00852767" w:rsidRPr="007E770D">
        <w:rPr>
          <w:rFonts w:cstheme="minorHAnsi"/>
          <w:bCs/>
          <w:color w:val="auto"/>
          <w:szCs w:val="72"/>
          <w:lang w:val="sr-Cyrl-CS"/>
        </w:rPr>
        <w:t xml:space="preserve"> оценили</w:t>
      </w:r>
      <w:r w:rsidR="00626E7B" w:rsidRPr="007E770D">
        <w:rPr>
          <w:rFonts w:cstheme="minorHAnsi"/>
          <w:bCs/>
          <w:color w:val="auto"/>
          <w:szCs w:val="72"/>
          <w:lang w:val="sr-Cyrl-CS"/>
        </w:rPr>
        <w:t xml:space="preserve"> ек</w:t>
      </w:r>
      <w:r w:rsidR="00852767" w:rsidRPr="007E770D">
        <w:rPr>
          <w:rFonts w:cstheme="minorHAnsi"/>
          <w:bCs/>
          <w:color w:val="auto"/>
          <w:szCs w:val="72"/>
          <w:lang w:val="sr-Cyrl-CS"/>
        </w:rPr>
        <w:t>ономске резултате Србије</w:t>
      </w:r>
      <w:r w:rsidR="00626E7B" w:rsidRPr="007E770D">
        <w:rPr>
          <w:rFonts w:cstheme="minorHAnsi"/>
          <w:bCs/>
          <w:color w:val="auto"/>
          <w:szCs w:val="72"/>
          <w:lang w:val="sr-Cyrl-CS"/>
        </w:rPr>
        <w:t xml:space="preserve"> као снажне, фискалну ситуацију</w:t>
      </w:r>
      <w:r w:rsidR="00B66238" w:rsidRPr="007E770D">
        <w:rPr>
          <w:rFonts w:cstheme="minorHAnsi"/>
          <w:bCs/>
          <w:color w:val="auto"/>
          <w:szCs w:val="72"/>
          <w:lang w:val="sr-Cyrl-CS"/>
        </w:rPr>
        <w:t xml:space="preserve"> и финансијски систем као</w:t>
      </w:r>
      <w:r w:rsidR="00852767" w:rsidRPr="007E770D">
        <w:rPr>
          <w:rFonts w:cstheme="minorHAnsi"/>
          <w:bCs/>
          <w:color w:val="auto"/>
          <w:szCs w:val="72"/>
          <w:lang w:val="sr-Cyrl-CS"/>
        </w:rPr>
        <w:t xml:space="preserve"> значајно</w:t>
      </w:r>
      <w:r w:rsidR="00B66238" w:rsidRPr="007E770D">
        <w:rPr>
          <w:rFonts w:cstheme="minorHAnsi"/>
          <w:bCs/>
          <w:color w:val="auto"/>
          <w:szCs w:val="72"/>
          <w:lang w:val="sr-Cyrl-CS"/>
        </w:rPr>
        <w:t xml:space="preserve"> побољшане и стабилне, </w:t>
      </w:r>
      <w:r w:rsidR="00852767" w:rsidRPr="007E770D">
        <w:rPr>
          <w:rFonts w:cstheme="minorHAnsi"/>
          <w:bCs/>
          <w:color w:val="auto"/>
          <w:szCs w:val="72"/>
          <w:lang w:val="sr-Cyrl-CS"/>
        </w:rPr>
        <w:t>док су код структурних реформи и тржишта рада</w:t>
      </w:r>
      <w:r w:rsidR="00B435B3" w:rsidRPr="007E770D">
        <w:rPr>
          <w:rFonts w:cstheme="minorHAnsi"/>
          <w:bCs/>
          <w:color w:val="auto"/>
          <w:szCs w:val="72"/>
          <w:lang w:val="sr-Cyrl-CS"/>
        </w:rPr>
        <w:t xml:space="preserve"> истакли континуирани напредак.</w:t>
      </w:r>
    </w:p>
    <w:p w14:paraId="1DA266C2" w14:textId="4921BBF4" w:rsidR="00496AB9" w:rsidRPr="007E770D" w:rsidRDefault="00DC365B" w:rsidP="00C130D2">
      <w:pPr>
        <w:rPr>
          <w:rFonts w:cstheme="minorHAnsi"/>
          <w:bCs/>
          <w:color w:val="auto"/>
          <w:szCs w:val="72"/>
          <w:lang w:val="sr-Cyrl-CS"/>
        </w:rPr>
      </w:pPr>
      <w:r w:rsidRPr="007E770D">
        <w:rPr>
          <w:rFonts w:cstheme="minorHAnsi"/>
          <w:bCs/>
          <w:color w:val="auto"/>
          <w:szCs w:val="72"/>
          <w:lang w:val="sr-Cyrl-CS"/>
        </w:rPr>
        <w:t>Фискална стабилност је очувана, а планирани дефицит ће обезбедити даље смањење учешћа јавног дуга у БДП.</w:t>
      </w:r>
      <w:r w:rsidR="00E81F81" w:rsidRPr="007E770D">
        <w:rPr>
          <w:rFonts w:cstheme="minorHAnsi"/>
          <w:bCs/>
          <w:color w:val="auto"/>
          <w:szCs w:val="72"/>
          <w:lang w:val="sr-Cyrl-CS"/>
        </w:rPr>
        <w:t xml:space="preserve"> Инфлација се</w:t>
      </w:r>
      <w:r w:rsidR="003B31C0" w:rsidRPr="007E770D">
        <w:rPr>
          <w:rFonts w:cstheme="minorHAnsi"/>
          <w:bCs/>
          <w:color w:val="auto"/>
          <w:szCs w:val="72"/>
          <w:lang w:val="sr-Cyrl-CS"/>
        </w:rPr>
        <w:t xml:space="preserve"> током 2019. године кретала на ниском нивоу, углавном у оквирима постављеног</w:t>
      </w:r>
      <w:r w:rsidR="00E81F81" w:rsidRPr="007E770D">
        <w:rPr>
          <w:rFonts w:cstheme="minorHAnsi"/>
          <w:bCs/>
          <w:color w:val="auto"/>
          <w:szCs w:val="72"/>
          <w:lang w:val="sr-Cyrl-CS"/>
        </w:rPr>
        <w:t xml:space="preserve"> коридора Н</w:t>
      </w:r>
      <w:r w:rsidR="00A2781D">
        <w:rPr>
          <w:rFonts w:cstheme="minorHAnsi"/>
          <w:bCs/>
          <w:color w:val="auto"/>
          <w:szCs w:val="72"/>
          <w:lang w:val="sr-Cyrl-CS"/>
        </w:rPr>
        <w:t>ародне банке Србије (Н</w:t>
      </w:r>
      <w:r w:rsidR="00E81F81" w:rsidRPr="007E770D">
        <w:rPr>
          <w:rFonts w:cstheme="minorHAnsi"/>
          <w:bCs/>
          <w:color w:val="auto"/>
          <w:szCs w:val="72"/>
          <w:lang w:val="sr-Cyrl-CS"/>
        </w:rPr>
        <w:t>БС</w:t>
      </w:r>
      <w:r w:rsidR="00A2781D">
        <w:rPr>
          <w:rFonts w:cstheme="minorHAnsi"/>
          <w:bCs/>
          <w:color w:val="auto"/>
          <w:szCs w:val="72"/>
          <w:lang w:val="sr-Cyrl-CS"/>
        </w:rPr>
        <w:t>)</w:t>
      </w:r>
      <w:r w:rsidR="00E81F81" w:rsidRPr="007E770D">
        <w:rPr>
          <w:rFonts w:cstheme="minorHAnsi"/>
          <w:bCs/>
          <w:color w:val="auto"/>
          <w:szCs w:val="72"/>
          <w:lang w:val="sr-Cyrl-CS"/>
        </w:rPr>
        <w:t xml:space="preserve">. Девизно тржиште је стабилно, без прекомерних краткорочних осцилација и поред притисака ка јачању динара услед појачаног улагања страних инвеститора у динарске дугорочне обвезнице Републике Србије, што је још једна потврда побољшаних перформанси српске </w:t>
      </w:r>
      <w:r w:rsidR="00E81F81" w:rsidRPr="007E770D">
        <w:rPr>
          <w:rFonts w:cstheme="minorHAnsi"/>
          <w:bCs/>
          <w:color w:val="auto"/>
          <w:szCs w:val="72"/>
          <w:lang w:val="sr-Cyrl-CS"/>
        </w:rPr>
        <w:t xml:space="preserve">привреде. Стопа незапослености континуирано опада и приближава се једноцифреној вредности, док је раст зарада перманентан </w:t>
      </w:r>
      <w:r w:rsidR="007270EC" w:rsidRPr="007E770D">
        <w:rPr>
          <w:rFonts w:cstheme="minorHAnsi"/>
          <w:bCs/>
          <w:color w:val="auto"/>
          <w:szCs w:val="72"/>
          <w:lang w:val="sr-Cyrl-CS"/>
        </w:rPr>
        <w:t xml:space="preserve">и вођен пре свега кретањима у приватном сектору. Удружено ова два фактора обезбеђују подизање стандарда становништва, што </w:t>
      </w:r>
      <w:r w:rsidR="00623D63" w:rsidRPr="007E770D">
        <w:rPr>
          <w:rFonts w:cstheme="minorHAnsi"/>
          <w:bCs/>
          <w:color w:val="auto"/>
          <w:szCs w:val="72"/>
          <w:lang w:val="sr-Cyrl-CS"/>
        </w:rPr>
        <w:t>je</w:t>
      </w:r>
      <w:r w:rsidR="003B31C0" w:rsidRPr="007E770D">
        <w:rPr>
          <w:rFonts w:cstheme="minorHAnsi"/>
          <w:bCs/>
          <w:i/>
          <w:color w:val="auto"/>
          <w:szCs w:val="72"/>
          <w:lang w:val="sr-Cyrl-CS"/>
        </w:rPr>
        <w:t xml:space="preserve"> in ultima linea</w:t>
      </w:r>
      <w:r w:rsidR="00F11600" w:rsidRPr="007E770D">
        <w:rPr>
          <w:rFonts w:cstheme="minorHAnsi"/>
          <w:bCs/>
          <w:color w:val="auto"/>
          <w:szCs w:val="72"/>
          <w:lang w:val="sr-Cyrl-CS"/>
        </w:rPr>
        <w:t xml:space="preserve"> </w:t>
      </w:r>
      <w:r w:rsidR="00623D63" w:rsidRPr="007E770D">
        <w:rPr>
          <w:rFonts w:cstheme="minorHAnsi"/>
          <w:bCs/>
          <w:color w:val="auto"/>
          <w:szCs w:val="72"/>
          <w:lang w:val="sr-Cyrl-CS"/>
        </w:rPr>
        <w:t>циљ свих активности Владе.</w:t>
      </w:r>
    </w:p>
    <w:p w14:paraId="6A785E3B" w14:textId="514FE628" w:rsidR="008D55A9" w:rsidRPr="007E770D" w:rsidRDefault="00496AB9" w:rsidP="00C130D2">
      <w:pPr>
        <w:rPr>
          <w:rFonts w:cstheme="minorHAnsi"/>
          <w:bCs/>
          <w:color w:val="auto"/>
          <w:szCs w:val="72"/>
          <w:lang w:val="sr-Cyrl-CS"/>
        </w:rPr>
      </w:pPr>
      <w:r w:rsidRPr="007E770D">
        <w:rPr>
          <w:rFonts w:cstheme="minorHAnsi"/>
          <w:bCs/>
          <w:color w:val="auto"/>
          <w:szCs w:val="72"/>
          <w:lang w:val="sr-Cyrl-CS"/>
        </w:rPr>
        <w:t>У амбијенту успоравања глобалних е</w:t>
      </w:r>
      <w:r w:rsidR="00852767" w:rsidRPr="007E770D">
        <w:rPr>
          <w:rFonts w:cstheme="minorHAnsi"/>
          <w:bCs/>
          <w:color w:val="auto"/>
          <w:szCs w:val="72"/>
          <w:lang w:val="sr-Cyrl-CS"/>
        </w:rPr>
        <w:t xml:space="preserve">кономских токова привредна активност Републике Србије задржава јаку динамику. То </w:t>
      </w:r>
      <w:r w:rsidRPr="007E770D">
        <w:rPr>
          <w:rFonts w:cstheme="minorHAnsi"/>
          <w:bCs/>
          <w:color w:val="auto"/>
          <w:szCs w:val="72"/>
          <w:lang w:val="sr-Cyrl-CS"/>
        </w:rPr>
        <w:t>је резултат повећане отпорности на ексте</w:t>
      </w:r>
      <w:r w:rsidR="00C73DEE" w:rsidRPr="007E770D">
        <w:rPr>
          <w:rFonts w:cstheme="minorHAnsi"/>
          <w:bCs/>
          <w:color w:val="auto"/>
          <w:szCs w:val="72"/>
          <w:lang w:val="sr-Cyrl-CS"/>
        </w:rPr>
        <w:t>р</w:t>
      </w:r>
      <w:r w:rsidRPr="007E770D">
        <w:rPr>
          <w:rFonts w:cstheme="minorHAnsi"/>
          <w:bCs/>
          <w:color w:val="auto"/>
          <w:szCs w:val="72"/>
          <w:lang w:val="sr-Cyrl-CS"/>
        </w:rPr>
        <w:t>не факторе али и активације унутраш</w:t>
      </w:r>
      <w:r w:rsidR="008D55A9" w:rsidRPr="007E770D">
        <w:rPr>
          <w:rFonts w:cstheme="minorHAnsi"/>
          <w:bCs/>
          <w:color w:val="auto"/>
          <w:szCs w:val="72"/>
          <w:lang w:val="sr-Cyrl-CS"/>
        </w:rPr>
        <w:t>њих извора раста. Привремени карактер успоравајућих фактора потврђен је половином године, што је уз материјализацију позитивних ризика, пре свега у сектору грађе</w:t>
      </w:r>
      <w:r w:rsidR="00EA4D3C" w:rsidRPr="007E770D">
        <w:rPr>
          <w:rFonts w:cstheme="minorHAnsi"/>
          <w:bCs/>
          <w:color w:val="auto"/>
          <w:szCs w:val="72"/>
          <w:lang w:val="sr-Cyrl-CS"/>
        </w:rPr>
        <w:t>вин</w:t>
      </w:r>
      <w:r w:rsidR="008D55A9" w:rsidRPr="007E770D">
        <w:rPr>
          <w:rFonts w:cstheme="minorHAnsi"/>
          <w:bCs/>
          <w:color w:val="auto"/>
          <w:szCs w:val="72"/>
          <w:lang w:val="sr-Cyrl-CS"/>
        </w:rPr>
        <w:t>арства, односно код инвестиционе активности, омогућило задржавање пројектоване стопе привредног раста у 2019. години</w:t>
      </w:r>
      <w:r w:rsidR="00852767" w:rsidRPr="007E770D">
        <w:rPr>
          <w:rFonts w:cstheme="minorHAnsi"/>
          <w:bCs/>
          <w:color w:val="auto"/>
          <w:szCs w:val="72"/>
          <w:lang w:val="sr-Cyrl-CS"/>
        </w:rPr>
        <w:t xml:space="preserve"> од 3,5%</w:t>
      </w:r>
      <w:r w:rsidR="008D55A9" w:rsidRPr="007E770D">
        <w:rPr>
          <w:rFonts w:cstheme="minorHAnsi"/>
          <w:bCs/>
          <w:color w:val="auto"/>
          <w:szCs w:val="72"/>
          <w:lang w:val="sr-Cyrl-CS"/>
        </w:rPr>
        <w:t xml:space="preserve"> и очекивање убрзања у 2020. години од 4,0%.</w:t>
      </w:r>
    </w:p>
    <w:p w14:paraId="369B2BFA" w14:textId="6025A0CE" w:rsidR="00B27036" w:rsidRPr="007E770D" w:rsidRDefault="00C55154" w:rsidP="00C130D2">
      <w:pPr>
        <w:rPr>
          <w:rFonts w:cstheme="minorHAnsi"/>
          <w:bCs/>
          <w:color w:val="auto"/>
          <w:szCs w:val="72"/>
          <w:lang w:val="sr-Cyrl-CS"/>
        </w:rPr>
      </w:pPr>
      <w:r w:rsidRPr="007E770D">
        <w:rPr>
          <w:rFonts w:cstheme="minorHAnsi"/>
          <w:bCs/>
          <w:color w:val="auto"/>
          <w:szCs w:val="72"/>
          <w:lang w:val="sr-Cyrl-CS"/>
        </w:rPr>
        <w:t>Средњорочни макроекономски оквир</w:t>
      </w:r>
      <w:r w:rsidR="008D55A9" w:rsidRPr="007E770D">
        <w:rPr>
          <w:rFonts w:cstheme="minorHAnsi"/>
          <w:bCs/>
          <w:color w:val="auto"/>
          <w:szCs w:val="72"/>
          <w:lang w:val="sr-Cyrl-CS"/>
        </w:rPr>
        <w:t xml:space="preserve"> је реалистичан. </w:t>
      </w:r>
      <w:r w:rsidR="00C43D75" w:rsidRPr="007E770D">
        <w:rPr>
          <w:rFonts w:cstheme="minorHAnsi"/>
          <w:bCs/>
          <w:color w:val="auto"/>
          <w:szCs w:val="72"/>
          <w:lang w:val="sr-Cyrl-CS"/>
        </w:rPr>
        <w:t xml:space="preserve">Будући да је привредни раст за наредни трогодишњи период пројектован, а не планиран, стопе раста су одраз реалног сагледавања потенцијала српске привреде и фактора који долазе из међународног окружења. </w:t>
      </w:r>
      <w:r w:rsidR="004200F6" w:rsidRPr="007E770D">
        <w:rPr>
          <w:rFonts w:cstheme="minorHAnsi"/>
          <w:bCs/>
          <w:color w:val="auto"/>
          <w:szCs w:val="72"/>
          <w:lang w:val="sr-Cyrl-CS"/>
        </w:rPr>
        <w:t>Са друге стране, а</w:t>
      </w:r>
      <w:r w:rsidR="00C43D75" w:rsidRPr="007E770D">
        <w:rPr>
          <w:rFonts w:cstheme="minorHAnsi"/>
          <w:bCs/>
          <w:color w:val="auto"/>
          <w:szCs w:val="72"/>
          <w:lang w:val="sr-Cyrl-CS"/>
        </w:rPr>
        <w:t>мбиције Владе за убрзањем при</w:t>
      </w:r>
      <w:r w:rsidR="00852767" w:rsidRPr="007E770D">
        <w:rPr>
          <w:rFonts w:cstheme="minorHAnsi"/>
          <w:bCs/>
          <w:color w:val="auto"/>
          <w:szCs w:val="72"/>
          <w:lang w:val="sr-Cyrl-CS"/>
        </w:rPr>
        <w:t>вредне активности изнад пројект</w:t>
      </w:r>
      <w:r w:rsidR="00C43D75" w:rsidRPr="007E770D">
        <w:rPr>
          <w:rFonts w:cstheme="minorHAnsi"/>
          <w:bCs/>
          <w:color w:val="auto"/>
          <w:szCs w:val="72"/>
          <w:lang w:val="sr-Cyrl-CS"/>
        </w:rPr>
        <w:t>ованих стопа огледају се у континуираним напорима на изналажењу додатних извора</w:t>
      </w:r>
      <w:r w:rsidR="00FE1B77" w:rsidRPr="007E770D">
        <w:rPr>
          <w:rFonts w:cstheme="minorHAnsi"/>
          <w:bCs/>
          <w:color w:val="auto"/>
          <w:szCs w:val="72"/>
          <w:lang w:val="sr-Cyrl-CS"/>
        </w:rPr>
        <w:t xml:space="preserve"> раста,</w:t>
      </w:r>
      <w:r w:rsidR="00C43D75" w:rsidRPr="007E770D">
        <w:rPr>
          <w:rFonts w:cstheme="minorHAnsi"/>
          <w:bCs/>
          <w:color w:val="auto"/>
          <w:szCs w:val="72"/>
          <w:lang w:val="sr-Cyrl-CS"/>
        </w:rPr>
        <w:t xml:space="preserve"> као и у мерама које треба да омогуће активацију</w:t>
      </w:r>
      <w:r w:rsidR="00FE1B77" w:rsidRPr="007E770D">
        <w:rPr>
          <w:rFonts w:cstheme="minorHAnsi"/>
          <w:bCs/>
          <w:color w:val="auto"/>
          <w:szCs w:val="72"/>
          <w:lang w:val="sr-Cyrl-CS"/>
        </w:rPr>
        <w:t xml:space="preserve"> идентификованих </w:t>
      </w:r>
      <w:r w:rsidR="00C43D75" w:rsidRPr="007E770D">
        <w:rPr>
          <w:rFonts w:cstheme="minorHAnsi"/>
          <w:bCs/>
          <w:color w:val="auto"/>
          <w:szCs w:val="72"/>
          <w:lang w:val="sr-Cyrl-CS"/>
        </w:rPr>
        <w:t>позитивних ризика</w:t>
      </w:r>
      <w:r w:rsidR="00FE1B77" w:rsidRPr="007E770D">
        <w:rPr>
          <w:rFonts w:cstheme="minorHAnsi"/>
          <w:bCs/>
          <w:color w:val="auto"/>
          <w:szCs w:val="72"/>
          <w:lang w:val="sr-Cyrl-CS"/>
        </w:rPr>
        <w:t>.</w:t>
      </w:r>
    </w:p>
    <w:p w14:paraId="50983B54" w14:textId="77777777" w:rsidR="00F11600" w:rsidRPr="007E770D" w:rsidRDefault="00C55154" w:rsidP="00C130D2">
      <w:pPr>
        <w:rPr>
          <w:rFonts w:cstheme="minorHAnsi"/>
          <w:bCs/>
          <w:color w:val="auto"/>
          <w:szCs w:val="72"/>
          <w:lang w:val="sr-Cyrl-CS"/>
        </w:rPr>
      </w:pPr>
      <w:r w:rsidRPr="007E770D">
        <w:rPr>
          <w:rFonts w:cstheme="minorHAnsi"/>
          <w:bCs/>
          <w:color w:val="auto"/>
          <w:szCs w:val="72"/>
          <w:lang w:val="sr-Cyrl-CS"/>
        </w:rPr>
        <w:lastRenderedPageBreak/>
        <w:t>Фискална</w:t>
      </w:r>
      <w:r w:rsidR="00B27036" w:rsidRPr="007E770D">
        <w:rPr>
          <w:rFonts w:cstheme="minorHAnsi"/>
          <w:bCs/>
          <w:color w:val="auto"/>
          <w:szCs w:val="72"/>
          <w:lang w:val="sr-Cyrl-CS"/>
        </w:rPr>
        <w:t xml:space="preserve"> позиција је стабилна, а фискална политика </w:t>
      </w:r>
      <w:r w:rsidRPr="007E770D">
        <w:rPr>
          <w:rFonts w:cstheme="minorHAnsi"/>
          <w:bCs/>
          <w:color w:val="auto"/>
          <w:szCs w:val="72"/>
          <w:lang w:val="sr-Cyrl-CS"/>
        </w:rPr>
        <w:t>одговорна и кредибилна.</w:t>
      </w:r>
      <w:r w:rsidR="00B27036" w:rsidRPr="007E770D">
        <w:rPr>
          <w:rFonts w:cstheme="minorHAnsi"/>
          <w:bCs/>
          <w:color w:val="auto"/>
          <w:szCs w:val="72"/>
          <w:lang w:val="sr-Cyrl-CS"/>
        </w:rPr>
        <w:t xml:space="preserve"> Креиране мере усмерене су на растерећење привреде, </w:t>
      </w:r>
      <w:r w:rsidR="00F11600" w:rsidRPr="007E770D">
        <w:rPr>
          <w:rFonts w:cstheme="minorHAnsi"/>
          <w:bCs/>
          <w:color w:val="auto"/>
          <w:spacing w:val="-4"/>
          <w:szCs w:val="72"/>
          <w:lang w:val="sr-Cyrl-CS"/>
        </w:rPr>
        <w:t>стимулисање приватних инвестиционих активности</w:t>
      </w:r>
      <w:r w:rsidR="00F11600" w:rsidRPr="007E770D">
        <w:rPr>
          <w:rFonts w:cstheme="minorHAnsi"/>
          <w:bCs/>
          <w:color w:val="auto"/>
          <w:szCs w:val="72"/>
          <w:lang w:val="sr-Cyrl-CS"/>
        </w:rPr>
        <w:t xml:space="preserve">, </w:t>
      </w:r>
      <w:r w:rsidR="00B27036" w:rsidRPr="007E770D">
        <w:rPr>
          <w:rFonts w:cstheme="minorHAnsi"/>
          <w:bCs/>
          <w:color w:val="auto"/>
          <w:szCs w:val="72"/>
          <w:lang w:val="sr-Cyrl-CS"/>
        </w:rPr>
        <w:t>повећање ефикасности рада административних и пореских служби,</w:t>
      </w:r>
      <w:r w:rsidR="00F11600" w:rsidRPr="007E770D">
        <w:rPr>
          <w:rFonts w:cstheme="minorHAnsi"/>
          <w:bCs/>
          <w:color w:val="auto"/>
          <w:szCs w:val="72"/>
          <w:lang w:val="sr-Cyrl-CS"/>
        </w:rPr>
        <w:t xml:space="preserve"> усаглашавање са међународним стандардима, </w:t>
      </w:r>
      <w:r w:rsidR="00B27036" w:rsidRPr="007E770D">
        <w:rPr>
          <w:rFonts w:cstheme="minorHAnsi"/>
          <w:bCs/>
          <w:color w:val="auto"/>
          <w:szCs w:val="72"/>
          <w:lang w:val="sr-Cyrl-CS"/>
        </w:rPr>
        <w:t>даље побољшање животног стандарда становништва и помоћ најугроженијим деловима популације.</w:t>
      </w:r>
    </w:p>
    <w:p w14:paraId="1716B170" w14:textId="2E78F51F" w:rsidR="00C55154" w:rsidRPr="007E770D" w:rsidRDefault="00C55154" w:rsidP="00C130D2">
      <w:pPr>
        <w:rPr>
          <w:rFonts w:cstheme="minorHAnsi"/>
          <w:bCs/>
          <w:color w:val="auto"/>
          <w:spacing w:val="-2"/>
          <w:szCs w:val="72"/>
          <w:lang w:val="sr-Cyrl-CS"/>
        </w:rPr>
      </w:pPr>
      <w:r w:rsidRPr="007E770D">
        <w:rPr>
          <w:rFonts w:cstheme="minorHAnsi"/>
          <w:bCs/>
          <w:color w:val="auto"/>
          <w:spacing w:val="-2"/>
          <w:szCs w:val="72"/>
          <w:lang w:val="sr-Cyrl-CS"/>
        </w:rPr>
        <w:t>Растерећење привреде</w:t>
      </w:r>
      <w:r w:rsidR="00F11600" w:rsidRPr="007E770D">
        <w:rPr>
          <w:rFonts w:cstheme="minorHAnsi"/>
          <w:bCs/>
          <w:color w:val="auto"/>
          <w:spacing w:val="-2"/>
          <w:szCs w:val="72"/>
          <w:lang w:val="sr-Cyrl-CS"/>
        </w:rPr>
        <w:t xml:space="preserve"> настављено је новим </w:t>
      </w:r>
      <w:r w:rsidRPr="007E770D">
        <w:rPr>
          <w:rFonts w:cstheme="minorHAnsi"/>
          <w:bCs/>
          <w:color w:val="auto"/>
          <w:spacing w:val="-2"/>
          <w:szCs w:val="72"/>
          <w:lang w:val="sr-Cyrl-CS"/>
        </w:rPr>
        <w:t xml:space="preserve">подизањем неопорезивог дела зарада, </w:t>
      </w:r>
      <w:r w:rsidR="00F11600" w:rsidRPr="007E770D">
        <w:rPr>
          <w:rFonts w:cstheme="minorHAnsi"/>
          <w:bCs/>
          <w:color w:val="auto"/>
          <w:spacing w:val="-2"/>
          <w:szCs w:val="72"/>
          <w:lang w:val="sr-Cyrl-CS"/>
        </w:rPr>
        <w:t xml:space="preserve">даљим </w:t>
      </w:r>
      <w:r w:rsidRPr="007E770D">
        <w:rPr>
          <w:rFonts w:cstheme="minorHAnsi"/>
          <w:bCs/>
          <w:color w:val="auto"/>
          <w:spacing w:val="-2"/>
          <w:szCs w:val="72"/>
          <w:lang w:val="sr-Cyrl-CS"/>
        </w:rPr>
        <w:t>умањењем стопе доприноса и променом начина</w:t>
      </w:r>
      <w:r w:rsidR="00C14421" w:rsidRPr="007E770D">
        <w:rPr>
          <w:rFonts w:cstheme="minorHAnsi"/>
          <w:bCs/>
          <w:color w:val="auto"/>
          <w:spacing w:val="-2"/>
          <w:szCs w:val="72"/>
          <w:lang w:val="sr-Cyrl-CS"/>
        </w:rPr>
        <w:t xml:space="preserve"> </w:t>
      </w:r>
      <w:r w:rsidR="00E014C9" w:rsidRPr="007E770D">
        <w:rPr>
          <w:rFonts w:cstheme="minorHAnsi"/>
          <w:bCs/>
          <w:color w:val="auto"/>
          <w:spacing w:val="-2"/>
          <w:szCs w:val="72"/>
          <w:lang w:val="sr-Cyrl-CS"/>
        </w:rPr>
        <w:t>обрачуна пореске амортизације. У</w:t>
      </w:r>
      <w:r w:rsidR="00B279C9" w:rsidRPr="007E770D">
        <w:rPr>
          <w:rFonts w:cstheme="minorHAnsi"/>
          <w:bCs/>
          <w:color w:val="auto"/>
          <w:spacing w:val="-2"/>
          <w:szCs w:val="72"/>
          <w:lang w:val="sr-Cyrl-CS"/>
        </w:rPr>
        <w:t>својени</w:t>
      </w:r>
      <w:r w:rsidRPr="007E770D">
        <w:rPr>
          <w:rFonts w:cstheme="minorHAnsi"/>
          <w:bCs/>
          <w:color w:val="auto"/>
          <w:spacing w:val="-2"/>
          <w:szCs w:val="72"/>
          <w:lang w:val="sr-Cyrl-CS"/>
        </w:rPr>
        <w:t xml:space="preserve"> Закон о накна</w:t>
      </w:r>
      <w:r w:rsidR="00E014C9" w:rsidRPr="007E770D">
        <w:rPr>
          <w:rFonts w:cstheme="minorHAnsi"/>
          <w:bCs/>
          <w:color w:val="auto"/>
          <w:spacing w:val="-2"/>
          <w:szCs w:val="72"/>
          <w:lang w:val="sr-Cyrl-CS"/>
        </w:rPr>
        <w:t xml:space="preserve">дама за коришћење јавних добара такође би требао да обезбеди </w:t>
      </w:r>
      <w:r w:rsidRPr="007E770D">
        <w:rPr>
          <w:rFonts w:cstheme="minorHAnsi"/>
          <w:bCs/>
          <w:color w:val="auto"/>
          <w:spacing w:val="-2"/>
          <w:szCs w:val="72"/>
          <w:lang w:val="sr-Cyrl-CS"/>
        </w:rPr>
        <w:t>релативно нижи ниво парафискалн</w:t>
      </w:r>
      <w:r w:rsidR="00C14421" w:rsidRPr="007E770D">
        <w:rPr>
          <w:rFonts w:cstheme="minorHAnsi"/>
          <w:bCs/>
          <w:color w:val="auto"/>
          <w:spacing w:val="-2"/>
          <w:szCs w:val="72"/>
          <w:lang w:val="sr-Cyrl-CS"/>
        </w:rPr>
        <w:t>их трошкова привреде. Такође</w:t>
      </w:r>
      <w:r w:rsidRPr="007E770D">
        <w:rPr>
          <w:rFonts w:cstheme="minorHAnsi"/>
          <w:bCs/>
          <w:color w:val="auto"/>
          <w:spacing w:val="-2"/>
          <w:szCs w:val="72"/>
          <w:lang w:val="sr-Cyrl-CS"/>
        </w:rPr>
        <w:t>, реформа Управе царина и Пореске управе ће подржати процес растерећења привредних субјеката, али и обезбедити ефикасније сузбијање сиве економије,</w:t>
      </w:r>
      <w:r w:rsidR="00F56C18" w:rsidRPr="007E770D">
        <w:rPr>
          <w:rFonts w:cstheme="minorHAnsi"/>
          <w:bCs/>
          <w:color w:val="auto"/>
          <w:spacing w:val="-2"/>
          <w:szCs w:val="72"/>
          <w:lang w:val="sr-Cyrl-CS"/>
        </w:rPr>
        <w:t xml:space="preserve"> за шта је усвојен Акциони план који кроз сет контролних и подстицајних мера треба да обезбеди ефикаснију контролу, а са друге стране олакша пословање привреди. О</w:t>
      </w:r>
      <w:r w:rsidRPr="007E770D">
        <w:rPr>
          <w:rFonts w:cstheme="minorHAnsi"/>
          <w:bCs/>
          <w:color w:val="auto"/>
          <w:spacing w:val="-2"/>
          <w:szCs w:val="72"/>
          <w:lang w:val="sr-Cyrl-CS"/>
        </w:rPr>
        <w:t>сим повећања државних прихода</w:t>
      </w:r>
      <w:r w:rsidR="00F56C18" w:rsidRPr="007E770D">
        <w:rPr>
          <w:rFonts w:cstheme="minorHAnsi"/>
          <w:bCs/>
          <w:color w:val="auto"/>
          <w:spacing w:val="-2"/>
          <w:szCs w:val="72"/>
          <w:lang w:val="sr-Cyrl-CS"/>
        </w:rPr>
        <w:t xml:space="preserve">, овим ће се </w:t>
      </w:r>
      <w:r w:rsidRPr="007E770D">
        <w:rPr>
          <w:rFonts w:cstheme="minorHAnsi"/>
          <w:bCs/>
          <w:color w:val="auto"/>
          <w:spacing w:val="-2"/>
          <w:szCs w:val="72"/>
          <w:lang w:val="sr-Cyrl-CS"/>
        </w:rPr>
        <w:t>обезбедити</w:t>
      </w:r>
      <w:r w:rsidR="00F56C18" w:rsidRPr="007E770D">
        <w:rPr>
          <w:rFonts w:cstheme="minorHAnsi"/>
          <w:bCs/>
          <w:color w:val="auto"/>
          <w:spacing w:val="-2"/>
          <w:szCs w:val="72"/>
          <w:lang w:val="sr-Cyrl-CS"/>
        </w:rPr>
        <w:t xml:space="preserve"> и</w:t>
      </w:r>
      <w:r w:rsidRPr="007E770D">
        <w:rPr>
          <w:rFonts w:cstheme="minorHAnsi"/>
          <w:bCs/>
          <w:color w:val="auto"/>
          <w:spacing w:val="-2"/>
          <w:szCs w:val="72"/>
          <w:lang w:val="sr-Cyrl-CS"/>
        </w:rPr>
        <w:t xml:space="preserve"> амбијент лојалне конкуренције.</w:t>
      </w:r>
      <w:r w:rsidR="00C14421" w:rsidRPr="007E770D">
        <w:rPr>
          <w:rFonts w:cstheme="minorHAnsi"/>
          <w:bCs/>
          <w:color w:val="auto"/>
          <w:spacing w:val="-2"/>
          <w:szCs w:val="72"/>
          <w:lang w:val="sr-Cyrl-CS"/>
        </w:rPr>
        <w:t xml:space="preserve"> Коначно, стимулативне мере у погледу новозапослених радника додатно ће смањити трошкове радне снаге и обезбедити смањење стопе незапосленост</w:t>
      </w:r>
      <w:r w:rsidR="00B435B3" w:rsidRPr="007E770D">
        <w:rPr>
          <w:rFonts w:cstheme="minorHAnsi"/>
          <w:bCs/>
          <w:color w:val="auto"/>
          <w:spacing w:val="-2"/>
          <w:szCs w:val="72"/>
          <w:lang w:val="sr-Cyrl-CS"/>
        </w:rPr>
        <w:t>и испод 10% већ у 2020. години.</w:t>
      </w:r>
    </w:p>
    <w:p w14:paraId="4ADB92BF" w14:textId="644E4B1A" w:rsidR="00C62BAB" w:rsidRPr="007E770D" w:rsidRDefault="00C14421" w:rsidP="00C62BAB">
      <w:pPr>
        <w:rPr>
          <w:rFonts w:cstheme="minorHAnsi"/>
          <w:bCs/>
          <w:color w:val="auto"/>
          <w:szCs w:val="72"/>
          <w:lang w:val="sr-Cyrl-CS"/>
        </w:rPr>
      </w:pPr>
      <w:r w:rsidRPr="007E770D">
        <w:rPr>
          <w:rFonts w:cstheme="minorHAnsi"/>
          <w:bCs/>
          <w:color w:val="auto"/>
          <w:szCs w:val="72"/>
          <w:lang w:val="sr-Cyrl-CS"/>
        </w:rPr>
        <w:t>Свеобухватни реформски процеси које спроводи Влада синергијски ће обезбедити даље побољшање привредног амбијента и подизање квалитета живота грађана. Видљиви помаци у унапређењу образовања и науке, правног поретка, здравства, социјалне заштите, одбр</w:t>
      </w:r>
      <w:r w:rsidR="00C62BAB" w:rsidRPr="007E770D">
        <w:rPr>
          <w:rFonts w:cstheme="minorHAnsi"/>
          <w:bCs/>
          <w:color w:val="auto"/>
          <w:szCs w:val="72"/>
          <w:lang w:val="sr-Cyrl-CS"/>
        </w:rPr>
        <w:t xml:space="preserve">ане, културе и екологије обезбедиће </w:t>
      </w:r>
      <w:r w:rsidRPr="007E770D">
        <w:rPr>
          <w:rFonts w:cstheme="minorHAnsi"/>
          <w:bCs/>
          <w:color w:val="auto"/>
          <w:szCs w:val="72"/>
          <w:lang w:val="sr-Cyrl-CS"/>
        </w:rPr>
        <w:t>свеукупни друштвени поредак, минимизирати неједнакости, обезбедити инклузиван раст и креирати амбијент друштвене кохезије.</w:t>
      </w:r>
      <w:r w:rsidR="00C62BAB" w:rsidRPr="007E770D">
        <w:rPr>
          <w:rFonts w:cstheme="minorHAnsi"/>
          <w:bCs/>
          <w:color w:val="auto"/>
          <w:szCs w:val="72"/>
          <w:lang w:val="sr-Cyrl-CS"/>
        </w:rPr>
        <w:t xml:space="preserve"> Регионална дисперзија СДИ, подстицаји запошљавању младих, као и рањивих категорија друштва, подршка социјалном предузетништву, родно одговорно буџетирање и поновно подизање минималне цене рада само су неке од мера које подупиру ове напоре и које треба да обезбеде смањење сиромаштва.</w:t>
      </w:r>
    </w:p>
    <w:p w14:paraId="5CA1D167" w14:textId="5D6F0861" w:rsidR="00C55154" w:rsidRPr="007E770D" w:rsidRDefault="00C55154" w:rsidP="00C130D2">
      <w:pPr>
        <w:rPr>
          <w:rFonts w:cstheme="minorHAnsi"/>
          <w:bCs/>
          <w:color w:val="auto"/>
          <w:szCs w:val="72"/>
          <w:lang w:val="sr-Cyrl-CS"/>
        </w:rPr>
      </w:pPr>
      <w:r w:rsidRPr="007E770D">
        <w:rPr>
          <w:rFonts w:cstheme="minorHAnsi"/>
          <w:bCs/>
          <w:color w:val="auto"/>
          <w:szCs w:val="72"/>
          <w:lang w:val="sr-Cyrl-CS"/>
        </w:rPr>
        <w:t xml:space="preserve">Поред тога, убрзање процеса дигитализације обезбеђује квалитетније, ефикасније и јефтиније </w:t>
      </w:r>
      <w:r w:rsidRPr="007E770D">
        <w:rPr>
          <w:rFonts w:cstheme="minorHAnsi"/>
          <w:bCs/>
          <w:color w:val="auto"/>
          <w:szCs w:val="72"/>
          <w:lang w:val="sr-Cyrl-CS"/>
        </w:rPr>
        <w:t>пружање услуга државе и трасира кретање целокупног система у сусрет новинама које</w:t>
      </w:r>
      <w:r w:rsidR="00C62BAB" w:rsidRPr="007E770D">
        <w:rPr>
          <w:rFonts w:cstheme="minorHAnsi"/>
          <w:bCs/>
          <w:color w:val="auto"/>
          <w:szCs w:val="72"/>
          <w:lang w:val="sr-Cyrl-CS"/>
        </w:rPr>
        <w:t xml:space="preserve"> је</w:t>
      </w:r>
      <w:r w:rsidRPr="007E770D">
        <w:rPr>
          <w:rFonts w:cstheme="minorHAnsi"/>
          <w:bCs/>
          <w:color w:val="auto"/>
          <w:szCs w:val="72"/>
          <w:lang w:val="sr-Cyrl-CS"/>
        </w:rPr>
        <w:t xml:space="preserve"> четв</w:t>
      </w:r>
      <w:r w:rsidR="00C62BAB" w:rsidRPr="007E770D">
        <w:rPr>
          <w:rFonts w:cstheme="minorHAnsi"/>
          <w:bCs/>
          <w:color w:val="auto"/>
          <w:szCs w:val="72"/>
          <w:lang w:val="sr-Cyrl-CS"/>
        </w:rPr>
        <w:t>рта индустријска револуција донела</w:t>
      </w:r>
      <w:r w:rsidRPr="007E770D">
        <w:rPr>
          <w:rFonts w:cstheme="minorHAnsi"/>
          <w:bCs/>
          <w:color w:val="auto"/>
          <w:szCs w:val="72"/>
          <w:lang w:val="sr-Cyrl-CS"/>
        </w:rPr>
        <w:t>.</w:t>
      </w:r>
      <w:r w:rsidR="00416B5D" w:rsidRPr="007E770D">
        <w:rPr>
          <w:rFonts w:cstheme="minorHAnsi"/>
          <w:bCs/>
          <w:color w:val="auto"/>
          <w:szCs w:val="72"/>
          <w:lang w:val="sr-Cyrl-CS"/>
        </w:rPr>
        <w:t xml:space="preserve"> Успостављени портал е-управе већ даје значајне резултате и пружа уштеде средстава и времена, как</w:t>
      </w:r>
      <w:r w:rsidR="00CB04E0" w:rsidRPr="007E770D">
        <w:rPr>
          <w:rFonts w:cstheme="minorHAnsi"/>
          <w:bCs/>
          <w:color w:val="auto"/>
          <w:szCs w:val="72"/>
          <w:lang w:val="sr-Cyrl-CS"/>
        </w:rPr>
        <w:t xml:space="preserve">о </w:t>
      </w:r>
      <w:r w:rsidR="00CB04E0" w:rsidRPr="007E770D">
        <w:rPr>
          <w:rFonts w:cstheme="minorHAnsi"/>
          <w:bCs/>
          <w:color w:val="auto"/>
          <w:spacing w:val="-2"/>
          <w:szCs w:val="72"/>
          <w:lang w:val="sr-Cyrl-CS"/>
        </w:rPr>
        <w:t>становништву тако и привреди.</w:t>
      </w:r>
      <w:r w:rsidR="00C62BAB" w:rsidRPr="007E770D">
        <w:rPr>
          <w:rFonts w:cstheme="minorHAnsi"/>
          <w:bCs/>
          <w:color w:val="auto"/>
          <w:spacing w:val="-2"/>
          <w:szCs w:val="72"/>
          <w:lang w:val="sr-Cyrl-CS"/>
        </w:rPr>
        <w:t xml:space="preserve"> У истом светлу</w:t>
      </w:r>
      <w:r w:rsidR="00B54C6C" w:rsidRPr="007E770D">
        <w:rPr>
          <w:rFonts w:cstheme="minorHAnsi"/>
          <w:bCs/>
          <w:color w:val="auto"/>
          <w:spacing w:val="-2"/>
          <w:szCs w:val="72"/>
          <w:lang w:val="sr-Cyrl-CS"/>
        </w:rPr>
        <w:t>, Стратегијом</w:t>
      </w:r>
      <w:r w:rsidR="00C62BAB" w:rsidRPr="007E770D">
        <w:rPr>
          <w:rFonts w:cstheme="minorHAnsi"/>
          <w:bCs/>
          <w:color w:val="auto"/>
          <w:spacing w:val="-2"/>
          <w:szCs w:val="72"/>
          <w:lang w:val="sr-Cyrl-CS"/>
        </w:rPr>
        <w:t xml:space="preserve"> развоја вештачке инт</w:t>
      </w:r>
      <w:r w:rsidR="00C73DEE" w:rsidRPr="007E770D">
        <w:rPr>
          <w:rFonts w:cstheme="minorHAnsi"/>
          <w:bCs/>
          <w:color w:val="auto"/>
          <w:spacing w:val="-2"/>
          <w:szCs w:val="72"/>
          <w:lang w:val="sr-Cyrl-CS"/>
        </w:rPr>
        <w:t>е</w:t>
      </w:r>
      <w:r w:rsidR="00C62BAB" w:rsidRPr="007E770D">
        <w:rPr>
          <w:rFonts w:cstheme="minorHAnsi"/>
          <w:bCs/>
          <w:color w:val="auto"/>
          <w:spacing w:val="-2"/>
          <w:szCs w:val="72"/>
          <w:lang w:val="sr-Cyrl-CS"/>
        </w:rPr>
        <w:t xml:space="preserve">лигенције у Републици Србији за период од 2020. до 2025. године </w:t>
      </w:r>
      <w:r w:rsidR="008F0290" w:rsidRPr="007E770D">
        <w:rPr>
          <w:rFonts w:cstheme="minorHAnsi"/>
          <w:bCs/>
          <w:color w:val="auto"/>
          <w:spacing w:val="-2"/>
          <w:szCs w:val="72"/>
          <w:lang w:val="sr-Cyrl-CS"/>
        </w:rPr>
        <w:t xml:space="preserve">иде се у сусрет </w:t>
      </w:r>
      <w:r w:rsidR="00B54C6C" w:rsidRPr="007E770D">
        <w:rPr>
          <w:rFonts w:cstheme="minorHAnsi"/>
          <w:bCs/>
          <w:color w:val="auto"/>
          <w:spacing w:val="-2"/>
          <w:szCs w:val="72"/>
          <w:lang w:val="sr-Cyrl-CS"/>
        </w:rPr>
        <w:t>глобалним променама на овом пољу, хвата се корак са развијеним земљама и омогућава максимална искоришћеност бенефита које сегмент савремених технологија н</w:t>
      </w:r>
      <w:r w:rsidR="00C73DEE" w:rsidRPr="007E770D">
        <w:rPr>
          <w:rFonts w:cstheme="minorHAnsi"/>
          <w:bCs/>
          <w:color w:val="auto"/>
          <w:spacing w:val="-2"/>
          <w:szCs w:val="72"/>
          <w:lang w:val="sr-Cyrl-CS"/>
        </w:rPr>
        <w:t>оси.</w:t>
      </w:r>
    </w:p>
    <w:p w14:paraId="4CF700D3" w14:textId="61C92A72" w:rsidR="00C55154" w:rsidRPr="007E770D" w:rsidRDefault="002A5D8B" w:rsidP="00C130D2">
      <w:pPr>
        <w:rPr>
          <w:rFonts w:cstheme="minorHAnsi"/>
          <w:bCs/>
          <w:color w:val="auto"/>
          <w:spacing w:val="-2"/>
          <w:szCs w:val="72"/>
          <w:lang w:val="sr-Cyrl-CS"/>
        </w:rPr>
      </w:pPr>
      <w:r w:rsidRPr="007E770D">
        <w:rPr>
          <w:rFonts w:cstheme="minorHAnsi"/>
          <w:bCs/>
          <w:color w:val="auto"/>
          <w:szCs w:val="72"/>
          <w:lang w:val="sr-Cyrl-CS"/>
        </w:rPr>
        <w:t>Влада</w:t>
      </w:r>
      <w:r w:rsidR="00C55154" w:rsidRPr="007E770D">
        <w:rPr>
          <w:rFonts w:cstheme="minorHAnsi"/>
          <w:bCs/>
          <w:color w:val="auto"/>
          <w:szCs w:val="72"/>
          <w:lang w:val="sr-Cyrl-CS"/>
        </w:rPr>
        <w:t xml:space="preserve"> је</w:t>
      </w:r>
      <w:r w:rsidR="00402E3B" w:rsidRPr="007E770D">
        <w:rPr>
          <w:rFonts w:cstheme="minorHAnsi"/>
          <w:bCs/>
          <w:color w:val="auto"/>
          <w:szCs w:val="72"/>
          <w:lang w:val="sr-Cyrl-CS"/>
        </w:rPr>
        <w:t xml:space="preserve"> фокусирана и на демографске изазове</w:t>
      </w:r>
      <w:r w:rsidR="00C55154" w:rsidRPr="007E770D">
        <w:rPr>
          <w:rFonts w:cstheme="minorHAnsi"/>
          <w:bCs/>
          <w:color w:val="auto"/>
          <w:szCs w:val="72"/>
          <w:lang w:val="sr-Cyrl-CS"/>
        </w:rPr>
        <w:t xml:space="preserve"> са којим</w:t>
      </w:r>
      <w:r w:rsidR="00402E3B" w:rsidRPr="007E770D">
        <w:rPr>
          <w:rFonts w:cstheme="minorHAnsi"/>
          <w:bCs/>
          <w:color w:val="auto"/>
          <w:szCs w:val="72"/>
          <w:lang w:val="sr-Cyrl-CS"/>
        </w:rPr>
        <w:t>а</w:t>
      </w:r>
      <w:r w:rsidR="00C55154" w:rsidRPr="007E770D">
        <w:rPr>
          <w:rFonts w:cstheme="minorHAnsi"/>
          <w:bCs/>
          <w:color w:val="auto"/>
          <w:szCs w:val="72"/>
          <w:lang w:val="sr-Cyrl-CS"/>
        </w:rPr>
        <w:t xml:space="preserve"> се као друштво суочавамо</w:t>
      </w:r>
      <w:r w:rsidR="00402E3B" w:rsidRPr="007E770D">
        <w:rPr>
          <w:rFonts w:cstheme="minorHAnsi"/>
          <w:bCs/>
          <w:color w:val="auto"/>
          <w:szCs w:val="72"/>
          <w:lang w:val="sr-Cyrl-CS"/>
        </w:rPr>
        <w:t xml:space="preserve"> већ дужи време</w:t>
      </w:r>
      <w:r w:rsidR="00504364" w:rsidRPr="007E770D">
        <w:rPr>
          <w:rFonts w:cstheme="minorHAnsi"/>
          <w:bCs/>
          <w:color w:val="auto"/>
          <w:szCs w:val="72"/>
          <w:lang w:val="sr-Cyrl-CS"/>
        </w:rPr>
        <w:t>н</w:t>
      </w:r>
      <w:r w:rsidR="00402E3B" w:rsidRPr="007E770D">
        <w:rPr>
          <w:rFonts w:cstheme="minorHAnsi"/>
          <w:bCs/>
          <w:color w:val="auto"/>
          <w:szCs w:val="72"/>
          <w:lang w:val="sr-Cyrl-CS"/>
        </w:rPr>
        <w:t xml:space="preserve">ски период. Преузете су </w:t>
      </w:r>
      <w:r w:rsidR="00C55154" w:rsidRPr="007E770D">
        <w:rPr>
          <w:rFonts w:cstheme="minorHAnsi"/>
          <w:bCs/>
          <w:color w:val="auto"/>
          <w:szCs w:val="72"/>
          <w:lang w:val="sr-Cyrl-CS"/>
        </w:rPr>
        <w:t>активне мере у</w:t>
      </w:r>
      <w:r w:rsidR="00402E3B" w:rsidRPr="007E770D">
        <w:rPr>
          <w:rFonts w:cstheme="minorHAnsi"/>
          <w:bCs/>
          <w:color w:val="auto"/>
          <w:szCs w:val="72"/>
          <w:lang w:val="sr-Cyrl-CS"/>
        </w:rPr>
        <w:t xml:space="preserve"> правцу ублажавања депопулационих трендова</w:t>
      </w:r>
      <w:r w:rsidR="00504364" w:rsidRPr="007E770D">
        <w:rPr>
          <w:rFonts w:cstheme="minorHAnsi"/>
          <w:bCs/>
          <w:color w:val="auto"/>
          <w:szCs w:val="72"/>
          <w:lang w:val="sr-Cyrl-CS"/>
        </w:rPr>
        <w:t>,</w:t>
      </w:r>
      <w:r w:rsidR="00402E3B" w:rsidRPr="007E770D">
        <w:rPr>
          <w:rFonts w:cstheme="minorHAnsi"/>
          <w:bCs/>
          <w:color w:val="auto"/>
          <w:szCs w:val="72"/>
          <w:lang w:val="sr-Cyrl-CS"/>
        </w:rPr>
        <w:t xml:space="preserve"> кроз подстицање рађања </w:t>
      </w:r>
      <w:r w:rsidR="00504364" w:rsidRPr="007E770D">
        <w:rPr>
          <w:rFonts w:cstheme="minorHAnsi"/>
          <w:bCs/>
          <w:color w:val="auto"/>
          <w:szCs w:val="72"/>
          <w:lang w:val="sr-Cyrl-CS"/>
        </w:rPr>
        <w:t xml:space="preserve">и смањење директних трошкова родитељства. </w:t>
      </w:r>
      <w:r w:rsidR="00C55154" w:rsidRPr="007E770D">
        <w:rPr>
          <w:rFonts w:cstheme="minorHAnsi"/>
          <w:bCs/>
          <w:color w:val="auto"/>
          <w:szCs w:val="72"/>
          <w:lang w:val="sr-Cyrl-CS"/>
        </w:rPr>
        <w:t xml:space="preserve">Са друге стране, изражена мобилност радне снаге на глобалном нивоу није мимоишла ни Србију. </w:t>
      </w:r>
      <w:r w:rsidR="00C55154" w:rsidRPr="007E770D">
        <w:rPr>
          <w:rFonts w:cstheme="minorHAnsi"/>
          <w:bCs/>
          <w:color w:val="auto"/>
          <w:spacing w:val="-2"/>
          <w:szCs w:val="72"/>
          <w:lang w:val="sr-Cyrl-CS"/>
        </w:rPr>
        <w:t>Након</w:t>
      </w:r>
      <w:r w:rsidR="00504364" w:rsidRPr="007E770D">
        <w:rPr>
          <w:rFonts w:cstheme="minorHAnsi"/>
          <w:bCs/>
          <w:color w:val="auto"/>
          <w:spacing w:val="-2"/>
          <w:szCs w:val="72"/>
          <w:lang w:val="sr-Cyrl-CS"/>
        </w:rPr>
        <w:t xml:space="preserve"> квантификације и анализе миграционог тока, биће креиране мере које ће ублажити његов интензитет</w:t>
      </w:r>
      <w:r w:rsidR="003472D1" w:rsidRPr="007E770D">
        <w:rPr>
          <w:rFonts w:cstheme="minorHAnsi"/>
          <w:bCs/>
          <w:color w:val="auto"/>
          <w:spacing w:val="-2"/>
          <w:szCs w:val="72"/>
          <w:lang w:val="sr-Cyrl-CS"/>
        </w:rPr>
        <w:t>,</w:t>
      </w:r>
      <w:r w:rsidR="00504364" w:rsidRPr="007E770D">
        <w:rPr>
          <w:rFonts w:cstheme="minorHAnsi"/>
          <w:bCs/>
          <w:color w:val="auto"/>
          <w:spacing w:val="-2"/>
          <w:szCs w:val="72"/>
          <w:lang w:val="sr-Cyrl-CS"/>
        </w:rPr>
        <w:t xml:space="preserve"> али и платформе сарадње са дијаспором како би позитивне стране</w:t>
      </w:r>
      <w:r w:rsidR="008F0290" w:rsidRPr="007E770D">
        <w:rPr>
          <w:rFonts w:cstheme="minorHAnsi"/>
          <w:bCs/>
          <w:color w:val="auto"/>
          <w:spacing w:val="-2"/>
          <w:szCs w:val="72"/>
          <w:lang w:val="sr-Cyrl-CS"/>
        </w:rPr>
        <w:t xml:space="preserve"> овог процеса биле искоришћене.</w:t>
      </w:r>
    </w:p>
    <w:p w14:paraId="3AE76FBA" w14:textId="3C31A404" w:rsidR="00C55154" w:rsidRPr="007E770D" w:rsidRDefault="00C55154" w:rsidP="00C130D2">
      <w:pPr>
        <w:rPr>
          <w:rFonts w:cstheme="minorHAnsi"/>
          <w:bCs/>
          <w:color w:val="auto"/>
          <w:szCs w:val="72"/>
          <w:lang w:val="sr-Cyrl-CS"/>
        </w:rPr>
      </w:pPr>
      <w:r w:rsidRPr="007E770D">
        <w:rPr>
          <w:rFonts w:cstheme="minorHAnsi"/>
          <w:bCs/>
          <w:color w:val="auto"/>
          <w:szCs w:val="72"/>
          <w:lang w:val="sr-Cyrl-CS"/>
        </w:rPr>
        <w:t xml:space="preserve">Такође, </w:t>
      </w:r>
      <w:r w:rsidR="002A5D8B" w:rsidRPr="007E770D">
        <w:rPr>
          <w:rFonts w:cstheme="minorHAnsi"/>
          <w:bCs/>
          <w:color w:val="auto"/>
          <w:szCs w:val="72"/>
          <w:lang w:val="sr-Cyrl-CS"/>
        </w:rPr>
        <w:t>Влада</w:t>
      </w:r>
      <w:r w:rsidRPr="007E770D">
        <w:rPr>
          <w:rFonts w:cstheme="minorHAnsi"/>
          <w:bCs/>
          <w:color w:val="auto"/>
          <w:szCs w:val="72"/>
          <w:lang w:val="sr-Cyrl-CS"/>
        </w:rPr>
        <w:t xml:space="preserve"> остаје посвећена пуноправном чланству у Европској унији (у даљем тексту: ЕУ) као стратешки постављеном циљу.</w:t>
      </w:r>
      <w:r w:rsidRPr="007E770D">
        <w:rPr>
          <w:rFonts w:cstheme="minorHAnsi"/>
          <w:color w:val="auto"/>
          <w:lang w:val="sr-Cyrl-CS"/>
        </w:rPr>
        <w:t xml:space="preserve"> </w:t>
      </w:r>
      <w:r w:rsidRPr="007E770D">
        <w:rPr>
          <w:rFonts w:cstheme="minorHAnsi"/>
          <w:bCs/>
          <w:color w:val="auto"/>
          <w:szCs w:val="72"/>
          <w:lang w:val="sr-Cyrl-CS"/>
        </w:rPr>
        <w:t xml:space="preserve">Током 2018. године </w:t>
      </w:r>
      <w:r w:rsidR="003313B5" w:rsidRPr="007E770D">
        <w:rPr>
          <w:rFonts w:cstheme="minorHAnsi"/>
          <w:bCs/>
          <w:color w:val="auto"/>
          <w:szCs w:val="72"/>
          <w:lang w:val="sr-Cyrl-CS"/>
        </w:rPr>
        <w:t>отворена</w:t>
      </w:r>
      <w:r w:rsidRPr="007E770D">
        <w:rPr>
          <w:rFonts w:cstheme="minorHAnsi"/>
          <w:bCs/>
          <w:color w:val="auto"/>
          <w:szCs w:val="72"/>
          <w:lang w:val="sr-Cyrl-CS"/>
        </w:rPr>
        <w:t xml:space="preserve"> су </w:t>
      </w:r>
      <w:r w:rsidR="00B46CA9" w:rsidRPr="007E770D">
        <w:rPr>
          <w:rFonts w:cstheme="minorHAnsi"/>
          <w:bCs/>
          <w:color w:val="auto"/>
          <w:szCs w:val="72"/>
          <w:lang w:val="sr-Cyrl-CS"/>
        </w:rPr>
        <w:t>четири</w:t>
      </w:r>
      <w:r w:rsidRPr="007E770D">
        <w:rPr>
          <w:rFonts w:cstheme="minorHAnsi"/>
          <w:bCs/>
          <w:color w:val="auto"/>
          <w:szCs w:val="72"/>
          <w:lang w:val="sr-Cyrl-CS"/>
        </w:rPr>
        <w:t xml:space="preserve"> нова поглавља. Средином године отворена су поглавља 13 – рибарство и 33 – буџетске и финансијске одредбе, а у децембру су отворена поглавља 17 и 18, која се односе на економску и монетарну политику и статистику.</w:t>
      </w:r>
      <w:r w:rsidR="0017154C" w:rsidRPr="007E770D">
        <w:rPr>
          <w:rFonts w:cstheme="minorHAnsi"/>
          <w:bCs/>
          <w:color w:val="auto"/>
          <w:szCs w:val="72"/>
          <w:lang w:val="sr-Cyrl-CS"/>
        </w:rPr>
        <w:t xml:space="preserve"> У јуну 2019. године отворено је поглавље 9 – финансијске услуге, док су технички припремљена поглавља: </w:t>
      </w:r>
      <w:r w:rsidRPr="007E770D">
        <w:rPr>
          <w:rFonts w:cstheme="minorHAnsi"/>
          <w:bCs/>
          <w:color w:val="auto"/>
          <w:szCs w:val="72"/>
          <w:lang w:val="sr-Cyrl-CS"/>
        </w:rPr>
        <w:t xml:space="preserve">2 </w:t>
      </w:r>
      <w:r w:rsidR="006A3E66" w:rsidRPr="007E770D">
        <w:rPr>
          <w:rFonts w:cstheme="minorHAnsi"/>
          <w:bCs/>
          <w:color w:val="auto"/>
          <w:szCs w:val="72"/>
          <w:lang w:val="sr-Cyrl-CS"/>
        </w:rPr>
        <w:t>–</w:t>
      </w:r>
      <w:r w:rsidRPr="007E770D">
        <w:rPr>
          <w:rFonts w:cstheme="minorHAnsi"/>
          <w:bCs/>
          <w:color w:val="auto"/>
          <w:szCs w:val="72"/>
          <w:lang w:val="sr-Cyrl-CS"/>
        </w:rPr>
        <w:t xml:space="preserve"> слободно кретање радника, 4 </w:t>
      </w:r>
      <w:r w:rsidR="006A3E66" w:rsidRPr="007E770D">
        <w:rPr>
          <w:rFonts w:cstheme="minorHAnsi"/>
          <w:bCs/>
          <w:color w:val="auto"/>
          <w:szCs w:val="72"/>
          <w:lang w:val="sr-Cyrl-CS"/>
        </w:rPr>
        <w:t>–</w:t>
      </w:r>
      <w:r w:rsidRPr="007E770D">
        <w:rPr>
          <w:rFonts w:cstheme="minorHAnsi"/>
          <w:bCs/>
          <w:color w:val="auto"/>
          <w:szCs w:val="72"/>
          <w:lang w:val="sr-Cyrl-CS"/>
        </w:rPr>
        <w:t xml:space="preserve"> слободно кретање капитала, 14 </w:t>
      </w:r>
      <w:r w:rsidR="006A3E66" w:rsidRPr="007E770D">
        <w:rPr>
          <w:rFonts w:cstheme="minorHAnsi"/>
          <w:bCs/>
          <w:color w:val="auto"/>
          <w:szCs w:val="72"/>
          <w:lang w:val="sr-Cyrl-CS"/>
        </w:rPr>
        <w:t>– транспорт и 21 –</w:t>
      </w:r>
      <w:r w:rsidRPr="007E770D">
        <w:rPr>
          <w:rFonts w:cstheme="minorHAnsi"/>
          <w:bCs/>
          <w:color w:val="auto"/>
          <w:szCs w:val="72"/>
          <w:lang w:val="sr-Cyrl-CS"/>
        </w:rPr>
        <w:t xml:space="preserve"> трансевропске мреже. Редован политички и економски дијалог о отвореним питањима из Споразума о стабилизацији и придруживању (у даљем тексту: ССП) између Европских заједница и њихових </w:t>
      </w:r>
      <w:r w:rsidR="002A5D8B" w:rsidRPr="007E770D">
        <w:rPr>
          <w:rFonts w:cstheme="minorHAnsi"/>
          <w:bCs/>
          <w:color w:val="auto"/>
          <w:szCs w:val="72"/>
          <w:lang w:val="sr-Cyrl-CS"/>
        </w:rPr>
        <w:t>држава чланица, са једне стране</w:t>
      </w:r>
      <w:r w:rsidRPr="007E770D">
        <w:rPr>
          <w:rFonts w:cstheme="minorHAnsi"/>
          <w:bCs/>
          <w:color w:val="auto"/>
          <w:szCs w:val="72"/>
          <w:lang w:val="sr-Cyrl-CS"/>
        </w:rPr>
        <w:t xml:space="preserve"> и Републике Србије</w:t>
      </w:r>
      <w:r w:rsidR="0017154C" w:rsidRPr="007E770D">
        <w:rPr>
          <w:rFonts w:cstheme="minorHAnsi"/>
          <w:bCs/>
          <w:color w:val="auto"/>
          <w:szCs w:val="72"/>
          <w:lang w:val="sr-Cyrl-CS"/>
        </w:rPr>
        <w:t xml:space="preserve"> </w:t>
      </w:r>
      <w:r w:rsidRPr="007E770D">
        <w:rPr>
          <w:rFonts w:cstheme="minorHAnsi"/>
          <w:bCs/>
          <w:color w:val="auto"/>
          <w:szCs w:val="72"/>
          <w:lang w:val="sr-Cyrl-CS"/>
        </w:rPr>
        <w:t>са друге стране, као и доношење општих и секторских националних развојних стратегија имају за циљ да Република Србија у што краћем року испуни економске предуслове чланства зацртане у acquis communautaire.</w:t>
      </w:r>
    </w:p>
    <w:p w14:paraId="5BB5FA93" w14:textId="77777777" w:rsidR="00C55154" w:rsidRPr="007E770D" w:rsidRDefault="00C55154" w:rsidP="00C130D2">
      <w:pPr>
        <w:spacing w:after="0"/>
        <w:rPr>
          <w:rFonts w:cstheme="minorHAnsi"/>
          <w:color w:val="auto"/>
          <w:lang w:val="sr-Cyrl-CS"/>
        </w:rPr>
        <w:sectPr w:rsidR="00C55154" w:rsidRPr="007E770D" w:rsidSect="00717FCD">
          <w:type w:val="continuous"/>
          <w:pgSz w:w="12240" w:h="15840"/>
          <w:pgMar w:top="1440" w:right="1440" w:bottom="1440" w:left="1440" w:header="720" w:footer="720" w:gutter="0"/>
          <w:cols w:num="2" w:space="720"/>
          <w:docGrid w:linePitch="360"/>
        </w:sectPr>
      </w:pPr>
    </w:p>
    <w:bookmarkStart w:id="3" w:name="_Toc23342461"/>
    <w:bookmarkStart w:id="4" w:name="_Toc530041993"/>
    <w:p w14:paraId="7BEABA03" w14:textId="77777777" w:rsidR="007A7960" w:rsidRPr="007E770D" w:rsidRDefault="007A7960" w:rsidP="007A7960">
      <w:pPr>
        <w:pStyle w:val="Heading2"/>
        <w:jc w:val="center"/>
        <w:rPr>
          <w:rFonts w:cstheme="minorHAnsi"/>
          <w:b/>
          <w:color w:val="auto"/>
          <w:sz w:val="22"/>
          <w:lang w:val="sr-Cyrl-CS"/>
        </w:rPr>
        <w:sectPr w:rsidR="007A7960" w:rsidRPr="007E770D" w:rsidSect="003851DF">
          <w:headerReference w:type="default" r:id="rId13"/>
          <w:footerReference w:type="even" r:id="rId14"/>
          <w:footerReference w:type="default" r:id="rId15"/>
          <w:headerReference w:type="first" r:id="rId16"/>
          <w:type w:val="continuous"/>
          <w:pgSz w:w="12240" w:h="15840"/>
          <w:pgMar w:top="1440" w:right="1440" w:bottom="1440" w:left="1440" w:header="720" w:footer="720" w:gutter="0"/>
          <w:cols w:space="720"/>
          <w:docGrid w:linePitch="360"/>
        </w:sectPr>
      </w:pPr>
      <w:r w:rsidRPr="007E770D">
        <w:rPr>
          <w:rFonts w:asciiTheme="minorHAnsi" w:hAnsiTheme="minorHAnsi" w:cstheme="minorHAnsi"/>
          <w:b/>
          <w:noProof/>
          <w:color w:val="auto"/>
          <w:sz w:val="24"/>
        </w:rPr>
        <w:lastRenderedPageBreak/>
        <mc:AlternateContent>
          <mc:Choice Requires="wps">
            <w:drawing>
              <wp:anchor distT="0" distB="0" distL="114300" distR="114300" simplePos="0" relativeHeight="251722752" behindDoc="1" locked="0" layoutInCell="1" allowOverlap="1" wp14:anchorId="0050A8EB" wp14:editId="41043D6F">
                <wp:simplePos x="0" y="0"/>
                <wp:positionH relativeFrom="margin">
                  <wp:posOffset>-47625</wp:posOffset>
                </wp:positionH>
                <wp:positionV relativeFrom="paragraph">
                  <wp:posOffset>352425</wp:posOffset>
                </wp:positionV>
                <wp:extent cx="6028055" cy="3609975"/>
                <wp:effectExtent l="0" t="0" r="0" b="9525"/>
                <wp:wrapNone/>
                <wp:docPr id="27" name="Rectangle 27"/>
                <wp:cNvGraphicFramePr/>
                <a:graphic xmlns:a="http://schemas.openxmlformats.org/drawingml/2006/main">
                  <a:graphicData uri="http://schemas.microsoft.com/office/word/2010/wordprocessingShape">
                    <wps:wsp>
                      <wps:cNvSpPr/>
                      <wps:spPr>
                        <a:xfrm>
                          <a:off x="0" y="0"/>
                          <a:ext cx="6028055" cy="3609975"/>
                        </a:xfrm>
                        <a:prstGeom prst="rect">
                          <a:avLst/>
                        </a:prstGeom>
                        <a:pattFill prst="pct25">
                          <a:fgClr>
                            <a:schemeClr val="bg1">
                              <a:lumMod val="85000"/>
                            </a:schemeClr>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E85325D" id="Rectangle 27" o:spid="_x0000_s1026" style="position:absolute;margin-left:-3.75pt;margin-top:27.75pt;width:474.65pt;height:284.25pt;z-index:-251593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" fillcolor="#d8d8d8 [2732]" stroked="f" strokeweight="1pt">
                <v:fill r:id="rId28" o:title="" color2="white [3212]" type="pattern"/>
                <w10:wrap anchorx="margin"/>
              </v:rect>
            </w:pict>
          </mc:Fallback>
        </mc:AlternateContent>
      </w:r>
      <w:r w:rsidRPr="007E770D">
        <w:rPr>
          <w:rFonts w:asciiTheme="minorHAnsi" w:hAnsiTheme="minorHAnsi" w:cstheme="minorHAnsi"/>
          <w:b/>
          <w:color w:val="auto"/>
          <w:sz w:val="24"/>
          <w:lang w:val="sr-Cyrl-CS"/>
        </w:rPr>
        <w:t>2. Процене међународног економског окружења</w:t>
      </w:r>
      <w:bookmarkEnd w:id="3"/>
      <w:r w:rsidRPr="007E770D">
        <w:rPr>
          <w:rFonts w:asciiTheme="minorHAnsi" w:hAnsiTheme="minorHAnsi" w:cstheme="minorHAnsi"/>
          <w:b/>
          <w:color w:val="auto"/>
          <w:sz w:val="24"/>
          <w:lang w:val="sr-Cyrl-CS"/>
        </w:rPr>
        <w:br/>
      </w:r>
    </w:p>
    <w:p w14:paraId="76EF11E1" w14:textId="3461C071" w:rsidR="007A7960" w:rsidRPr="007E770D" w:rsidRDefault="007A7960" w:rsidP="007A7960">
      <w:pPr>
        <w:spacing w:after="480"/>
        <w:rPr>
          <w:rFonts w:cstheme="minorHAnsi"/>
          <w:color w:val="auto"/>
          <w:lang w:val="sr-Cyrl-CS"/>
        </w:rPr>
        <w:sectPr w:rsidR="007A7960" w:rsidRPr="007E770D" w:rsidSect="003A4087">
          <w:type w:val="continuous"/>
          <w:pgSz w:w="12240" w:h="15840"/>
          <w:pgMar w:top="1440" w:right="1440" w:bottom="1440" w:left="1440" w:header="720" w:footer="720" w:gutter="0"/>
          <w:cols w:num="2" w:space="720"/>
          <w:docGrid w:linePitch="360"/>
        </w:sectPr>
      </w:pPr>
      <w:r w:rsidRPr="007E770D">
        <w:rPr>
          <w:rFonts w:cstheme="minorHAnsi"/>
          <w:color w:val="auto"/>
          <w:lang w:val="sr-Cyrl-CS"/>
        </w:rPr>
        <w:t xml:space="preserve">Јесење пројекције релевантних међународних институција указују на материјализацију негативних ризика идентификованих у претходном периоду. Европска економија током прве половине 2019. године бележи успорен раст, док најновији показатељи указују да ће опоравак, који је био предвиђен за другу половину ове године, почети касније. Трговинске тензије између појединих земаља и могућа ескалација протекционизма, геополитичка нестабилност услед нерешених унутрашњих питања у неким од земаља у развоју, као и продужене неизвесности у вези са Брегзитом имали су за последицу ревидирање годишњих стопа раста наниже и у развијеним земљама и у земљама у успону. Ово је праћено смањењем простора за побољшање изгледа будући да трговински трошкови расту као и да се предложене реформе не спроводе пожељном динамиком. Иако финансијска тржишта у развијеним земљама остају акомодативна, у случају даљег интензивирања </w:t>
      </w:r>
      <w:r w:rsidRPr="007E770D">
        <w:rPr>
          <w:rFonts w:cstheme="minorHAnsi"/>
          <w:color w:val="auto"/>
          <w:lang w:val="sr-Cyrl-CS"/>
        </w:rPr>
        <w:t>негативних трговинских мера или тржишних шокова, може доћи до повећања неизвесности на финансијском тржишту. Ово би уз снажан одговор Савезних резерви САД (у даљем тексту: ФЕД) и осетљивост финансијских тржишта утицало на паритетe светских валута, обим капиталних прилива као и нивое јавног дуга у земљама у успону. Глобални опоравак у претходних неколико година допринео је побољшању тржишта рада кроз раст зарада и запослености, јачању платнобилансних позиција али је и проширио простор за изградњу механизама заштите од непредвиђених шокова. Ипак, да би се осигурао снажнији раст и глобална експанзија, неопходно је доследно примењивати адекватне мере и спроводити структурне реформе. Фискалн</w:t>
      </w:r>
      <w:r w:rsidR="004E46D6" w:rsidRPr="007E770D">
        <w:rPr>
          <w:rFonts w:cstheme="minorHAnsi"/>
          <w:color w:val="auto"/>
          <w:lang w:val="sr-Cyrl-CS"/>
        </w:rPr>
        <w:t>а</w:t>
      </w:r>
      <w:r w:rsidRPr="007E770D">
        <w:rPr>
          <w:rFonts w:cstheme="minorHAnsi"/>
          <w:color w:val="auto"/>
          <w:lang w:val="sr-Cyrl-CS"/>
        </w:rPr>
        <w:t xml:space="preserve"> и монетарн</w:t>
      </w:r>
      <w:r w:rsidR="004E46D6" w:rsidRPr="007E770D">
        <w:rPr>
          <w:rFonts w:cstheme="minorHAnsi"/>
          <w:color w:val="auto"/>
          <w:lang w:val="sr-Cyrl-CS"/>
        </w:rPr>
        <w:t>а</w:t>
      </w:r>
      <w:r w:rsidRPr="007E770D">
        <w:rPr>
          <w:rFonts w:cstheme="minorHAnsi"/>
          <w:color w:val="auto"/>
          <w:lang w:val="sr-Cyrl-CS"/>
        </w:rPr>
        <w:t xml:space="preserve"> политик</w:t>
      </w:r>
      <w:r w:rsidR="004E46D6" w:rsidRPr="007E770D">
        <w:rPr>
          <w:rFonts w:cstheme="minorHAnsi"/>
          <w:color w:val="auto"/>
          <w:lang w:val="sr-Cyrl-CS"/>
        </w:rPr>
        <w:t>а</w:t>
      </w:r>
      <w:r w:rsidRPr="007E770D">
        <w:rPr>
          <w:rFonts w:cstheme="minorHAnsi"/>
          <w:color w:val="auto"/>
          <w:lang w:val="sr-Cyrl-CS"/>
        </w:rPr>
        <w:t xml:space="preserve"> би требало да буду калибриране тако да обезбеде </w:t>
      </w:r>
      <w:r w:rsidR="004E46D6" w:rsidRPr="007E770D">
        <w:rPr>
          <w:rFonts w:cstheme="minorHAnsi"/>
          <w:color w:val="auto"/>
          <w:lang w:val="sr-Cyrl-CS"/>
        </w:rPr>
        <w:t xml:space="preserve">ниску, </w:t>
      </w:r>
      <w:r w:rsidRPr="007E770D">
        <w:rPr>
          <w:rFonts w:cstheme="minorHAnsi"/>
          <w:color w:val="auto"/>
          <w:lang w:val="sr-Cyrl-CS"/>
        </w:rPr>
        <w:t xml:space="preserve">стабилну </w:t>
      </w:r>
      <w:r w:rsidR="004E46D6" w:rsidRPr="007E770D">
        <w:rPr>
          <w:rFonts w:cstheme="minorHAnsi"/>
          <w:color w:val="auto"/>
          <w:lang w:val="sr-Cyrl-CS"/>
        </w:rPr>
        <w:t xml:space="preserve">и предвидиву </w:t>
      </w:r>
      <w:r w:rsidRPr="007E770D">
        <w:rPr>
          <w:rFonts w:cstheme="minorHAnsi"/>
          <w:color w:val="auto"/>
          <w:lang w:val="sr-Cyrl-CS"/>
        </w:rPr>
        <w:t xml:space="preserve">инфлацију и пруже подршку производњи без угрожавања путање јавног дуга. </w:t>
      </w:r>
    </w:p>
    <w:p w14:paraId="76957156" w14:textId="77777777" w:rsidR="007A7960" w:rsidRPr="007E770D" w:rsidRDefault="007A7960" w:rsidP="00372639">
      <w:pPr>
        <w:jc w:val="left"/>
        <w:rPr>
          <w:rFonts w:cstheme="minorHAnsi"/>
          <w:b/>
          <w:color w:val="auto"/>
          <w:sz w:val="22"/>
          <w:lang w:val="sr-Cyrl-CS"/>
        </w:rPr>
      </w:pPr>
      <w:r w:rsidRPr="007E770D">
        <w:rPr>
          <w:rFonts w:cstheme="minorHAnsi"/>
          <w:b/>
          <w:color w:val="auto"/>
          <w:sz w:val="22"/>
          <w:lang w:val="sr-Cyrl-CS"/>
        </w:rPr>
        <w:t>Макроекономске процене Међународног монетарног фонда</w:t>
      </w:r>
    </w:p>
    <w:p w14:paraId="5E29D9E4" w14:textId="77777777" w:rsidR="007A7960" w:rsidRPr="007E770D" w:rsidRDefault="007A7960" w:rsidP="007A7960">
      <w:pPr>
        <w:rPr>
          <w:rFonts w:cstheme="minorHAnsi"/>
          <w:color w:val="auto"/>
          <w:lang w:val="sr-Cyrl-CS"/>
        </w:rPr>
        <w:sectPr w:rsidR="007A7960" w:rsidRPr="007E770D" w:rsidSect="00AF78EE">
          <w:type w:val="continuous"/>
          <w:pgSz w:w="12240" w:h="15840"/>
          <w:pgMar w:top="1440" w:right="1440" w:bottom="1440" w:left="1440" w:header="720" w:footer="720" w:gutter="0"/>
          <w:cols w:num="2" w:space="720"/>
          <w:docGrid w:linePitch="360"/>
        </w:sectPr>
      </w:pPr>
      <w:r w:rsidRPr="007E770D">
        <w:rPr>
          <w:rFonts w:cstheme="minorHAnsi"/>
          <w:bCs/>
          <w:color w:val="auto"/>
          <w:szCs w:val="72"/>
          <w:lang w:val="sr-Cyrl-CS"/>
        </w:rPr>
        <w:t xml:space="preserve">Глобална економска активност је успорила, будући да је за 2019. годину раст ревидиран наниже на 3,0%, што је најнижи раст још од глобалне економске кризе. Оваква кретања последица су растућих трговинских баријера, изражених неизвесности у трговини и геополитици, појединачних фактора који стварају макроекономске нестабилности и структурних фактора попут ниског раста продуктивности и старења становништва у развијеним земљама. Узроци споријег раста могу се потражити и у наглом и широко распрострањеном успоравању прерађивачке индустрије, нарочито производње аутомобила, као и нижим инвестицијама и мањом тражњом за капиталним добрима услед наметнутих трговинских тарифа. Са друге стране, подстицају глобалног раста допринео је раст сектора услуга, који је очувао тржиште радне снаге и раст зарада. Битно је истаћи да је низак глобални раст регистрован током значајно релаксиране монетарне политике како у развијеним земљама, тако и у земљама у успону. Одсуство инфлаторних </w:t>
      </w:r>
      <w:r w:rsidRPr="007E770D">
        <w:rPr>
          <w:rFonts w:cstheme="minorHAnsi"/>
          <w:bCs/>
          <w:color w:val="auto"/>
          <w:szCs w:val="72"/>
          <w:lang w:val="sr-Cyrl-CS"/>
        </w:rPr>
        <w:t>притисака је приморало централне банке земаља да делују превентивно како би смањиле ризике који би утицали на раст, што је довело до повољних финансијских услова. Развијене економије својим споријим растом настављају да теже дугорочном потенцијалу. Раст у земљама у развоју остаје снажан али неједнако расподељен, будући да економије које извозе природне ресурсе могу очекивати нижи раст. Ризици остварења пројекције остају и даље изражени. Раст еврозоне је ревидиран наниже услед слабијег извоза, а неизвесност у вези са Брегзитом је све израженија. Напетости у трговинским односима између САД и Кине и даље стварају проблеме и несигурности и процењује се да би у 2020. години могле да кумулативно смање ниво светског БДП за 0,8%. Раст Кине је ревидиран наниже, што је резултат како трговинских тарифа, тако и успоравања домаће тражње услед мера за</w:t>
      </w:r>
      <w:r w:rsidRPr="007E770D">
        <w:rPr>
          <w:rFonts w:cstheme="minorHAnsi"/>
          <w:color w:val="auto"/>
          <w:lang w:val="sr-Cyrl-CS"/>
        </w:rPr>
        <w:t xml:space="preserve"> </w:t>
      </w:r>
      <w:r w:rsidRPr="007E770D">
        <w:rPr>
          <w:rFonts w:cstheme="minorHAnsi"/>
          <w:bCs/>
          <w:color w:val="auto"/>
          <w:szCs w:val="72"/>
          <w:lang w:val="sr-Cyrl-CS"/>
        </w:rPr>
        <w:t xml:space="preserve">за смањење задужености. Нагла смањења пројекција раста у земљама БРИКС-а и азијским тржиштима као и нестабилна геополитичка ситуација су такође неки од фактора који би могли довести до поремећаја пројектованог раста. </w:t>
      </w:r>
      <w:r w:rsidRPr="007E770D">
        <w:rPr>
          <w:rFonts w:cstheme="minorHAnsi"/>
          <w:bCs/>
          <w:color w:val="auto"/>
          <w:szCs w:val="72"/>
          <w:lang w:val="sr-Cyrl-CS"/>
        </w:rPr>
        <w:lastRenderedPageBreak/>
        <w:t xml:space="preserve">Укидање трговинских баријера и смиривање геополитичких тензија би требали бити на врху листе приоритета у блиској будућности. Остварење ових циљева би повећало поверење, </w:t>
      </w:r>
      <w:r w:rsidRPr="007E770D">
        <w:rPr>
          <w:rFonts w:cstheme="minorHAnsi"/>
          <w:bCs/>
          <w:color w:val="auto"/>
          <w:szCs w:val="72"/>
          <w:lang w:val="sr-Cyrl-CS"/>
        </w:rPr>
        <w:t>поспешило инвестиције, покренуло стопирану светску трговину и производњу, што би се у крајњој инстанци позитивно одразило на глобални раст.</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16"/>
        <w:gridCol w:w="1033"/>
        <w:gridCol w:w="1035"/>
        <w:gridCol w:w="1035"/>
        <w:gridCol w:w="1041"/>
      </w:tblGrid>
      <w:tr w:rsidR="007E770D" w:rsidRPr="007E770D" w14:paraId="318FBF09" w14:textId="77777777" w:rsidTr="000931AB">
        <w:trPr>
          <w:trHeight w:val="414"/>
        </w:trPr>
        <w:tc>
          <w:tcPr>
            <w:tcW w:w="5000" w:type="pct"/>
            <w:gridSpan w:val="5"/>
            <w:tcBorders>
              <w:bottom w:val="single" w:sz="4" w:space="0" w:color="002060"/>
            </w:tcBorders>
          </w:tcPr>
          <w:p w14:paraId="0698DE2B" w14:textId="77777777" w:rsidR="007A7960" w:rsidRPr="007E770D" w:rsidRDefault="007A7960" w:rsidP="00D670D2">
            <w:pPr>
              <w:jc w:val="center"/>
              <w:rPr>
                <w:rFonts w:cstheme="minorHAnsi"/>
                <w:b/>
                <w:color w:val="auto"/>
                <w:highlight w:val="yellow"/>
                <w:lang w:val="sr-Cyrl-CS"/>
              </w:rPr>
            </w:pPr>
            <w:r w:rsidRPr="007E770D">
              <w:rPr>
                <w:rFonts w:cstheme="minorHAnsi"/>
                <w:b/>
                <w:color w:val="auto"/>
                <w:lang w:val="sr-Cyrl-CS"/>
              </w:rPr>
              <w:t>Табела 1. Међународно окружење – макроекономски показатељи</w:t>
            </w:r>
          </w:p>
        </w:tc>
      </w:tr>
      <w:tr w:rsidR="007E770D" w:rsidRPr="007E770D" w14:paraId="5FD254D1" w14:textId="77777777" w:rsidTr="00D670D2">
        <w:tc>
          <w:tcPr>
            <w:tcW w:w="2786" w:type="pct"/>
            <w:tcBorders>
              <w:top w:val="single" w:sz="4" w:space="0" w:color="002060"/>
              <w:left w:val="single" w:sz="2" w:space="0" w:color="FFFFFF" w:themeColor="background1"/>
              <w:bottom w:val="single" w:sz="2" w:space="0" w:color="FFFFFF" w:themeColor="background1"/>
              <w:right w:val="single" w:sz="2" w:space="0" w:color="FFFFFF" w:themeColor="background1"/>
            </w:tcBorders>
          </w:tcPr>
          <w:p w14:paraId="72A08493" w14:textId="77777777" w:rsidR="007A7960" w:rsidRPr="007E770D" w:rsidRDefault="007A7960" w:rsidP="00D670D2">
            <w:pPr>
              <w:rPr>
                <w:rFonts w:cstheme="minorHAnsi"/>
                <w:color w:val="auto"/>
                <w:sz w:val="18"/>
                <w:lang w:val="sr-Cyrl-CS"/>
              </w:rPr>
            </w:pPr>
          </w:p>
        </w:tc>
        <w:tc>
          <w:tcPr>
            <w:tcW w:w="552" w:type="pct"/>
            <w:tcBorders>
              <w:top w:val="single" w:sz="4" w:space="0" w:color="002060"/>
              <w:left w:val="single" w:sz="2" w:space="0" w:color="FFFFFF" w:themeColor="background1"/>
              <w:bottom w:val="single" w:sz="4" w:space="0" w:color="002060"/>
              <w:right w:val="single" w:sz="2" w:space="0" w:color="FFFFFF" w:themeColor="background1"/>
            </w:tcBorders>
          </w:tcPr>
          <w:p w14:paraId="130AE01C"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2019</w:t>
            </w:r>
          </w:p>
        </w:tc>
        <w:tc>
          <w:tcPr>
            <w:tcW w:w="553" w:type="pct"/>
            <w:tcBorders>
              <w:top w:val="single" w:sz="4" w:space="0" w:color="002060"/>
              <w:left w:val="single" w:sz="2" w:space="0" w:color="FFFFFF" w:themeColor="background1"/>
              <w:bottom w:val="single" w:sz="4" w:space="0" w:color="002060"/>
              <w:right w:val="single" w:sz="2" w:space="0" w:color="FFFFFF" w:themeColor="background1"/>
            </w:tcBorders>
          </w:tcPr>
          <w:p w14:paraId="23444A72"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2020</w:t>
            </w:r>
          </w:p>
        </w:tc>
        <w:tc>
          <w:tcPr>
            <w:tcW w:w="553" w:type="pct"/>
            <w:tcBorders>
              <w:top w:val="single" w:sz="4" w:space="0" w:color="002060"/>
              <w:left w:val="single" w:sz="2" w:space="0" w:color="FFFFFF" w:themeColor="background1"/>
              <w:bottom w:val="single" w:sz="4" w:space="0" w:color="002060"/>
              <w:right w:val="single" w:sz="2" w:space="0" w:color="FFFFFF" w:themeColor="background1"/>
            </w:tcBorders>
          </w:tcPr>
          <w:p w14:paraId="0DE8BAB4"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2021</w:t>
            </w:r>
          </w:p>
        </w:tc>
        <w:tc>
          <w:tcPr>
            <w:tcW w:w="556" w:type="pct"/>
            <w:tcBorders>
              <w:top w:val="single" w:sz="4" w:space="0" w:color="002060"/>
              <w:left w:val="single" w:sz="2" w:space="0" w:color="FFFFFF" w:themeColor="background1"/>
              <w:bottom w:val="single" w:sz="4" w:space="0" w:color="002060"/>
              <w:right w:val="single" w:sz="2" w:space="0" w:color="FFFFFF" w:themeColor="background1"/>
            </w:tcBorders>
          </w:tcPr>
          <w:p w14:paraId="344F4337"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2022</w:t>
            </w:r>
          </w:p>
        </w:tc>
      </w:tr>
      <w:tr w:rsidR="007E770D" w:rsidRPr="007E770D" w14:paraId="3D1B11B2" w14:textId="77777777" w:rsidTr="00D670D2">
        <w:tc>
          <w:tcPr>
            <w:tcW w:w="5000" w:type="pct"/>
            <w:gridSpan w:val="5"/>
            <w:tcBorders>
              <w:top w:val="single" w:sz="2" w:space="0" w:color="FFFFFF" w:themeColor="background1"/>
              <w:left w:val="single" w:sz="2" w:space="0" w:color="FFFFFF" w:themeColor="background1"/>
              <w:bottom w:val="single" w:sz="2" w:space="0" w:color="FFFFFF" w:themeColor="background1"/>
              <w:right w:val="single" w:sz="2" w:space="0" w:color="FFFFFF" w:themeColor="background1"/>
            </w:tcBorders>
            <w:shd w:val="clear" w:color="auto" w:fill="E7E6E6" w:themeFill="background2"/>
          </w:tcPr>
          <w:p w14:paraId="230CCCD7" w14:textId="77777777" w:rsidR="007A7960" w:rsidRPr="007E770D" w:rsidRDefault="007A7960" w:rsidP="001E0313">
            <w:pPr>
              <w:rPr>
                <w:rFonts w:cstheme="minorHAnsi"/>
                <w:color w:val="auto"/>
                <w:sz w:val="18"/>
                <w:lang w:val="sr-Cyrl-CS"/>
              </w:rPr>
            </w:pPr>
            <w:r w:rsidRPr="007E770D">
              <w:rPr>
                <w:rFonts w:cstheme="minorHAnsi"/>
                <w:color w:val="auto"/>
                <w:sz w:val="18"/>
                <w:lang w:val="sr-Cyrl-CS"/>
              </w:rPr>
              <w:t>Реални раст бруто домаћег производа</w:t>
            </w:r>
            <w:r w:rsidRPr="007E770D">
              <w:rPr>
                <w:rFonts w:cstheme="minorHAnsi"/>
                <w:color w:val="auto"/>
                <w:sz w:val="18"/>
                <w:vertAlign w:val="superscript"/>
                <w:lang w:val="sr-Cyrl-CS"/>
              </w:rPr>
              <w:t>1</w:t>
            </w:r>
            <w:r w:rsidRPr="007E770D">
              <w:rPr>
                <w:rFonts w:cstheme="minorHAnsi"/>
                <w:color w:val="auto"/>
                <w:sz w:val="18"/>
                <w:lang w:val="sr-Cyrl-CS"/>
              </w:rPr>
              <w:t>, %</w:t>
            </w:r>
          </w:p>
        </w:tc>
      </w:tr>
      <w:tr w:rsidR="007E770D" w:rsidRPr="007E770D" w14:paraId="1C40948B" w14:textId="77777777" w:rsidTr="00D670D2">
        <w:tc>
          <w:tcPr>
            <w:tcW w:w="2786" w:type="pct"/>
            <w:tcBorders>
              <w:top w:val="single" w:sz="2" w:space="0" w:color="FFFFFF" w:themeColor="background1"/>
            </w:tcBorders>
          </w:tcPr>
          <w:p w14:paraId="5282BF57" w14:textId="77777777" w:rsidR="007A7960" w:rsidRPr="007E770D" w:rsidRDefault="007A7960" w:rsidP="00D670D2">
            <w:pPr>
              <w:ind w:left="255"/>
              <w:rPr>
                <w:rFonts w:cstheme="minorHAnsi"/>
                <w:color w:val="auto"/>
                <w:sz w:val="18"/>
                <w:lang w:val="sr-Cyrl-CS"/>
              </w:rPr>
            </w:pPr>
            <w:r w:rsidRPr="007E770D">
              <w:rPr>
                <w:rFonts w:cstheme="minorHAnsi"/>
                <w:color w:val="auto"/>
                <w:sz w:val="18"/>
                <w:lang w:val="sr-Cyrl-CS"/>
              </w:rPr>
              <w:t>Свет укупно</w:t>
            </w:r>
          </w:p>
        </w:tc>
        <w:tc>
          <w:tcPr>
            <w:tcW w:w="552" w:type="pct"/>
            <w:tcBorders>
              <w:top w:val="single" w:sz="2" w:space="0" w:color="FFFFFF" w:themeColor="background1"/>
            </w:tcBorders>
          </w:tcPr>
          <w:p w14:paraId="7CF35919"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3,0</w:t>
            </w:r>
          </w:p>
        </w:tc>
        <w:tc>
          <w:tcPr>
            <w:tcW w:w="553" w:type="pct"/>
            <w:tcBorders>
              <w:top w:val="single" w:sz="2" w:space="0" w:color="FFFFFF" w:themeColor="background1"/>
            </w:tcBorders>
          </w:tcPr>
          <w:p w14:paraId="1EAE14E3"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3,4</w:t>
            </w:r>
          </w:p>
        </w:tc>
        <w:tc>
          <w:tcPr>
            <w:tcW w:w="553" w:type="pct"/>
            <w:tcBorders>
              <w:top w:val="single" w:sz="2" w:space="0" w:color="FFFFFF" w:themeColor="background1"/>
            </w:tcBorders>
          </w:tcPr>
          <w:p w14:paraId="1764053C"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3,6</w:t>
            </w:r>
          </w:p>
        </w:tc>
        <w:tc>
          <w:tcPr>
            <w:tcW w:w="556" w:type="pct"/>
            <w:tcBorders>
              <w:top w:val="single" w:sz="2" w:space="0" w:color="FFFFFF" w:themeColor="background1"/>
            </w:tcBorders>
          </w:tcPr>
          <w:p w14:paraId="73298E2F"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3,6</w:t>
            </w:r>
          </w:p>
        </w:tc>
      </w:tr>
      <w:tr w:rsidR="007E770D" w:rsidRPr="007E770D" w14:paraId="5BAE20D4" w14:textId="77777777" w:rsidTr="00D670D2">
        <w:tc>
          <w:tcPr>
            <w:tcW w:w="2786" w:type="pct"/>
          </w:tcPr>
          <w:p w14:paraId="748F4886" w14:textId="77777777" w:rsidR="007A7960" w:rsidRPr="007E770D" w:rsidRDefault="007A7960" w:rsidP="00D670D2">
            <w:pPr>
              <w:ind w:left="255"/>
              <w:rPr>
                <w:rFonts w:cstheme="minorHAnsi"/>
                <w:color w:val="auto"/>
                <w:sz w:val="18"/>
                <w:lang w:val="sr-Cyrl-CS"/>
              </w:rPr>
            </w:pPr>
            <w:r w:rsidRPr="007E770D">
              <w:rPr>
                <w:rFonts w:cstheme="minorHAnsi"/>
                <w:color w:val="auto"/>
                <w:sz w:val="18"/>
                <w:lang w:val="sr-Cyrl-CS"/>
              </w:rPr>
              <w:t>Развијене економије</w:t>
            </w:r>
          </w:p>
        </w:tc>
        <w:tc>
          <w:tcPr>
            <w:tcW w:w="552" w:type="pct"/>
          </w:tcPr>
          <w:p w14:paraId="37DE2714"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1,7</w:t>
            </w:r>
          </w:p>
        </w:tc>
        <w:tc>
          <w:tcPr>
            <w:tcW w:w="553" w:type="pct"/>
          </w:tcPr>
          <w:p w14:paraId="608E0168"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1,7</w:t>
            </w:r>
          </w:p>
        </w:tc>
        <w:tc>
          <w:tcPr>
            <w:tcW w:w="553" w:type="pct"/>
          </w:tcPr>
          <w:p w14:paraId="42D8D623"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1,6</w:t>
            </w:r>
          </w:p>
        </w:tc>
        <w:tc>
          <w:tcPr>
            <w:tcW w:w="556" w:type="pct"/>
          </w:tcPr>
          <w:p w14:paraId="139BD103"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1,6</w:t>
            </w:r>
          </w:p>
        </w:tc>
      </w:tr>
      <w:tr w:rsidR="007E770D" w:rsidRPr="007E770D" w14:paraId="62D91531" w14:textId="77777777" w:rsidTr="00D670D2">
        <w:tc>
          <w:tcPr>
            <w:tcW w:w="2786" w:type="pct"/>
          </w:tcPr>
          <w:p w14:paraId="422E3C75" w14:textId="77777777" w:rsidR="007A7960" w:rsidRPr="007E770D" w:rsidRDefault="007A7960" w:rsidP="00D670D2">
            <w:pPr>
              <w:ind w:left="615" w:hanging="180"/>
              <w:rPr>
                <w:rFonts w:cstheme="minorHAnsi"/>
                <w:color w:val="auto"/>
                <w:sz w:val="18"/>
                <w:lang w:val="sr-Cyrl-CS"/>
              </w:rPr>
            </w:pPr>
            <w:r w:rsidRPr="007E770D">
              <w:rPr>
                <w:rFonts w:cstheme="minorHAnsi"/>
                <w:color w:val="auto"/>
                <w:sz w:val="18"/>
                <w:lang w:val="sr-Cyrl-CS"/>
              </w:rPr>
              <w:t>САД</w:t>
            </w:r>
          </w:p>
        </w:tc>
        <w:tc>
          <w:tcPr>
            <w:tcW w:w="552" w:type="pct"/>
          </w:tcPr>
          <w:p w14:paraId="02D22D5F"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2,4</w:t>
            </w:r>
          </w:p>
        </w:tc>
        <w:tc>
          <w:tcPr>
            <w:tcW w:w="553" w:type="pct"/>
          </w:tcPr>
          <w:p w14:paraId="54235952"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2,1</w:t>
            </w:r>
          </w:p>
        </w:tc>
        <w:tc>
          <w:tcPr>
            <w:tcW w:w="553" w:type="pct"/>
          </w:tcPr>
          <w:p w14:paraId="6B268764"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1,7</w:t>
            </w:r>
          </w:p>
        </w:tc>
        <w:tc>
          <w:tcPr>
            <w:tcW w:w="556" w:type="pct"/>
          </w:tcPr>
          <w:p w14:paraId="4024E7B0"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1,6</w:t>
            </w:r>
          </w:p>
        </w:tc>
      </w:tr>
      <w:tr w:rsidR="007E770D" w:rsidRPr="007E770D" w14:paraId="6F702FB3" w14:textId="77777777" w:rsidTr="00D670D2">
        <w:tc>
          <w:tcPr>
            <w:tcW w:w="2786" w:type="pct"/>
          </w:tcPr>
          <w:p w14:paraId="3D0ED2DD" w14:textId="77777777" w:rsidR="007A7960" w:rsidRPr="007E770D" w:rsidRDefault="007A7960" w:rsidP="00D670D2">
            <w:pPr>
              <w:ind w:left="615" w:hanging="180"/>
              <w:rPr>
                <w:rFonts w:cstheme="minorHAnsi"/>
                <w:color w:val="auto"/>
                <w:sz w:val="18"/>
                <w:lang w:val="sr-Cyrl-CS"/>
              </w:rPr>
            </w:pPr>
            <w:r w:rsidRPr="007E770D">
              <w:rPr>
                <w:rFonts w:cstheme="minorHAnsi"/>
                <w:color w:val="auto"/>
                <w:sz w:val="18"/>
                <w:lang w:val="sr-Cyrl-CS"/>
              </w:rPr>
              <w:t>Еврозона</w:t>
            </w:r>
          </w:p>
        </w:tc>
        <w:tc>
          <w:tcPr>
            <w:tcW w:w="552" w:type="pct"/>
          </w:tcPr>
          <w:p w14:paraId="7CBC4EDC"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1,2</w:t>
            </w:r>
          </w:p>
        </w:tc>
        <w:tc>
          <w:tcPr>
            <w:tcW w:w="553" w:type="pct"/>
          </w:tcPr>
          <w:p w14:paraId="5F2A414F"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1,4</w:t>
            </w:r>
          </w:p>
        </w:tc>
        <w:tc>
          <w:tcPr>
            <w:tcW w:w="553" w:type="pct"/>
          </w:tcPr>
          <w:p w14:paraId="73186969"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1,4</w:t>
            </w:r>
          </w:p>
        </w:tc>
        <w:tc>
          <w:tcPr>
            <w:tcW w:w="556" w:type="pct"/>
          </w:tcPr>
          <w:p w14:paraId="0A90C8B3"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1,4</w:t>
            </w:r>
          </w:p>
        </w:tc>
      </w:tr>
      <w:tr w:rsidR="007E770D" w:rsidRPr="007E770D" w14:paraId="6723140D" w14:textId="77777777" w:rsidTr="00D670D2">
        <w:tc>
          <w:tcPr>
            <w:tcW w:w="2786" w:type="pct"/>
          </w:tcPr>
          <w:p w14:paraId="3DE2DA77" w14:textId="77777777" w:rsidR="007A7960" w:rsidRPr="007E770D" w:rsidRDefault="007A7960" w:rsidP="00D670D2">
            <w:pPr>
              <w:ind w:left="345" w:hanging="90"/>
              <w:rPr>
                <w:rFonts w:cstheme="minorHAnsi"/>
                <w:color w:val="auto"/>
                <w:sz w:val="18"/>
                <w:lang w:val="sr-Cyrl-CS"/>
              </w:rPr>
            </w:pPr>
            <w:r w:rsidRPr="007E770D">
              <w:rPr>
                <w:rFonts w:cstheme="minorHAnsi"/>
                <w:color w:val="auto"/>
                <w:sz w:val="18"/>
                <w:lang w:val="sr-Cyrl-CS"/>
              </w:rPr>
              <w:t>Земље у успону</w:t>
            </w:r>
          </w:p>
        </w:tc>
        <w:tc>
          <w:tcPr>
            <w:tcW w:w="552" w:type="pct"/>
          </w:tcPr>
          <w:p w14:paraId="42E3EB8F"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3,9</w:t>
            </w:r>
          </w:p>
        </w:tc>
        <w:tc>
          <w:tcPr>
            <w:tcW w:w="553" w:type="pct"/>
          </w:tcPr>
          <w:p w14:paraId="3CD0AF1B"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4,6</w:t>
            </w:r>
          </w:p>
        </w:tc>
        <w:tc>
          <w:tcPr>
            <w:tcW w:w="553" w:type="pct"/>
          </w:tcPr>
          <w:p w14:paraId="2CDA76B3"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4,8</w:t>
            </w:r>
          </w:p>
        </w:tc>
        <w:tc>
          <w:tcPr>
            <w:tcW w:w="556" w:type="pct"/>
          </w:tcPr>
          <w:p w14:paraId="54088D57"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4,8</w:t>
            </w:r>
          </w:p>
        </w:tc>
      </w:tr>
      <w:tr w:rsidR="007E770D" w:rsidRPr="007E770D" w14:paraId="0B835E15" w14:textId="77777777" w:rsidTr="00D670D2">
        <w:tc>
          <w:tcPr>
            <w:tcW w:w="2786" w:type="pct"/>
          </w:tcPr>
          <w:p w14:paraId="47C52192" w14:textId="77777777" w:rsidR="007A7960" w:rsidRPr="007E770D" w:rsidRDefault="007A7960" w:rsidP="00D670D2">
            <w:pPr>
              <w:ind w:left="615" w:hanging="180"/>
              <w:rPr>
                <w:rFonts w:cstheme="minorHAnsi"/>
                <w:color w:val="auto"/>
                <w:sz w:val="18"/>
                <w:lang w:val="sr-Cyrl-CS"/>
              </w:rPr>
            </w:pPr>
            <w:r w:rsidRPr="007E770D">
              <w:rPr>
                <w:rFonts w:cstheme="minorHAnsi"/>
                <w:color w:val="auto"/>
                <w:sz w:val="18"/>
                <w:lang w:val="sr-Cyrl-CS"/>
              </w:rPr>
              <w:t>Кина</w:t>
            </w:r>
          </w:p>
        </w:tc>
        <w:tc>
          <w:tcPr>
            <w:tcW w:w="552" w:type="pct"/>
          </w:tcPr>
          <w:p w14:paraId="70A5B8A0"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6,1</w:t>
            </w:r>
          </w:p>
        </w:tc>
        <w:tc>
          <w:tcPr>
            <w:tcW w:w="553" w:type="pct"/>
          </w:tcPr>
          <w:p w14:paraId="20A8C31E"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5,8</w:t>
            </w:r>
          </w:p>
        </w:tc>
        <w:tc>
          <w:tcPr>
            <w:tcW w:w="553" w:type="pct"/>
          </w:tcPr>
          <w:p w14:paraId="05522C72"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5,9</w:t>
            </w:r>
          </w:p>
        </w:tc>
        <w:tc>
          <w:tcPr>
            <w:tcW w:w="556" w:type="pct"/>
          </w:tcPr>
          <w:p w14:paraId="3C7FBD06"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5,7</w:t>
            </w:r>
          </w:p>
        </w:tc>
      </w:tr>
      <w:tr w:rsidR="007E770D" w:rsidRPr="007E770D" w14:paraId="474C96F7" w14:textId="77777777" w:rsidTr="00D670D2">
        <w:tc>
          <w:tcPr>
            <w:tcW w:w="2786" w:type="pct"/>
          </w:tcPr>
          <w:p w14:paraId="49BD095F" w14:textId="77777777" w:rsidR="007A7960" w:rsidRPr="007E770D" w:rsidRDefault="007A7960" w:rsidP="00D670D2">
            <w:pPr>
              <w:ind w:left="615" w:hanging="180"/>
              <w:rPr>
                <w:rFonts w:cstheme="minorHAnsi"/>
                <w:color w:val="auto"/>
                <w:sz w:val="18"/>
                <w:lang w:val="sr-Cyrl-CS"/>
              </w:rPr>
            </w:pPr>
            <w:r w:rsidRPr="007E770D">
              <w:rPr>
                <w:rFonts w:cstheme="minorHAnsi"/>
                <w:color w:val="auto"/>
                <w:sz w:val="18"/>
                <w:lang w:val="sr-Cyrl-CS"/>
              </w:rPr>
              <w:t xml:space="preserve">Русија </w:t>
            </w:r>
          </w:p>
        </w:tc>
        <w:tc>
          <w:tcPr>
            <w:tcW w:w="552" w:type="pct"/>
          </w:tcPr>
          <w:p w14:paraId="741D4EC3"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1,1</w:t>
            </w:r>
          </w:p>
        </w:tc>
        <w:tc>
          <w:tcPr>
            <w:tcW w:w="553" w:type="pct"/>
          </w:tcPr>
          <w:p w14:paraId="23637319"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1,9</w:t>
            </w:r>
          </w:p>
        </w:tc>
        <w:tc>
          <w:tcPr>
            <w:tcW w:w="553" w:type="pct"/>
          </w:tcPr>
          <w:p w14:paraId="39433B0F"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2,0</w:t>
            </w:r>
          </w:p>
        </w:tc>
        <w:tc>
          <w:tcPr>
            <w:tcW w:w="556" w:type="pct"/>
          </w:tcPr>
          <w:p w14:paraId="633D7208"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2,0</w:t>
            </w:r>
          </w:p>
        </w:tc>
      </w:tr>
      <w:tr w:rsidR="007E770D" w:rsidRPr="007E770D" w14:paraId="64DB9350" w14:textId="77777777" w:rsidTr="00D670D2">
        <w:tc>
          <w:tcPr>
            <w:tcW w:w="2786" w:type="pct"/>
          </w:tcPr>
          <w:p w14:paraId="60485772" w14:textId="77777777" w:rsidR="007A7960" w:rsidRPr="007E770D" w:rsidRDefault="007A7960" w:rsidP="00D670D2">
            <w:pPr>
              <w:ind w:left="345" w:hanging="90"/>
              <w:rPr>
                <w:rFonts w:cstheme="minorHAnsi"/>
                <w:color w:val="auto"/>
                <w:sz w:val="18"/>
                <w:lang w:val="sr-Cyrl-CS"/>
              </w:rPr>
            </w:pPr>
            <w:r w:rsidRPr="007E770D">
              <w:rPr>
                <w:rFonts w:cstheme="minorHAnsi"/>
                <w:color w:val="auto"/>
                <w:sz w:val="18"/>
                <w:lang w:val="sr-Cyrl-CS"/>
              </w:rPr>
              <w:t>Раст светске трговине, %</w:t>
            </w:r>
          </w:p>
        </w:tc>
        <w:tc>
          <w:tcPr>
            <w:tcW w:w="552" w:type="pct"/>
          </w:tcPr>
          <w:p w14:paraId="524FA8D3"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1,1</w:t>
            </w:r>
          </w:p>
        </w:tc>
        <w:tc>
          <w:tcPr>
            <w:tcW w:w="553" w:type="pct"/>
          </w:tcPr>
          <w:p w14:paraId="550C7C85"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3,2</w:t>
            </w:r>
          </w:p>
        </w:tc>
        <w:tc>
          <w:tcPr>
            <w:tcW w:w="553" w:type="pct"/>
          </w:tcPr>
          <w:p w14:paraId="5B11DA4C"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3,8</w:t>
            </w:r>
          </w:p>
        </w:tc>
        <w:tc>
          <w:tcPr>
            <w:tcW w:w="556" w:type="pct"/>
          </w:tcPr>
          <w:p w14:paraId="56F08999"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3,8</w:t>
            </w:r>
          </w:p>
        </w:tc>
      </w:tr>
      <w:tr w:rsidR="007E770D" w:rsidRPr="007E770D" w14:paraId="1EC3979D" w14:textId="77777777" w:rsidTr="00D670D2">
        <w:tc>
          <w:tcPr>
            <w:tcW w:w="5000" w:type="pct"/>
            <w:gridSpan w:val="5"/>
            <w:shd w:val="clear" w:color="auto" w:fill="E7E6E6" w:themeFill="background2"/>
          </w:tcPr>
          <w:p w14:paraId="56AF5102" w14:textId="77777777" w:rsidR="007A7960" w:rsidRPr="007E770D" w:rsidRDefault="007A7960" w:rsidP="001E0313">
            <w:pPr>
              <w:rPr>
                <w:rFonts w:cstheme="minorHAnsi"/>
                <w:color w:val="auto"/>
                <w:sz w:val="18"/>
                <w:lang w:val="sr-Cyrl-CS"/>
              </w:rPr>
            </w:pPr>
            <w:r w:rsidRPr="007E770D">
              <w:rPr>
                <w:rFonts w:cstheme="minorHAnsi"/>
                <w:color w:val="auto"/>
                <w:sz w:val="18"/>
                <w:lang w:val="sr-Cyrl-CS"/>
              </w:rPr>
              <w:t>Стопа незапослености, %</w:t>
            </w:r>
          </w:p>
        </w:tc>
      </w:tr>
      <w:tr w:rsidR="007E770D" w:rsidRPr="007E770D" w14:paraId="4187C9BF" w14:textId="77777777" w:rsidTr="00D670D2">
        <w:tc>
          <w:tcPr>
            <w:tcW w:w="2786" w:type="pct"/>
          </w:tcPr>
          <w:p w14:paraId="509C2C5D" w14:textId="77777777" w:rsidR="007A7960" w:rsidRPr="007E770D" w:rsidRDefault="007A7960" w:rsidP="00D670D2">
            <w:pPr>
              <w:ind w:left="440" w:hanging="180"/>
              <w:rPr>
                <w:rFonts w:cstheme="minorHAnsi"/>
                <w:color w:val="auto"/>
                <w:sz w:val="18"/>
                <w:lang w:val="sr-Cyrl-CS"/>
              </w:rPr>
            </w:pPr>
            <w:r w:rsidRPr="007E770D">
              <w:rPr>
                <w:rFonts w:cstheme="minorHAnsi"/>
                <w:color w:val="auto"/>
                <w:sz w:val="18"/>
                <w:lang w:val="sr-Cyrl-CS"/>
              </w:rPr>
              <w:t>Еврозона</w:t>
            </w:r>
          </w:p>
        </w:tc>
        <w:tc>
          <w:tcPr>
            <w:tcW w:w="552" w:type="pct"/>
          </w:tcPr>
          <w:p w14:paraId="125ECCD2"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7,7</w:t>
            </w:r>
          </w:p>
        </w:tc>
        <w:tc>
          <w:tcPr>
            <w:tcW w:w="553" w:type="pct"/>
          </w:tcPr>
          <w:p w14:paraId="59E45061"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7,5</w:t>
            </w:r>
          </w:p>
        </w:tc>
        <w:tc>
          <w:tcPr>
            <w:tcW w:w="553" w:type="pct"/>
          </w:tcPr>
          <w:p w14:paraId="26EC8D01"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7,3</w:t>
            </w:r>
          </w:p>
        </w:tc>
        <w:tc>
          <w:tcPr>
            <w:tcW w:w="556" w:type="pct"/>
          </w:tcPr>
          <w:p w14:paraId="5BEA2B30"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7,3</w:t>
            </w:r>
          </w:p>
        </w:tc>
      </w:tr>
      <w:tr w:rsidR="007E770D" w:rsidRPr="007E770D" w14:paraId="455A9A0D" w14:textId="77777777" w:rsidTr="00D670D2">
        <w:tc>
          <w:tcPr>
            <w:tcW w:w="2786" w:type="pct"/>
          </w:tcPr>
          <w:p w14:paraId="11538127" w14:textId="77777777" w:rsidR="007A7960" w:rsidRPr="007E770D" w:rsidRDefault="007A7960" w:rsidP="00D670D2">
            <w:pPr>
              <w:ind w:left="440" w:hanging="180"/>
              <w:rPr>
                <w:rFonts w:cstheme="minorHAnsi"/>
                <w:color w:val="auto"/>
                <w:sz w:val="18"/>
                <w:lang w:val="sr-Cyrl-CS"/>
              </w:rPr>
            </w:pPr>
            <w:r w:rsidRPr="007E770D">
              <w:rPr>
                <w:rFonts w:cstheme="minorHAnsi"/>
                <w:color w:val="auto"/>
                <w:sz w:val="18"/>
                <w:lang w:val="sr-Cyrl-CS"/>
              </w:rPr>
              <w:t>САД</w:t>
            </w:r>
          </w:p>
        </w:tc>
        <w:tc>
          <w:tcPr>
            <w:tcW w:w="552" w:type="pct"/>
          </w:tcPr>
          <w:p w14:paraId="4B8E63B3"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3,7</w:t>
            </w:r>
          </w:p>
        </w:tc>
        <w:tc>
          <w:tcPr>
            <w:tcW w:w="553" w:type="pct"/>
          </w:tcPr>
          <w:p w14:paraId="30939C26"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3,5</w:t>
            </w:r>
          </w:p>
        </w:tc>
        <w:tc>
          <w:tcPr>
            <w:tcW w:w="553" w:type="pct"/>
          </w:tcPr>
          <w:p w14:paraId="29DA3AA4"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3,5</w:t>
            </w:r>
          </w:p>
        </w:tc>
        <w:tc>
          <w:tcPr>
            <w:tcW w:w="556" w:type="pct"/>
          </w:tcPr>
          <w:p w14:paraId="34088171"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3,6</w:t>
            </w:r>
          </w:p>
        </w:tc>
      </w:tr>
      <w:tr w:rsidR="007E770D" w:rsidRPr="007E770D" w14:paraId="6020C62A" w14:textId="77777777" w:rsidTr="00D670D2">
        <w:tc>
          <w:tcPr>
            <w:tcW w:w="5000" w:type="pct"/>
            <w:gridSpan w:val="5"/>
            <w:shd w:val="clear" w:color="auto" w:fill="E7E6E6" w:themeFill="background2"/>
          </w:tcPr>
          <w:p w14:paraId="3FD4C1EF" w14:textId="77777777" w:rsidR="007A7960" w:rsidRPr="007E770D" w:rsidRDefault="007A7960" w:rsidP="001E0313">
            <w:pPr>
              <w:rPr>
                <w:rFonts w:cstheme="minorHAnsi"/>
                <w:color w:val="auto"/>
                <w:sz w:val="18"/>
                <w:lang w:val="sr-Cyrl-CS"/>
              </w:rPr>
            </w:pPr>
            <w:r w:rsidRPr="007E770D">
              <w:rPr>
                <w:rFonts w:cstheme="minorHAnsi"/>
                <w:color w:val="auto"/>
                <w:sz w:val="18"/>
                <w:lang w:val="sr-Cyrl-CS"/>
              </w:rPr>
              <w:t>Потрошачке цене, просек периода, %</w:t>
            </w:r>
          </w:p>
        </w:tc>
      </w:tr>
      <w:tr w:rsidR="007E770D" w:rsidRPr="007E770D" w14:paraId="46F3A4C2" w14:textId="77777777" w:rsidTr="00D670D2">
        <w:tc>
          <w:tcPr>
            <w:tcW w:w="2786" w:type="pct"/>
          </w:tcPr>
          <w:p w14:paraId="645F1904" w14:textId="77777777" w:rsidR="007A7960" w:rsidRPr="007E770D" w:rsidRDefault="007A7960" w:rsidP="00D670D2">
            <w:pPr>
              <w:ind w:left="350" w:hanging="90"/>
              <w:rPr>
                <w:rFonts w:cstheme="minorHAnsi"/>
                <w:color w:val="auto"/>
                <w:sz w:val="18"/>
                <w:lang w:val="sr-Cyrl-CS"/>
              </w:rPr>
            </w:pPr>
            <w:r w:rsidRPr="007E770D">
              <w:rPr>
                <w:rFonts w:cstheme="minorHAnsi"/>
                <w:color w:val="auto"/>
                <w:sz w:val="18"/>
                <w:lang w:val="sr-Cyrl-CS"/>
              </w:rPr>
              <w:t>Еврозона</w:t>
            </w:r>
          </w:p>
        </w:tc>
        <w:tc>
          <w:tcPr>
            <w:tcW w:w="552" w:type="pct"/>
          </w:tcPr>
          <w:p w14:paraId="2F4F8D8A"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1,2</w:t>
            </w:r>
          </w:p>
        </w:tc>
        <w:tc>
          <w:tcPr>
            <w:tcW w:w="553" w:type="pct"/>
          </w:tcPr>
          <w:p w14:paraId="19F5ADDE"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1,4</w:t>
            </w:r>
          </w:p>
        </w:tc>
        <w:tc>
          <w:tcPr>
            <w:tcW w:w="553" w:type="pct"/>
          </w:tcPr>
          <w:p w14:paraId="011BE31C"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1,5</w:t>
            </w:r>
          </w:p>
        </w:tc>
        <w:tc>
          <w:tcPr>
            <w:tcW w:w="556" w:type="pct"/>
          </w:tcPr>
          <w:p w14:paraId="25E46B43"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1,7</w:t>
            </w:r>
          </w:p>
        </w:tc>
      </w:tr>
      <w:tr w:rsidR="007E770D" w:rsidRPr="007E770D" w14:paraId="6A346B8E" w14:textId="77777777" w:rsidTr="00D670D2">
        <w:tc>
          <w:tcPr>
            <w:tcW w:w="2786" w:type="pct"/>
          </w:tcPr>
          <w:p w14:paraId="0C048D65" w14:textId="77777777" w:rsidR="007A7960" w:rsidRPr="007E770D" w:rsidRDefault="007A7960" w:rsidP="00D670D2">
            <w:pPr>
              <w:ind w:left="350" w:hanging="90"/>
              <w:rPr>
                <w:rFonts w:cstheme="minorHAnsi"/>
                <w:color w:val="auto"/>
                <w:sz w:val="18"/>
                <w:lang w:val="sr-Cyrl-CS"/>
              </w:rPr>
            </w:pPr>
            <w:r w:rsidRPr="007E770D">
              <w:rPr>
                <w:rFonts w:cstheme="minorHAnsi"/>
                <w:color w:val="auto"/>
                <w:sz w:val="18"/>
                <w:lang w:val="sr-Cyrl-CS"/>
              </w:rPr>
              <w:t>Развијене економије</w:t>
            </w:r>
          </w:p>
        </w:tc>
        <w:tc>
          <w:tcPr>
            <w:tcW w:w="552" w:type="pct"/>
          </w:tcPr>
          <w:p w14:paraId="25B10E7F"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1,5</w:t>
            </w:r>
          </w:p>
        </w:tc>
        <w:tc>
          <w:tcPr>
            <w:tcW w:w="553" w:type="pct"/>
          </w:tcPr>
          <w:p w14:paraId="1485D776"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1,8</w:t>
            </w:r>
          </w:p>
        </w:tc>
        <w:tc>
          <w:tcPr>
            <w:tcW w:w="553" w:type="pct"/>
          </w:tcPr>
          <w:p w14:paraId="6DA77B9E"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1,8</w:t>
            </w:r>
          </w:p>
        </w:tc>
        <w:tc>
          <w:tcPr>
            <w:tcW w:w="556" w:type="pct"/>
          </w:tcPr>
          <w:p w14:paraId="4D3E4D9D"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1,9</w:t>
            </w:r>
          </w:p>
        </w:tc>
      </w:tr>
      <w:tr w:rsidR="007E770D" w:rsidRPr="007E770D" w14:paraId="2E0C8D8A" w14:textId="77777777" w:rsidTr="00D670D2">
        <w:tc>
          <w:tcPr>
            <w:tcW w:w="2786" w:type="pct"/>
          </w:tcPr>
          <w:p w14:paraId="780F1986" w14:textId="77777777" w:rsidR="007A7960" w:rsidRPr="007E770D" w:rsidRDefault="007A7960" w:rsidP="00D670D2">
            <w:pPr>
              <w:ind w:left="350" w:hanging="90"/>
              <w:rPr>
                <w:rFonts w:cstheme="minorHAnsi"/>
                <w:color w:val="auto"/>
                <w:sz w:val="18"/>
                <w:lang w:val="sr-Cyrl-CS"/>
              </w:rPr>
            </w:pPr>
            <w:r w:rsidRPr="007E770D">
              <w:rPr>
                <w:rFonts w:cstheme="minorHAnsi"/>
                <w:color w:val="auto"/>
                <w:sz w:val="18"/>
                <w:lang w:val="sr-Cyrl-CS"/>
              </w:rPr>
              <w:t>Земље у успону</w:t>
            </w:r>
          </w:p>
        </w:tc>
        <w:tc>
          <w:tcPr>
            <w:tcW w:w="552" w:type="pct"/>
          </w:tcPr>
          <w:p w14:paraId="76531BF1"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4,7</w:t>
            </w:r>
          </w:p>
        </w:tc>
        <w:tc>
          <w:tcPr>
            <w:tcW w:w="553" w:type="pct"/>
          </w:tcPr>
          <w:p w14:paraId="6D63ECE7"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4,8</w:t>
            </w:r>
          </w:p>
        </w:tc>
        <w:tc>
          <w:tcPr>
            <w:tcW w:w="553" w:type="pct"/>
          </w:tcPr>
          <w:p w14:paraId="2D84399A"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4,5</w:t>
            </w:r>
          </w:p>
        </w:tc>
        <w:tc>
          <w:tcPr>
            <w:tcW w:w="556" w:type="pct"/>
          </w:tcPr>
          <w:p w14:paraId="44A2A123"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4,4</w:t>
            </w:r>
          </w:p>
        </w:tc>
      </w:tr>
      <w:tr w:rsidR="007E770D" w:rsidRPr="007E770D" w14:paraId="4DAAB296" w14:textId="77777777" w:rsidTr="00D670D2">
        <w:tc>
          <w:tcPr>
            <w:tcW w:w="2786" w:type="pct"/>
          </w:tcPr>
          <w:p w14:paraId="329EA819" w14:textId="77777777" w:rsidR="007A7960" w:rsidRPr="007E770D" w:rsidRDefault="007A7960" w:rsidP="00D670D2">
            <w:pPr>
              <w:rPr>
                <w:rFonts w:cstheme="minorHAnsi"/>
                <w:color w:val="auto"/>
                <w:sz w:val="18"/>
                <w:lang w:val="sr-Cyrl-CS"/>
              </w:rPr>
            </w:pPr>
          </w:p>
        </w:tc>
        <w:tc>
          <w:tcPr>
            <w:tcW w:w="552" w:type="pct"/>
          </w:tcPr>
          <w:p w14:paraId="0BA38D12" w14:textId="77777777" w:rsidR="007A7960" w:rsidRPr="007E770D" w:rsidRDefault="007A7960" w:rsidP="00D670D2">
            <w:pPr>
              <w:rPr>
                <w:rFonts w:cstheme="minorHAnsi"/>
                <w:color w:val="auto"/>
                <w:sz w:val="18"/>
                <w:lang w:val="sr-Cyrl-CS"/>
              </w:rPr>
            </w:pPr>
          </w:p>
        </w:tc>
        <w:tc>
          <w:tcPr>
            <w:tcW w:w="553" w:type="pct"/>
          </w:tcPr>
          <w:p w14:paraId="1C6791AE" w14:textId="77777777" w:rsidR="007A7960" w:rsidRPr="007E770D" w:rsidRDefault="007A7960" w:rsidP="00D670D2">
            <w:pPr>
              <w:rPr>
                <w:rFonts w:cstheme="minorHAnsi"/>
                <w:color w:val="auto"/>
                <w:sz w:val="18"/>
                <w:lang w:val="sr-Cyrl-CS"/>
              </w:rPr>
            </w:pPr>
          </w:p>
        </w:tc>
        <w:tc>
          <w:tcPr>
            <w:tcW w:w="553" w:type="pct"/>
          </w:tcPr>
          <w:p w14:paraId="4C4C8525" w14:textId="77777777" w:rsidR="007A7960" w:rsidRPr="007E770D" w:rsidRDefault="007A7960" w:rsidP="00D670D2">
            <w:pPr>
              <w:rPr>
                <w:rFonts w:cstheme="minorHAnsi"/>
                <w:color w:val="auto"/>
                <w:sz w:val="18"/>
                <w:lang w:val="sr-Cyrl-CS"/>
              </w:rPr>
            </w:pPr>
          </w:p>
        </w:tc>
        <w:tc>
          <w:tcPr>
            <w:tcW w:w="556" w:type="pct"/>
          </w:tcPr>
          <w:p w14:paraId="2E9CBA7A" w14:textId="77777777" w:rsidR="007A7960" w:rsidRPr="007E770D" w:rsidRDefault="007A7960" w:rsidP="00D670D2">
            <w:pPr>
              <w:rPr>
                <w:rFonts w:cstheme="minorHAnsi"/>
                <w:color w:val="auto"/>
                <w:sz w:val="18"/>
                <w:lang w:val="sr-Cyrl-CS"/>
              </w:rPr>
            </w:pPr>
          </w:p>
        </w:tc>
      </w:tr>
      <w:tr w:rsidR="007E770D" w:rsidRPr="007E770D" w14:paraId="20792D02" w14:textId="77777777" w:rsidTr="00D670D2">
        <w:tc>
          <w:tcPr>
            <w:tcW w:w="2786" w:type="pct"/>
          </w:tcPr>
          <w:p w14:paraId="2891FD49" w14:textId="77777777" w:rsidR="007A7960" w:rsidRPr="007E770D" w:rsidRDefault="007A7960" w:rsidP="00D670D2">
            <w:pPr>
              <w:rPr>
                <w:rFonts w:cstheme="minorHAnsi"/>
                <w:color w:val="auto"/>
                <w:sz w:val="18"/>
                <w:lang w:val="sr-Cyrl-CS"/>
              </w:rPr>
            </w:pPr>
            <w:r w:rsidRPr="007E770D">
              <w:rPr>
                <w:rFonts w:cstheme="minorHAnsi"/>
                <w:color w:val="auto"/>
                <w:sz w:val="18"/>
                <w:lang w:val="sr-Cyrl-CS"/>
              </w:rPr>
              <w:t>Девизни курс, евро/долар, крај периода</w:t>
            </w:r>
          </w:p>
        </w:tc>
        <w:tc>
          <w:tcPr>
            <w:tcW w:w="552" w:type="pct"/>
          </w:tcPr>
          <w:p w14:paraId="03AE965E"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1,1</w:t>
            </w:r>
          </w:p>
        </w:tc>
        <w:tc>
          <w:tcPr>
            <w:tcW w:w="553" w:type="pct"/>
          </w:tcPr>
          <w:p w14:paraId="5BCB3424"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1,1</w:t>
            </w:r>
          </w:p>
        </w:tc>
        <w:tc>
          <w:tcPr>
            <w:tcW w:w="553" w:type="pct"/>
          </w:tcPr>
          <w:p w14:paraId="1D9C386D"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w:t>
            </w:r>
          </w:p>
        </w:tc>
        <w:tc>
          <w:tcPr>
            <w:tcW w:w="556" w:type="pct"/>
          </w:tcPr>
          <w:p w14:paraId="0D2D5DEE"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w:t>
            </w:r>
          </w:p>
        </w:tc>
      </w:tr>
      <w:tr w:rsidR="007E770D" w:rsidRPr="007E770D" w14:paraId="338BB933" w14:textId="77777777" w:rsidTr="00D670D2">
        <w:tc>
          <w:tcPr>
            <w:tcW w:w="2786" w:type="pct"/>
          </w:tcPr>
          <w:p w14:paraId="63C06C62" w14:textId="77777777" w:rsidR="007A7960" w:rsidRPr="007E770D" w:rsidRDefault="007A7960" w:rsidP="00D670D2">
            <w:pPr>
              <w:rPr>
                <w:rFonts w:cstheme="minorHAnsi"/>
                <w:color w:val="auto"/>
                <w:sz w:val="18"/>
                <w:lang w:val="sr-Cyrl-CS"/>
              </w:rPr>
            </w:pPr>
            <w:r w:rsidRPr="007E770D">
              <w:rPr>
                <w:rFonts w:cstheme="minorHAnsi"/>
                <w:color w:val="auto"/>
                <w:sz w:val="18"/>
                <w:lang w:val="sr-Cyrl-CS"/>
              </w:rPr>
              <w:t>Цене житарица, у доларима, годишње промене</w:t>
            </w:r>
            <w:r w:rsidRPr="007E770D">
              <w:rPr>
                <w:rFonts w:cstheme="minorHAnsi"/>
                <w:color w:val="auto"/>
                <w:sz w:val="18"/>
                <w:vertAlign w:val="superscript"/>
                <w:lang w:val="sr-Cyrl-CS"/>
              </w:rPr>
              <w:t>2</w:t>
            </w:r>
          </w:p>
        </w:tc>
        <w:tc>
          <w:tcPr>
            <w:tcW w:w="552" w:type="pct"/>
          </w:tcPr>
          <w:p w14:paraId="680AD074"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-4,3</w:t>
            </w:r>
          </w:p>
        </w:tc>
        <w:tc>
          <w:tcPr>
            <w:tcW w:w="553" w:type="pct"/>
          </w:tcPr>
          <w:p w14:paraId="01EBDEB7"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1,0</w:t>
            </w:r>
          </w:p>
        </w:tc>
        <w:tc>
          <w:tcPr>
            <w:tcW w:w="553" w:type="pct"/>
          </w:tcPr>
          <w:p w14:paraId="50CBCD86"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4,6</w:t>
            </w:r>
          </w:p>
        </w:tc>
        <w:tc>
          <w:tcPr>
            <w:tcW w:w="556" w:type="pct"/>
          </w:tcPr>
          <w:p w14:paraId="35986C9E"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1,4</w:t>
            </w:r>
          </w:p>
        </w:tc>
      </w:tr>
      <w:tr w:rsidR="007E770D" w:rsidRPr="007E770D" w14:paraId="60EF1481" w14:textId="77777777" w:rsidTr="00D670D2">
        <w:tc>
          <w:tcPr>
            <w:tcW w:w="2786" w:type="pct"/>
          </w:tcPr>
          <w:p w14:paraId="124C9E2A" w14:textId="77777777" w:rsidR="007A7960" w:rsidRPr="007E770D" w:rsidRDefault="007A7960" w:rsidP="00D670D2">
            <w:pPr>
              <w:rPr>
                <w:rFonts w:cstheme="minorHAnsi"/>
                <w:color w:val="auto"/>
                <w:sz w:val="18"/>
                <w:lang w:val="sr-Cyrl-CS"/>
              </w:rPr>
            </w:pPr>
            <w:r w:rsidRPr="007E770D">
              <w:rPr>
                <w:rFonts w:cstheme="minorHAnsi"/>
                <w:color w:val="auto"/>
                <w:sz w:val="18"/>
                <w:lang w:val="sr-Cyrl-CS"/>
              </w:rPr>
              <w:t>Цене метала, у доларима, годишње промене</w:t>
            </w:r>
            <w:r w:rsidRPr="007E770D">
              <w:rPr>
                <w:rFonts w:cstheme="minorHAnsi"/>
                <w:color w:val="auto"/>
                <w:sz w:val="18"/>
                <w:vertAlign w:val="superscript"/>
                <w:lang w:val="sr-Cyrl-CS"/>
              </w:rPr>
              <w:t>3</w:t>
            </w:r>
          </w:p>
        </w:tc>
        <w:tc>
          <w:tcPr>
            <w:tcW w:w="552" w:type="pct"/>
          </w:tcPr>
          <w:p w14:paraId="205C736C"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4,3</w:t>
            </w:r>
          </w:p>
        </w:tc>
        <w:tc>
          <w:tcPr>
            <w:tcW w:w="553" w:type="pct"/>
          </w:tcPr>
          <w:p w14:paraId="15C4B8A0"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-6,2</w:t>
            </w:r>
          </w:p>
        </w:tc>
        <w:tc>
          <w:tcPr>
            <w:tcW w:w="553" w:type="pct"/>
          </w:tcPr>
          <w:p w14:paraId="36EB830E"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0,8</w:t>
            </w:r>
          </w:p>
        </w:tc>
        <w:tc>
          <w:tcPr>
            <w:tcW w:w="556" w:type="pct"/>
          </w:tcPr>
          <w:p w14:paraId="040F7B05"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0,9</w:t>
            </w:r>
          </w:p>
        </w:tc>
      </w:tr>
      <w:tr w:rsidR="007E770D" w:rsidRPr="007E770D" w14:paraId="0D1A1506" w14:textId="77777777" w:rsidTr="00D670D2">
        <w:tc>
          <w:tcPr>
            <w:tcW w:w="2786" w:type="pct"/>
          </w:tcPr>
          <w:p w14:paraId="4EF280B7" w14:textId="77777777" w:rsidR="007A7960" w:rsidRPr="007E770D" w:rsidRDefault="007A7960" w:rsidP="00D670D2">
            <w:pPr>
              <w:rPr>
                <w:rFonts w:cstheme="minorHAnsi"/>
                <w:color w:val="auto"/>
                <w:sz w:val="18"/>
                <w:lang w:val="sr-Cyrl-CS"/>
              </w:rPr>
            </w:pPr>
            <w:r w:rsidRPr="007E770D">
              <w:rPr>
                <w:rFonts w:cstheme="minorHAnsi"/>
                <w:color w:val="auto"/>
                <w:sz w:val="18"/>
                <w:lang w:val="sr-Cyrl-CS"/>
              </w:rPr>
              <w:t>Цена руде гвожђа, у доларима</w:t>
            </w:r>
            <w:r w:rsidRPr="007E770D">
              <w:rPr>
                <w:rFonts w:cstheme="minorHAnsi"/>
                <w:color w:val="auto"/>
                <w:sz w:val="18"/>
                <w:vertAlign w:val="superscript"/>
                <w:lang w:val="sr-Cyrl-CS"/>
              </w:rPr>
              <w:t>4</w:t>
            </w:r>
          </w:p>
        </w:tc>
        <w:tc>
          <w:tcPr>
            <w:tcW w:w="552" w:type="pct"/>
          </w:tcPr>
          <w:p w14:paraId="4840BCE1"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93,9</w:t>
            </w:r>
          </w:p>
        </w:tc>
        <w:tc>
          <w:tcPr>
            <w:tcW w:w="553" w:type="pct"/>
          </w:tcPr>
          <w:p w14:paraId="769AD9C1"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76,4</w:t>
            </w:r>
          </w:p>
        </w:tc>
        <w:tc>
          <w:tcPr>
            <w:tcW w:w="553" w:type="pct"/>
          </w:tcPr>
          <w:p w14:paraId="2DA0AF09"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76,4</w:t>
            </w:r>
          </w:p>
        </w:tc>
        <w:tc>
          <w:tcPr>
            <w:tcW w:w="556" w:type="pct"/>
          </w:tcPr>
          <w:p w14:paraId="0867B1BB"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76,4</w:t>
            </w:r>
          </w:p>
        </w:tc>
      </w:tr>
      <w:tr w:rsidR="007E770D" w:rsidRPr="007E770D" w14:paraId="59EE569E" w14:textId="77777777" w:rsidTr="00D670D2">
        <w:trPr>
          <w:trHeight w:val="369"/>
        </w:trPr>
        <w:tc>
          <w:tcPr>
            <w:tcW w:w="2786" w:type="pct"/>
            <w:tcBorders>
              <w:bottom w:val="single" w:sz="4" w:space="0" w:color="002060"/>
            </w:tcBorders>
          </w:tcPr>
          <w:p w14:paraId="3CA54299" w14:textId="77777777" w:rsidR="007A7960" w:rsidRPr="007E770D" w:rsidRDefault="007A7960" w:rsidP="00D670D2">
            <w:pPr>
              <w:rPr>
                <w:rFonts w:cstheme="minorHAnsi"/>
                <w:color w:val="auto"/>
                <w:sz w:val="18"/>
                <w:lang w:val="sr-Cyrl-CS"/>
              </w:rPr>
            </w:pPr>
            <w:r w:rsidRPr="007E770D">
              <w:rPr>
                <w:rFonts w:cstheme="minorHAnsi"/>
                <w:color w:val="auto"/>
                <w:sz w:val="18"/>
                <w:lang w:val="sr-Cyrl-CS"/>
              </w:rPr>
              <w:t>Цене нафте, у доларима, годишње промене, %</w:t>
            </w:r>
          </w:p>
        </w:tc>
        <w:tc>
          <w:tcPr>
            <w:tcW w:w="552" w:type="pct"/>
            <w:tcBorders>
              <w:bottom w:val="single" w:sz="4" w:space="0" w:color="002060"/>
            </w:tcBorders>
          </w:tcPr>
          <w:p w14:paraId="2AF8C2FF"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-9,6</w:t>
            </w:r>
          </w:p>
        </w:tc>
        <w:tc>
          <w:tcPr>
            <w:tcW w:w="553" w:type="pct"/>
            <w:tcBorders>
              <w:bottom w:val="single" w:sz="4" w:space="0" w:color="002060"/>
            </w:tcBorders>
          </w:tcPr>
          <w:p w14:paraId="245D7B31"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-6,2</w:t>
            </w:r>
          </w:p>
        </w:tc>
        <w:tc>
          <w:tcPr>
            <w:tcW w:w="553" w:type="pct"/>
            <w:tcBorders>
              <w:bottom w:val="single" w:sz="4" w:space="0" w:color="002060"/>
            </w:tcBorders>
          </w:tcPr>
          <w:p w14:paraId="314BD660"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-4,6</w:t>
            </w:r>
          </w:p>
        </w:tc>
        <w:tc>
          <w:tcPr>
            <w:tcW w:w="556" w:type="pct"/>
            <w:tcBorders>
              <w:bottom w:val="single" w:sz="4" w:space="0" w:color="002060"/>
            </w:tcBorders>
          </w:tcPr>
          <w:p w14:paraId="456BF6F8" w14:textId="77777777" w:rsidR="007A7960" w:rsidRPr="007E770D" w:rsidRDefault="007A7960" w:rsidP="00D670D2">
            <w:pPr>
              <w:jc w:val="center"/>
              <w:rPr>
                <w:rFonts w:cstheme="minorHAnsi"/>
                <w:color w:val="auto"/>
                <w:sz w:val="18"/>
                <w:lang w:val="sr-Cyrl-CS"/>
              </w:rPr>
            </w:pPr>
            <w:r w:rsidRPr="007E770D">
              <w:rPr>
                <w:rFonts w:cstheme="minorHAnsi"/>
                <w:color w:val="auto"/>
                <w:sz w:val="18"/>
                <w:lang w:val="sr-Cyrl-CS"/>
              </w:rPr>
              <w:t>-1,3</w:t>
            </w:r>
          </w:p>
        </w:tc>
      </w:tr>
      <w:tr w:rsidR="007E770D" w:rsidRPr="007E770D" w14:paraId="5F9A7143" w14:textId="77777777" w:rsidTr="00D670D2">
        <w:tc>
          <w:tcPr>
            <w:tcW w:w="2786" w:type="pct"/>
            <w:tcBorders>
              <w:top w:val="single" w:sz="4" w:space="0" w:color="002060"/>
            </w:tcBorders>
          </w:tcPr>
          <w:p w14:paraId="277DD307" w14:textId="77777777" w:rsidR="007A7960" w:rsidRPr="007E770D" w:rsidRDefault="007A7960" w:rsidP="00D670D2">
            <w:pPr>
              <w:rPr>
                <w:rFonts w:cstheme="minorHAnsi"/>
                <w:bCs/>
                <w:color w:val="auto"/>
                <w:sz w:val="16"/>
                <w:szCs w:val="72"/>
                <w:lang w:val="sr-Cyrl-CS"/>
              </w:rPr>
            </w:pPr>
            <w:r w:rsidRPr="007E770D">
              <w:rPr>
                <w:rFonts w:cstheme="minorHAnsi"/>
                <w:bCs/>
                <w:color w:val="auto"/>
                <w:sz w:val="16"/>
                <w:szCs w:val="72"/>
                <w:lang w:val="sr-Cyrl-CS"/>
              </w:rPr>
              <w:t xml:space="preserve">Извор: ММФ, </w:t>
            </w:r>
            <w:r w:rsidRPr="007E770D">
              <w:rPr>
                <w:rFonts w:cstheme="minorHAnsi"/>
                <w:bCs/>
                <w:i/>
                <w:color w:val="auto"/>
                <w:sz w:val="16"/>
                <w:szCs w:val="72"/>
                <w:lang w:val="sr-Cyrl-CS"/>
              </w:rPr>
              <w:t>World Economic Outlook</w:t>
            </w:r>
            <w:r w:rsidRPr="007E770D">
              <w:rPr>
                <w:rFonts w:cstheme="minorHAnsi"/>
                <w:bCs/>
                <w:color w:val="auto"/>
                <w:sz w:val="16"/>
                <w:szCs w:val="72"/>
                <w:lang w:val="sr-Cyrl-CS"/>
              </w:rPr>
              <w:t>, октобар 2019.</w:t>
            </w:r>
          </w:p>
        </w:tc>
        <w:tc>
          <w:tcPr>
            <w:tcW w:w="552" w:type="pct"/>
            <w:tcBorders>
              <w:top w:val="single" w:sz="4" w:space="0" w:color="002060"/>
            </w:tcBorders>
          </w:tcPr>
          <w:p w14:paraId="21156F0A" w14:textId="77777777" w:rsidR="007A7960" w:rsidRPr="007E770D" w:rsidRDefault="007A7960" w:rsidP="001E0313">
            <w:pPr>
              <w:rPr>
                <w:rFonts w:cstheme="minorHAnsi"/>
                <w:color w:val="auto"/>
                <w:sz w:val="16"/>
                <w:lang w:val="sr-Cyrl-CS"/>
              </w:rPr>
            </w:pPr>
          </w:p>
        </w:tc>
        <w:tc>
          <w:tcPr>
            <w:tcW w:w="553" w:type="pct"/>
            <w:tcBorders>
              <w:top w:val="single" w:sz="4" w:space="0" w:color="002060"/>
            </w:tcBorders>
          </w:tcPr>
          <w:p w14:paraId="4E518EA6" w14:textId="77777777" w:rsidR="007A7960" w:rsidRPr="007E770D" w:rsidRDefault="007A7960" w:rsidP="001E0313">
            <w:pPr>
              <w:rPr>
                <w:rFonts w:cstheme="minorHAnsi"/>
                <w:color w:val="auto"/>
                <w:sz w:val="16"/>
                <w:lang w:val="sr-Cyrl-CS"/>
              </w:rPr>
            </w:pPr>
          </w:p>
        </w:tc>
        <w:tc>
          <w:tcPr>
            <w:tcW w:w="553" w:type="pct"/>
            <w:tcBorders>
              <w:top w:val="single" w:sz="4" w:space="0" w:color="002060"/>
            </w:tcBorders>
          </w:tcPr>
          <w:p w14:paraId="29DA631A" w14:textId="77777777" w:rsidR="007A7960" w:rsidRPr="007E770D" w:rsidRDefault="007A7960" w:rsidP="001E0313">
            <w:pPr>
              <w:rPr>
                <w:rFonts w:cstheme="minorHAnsi"/>
                <w:color w:val="auto"/>
                <w:sz w:val="16"/>
                <w:lang w:val="sr-Cyrl-CS"/>
              </w:rPr>
            </w:pPr>
          </w:p>
        </w:tc>
        <w:tc>
          <w:tcPr>
            <w:tcW w:w="556" w:type="pct"/>
            <w:tcBorders>
              <w:top w:val="single" w:sz="4" w:space="0" w:color="002060"/>
            </w:tcBorders>
          </w:tcPr>
          <w:p w14:paraId="3A18AC65" w14:textId="77777777" w:rsidR="007A7960" w:rsidRPr="007E770D" w:rsidRDefault="007A7960" w:rsidP="001E0313">
            <w:pPr>
              <w:rPr>
                <w:rFonts w:cstheme="minorHAnsi"/>
                <w:color w:val="auto"/>
                <w:sz w:val="16"/>
                <w:lang w:val="sr-Cyrl-CS"/>
              </w:rPr>
            </w:pPr>
          </w:p>
        </w:tc>
      </w:tr>
      <w:tr w:rsidR="007E770D" w:rsidRPr="007E770D" w14:paraId="559210FC" w14:textId="77777777" w:rsidTr="00D670D2">
        <w:trPr>
          <w:trHeight w:val="630"/>
        </w:trPr>
        <w:tc>
          <w:tcPr>
            <w:tcW w:w="5000" w:type="pct"/>
            <w:gridSpan w:val="5"/>
          </w:tcPr>
          <w:p w14:paraId="42F7F79F" w14:textId="77777777" w:rsidR="007A7960" w:rsidRPr="007E770D" w:rsidRDefault="007A7960" w:rsidP="001E0313">
            <w:pPr>
              <w:rPr>
                <w:rFonts w:cstheme="minorHAnsi"/>
                <w:bCs/>
                <w:color w:val="auto"/>
                <w:sz w:val="16"/>
                <w:szCs w:val="72"/>
                <w:lang w:val="sr-Cyrl-CS"/>
              </w:rPr>
            </w:pPr>
            <w:r w:rsidRPr="007E770D">
              <w:rPr>
                <w:rFonts w:cstheme="minorHAnsi"/>
                <w:bCs/>
                <w:color w:val="auto"/>
                <w:sz w:val="16"/>
                <w:szCs w:val="72"/>
                <w:vertAlign w:val="superscript"/>
                <w:lang w:val="sr-Cyrl-CS"/>
              </w:rPr>
              <w:t>1</w:t>
            </w:r>
            <w:r w:rsidRPr="007E770D">
              <w:rPr>
                <w:rFonts w:cstheme="minorHAnsi"/>
                <w:bCs/>
                <w:color w:val="auto"/>
                <w:sz w:val="16"/>
                <w:szCs w:val="72"/>
                <w:lang w:val="sr-Cyrl-CS"/>
              </w:rPr>
              <w:t xml:space="preserve"> Светски БДП израчунат је према паритету куповне моћи.</w:t>
            </w:r>
          </w:p>
          <w:p w14:paraId="3DE37843" w14:textId="77777777" w:rsidR="007A7960" w:rsidRPr="007E770D" w:rsidRDefault="007A7960" w:rsidP="001E0313">
            <w:pPr>
              <w:rPr>
                <w:rFonts w:cstheme="minorHAnsi"/>
                <w:bCs/>
                <w:color w:val="auto"/>
                <w:sz w:val="16"/>
                <w:szCs w:val="72"/>
                <w:lang w:val="sr-Cyrl-CS"/>
              </w:rPr>
            </w:pPr>
            <w:r w:rsidRPr="007E770D">
              <w:rPr>
                <w:rFonts w:cstheme="minorHAnsi"/>
                <w:bCs/>
                <w:color w:val="auto"/>
                <w:sz w:val="16"/>
                <w:szCs w:val="72"/>
                <w:vertAlign w:val="superscript"/>
                <w:lang w:val="sr-Cyrl-CS"/>
              </w:rPr>
              <w:t>2</w:t>
            </w:r>
            <w:r w:rsidRPr="007E770D">
              <w:rPr>
                <w:rFonts w:cstheme="minorHAnsi"/>
                <w:bCs/>
                <w:color w:val="auto"/>
                <w:sz w:val="16"/>
                <w:szCs w:val="72"/>
                <w:lang w:val="sr-Cyrl-CS"/>
              </w:rPr>
              <w:t xml:space="preserve"> Цена житарица добијена као пондерисани просек цена пшенице, кукуруза, соје, пиринча и јечма.</w:t>
            </w:r>
          </w:p>
          <w:p w14:paraId="5A897296" w14:textId="77777777" w:rsidR="007A7960" w:rsidRPr="007E770D" w:rsidRDefault="007A7960" w:rsidP="001E0313">
            <w:pPr>
              <w:rPr>
                <w:rFonts w:cstheme="minorHAnsi"/>
                <w:bCs/>
                <w:color w:val="auto"/>
                <w:sz w:val="16"/>
                <w:szCs w:val="72"/>
                <w:lang w:val="sr-Cyrl-CS"/>
              </w:rPr>
            </w:pPr>
            <w:r w:rsidRPr="007E770D">
              <w:rPr>
                <w:rFonts w:cstheme="minorHAnsi"/>
                <w:bCs/>
                <w:color w:val="auto"/>
                <w:sz w:val="16"/>
                <w:szCs w:val="72"/>
                <w:vertAlign w:val="superscript"/>
                <w:lang w:val="sr-Cyrl-CS"/>
              </w:rPr>
              <w:t>3</w:t>
            </w:r>
            <w:r w:rsidRPr="007E770D">
              <w:rPr>
                <w:rFonts w:cstheme="minorHAnsi"/>
                <w:bCs/>
                <w:color w:val="auto"/>
                <w:sz w:val="16"/>
                <w:szCs w:val="72"/>
                <w:lang w:val="sr-Cyrl-CS"/>
              </w:rPr>
              <w:t xml:space="preserve"> Цена метала добијена као пондерисани просек цена бакра, алуминијума, руде гвожђа, калаја, никла, цинка, олова и уранијума.</w:t>
            </w:r>
          </w:p>
          <w:p w14:paraId="65FDD2EF" w14:textId="77777777" w:rsidR="007A7960" w:rsidRPr="007E770D" w:rsidRDefault="007A7960" w:rsidP="001E0313">
            <w:pPr>
              <w:rPr>
                <w:rFonts w:cstheme="minorHAnsi"/>
                <w:bCs/>
                <w:color w:val="auto"/>
                <w:sz w:val="16"/>
                <w:szCs w:val="72"/>
                <w:lang w:val="sr-Cyrl-CS"/>
              </w:rPr>
            </w:pPr>
            <w:r w:rsidRPr="007E770D">
              <w:rPr>
                <w:rFonts w:cstheme="minorHAnsi"/>
                <w:bCs/>
                <w:color w:val="auto"/>
                <w:sz w:val="16"/>
                <w:szCs w:val="72"/>
                <w:vertAlign w:val="superscript"/>
                <w:lang w:val="sr-Cyrl-CS"/>
              </w:rPr>
              <w:t>4</w:t>
            </w:r>
            <w:r w:rsidRPr="007E770D">
              <w:rPr>
                <w:rFonts w:cstheme="minorHAnsi"/>
                <w:bCs/>
                <w:color w:val="auto"/>
                <w:sz w:val="16"/>
                <w:szCs w:val="72"/>
                <w:lang w:val="sr-Cyrl-CS"/>
              </w:rPr>
              <w:t xml:space="preserve"> Цена руде гвожђа (садржај гвожђа од 62%) за увоз у Кини, лука Тиан Јан, у доларима по метричкој тони.</w:t>
            </w:r>
          </w:p>
        </w:tc>
      </w:tr>
    </w:tbl>
    <w:p w14:paraId="5FA27E8B" w14:textId="77777777" w:rsidR="007A7960" w:rsidRPr="007E770D" w:rsidRDefault="007A7960" w:rsidP="007A7960">
      <w:pPr>
        <w:spacing w:after="120"/>
        <w:rPr>
          <w:rFonts w:cstheme="minorHAnsi"/>
          <w:color w:val="auto"/>
          <w:lang w:val="sr-Cyrl-CS"/>
        </w:rPr>
        <w:sectPr w:rsidR="007A7960" w:rsidRPr="007E770D" w:rsidSect="00AF78EE">
          <w:type w:val="continuous"/>
          <w:pgSz w:w="12240" w:h="15840"/>
          <w:pgMar w:top="1440" w:right="1440" w:bottom="1440" w:left="1440" w:header="720" w:footer="720" w:gutter="0"/>
          <w:cols w:space="720"/>
          <w:docGrid w:linePitch="360"/>
        </w:sectPr>
      </w:pPr>
    </w:p>
    <w:p w14:paraId="77DD8305" w14:textId="77777777" w:rsidR="007A7960" w:rsidRPr="007E770D" w:rsidRDefault="007A7960" w:rsidP="00D670D2">
      <w:pPr>
        <w:rPr>
          <w:rFonts w:cstheme="minorHAnsi"/>
          <w:bCs/>
          <w:color w:val="auto"/>
          <w:szCs w:val="72"/>
          <w:lang w:val="sr-Cyrl-CS"/>
        </w:rPr>
      </w:pPr>
      <w:r w:rsidRPr="007E770D">
        <w:rPr>
          <w:rFonts w:cstheme="minorHAnsi"/>
          <w:bCs/>
          <w:color w:val="auto"/>
          <w:szCs w:val="72"/>
          <w:lang w:val="sr-Cyrl-CS"/>
        </w:rPr>
        <w:t xml:space="preserve">Глобални раст од 3,0% у 2019. години, према октобарским прогнозама ММФ, представља ревизију наниже за 0,3 п. п. у односу на априлску пројекцију. Такође, новом стопом од 3,4% за 2020. годину очекивања су ублажена за 0,2 п. п. </w:t>
      </w:r>
      <w:r w:rsidRPr="007E770D">
        <w:rPr>
          <w:rFonts w:cstheme="minorHAnsi"/>
          <w:bCs/>
          <w:color w:val="auto"/>
          <w:spacing w:val="-2"/>
          <w:szCs w:val="72"/>
          <w:lang w:val="sr-Cyrl-CS"/>
        </w:rPr>
        <w:t>У развијеним економијама раст ће незнатно успорити са 1,7% у 2019. години на 1,6% у средњорочном периоду. Истовремено,</w:t>
      </w:r>
      <w:r w:rsidRPr="007E770D">
        <w:rPr>
          <w:rFonts w:cstheme="minorHAnsi"/>
          <w:bCs/>
          <w:color w:val="auto"/>
          <w:szCs w:val="72"/>
          <w:lang w:val="sr-Cyrl-CS"/>
        </w:rPr>
        <w:t xml:space="preserve"> очекивања за земље у успону су спуштена за 0,5 п. п. и 0,2 п. п. у 2019. и 2020. години, респективно. Задржано је очекивано убрзање њихове привредне активности са 3,9% у 2019. на 4,8 у 2022. години. Привредни раст ће у САД износити 2,4% у 2019. години, након чега се предвиђа успоравање, а затим и стагнација пре свега због ефекта слабљења фискалног стимулуса и преласка са експанзивне фискалне политике на неутралну. Еврозона ће у 2019. години забележити повећање привредне </w:t>
      </w:r>
      <w:r w:rsidRPr="007E770D">
        <w:rPr>
          <w:rFonts w:cstheme="minorHAnsi"/>
          <w:bCs/>
          <w:color w:val="auto"/>
          <w:szCs w:val="72"/>
          <w:lang w:val="sr-Cyrl-CS"/>
        </w:rPr>
        <w:t>активности за 1,2%, док се у средњем року очекује благо убрзавање и стабилизација раста услед нешто веће екстерне тражње, али уз могуће ризике изазване трговинским мерама и Брегзитом.</w:t>
      </w:r>
    </w:p>
    <w:p w14:paraId="07F83F92" w14:textId="77777777" w:rsidR="007A7960" w:rsidRPr="007E770D" w:rsidRDefault="007A7960" w:rsidP="00D670D2">
      <w:pPr>
        <w:spacing w:line="240" w:lineRule="auto"/>
        <w:rPr>
          <w:rFonts w:cstheme="minorHAnsi"/>
          <w:bCs/>
          <w:color w:val="auto"/>
          <w:szCs w:val="72"/>
          <w:lang w:val="sr-Cyrl-CS"/>
        </w:rPr>
      </w:pPr>
      <w:r w:rsidRPr="007E770D">
        <w:rPr>
          <w:rFonts w:cstheme="minorHAnsi"/>
          <w:bCs/>
          <w:color w:val="auto"/>
          <w:szCs w:val="72"/>
          <w:lang w:val="sr-Cyrl-CS"/>
        </w:rPr>
        <w:t>Азијске земље у развоју остају главни покретач светског економског раста, међутим њихов утицај је делимично ублажен успоравањем Кине услед наметнутих тарифа и слабије спољне тражње. Иако је раст Русије за 2019. годину ревидиран наниже, очекивања за остатак периода су боља него што је претходно предвиђено, а слично се може очекивати и за Турску. Финансијска нестабилност у Венецуели, проблеми Мексика са инвестицијама и Бразила са снабдевањем рудом, као и растуће геополитичке тензије на Блиском Истоку и северној Африци представљају факторе који би могли ограничити глобални раст.</w:t>
      </w:r>
    </w:p>
    <w:p w14:paraId="59AB751E" w14:textId="77777777" w:rsidR="007A7960" w:rsidRPr="007E770D" w:rsidRDefault="007A7960" w:rsidP="00CA57D4">
      <w:pPr>
        <w:pStyle w:val="Caption"/>
        <w:keepNext/>
        <w:rPr>
          <w:rFonts w:cstheme="minorHAnsi"/>
          <w:b w:val="0"/>
          <w:i/>
          <w:iCs w:val="0"/>
          <w:color w:val="auto"/>
          <w:szCs w:val="22"/>
          <w:lang w:val="sr-Cyrl-CS"/>
        </w:rPr>
      </w:pPr>
      <w:r w:rsidRPr="007E770D">
        <w:rPr>
          <w:rFonts w:cstheme="minorHAnsi"/>
          <w:iCs w:val="0"/>
          <w:color w:val="auto"/>
          <w:szCs w:val="22"/>
          <w:lang w:val="sr-Cyrl-CS"/>
        </w:rPr>
        <w:lastRenderedPageBreak/>
        <w:t>Глобални економски раст, п. п.</w:t>
      </w:r>
    </w:p>
    <w:p w14:paraId="21B8D8C4" w14:textId="77777777" w:rsidR="007A7960" w:rsidRPr="007E770D" w:rsidRDefault="007A7960" w:rsidP="00C130D2">
      <w:pPr>
        <w:rPr>
          <w:color w:val="auto"/>
          <w:lang w:val="sr-Cyrl-CS"/>
        </w:rPr>
      </w:pPr>
      <w:r w:rsidRPr="007E770D">
        <w:rPr>
          <w:noProof/>
          <w:color w:val="auto"/>
        </w:rPr>
        <w:drawing>
          <wp:inline distT="0" distB="0" distL="0" distR="0" wp14:anchorId="39577267" wp14:editId="6ACCA6AB">
            <wp:extent cx="2743200" cy="2393950"/>
            <wp:effectExtent l="0" t="0" r="0" b="6350"/>
            <wp:docPr id="28" name="Chart 28">
              <a:extLst xmlns:a="http://schemas.openxmlformats.org/drawingml/2006/main">
                <a:ext uri="{FF2B5EF4-FFF2-40B4-BE49-F238E27FC236}">
                  <a16:creationId xmlns:a16="http://schemas.microsoft.com/office/drawing/2014/main" id="{7F08EC93-99C8-4633-B03F-98454F1326A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r w:rsidRPr="007E770D">
        <w:rPr>
          <w:rFonts w:cstheme="minorHAnsi"/>
          <w:bCs/>
          <w:color w:val="auto"/>
          <w:sz w:val="16"/>
          <w:szCs w:val="72"/>
          <w:lang w:val="sr-Cyrl-CS"/>
        </w:rPr>
        <w:t xml:space="preserve">Извор: ММФ, </w:t>
      </w:r>
      <w:r w:rsidRPr="007E770D">
        <w:rPr>
          <w:rFonts w:cstheme="minorHAnsi"/>
          <w:bCs/>
          <w:i/>
          <w:color w:val="auto"/>
          <w:sz w:val="16"/>
          <w:szCs w:val="72"/>
          <w:lang w:val="sr-Cyrl-CS"/>
        </w:rPr>
        <w:t>World Economic Outlook</w:t>
      </w:r>
      <w:r w:rsidRPr="007E770D">
        <w:rPr>
          <w:rFonts w:cstheme="minorHAnsi"/>
          <w:bCs/>
          <w:color w:val="auto"/>
          <w:sz w:val="16"/>
          <w:szCs w:val="72"/>
          <w:lang w:val="sr-Cyrl-CS"/>
        </w:rPr>
        <w:t>, октобар 2019.</w:t>
      </w:r>
    </w:p>
    <w:p w14:paraId="4B609B03" w14:textId="77777777" w:rsidR="007A7960" w:rsidRPr="007E770D" w:rsidRDefault="007A7960" w:rsidP="00D670D2">
      <w:pPr>
        <w:rPr>
          <w:rFonts w:cstheme="minorHAnsi"/>
          <w:bCs/>
          <w:color w:val="auto"/>
          <w:szCs w:val="72"/>
          <w:lang w:val="sr-Cyrl-CS"/>
        </w:rPr>
      </w:pPr>
      <w:r w:rsidRPr="007E770D">
        <w:rPr>
          <w:rFonts w:cstheme="minorHAnsi"/>
          <w:bCs/>
          <w:color w:val="auto"/>
          <w:szCs w:val="72"/>
          <w:lang w:val="sr-Cyrl-CS"/>
        </w:rPr>
        <w:t>Изгледи за инфлацију углавном одражавају наведене изгледе за раст и очекивано кретање цена примарних производа. У развијеним економијама инфлација ће благо расти у посматраном периоду, са 1,5% у 2019. години, на 1,9% у 2021. години. Земље у успону (без Венецуеле) забележиће благи пад на 4,4% у 2020. години са тренутних 4,7%. Према октобарским пројекцијама ММФ, очекује се да ће цена нафте</w:t>
      </w:r>
      <w:r w:rsidRPr="007E770D">
        <w:rPr>
          <w:rStyle w:val="FootnoteReference"/>
          <w:rFonts w:cstheme="minorHAnsi"/>
          <w:bCs/>
          <w:color w:val="auto"/>
          <w:szCs w:val="72"/>
          <w:lang w:val="sr-Cyrl-CS"/>
        </w:rPr>
        <w:footnoteReference w:id="1"/>
      </w:r>
      <w:r w:rsidRPr="007E770D">
        <w:rPr>
          <w:rFonts w:cstheme="minorHAnsi"/>
          <w:bCs/>
          <w:color w:val="auto"/>
          <w:szCs w:val="72"/>
          <w:lang w:val="sr-Cyrl-CS"/>
        </w:rPr>
        <w:t xml:space="preserve"> у 2019. години износити 61,8 $/барел, што је смањење од 9,6% у односу на 2018. годину, након чега се очекује постепено смањење.</w:t>
      </w:r>
    </w:p>
    <w:p w14:paraId="5427AAB0" w14:textId="77777777" w:rsidR="007A7960" w:rsidRPr="007E770D" w:rsidRDefault="007A7960" w:rsidP="00C130D2">
      <w:pPr>
        <w:pStyle w:val="Caption"/>
        <w:keepNext/>
        <w:rPr>
          <w:rFonts w:cstheme="minorHAnsi"/>
          <w:b w:val="0"/>
          <w:i/>
          <w:iCs w:val="0"/>
          <w:color w:val="auto"/>
          <w:szCs w:val="22"/>
          <w:lang w:val="sr-Cyrl-CS"/>
        </w:rPr>
      </w:pPr>
      <w:r w:rsidRPr="007E770D">
        <w:rPr>
          <w:rFonts w:cstheme="minorHAnsi"/>
          <w:iCs w:val="0"/>
          <w:color w:val="auto"/>
          <w:szCs w:val="22"/>
          <w:lang w:val="sr-Cyrl-CS"/>
        </w:rPr>
        <w:t>Пројекција кретања цене нафте, УСД по барелу</w:t>
      </w:r>
    </w:p>
    <w:p w14:paraId="10CC11A9" w14:textId="77777777" w:rsidR="007A7960" w:rsidRPr="007E770D" w:rsidRDefault="007A7960" w:rsidP="00C130D2">
      <w:pPr>
        <w:rPr>
          <w:rFonts w:cstheme="minorHAnsi"/>
          <w:color w:val="auto"/>
          <w:szCs w:val="72"/>
          <w:lang w:val="sr-Cyrl-CS"/>
        </w:rPr>
      </w:pPr>
      <w:r w:rsidRPr="007E770D">
        <w:rPr>
          <w:rFonts w:cstheme="minorHAnsi"/>
          <w:bCs/>
          <w:noProof/>
          <w:color w:val="auto"/>
          <w:sz w:val="16"/>
          <w:szCs w:val="72"/>
        </w:rPr>
        <w:drawing>
          <wp:inline distT="0" distB="0" distL="0" distR="0" wp14:anchorId="4822D260" wp14:editId="7AED8836">
            <wp:extent cx="2808000" cy="1686582"/>
            <wp:effectExtent l="0" t="0" r="0" b="889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808000" cy="1686582"/>
                    </a:xfrm>
                    <a:prstGeom prst="rect">
                      <a:avLst/>
                    </a:prstGeom>
                    <a:noFill/>
                  </pic:spPr>
                </pic:pic>
              </a:graphicData>
            </a:graphic>
          </wp:inline>
        </w:drawing>
      </w:r>
      <w:r w:rsidRPr="007E770D">
        <w:rPr>
          <w:rFonts w:cstheme="minorHAnsi"/>
          <w:bCs/>
          <w:color w:val="auto"/>
          <w:sz w:val="16"/>
          <w:szCs w:val="72"/>
          <w:lang w:val="sr-Cyrl-CS"/>
        </w:rPr>
        <w:t xml:space="preserve">Извор: ММФ, </w:t>
      </w:r>
      <w:r w:rsidRPr="007E770D">
        <w:rPr>
          <w:rFonts w:cstheme="minorHAnsi"/>
          <w:bCs/>
          <w:i/>
          <w:color w:val="auto"/>
          <w:sz w:val="16"/>
          <w:szCs w:val="72"/>
          <w:lang w:val="sr-Cyrl-CS"/>
        </w:rPr>
        <w:t>World Economic Outlook</w:t>
      </w:r>
      <w:r w:rsidRPr="007E770D">
        <w:rPr>
          <w:rFonts w:cstheme="minorHAnsi"/>
          <w:bCs/>
          <w:color w:val="auto"/>
          <w:sz w:val="16"/>
          <w:szCs w:val="72"/>
          <w:lang w:val="sr-Cyrl-CS"/>
        </w:rPr>
        <w:t>, октобар 2019.</w:t>
      </w:r>
    </w:p>
    <w:p w14:paraId="7FCE2D33" w14:textId="77777777" w:rsidR="007A7960" w:rsidRPr="007E770D" w:rsidRDefault="007A7960" w:rsidP="00D670D2">
      <w:pPr>
        <w:rPr>
          <w:rFonts w:cstheme="minorHAnsi"/>
          <w:bCs/>
          <w:color w:val="auto"/>
          <w:szCs w:val="72"/>
          <w:lang w:val="sr-Cyrl-CS"/>
        </w:rPr>
      </w:pPr>
      <w:r w:rsidRPr="007E770D">
        <w:rPr>
          <w:rFonts w:cstheme="minorHAnsi"/>
          <w:bCs/>
          <w:color w:val="auto"/>
          <w:szCs w:val="72"/>
          <w:lang w:val="sr-Cyrl-CS"/>
        </w:rPr>
        <w:t xml:space="preserve">Цене базних метала ће бити веће за 4.3% у 2019. години, а после пада у 2020. години, наступиће стагнација цена. Процењује се да ће се раст цене гвожђа повећати за трећину, уз пад цене наредне </w:t>
      </w:r>
      <w:r w:rsidRPr="007E770D">
        <w:rPr>
          <w:rFonts w:cstheme="minorHAnsi"/>
          <w:bCs/>
          <w:color w:val="auto"/>
          <w:szCs w:val="72"/>
          <w:lang w:val="sr-Cyrl-CS"/>
        </w:rPr>
        <w:t xml:space="preserve">године и стабилизацију у средњем року. Цене житарица у 2019. години очекује пад, а затим следи благо повећање у средњорочном периоду. Стопа на тромесечне депозите деноминоване у </w:t>
      </w:r>
      <w:r w:rsidRPr="007E770D">
        <w:rPr>
          <w:rFonts w:cstheme="minorHAnsi"/>
          <w:bCs/>
          <w:color w:val="auto"/>
          <w:spacing w:val="2"/>
          <w:szCs w:val="72"/>
          <w:lang w:val="sr-Cyrl-CS"/>
        </w:rPr>
        <w:t>еврима смањиће се са -0,4% у 2019.</w:t>
      </w:r>
      <w:r w:rsidRPr="007E770D">
        <w:rPr>
          <w:rFonts w:cstheme="minorHAnsi"/>
          <w:bCs/>
          <w:color w:val="auto"/>
          <w:szCs w:val="72"/>
          <w:lang w:val="sr-Cyrl-CS"/>
        </w:rPr>
        <w:t xml:space="preserve"> </w:t>
      </w:r>
      <w:r w:rsidRPr="007E770D">
        <w:rPr>
          <w:rFonts w:cstheme="minorHAnsi"/>
          <w:bCs/>
          <w:color w:val="auto"/>
          <w:spacing w:val="-2"/>
          <w:szCs w:val="72"/>
          <w:lang w:val="sr-Cyrl-CS"/>
        </w:rPr>
        <w:t xml:space="preserve">години на </w:t>
      </w:r>
      <w:r w:rsidRPr="007E770D">
        <w:rPr>
          <w:rFonts w:cstheme="minorHAnsi"/>
          <w:bCs/>
          <w:color w:val="auto"/>
          <w:spacing w:val="-2"/>
          <w:szCs w:val="72"/>
          <w:lang w:val="sr-Cyrl-CS"/>
        </w:rPr>
        <w:br w:type="textWrapping" w:clear="all"/>
        <w:t>-0,6% у 2020. години, док ће стопа на шестомесечне депозите деноминоване у доларима износити 2,3% и 2,0%, респективно.</w:t>
      </w:r>
    </w:p>
    <w:p w14:paraId="23A8EF32" w14:textId="77777777" w:rsidR="007A7960" w:rsidRPr="007E770D" w:rsidRDefault="007A7960" w:rsidP="008E368C">
      <w:pPr>
        <w:pStyle w:val="Caption"/>
        <w:keepNext/>
        <w:rPr>
          <w:rFonts w:cstheme="minorHAnsi"/>
          <w:b w:val="0"/>
          <w:i/>
          <w:iCs w:val="0"/>
          <w:color w:val="auto"/>
          <w:szCs w:val="22"/>
          <w:lang w:val="sr-Cyrl-CS"/>
        </w:rPr>
      </w:pPr>
      <w:r w:rsidRPr="007E770D">
        <w:rPr>
          <w:rFonts w:cstheme="minorHAnsi"/>
          <w:iCs w:val="0"/>
          <w:color w:val="auto"/>
          <w:szCs w:val="22"/>
          <w:lang w:val="sr-Cyrl-CS"/>
        </w:rPr>
        <w:t>Кретање цена, индекси, 2014=100</w:t>
      </w:r>
    </w:p>
    <w:p w14:paraId="22ED19C6" w14:textId="77777777" w:rsidR="007A7960" w:rsidRPr="007E770D" w:rsidRDefault="007A7960" w:rsidP="00C130D2">
      <w:pPr>
        <w:rPr>
          <w:color w:val="auto"/>
          <w:lang w:val="sr-Cyrl-CS"/>
        </w:rPr>
      </w:pPr>
      <w:r w:rsidRPr="007E770D">
        <w:rPr>
          <w:noProof/>
          <w:color w:val="auto"/>
        </w:rPr>
        <w:drawing>
          <wp:inline distT="0" distB="0" distL="0" distR="0" wp14:anchorId="058F6992" wp14:editId="69D1B385">
            <wp:extent cx="2743200" cy="1997710"/>
            <wp:effectExtent l="0" t="0" r="0" b="2540"/>
            <wp:docPr id="59" name="Chart 59">
              <a:extLst xmlns:a="http://schemas.openxmlformats.org/drawingml/2006/main">
                <a:ext uri="{FF2B5EF4-FFF2-40B4-BE49-F238E27FC236}">
                  <a16:creationId xmlns:a16="http://schemas.microsoft.com/office/drawing/2014/main" id="{00000000-0008-0000-01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r w:rsidRPr="007E770D">
        <w:rPr>
          <w:rFonts w:cstheme="minorHAnsi"/>
          <w:bCs/>
          <w:color w:val="auto"/>
          <w:sz w:val="16"/>
          <w:szCs w:val="72"/>
          <w:lang w:val="sr-Cyrl-CS"/>
        </w:rPr>
        <w:t xml:space="preserve">Извор: ММФ, </w:t>
      </w:r>
      <w:r w:rsidRPr="007E770D">
        <w:rPr>
          <w:rFonts w:cstheme="minorHAnsi"/>
          <w:bCs/>
          <w:i/>
          <w:color w:val="auto"/>
          <w:sz w:val="16"/>
          <w:szCs w:val="72"/>
          <w:lang w:val="sr-Cyrl-CS"/>
        </w:rPr>
        <w:t>World Economic Outlook</w:t>
      </w:r>
      <w:r w:rsidRPr="007E770D">
        <w:rPr>
          <w:rFonts w:cstheme="minorHAnsi"/>
          <w:bCs/>
          <w:color w:val="auto"/>
          <w:sz w:val="16"/>
          <w:szCs w:val="72"/>
          <w:lang w:val="sr-Cyrl-CS"/>
        </w:rPr>
        <w:t>, октобар 2019.</w:t>
      </w:r>
    </w:p>
    <w:p w14:paraId="7D0274C7" w14:textId="77777777" w:rsidR="007A7960" w:rsidRPr="007E770D" w:rsidRDefault="007A7960" w:rsidP="00C130D2">
      <w:pPr>
        <w:pStyle w:val="Caption"/>
        <w:keepNext/>
        <w:rPr>
          <w:rFonts w:cstheme="minorHAnsi"/>
          <w:b w:val="0"/>
          <w:i/>
          <w:iCs w:val="0"/>
          <w:color w:val="auto"/>
          <w:szCs w:val="22"/>
          <w:lang w:val="sr-Cyrl-CS"/>
        </w:rPr>
      </w:pPr>
      <w:r w:rsidRPr="007E770D">
        <w:rPr>
          <w:rFonts w:cstheme="minorHAnsi"/>
          <w:iCs w:val="0"/>
          <w:color w:val="auto"/>
          <w:szCs w:val="22"/>
          <w:lang w:val="sr-Cyrl-CS"/>
        </w:rPr>
        <w:t>Пројекција кретања цена, индекси, 2018=100</w:t>
      </w:r>
    </w:p>
    <w:p w14:paraId="6246EACE" w14:textId="77777777" w:rsidR="007A7960" w:rsidRPr="007E770D" w:rsidRDefault="007A7960" w:rsidP="00C130D2">
      <w:pPr>
        <w:rPr>
          <w:color w:val="auto"/>
          <w:lang w:val="sr-Cyrl-CS"/>
        </w:rPr>
      </w:pPr>
      <w:r w:rsidRPr="007E770D">
        <w:rPr>
          <w:noProof/>
          <w:color w:val="auto"/>
        </w:rPr>
        <w:drawing>
          <wp:inline distT="0" distB="0" distL="0" distR="0" wp14:anchorId="2CE0D8F9" wp14:editId="48F09243">
            <wp:extent cx="2743200" cy="1799590"/>
            <wp:effectExtent l="0" t="0" r="0" b="0"/>
            <wp:docPr id="60" name="Chart 60">
              <a:extLst xmlns:a="http://schemas.openxmlformats.org/drawingml/2006/main">
                <a:ext uri="{FF2B5EF4-FFF2-40B4-BE49-F238E27FC236}">
                  <a16:creationId xmlns:a16="http://schemas.microsoft.com/office/drawing/2014/main" id="{00000000-0008-0000-02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55AACC0F" w14:textId="77777777" w:rsidR="007A7960" w:rsidRPr="007E770D" w:rsidRDefault="007A7960" w:rsidP="00EF4564">
      <w:pPr>
        <w:rPr>
          <w:rFonts w:cstheme="minorHAnsi"/>
          <w:color w:val="auto"/>
          <w:szCs w:val="72"/>
          <w:lang w:val="sr-Cyrl-CS"/>
        </w:rPr>
      </w:pPr>
      <w:r w:rsidRPr="007E770D">
        <w:rPr>
          <w:rFonts w:cstheme="minorHAnsi"/>
          <w:bCs/>
          <w:color w:val="auto"/>
          <w:sz w:val="16"/>
          <w:szCs w:val="72"/>
          <w:lang w:val="sr-Cyrl-CS"/>
        </w:rPr>
        <w:t xml:space="preserve">Извор: ММФ, </w:t>
      </w:r>
      <w:r w:rsidRPr="007E770D">
        <w:rPr>
          <w:rFonts w:cstheme="minorHAnsi"/>
          <w:bCs/>
          <w:i/>
          <w:color w:val="auto"/>
          <w:sz w:val="16"/>
          <w:szCs w:val="72"/>
          <w:lang w:val="sr-Cyrl-CS"/>
        </w:rPr>
        <w:t>World Economic Outlook</w:t>
      </w:r>
      <w:r w:rsidRPr="007E770D">
        <w:rPr>
          <w:rFonts w:cstheme="minorHAnsi"/>
          <w:bCs/>
          <w:color w:val="auto"/>
          <w:sz w:val="16"/>
          <w:szCs w:val="72"/>
          <w:lang w:val="sr-Cyrl-CS"/>
        </w:rPr>
        <w:t>, октобар 2019.</w:t>
      </w:r>
    </w:p>
    <w:p w14:paraId="14633285" w14:textId="03C27E81" w:rsidR="007A7960" w:rsidRPr="007E770D" w:rsidRDefault="007A7960" w:rsidP="00D670D2">
      <w:pPr>
        <w:rPr>
          <w:rFonts w:cstheme="minorHAnsi"/>
          <w:bCs/>
          <w:color w:val="auto"/>
          <w:szCs w:val="72"/>
          <w:lang w:val="sr-Cyrl-CS"/>
        </w:rPr>
      </w:pPr>
      <w:r w:rsidRPr="007E770D">
        <w:rPr>
          <w:rFonts w:cstheme="minorHAnsi"/>
          <w:bCs/>
          <w:color w:val="auto"/>
          <w:szCs w:val="72"/>
          <w:lang w:val="sr-Cyrl-CS"/>
        </w:rPr>
        <w:t>ЕЦБ је на састанку у септембру 2019. године одлучила да референтна каматна стопа остане на рекордно ниском нивоу од 0,00%, док је смањила каматну стопу на депозит</w:t>
      </w:r>
      <w:r w:rsidR="00AA2A85" w:rsidRPr="007E770D">
        <w:rPr>
          <w:rFonts w:cstheme="minorHAnsi"/>
          <w:bCs/>
          <w:color w:val="auto"/>
          <w:szCs w:val="72"/>
          <w:lang w:val="sr-Cyrl-CS"/>
        </w:rPr>
        <w:t>н</w:t>
      </w:r>
      <w:r w:rsidRPr="007E770D">
        <w:rPr>
          <w:rFonts w:cstheme="minorHAnsi"/>
          <w:bCs/>
          <w:color w:val="auto"/>
          <w:szCs w:val="72"/>
          <w:lang w:val="sr-Cyrl-CS"/>
        </w:rPr>
        <w:t xml:space="preserve">е </w:t>
      </w:r>
      <w:r w:rsidR="00AA2A85" w:rsidRPr="007E770D">
        <w:rPr>
          <w:rFonts w:cstheme="minorHAnsi"/>
          <w:bCs/>
          <w:color w:val="auto"/>
          <w:szCs w:val="72"/>
          <w:lang w:val="sr-Cyrl-CS"/>
        </w:rPr>
        <w:t xml:space="preserve">олакшице </w:t>
      </w:r>
      <w:r w:rsidRPr="007E770D">
        <w:rPr>
          <w:rFonts w:cstheme="minorHAnsi"/>
          <w:bCs/>
          <w:color w:val="auto"/>
          <w:szCs w:val="72"/>
          <w:lang w:val="sr-Cyrl-CS"/>
        </w:rPr>
        <w:t xml:space="preserve">са -0,40% на -0,50%. Савет гувернера ЕЦБ очекује да ће референтне каматне стопе остати </w:t>
      </w:r>
      <w:r w:rsidR="00AA2A85" w:rsidRPr="007E770D">
        <w:rPr>
          <w:rFonts w:cstheme="minorHAnsi"/>
          <w:bCs/>
          <w:color w:val="auto"/>
          <w:szCs w:val="72"/>
          <w:lang w:val="sr-Cyrl-CS"/>
        </w:rPr>
        <w:t xml:space="preserve">на тренутном или нижем нивоу све док пројекција не укаже да ће се </w:t>
      </w:r>
      <w:r w:rsidRPr="007E770D">
        <w:rPr>
          <w:rFonts w:cstheme="minorHAnsi"/>
          <w:bCs/>
          <w:color w:val="auto"/>
          <w:szCs w:val="72"/>
          <w:lang w:val="sr-Cyrl-CS"/>
        </w:rPr>
        <w:t>инфлација приближи</w:t>
      </w:r>
      <w:r w:rsidR="00AA2A85" w:rsidRPr="007E770D">
        <w:rPr>
          <w:rFonts w:cstheme="minorHAnsi"/>
          <w:bCs/>
          <w:color w:val="auto"/>
          <w:szCs w:val="72"/>
          <w:lang w:val="sr-Cyrl-CS"/>
        </w:rPr>
        <w:t>ти</w:t>
      </w:r>
      <w:r w:rsidRPr="007E770D">
        <w:rPr>
          <w:rFonts w:cstheme="minorHAnsi"/>
          <w:bCs/>
          <w:color w:val="auto"/>
          <w:szCs w:val="72"/>
          <w:lang w:val="sr-Cyrl-CS"/>
        </w:rPr>
        <w:t xml:space="preserve"> или дости</w:t>
      </w:r>
      <w:r w:rsidR="00AA2A85" w:rsidRPr="007E770D">
        <w:rPr>
          <w:rFonts w:cstheme="minorHAnsi"/>
          <w:bCs/>
          <w:color w:val="auto"/>
          <w:szCs w:val="72"/>
          <w:lang w:val="sr-Cyrl-CS"/>
        </w:rPr>
        <w:t>ћи</w:t>
      </w:r>
      <w:r w:rsidRPr="007E770D">
        <w:rPr>
          <w:rFonts w:cstheme="minorHAnsi"/>
          <w:bCs/>
          <w:color w:val="auto"/>
          <w:szCs w:val="72"/>
          <w:lang w:val="sr-Cyrl-CS"/>
        </w:rPr>
        <w:t xml:space="preserve"> 2,0%. ФЕД је такође у два наврата смањивао каматну </w:t>
      </w:r>
      <w:r w:rsidRPr="007E770D">
        <w:rPr>
          <w:rFonts w:cstheme="minorHAnsi"/>
          <w:bCs/>
          <w:color w:val="auto"/>
          <w:szCs w:val="72"/>
          <w:lang w:val="sr-Cyrl-CS"/>
        </w:rPr>
        <w:lastRenderedPageBreak/>
        <w:t>стопу. Ова монетарна попуштања су заједно са растућим тржишним проблемима услед споријег раста довела до знатних падова у приносима државних обвезница.</w:t>
      </w:r>
    </w:p>
    <w:p w14:paraId="3C95CE57" w14:textId="77777777" w:rsidR="007A7960" w:rsidRPr="007E770D" w:rsidRDefault="007A7960" w:rsidP="00D670D2">
      <w:pPr>
        <w:pStyle w:val="Caption"/>
        <w:keepNext/>
        <w:rPr>
          <w:rFonts w:cstheme="minorHAnsi"/>
          <w:iCs w:val="0"/>
          <w:color w:val="auto"/>
          <w:szCs w:val="22"/>
          <w:lang w:val="sr-Cyrl-CS"/>
        </w:rPr>
      </w:pPr>
      <w:r w:rsidRPr="007E770D">
        <w:rPr>
          <w:rFonts w:cstheme="minorHAnsi"/>
          <w:iCs w:val="0"/>
          <w:color w:val="auto"/>
          <w:szCs w:val="22"/>
          <w:lang w:val="sr-Cyrl-CS"/>
        </w:rPr>
        <w:t>Очекивана кретања референтне каматне стопе ФЕД, %</w:t>
      </w:r>
    </w:p>
    <w:p w14:paraId="5A19B805" w14:textId="77777777" w:rsidR="007A7960" w:rsidRPr="007E770D" w:rsidRDefault="007A7960" w:rsidP="00D670D2">
      <w:pPr>
        <w:rPr>
          <w:color w:val="auto"/>
          <w:lang w:val="sr-Cyrl-CS"/>
        </w:rPr>
      </w:pPr>
      <w:r w:rsidRPr="007E770D">
        <w:rPr>
          <w:noProof/>
          <w:color w:val="auto"/>
        </w:rPr>
        <w:drawing>
          <wp:inline distT="0" distB="0" distL="0" distR="0" wp14:anchorId="5027EAF5" wp14:editId="266D91F2">
            <wp:extent cx="2743200" cy="1871980"/>
            <wp:effectExtent l="0" t="0" r="0" b="0"/>
            <wp:docPr id="61" name="Chart 61">
              <a:extLst xmlns:a="http://schemas.openxmlformats.org/drawingml/2006/main">
                <a:ext uri="{FF2B5EF4-FFF2-40B4-BE49-F238E27FC236}">
                  <a16:creationId xmlns:a16="http://schemas.microsoft.com/office/drawing/2014/main" id="{00000000-0008-0000-04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27B57E8B" w14:textId="77777777" w:rsidR="007A7960" w:rsidRPr="007E770D" w:rsidRDefault="007A7960" w:rsidP="00EF4564">
      <w:pPr>
        <w:rPr>
          <w:rFonts w:cstheme="minorHAnsi"/>
          <w:color w:val="auto"/>
          <w:szCs w:val="72"/>
          <w:lang w:val="sr-Cyrl-CS"/>
        </w:rPr>
      </w:pPr>
      <w:r w:rsidRPr="007E770D">
        <w:rPr>
          <w:rFonts w:cstheme="minorHAnsi"/>
          <w:bCs/>
          <w:color w:val="auto"/>
          <w:sz w:val="16"/>
          <w:szCs w:val="72"/>
          <w:lang w:val="sr-Cyrl-CS"/>
        </w:rPr>
        <w:t xml:space="preserve">Извор: ММФ, </w:t>
      </w:r>
      <w:r w:rsidRPr="007E770D">
        <w:rPr>
          <w:rFonts w:cstheme="minorHAnsi"/>
          <w:bCs/>
          <w:i/>
          <w:color w:val="auto"/>
          <w:sz w:val="16"/>
          <w:szCs w:val="72"/>
          <w:lang w:val="sr-Cyrl-CS"/>
        </w:rPr>
        <w:t>World Economic Outlook</w:t>
      </w:r>
      <w:r w:rsidRPr="007E770D">
        <w:rPr>
          <w:rFonts w:cstheme="minorHAnsi"/>
          <w:bCs/>
          <w:color w:val="auto"/>
          <w:sz w:val="16"/>
          <w:szCs w:val="72"/>
          <w:lang w:val="sr-Cyrl-CS"/>
        </w:rPr>
        <w:t>, октобар 2019.</w:t>
      </w:r>
    </w:p>
    <w:p w14:paraId="78C47575" w14:textId="756F356E" w:rsidR="007A7960" w:rsidRPr="007E770D" w:rsidRDefault="007A7960" w:rsidP="00D670D2">
      <w:pPr>
        <w:rPr>
          <w:rFonts w:cstheme="minorHAnsi"/>
          <w:bCs/>
          <w:color w:val="auto"/>
          <w:szCs w:val="72"/>
          <w:lang w:val="sr-Cyrl-CS"/>
        </w:rPr>
      </w:pPr>
      <w:r w:rsidRPr="007E770D">
        <w:rPr>
          <w:rFonts w:cstheme="minorHAnsi"/>
          <w:bCs/>
          <w:color w:val="auto"/>
          <w:szCs w:val="72"/>
          <w:lang w:val="sr-Cyrl-CS"/>
        </w:rPr>
        <w:t xml:space="preserve">Иако би скорашње попуштање монетарне политике могло да погура тражњу изнад очекиване, уколико се трговинске тензије наставе и уколико не буде пронађено решење за Брегзит, ризици остваривања пројекције су и даље асиметрични наниже. Даља ескалација трговинског конфликта и последични удар на инвестиције би могли довести до нарушавања глобалног ланца снабдевања и продуктивности у средњорочном периоду. Такође, смањена тражња за хартијама од вредности које носе известан ризик и фокусирање на нискоризична средства у повољним финансијским условима могли би довести до акумулираних рањивости тржишта. Постоји и ризик од дезинфлаторних притисака, будући да ниска инфлација и усидрена ниска инфлаторна очекивања могу повећати реалну цену сервисирања дуга, односно смањити простор за маневрисање централним банкама у случају шока. Ризик геополитичких тензија и сукоба је и даље присутан и интензивиран је скорашњим дешавањима на Блиском истоку и источној Азији. Ови догађаји могу лако прерасти своје локалне оквире и прелити нестабилност на глобални ниво. У средњорочном периоду, климатске промене и политичке несугласице у контексту раста неједнакости су кључни ризици који би могли </w:t>
      </w:r>
      <w:r w:rsidRPr="007E770D">
        <w:rPr>
          <w:rFonts w:cstheme="minorHAnsi"/>
          <w:bCs/>
          <w:color w:val="auto"/>
          <w:szCs w:val="72"/>
          <w:lang w:val="sr-Cyrl-CS"/>
        </w:rPr>
        <w:t>смањити глобални потенцијал, са озбиљним импликацијама по неке земље.</w:t>
      </w:r>
    </w:p>
    <w:p w14:paraId="23DAF6FA" w14:textId="77777777" w:rsidR="007A7960" w:rsidRPr="007E770D" w:rsidRDefault="007A7960" w:rsidP="00D670D2">
      <w:pPr>
        <w:rPr>
          <w:rFonts w:cstheme="minorHAnsi"/>
          <w:bCs/>
          <w:color w:val="auto"/>
          <w:szCs w:val="72"/>
          <w:lang w:val="sr-Cyrl-CS"/>
        </w:rPr>
      </w:pPr>
      <w:r w:rsidRPr="007E770D">
        <w:rPr>
          <w:rFonts w:cstheme="minorHAnsi"/>
          <w:bCs/>
          <w:color w:val="auto"/>
          <w:szCs w:val="72"/>
          <w:lang w:val="sr-Cyrl-CS"/>
        </w:rPr>
        <w:t>Глобална економија се налази на својеврсном раскршћу, и чак и када би поменути ризици били минимализовани, раст би остао испод досадашњег нивоа. Неопходна је примена мултилатералних политика у решавању појединих краткорочних и дугорочних претњи одрживом и инклузивном глобалном расту. Циљ доносиоца политика треба бити смањивање трговинских тензија које су ослабиле глобалну активност и довеле до нарушавања поверења, као и брзо решавање проблема Брегзита. Спречавање пореске евазије је такође један од глобалних циљева чије би испуњење допринело бољем прикупљању јавних прихода и финансирању буџета држава. Спровођење реформе финансијске регулативе и глобална финансијска безбедност се могу спровести кроз даља побољшања макропруденцијалних оквира и борбе против прања новца и финансирања тероризма. Потребан је и глобални напор на спречавању корупције која нарушава веру у институције, али и ништа мањи искорак у борби против климатских промена и миграција.</w:t>
      </w:r>
    </w:p>
    <w:p w14:paraId="49444431" w14:textId="77777777" w:rsidR="007A7960" w:rsidRPr="007E770D" w:rsidRDefault="007A7960" w:rsidP="00D670D2">
      <w:pPr>
        <w:rPr>
          <w:b/>
          <w:color w:val="auto"/>
          <w:lang w:val="sr-Cyrl-CS"/>
        </w:rPr>
      </w:pPr>
      <w:r w:rsidRPr="007E770D">
        <w:rPr>
          <w:b/>
          <w:color w:val="auto"/>
          <w:lang w:val="sr-Cyrl-CS"/>
        </w:rPr>
        <w:t>Макроекономске процене Европске централне банке за подручје еврозоне</w:t>
      </w:r>
    </w:p>
    <w:p w14:paraId="5AF8EB55" w14:textId="731107A7" w:rsidR="007A7960" w:rsidRPr="007E770D" w:rsidRDefault="007A7960" w:rsidP="00D670D2">
      <w:pPr>
        <w:rPr>
          <w:rFonts w:cstheme="minorHAnsi"/>
          <w:bCs/>
          <w:color w:val="auto"/>
          <w:szCs w:val="72"/>
          <w:lang w:val="sr-Cyrl-CS"/>
        </w:rPr>
      </w:pPr>
      <w:r w:rsidRPr="007E770D">
        <w:rPr>
          <w:rFonts w:cstheme="minorHAnsi"/>
          <w:bCs/>
          <w:color w:val="auto"/>
          <w:szCs w:val="72"/>
          <w:lang w:val="sr-Cyrl-CS"/>
        </w:rPr>
        <w:t>Према проценама Европске централне банке</w:t>
      </w:r>
      <w:r w:rsidR="00D3250D">
        <w:rPr>
          <w:rFonts w:cstheme="minorHAnsi"/>
          <w:bCs/>
          <w:color w:val="auto"/>
          <w:szCs w:val="72"/>
          <w:lang w:val="sr-Cyrl-CS"/>
        </w:rPr>
        <w:t xml:space="preserve"> (ЕЦБ)</w:t>
      </w:r>
      <w:r w:rsidRPr="007E770D">
        <w:rPr>
          <w:rFonts w:cstheme="minorHAnsi"/>
          <w:bCs/>
          <w:color w:val="auto"/>
          <w:szCs w:val="72"/>
          <w:lang w:val="sr-Cyrl-CS"/>
        </w:rPr>
        <w:t xml:space="preserve"> из септембра, економска активност у еврозони ће наставити са растом али по стопама нижим од претходно прогнозираних. У односу на пројекције из јуна 2019. године краткорочни изгледи су погоршани као последица слабијих показатеља поверења и континуиране глобалне неизвесности. Након повећања БДП у 2018. години за 1,9%, привредни раст ће у 2019. години износити 1,1%, док се у 2020. години очекује благо убрзање на 1,2%. Након слабог привредног раста у другом кварталу 2019. године нови показатељи указују да ће опоравак, који је био предвиђен за другу половину године у претходним пројекцијама, почети касније.</w:t>
      </w:r>
      <w:r w:rsidRPr="007E770D">
        <w:rPr>
          <w:color w:val="auto"/>
          <w:lang w:val="sr-Cyrl-CS"/>
        </w:rPr>
        <w:t xml:space="preserve"> </w:t>
      </w:r>
      <w:r w:rsidRPr="007E770D">
        <w:rPr>
          <w:rFonts w:cstheme="minorHAnsi"/>
          <w:bCs/>
          <w:color w:val="auto"/>
          <w:szCs w:val="72"/>
          <w:lang w:val="sr-Cyrl-CS"/>
        </w:rPr>
        <w:t>Индекси економског расположења наставили су са погоршањем током последњих месеци, посебно у индустријском сектору, као последица континуиране слабости светске трговине и повећане глобалне неизвесности.</w:t>
      </w:r>
    </w:p>
    <w:p w14:paraId="1A690C6C" w14:textId="55F256D9" w:rsidR="007A7960" w:rsidRPr="007E770D" w:rsidRDefault="007A7960" w:rsidP="00D670D2">
      <w:pPr>
        <w:spacing w:after="360"/>
        <w:rPr>
          <w:rFonts w:cstheme="minorHAnsi"/>
          <w:bCs/>
          <w:color w:val="auto"/>
          <w:szCs w:val="72"/>
          <w:lang w:val="sr-Cyrl-CS"/>
        </w:rPr>
        <w:sectPr w:rsidR="007A7960" w:rsidRPr="007E770D" w:rsidSect="00BD7EB6">
          <w:headerReference w:type="even" r:id="rId34"/>
          <w:headerReference w:type="default" r:id="rId35"/>
          <w:footerReference w:type="even" r:id="rId36"/>
          <w:footerReference w:type="default" r:id="rId37"/>
          <w:type w:val="continuous"/>
          <w:pgSz w:w="12240" w:h="15840"/>
          <w:pgMar w:top="1440" w:right="1440" w:bottom="1440" w:left="1440" w:header="720" w:footer="720" w:gutter="0"/>
          <w:cols w:num="2" w:space="720"/>
          <w:docGrid w:linePitch="360"/>
          <w15:footnoteColumns w:val="1"/>
        </w:sectPr>
      </w:pPr>
      <w:r w:rsidRPr="007E770D">
        <w:rPr>
          <w:rFonts w:cstheme="minorHAnsi"/>
          <w:bCs/>
          <w:color w:val="auto"/>
          <w:szCs w:val="72"/>
          <w:lang w:val="sr-Cyrl-CS"/>
        </w:rPr>
        <w:lastRenderedPageBreak/>
        <w:t>Раст реалног расположивог дохотка требао би ојачати у 2019. години, а затим нешто ослабити у 2020. и 2021. години. Успоравајући ефекат на  реални раст расположивог дохотка даће спорији раст запослености, постепено повећ</w:t>
      </w:r>
      <w:r w:rsidR="007E770D">
        <w:rPr>
          <w:rFonts w:cstheme="minorHAnsi"/>
          <w:bCs/>
          <w:color w:val="auto"/>
          <w:szCs w:val="72"/>
          <w:lang w:val="sr-Cyrl-CS"/>
        </w:rPr>
        <w:t>а</w:t>
      </w:r>
      <w:r w:rsidRPr="007E770D">
        <w:rPr>
          <w:rFonts w:cstheme="minorHAnsi"/>
          <w:bCs/>
          <w:color w:val="auto"/>
          <w:szCs w:val="72"/>
          <w:lang w:val="sr-Cyrl-CS"/>
        </w:rPr>
        <w:t xml:space="preserve">ње инфлације и успоравање фискалних трансфера са позитивног на неутрални ниво. Очекује се да ће потрошња домаћинстава бити подржана повољним трошковима задуживања који ће остати на снази у предвиђеном периоду. Пословне инвестиције ће наставити раст и у наредним </w:t>
      </w:r>
      <w:r w:rsidRPr="007E770D">
        <w:rPr>
          <w:rFonts w:cstheme="minorHAnsi"/>
          <w:bCs/>
          <w:color w:val="auto"/>
          <w:szCs w:val="72"/>
          <w:lang w:val="sr-Cyrl-CS"/>
        </w:rPr>
        <w:t>годинама, али уз нешто слабији темпо, услед смањења светске трговине и проблема око Брегзита и раста кинеске привреде. Међутим, биће подржане повољним финансијским условима, растом профита и инвестиција, као и повећаном тражњом компанија за опремом за производњу. Извоз у земље ван еврозоне ће бити умањен током 2019. године, а затим се очекује опоравак током остатака периода пројекције, што је и у складу са спољном тражњом.</w:t>
      </w:r>
    </w:p>
    <w:tbl>
      <w:tblPr>
        <w:tblW w:w="5000" w:type="pct"/>
        <w:tblLook w:val="04A0" w:firstRow="1" w:lastRow="0" w:firstColumn="1" w:lastColumn="0" w:noHBand="0" w:noVBand="1"/>
      </w:tblPr>
      <w:tblGrid>
        <w:gridCol w:w="4668"/>
        <w:gridCol w:w="1173"/>
        <w:gridCol w:w="1173"/>
        <w:gridCol w:w="1172"/>
        <w:gridCol w:w="1174"/>
      </w:tblGrid>
      <w:tr w:rsidR="007E770D" w:rsidRPr="007E770D" w14:paraId="0145A738" w14:textId="77777777" w:rsidTr="00D670D2">
        <w:trPr>
          <w:trHeight w:val="300"/>
        </w:trPr>
        <w:tc>
          <w:tcPr>
            <w:tcW w:w="5000" w:type="pct"/>
            <w:gridSpan w:val="5"/>
            <w:tcBorders>
              <w:bottom w:val="single" w:sz="4" w:space="0" w:color="002060"/>
            </w:tcBorders>
            <w:shd w:val="clear" w:color="auto" w:fill="auto"/>
            <w:noWrap/>
            <w:vAlign w:val="bottom"/>
            <w:hideMark/>
          </w:tcPr>
          <w:p w14:paraId="4B0E5E54" w14:textId="77777777" w:rsidR="007A7960" w:rsidRPr="007E770D" w:rsidRDefault="007A7960" w:rsidP="00D670D2">
            <w:pPr>
              <w:spacing w:after="0" w:line="240" w:lineRule="auto"/>
              <w:ind w:left="255"/>
              <w:jc w:val="center"/>
              <w:rPr>
                <w:rFonts w:cstheme="minorHAnsi"/>
                <w:color w:val="auto"/>
                <w:sz w:val="18"/>
                <w:lang w:val="sr-Cyrl-CS"/>
              </w:rPr>
            </w:pPr>
            <w:r w:rsidRPr="007E770D">
              <w:rPr>
                <w:b/>
                <w:color w:val="auto"/>
                <w:lang w:val="sr-Cyrl-CS"/>
              </w:rPr>
              <w:t>Табела 2. Макроекономске пројекције за подручје еврозоне, промена према истом периоду претходне године, %</w:t>
            </w:r>
          </w:p>
        </w:tc>
      </w:tr>
      <w:tr w:rsidR="007E770D" w:rsidRPr="007E770D" w14:paraId="1CE878E9" w14:textId="77777777" w:rsidTr="00D670D2">
        <w:trPr>
          <w:trHeight w:val="107"/>
        </w:trPr>
        <w:tc>
          <w:tcPr>
            <w:tcW w:w="2515" w:type="pct"/>
            <w:tcBorders>
              <w:top w:val="single" w:sz="4" w:space="0" w:color="002060"/>
            </w:tcBorders>
            <w:shd w:val="clear" w:color="auto" w:fill="auto"/>
            <w:noWrap/>
            <w:vAlign w:val="bottom"/>
          </w:tcPr>
          <w:p w14:paraId="682CB5A1" w14:textId="77777777" w:rsidR="007A7960" w:rsidRPr="007E770D" w:rsidRDefault="007A7960" w:rsidP="00D670D2">
            <w:pPr>
              <w:spacing w:after="0" w:line="240" w:lineRule="auto"/>
              <w:rPr>
                <w:rFonts w:ascii="Times New Roman" w:eastAsia="Times New Roman" w:hAnsi="Times New Roman" w:cs="Times New Roman"/>
                <w:color w:val="auto"/>
                <w:sz w:val="24"/>
                <w:szCs w:val="24"/>
                <w:lang w:val="sr-Cyrl-CS"/>
              </w:rPr>
            </w:pPr>
          </w:p>
        </w:tc>
        <w:tc>
          <w:tcPr>
            <w:tcW w:w="621" w:type="pct"/>
            <w:tcBorders>
              <w:top w:val="single" w:sz="4" w:space="0" w:color="002060"/>
              <w:bottom w:val="single" w:sz="4" w:space="0" w:color="002060"/>
            </w:tcBorders>
            <w:shd w:val="clear" w:color="auto" w:fill="auto"/>
            <w:noWrap/>
          </w:tcPr>
          <w:p w14:paraId="1640DABA"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2018</w:t>
            </w:r>
          </w:p>
        </w:tc>
        <w:tc>
          <w:tcPr>
            <w:tcW w:w="621" w:type="pct"/>
            <w:tcBorders>
              <w:top w:val="single" w:sz="4" w:space="0" w:color="002060"/>
              <w:bottom w:val="single" w:sz="4" w:space="0" w:color="002060"/>
            </w:tcBorders>
            <w:shd w:val="clear" w:color="auto" w:fill="auto"/>
            <w:noWrap/>
          </w:tcPr>
          <w:p w14:paraId="5113CC77"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2019</w:t>
            </w:r>
          </w:p>
        </w:tc>
        <w:tc>
          <w:tcPr>
            <w:tcW w:w="621" w:type="pct"/>
            <w:tcBorders>
              <w:top w:val="single" w:sz="4" w:space="0" w:color="002060"/>
              <w:bottom w:val="single" w:sz="4" w:space="0" w:color="002060"/>
            </w:tcBorders>
            <w:shd w:val="clear" w:color="auto" w:fill="auto"/>
            <w:noWrap/>
          </w:tcPr>
          <w:p w14:paraId="7F97C239"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2020</w:t>
            </w:r>
          </w:p>
        </w:tc>
        <w:tc>
          <w:tcPr>
            <w:tcW w:w="621" w:type="pct"/>
            <w:tcBorders>
              <w:top w:val="single" w:sz="4" w:space="0" w:color="002060"/>
              <w:bottom w:val="single" w:sz="4" w:space="0" w:color="002060"/>
            </w:tcBorders>
            <w:shd w:val="clear" w:color="auto" w:fill="auto"/>
            <w:noWrap/>
          </w:tcPr>
          <w:p w14:paraId="7C031278"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2021</w:t>
            </w:r>
          </w:p>
        </w:tc>
      </w:tr>
      <w:tr w:rsidR="007E770D" w:rsidRPr="007E770D" w14:paraId="02F56B67" w14:textId="77777777" w:rsidTr="00D670D2">
        <w:trPr>
          <w:trHeight w:val="300"/>
        </w:trPr>
        <w:tc>
          <w:tcPr>
            <w:tcW w:w="2515" w:type="pct"/>
            <w:shd w:val="clear" w:color="auto" w:fill="auto"/>
            <w:noWrap/>
            <w:vAlign w:val="bottom"/>
            <w:hideMark/>
          </w:tcPr>
          <w:p w14:paraId="1D734B1A" w14:textId="77777777" w:rsidR="007A7960" w:rsidRPr="007E770D" w:rsidRDefault="007A7960" w:rsidP="00D670D2">
            <w:pPr>
              <w:spacing w:after="0" w:line="240" w:lineRule="auto"/>
              <w:ind w:left="255" w:hanging="360"/>
              <w:rPr>
                <w:rFonts w:cstheme="minorHAnsi"/>
                <w:color w:val="auto"/>
                <w:sz w:val="18"/>
                <w:lang w:val="sr-Cyrl-CS"/>
              </w:rPr>
            </w:pPr>
            <w:r w:rsidRPr="007E770D">
              <w:rPr>
                <w:rFonts w:cstheme="minorHAnsi"/>
                <w:color w:val="auto"/>
                <w:sz w:val="18"/>
                <w:lang w:val="sr-Cyrl-CS"/>
              </w:rPr>
              <w:t>БДП</w:t>
            </w:r>
          </w:p>
        </w:tc>
        <w:tc>
          <w:tcPr>
            <w:tcW w:w="621" w:type="pct"/>
            <w:tcBorders>
              <w:top w:val="single" w:sz="4" w:space="0" w:color="002060"/>
            </w:tcBorders>
            <w:shd w:val="clear" w:color="auto" w:fill="auto"/>
            <w:noWrap/>
            <w:hideMark/>
          </w:tcPr>
          <w:p w14:paraId="6B14F0B8"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1,9</w:t>
            </w:r>
          </w:p>
        </w:tc>
        <w:tc>
          <w:tcPr>
            <w:tcW w:w="621" w:type="pct"/>
            <w:tcBorders>
              <w:top w:val="single" w:sz="4" w:space="0" w:color="002060"/>
            </w:tcBorders>
            <w:shd w:val="clear" w:color="auto" w:fill="FFFFFF" w:themeFill="background1"/>
            <w:noWrap/>
            <w:hideMark/>
          </w:tcPr>
          <w:p w14:paraId="1D63BF9A"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1,1</w:t>
            </w:r>
          </w:p>
        </w:tc>
        <w:tc>
          <w:tcPr>
            <w:tcW w:w="621" w:type="pct"/>
            <w:tcBorders>
              <w:top w:val="single" w:sz="4" w:space="0" w:color="002060"/>
            </w:tcBorders>
            <w:shd w:val="clear" w:color="auto" w:fill="auto"/>
            <w:noWrap/>
            <w:hideMark/>
          </w:tcPr>
          <w:p w14:paraId="16BA3B0F"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1,2</w:t>
            </w:r>
          </w:p>
        </w:tc>
        <w:tc>
          <w:tcPr>
            <w:tcW w:w="621" w:type="pct"/>
            <w:tcBorders>
              <w:top w:val="single" w:sz="4" w:space="0" w:color="002060"/>
            </w:tcBorders>
            <w:shd w:val="clear" w:color="auto" w:fill="auto"/>
            <w:noWrap/>
            <w:hideMark/>
          </w:tcPr>
          <w:p w14:paraId="01786633"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1,4</w:t>
            </w:r>
          </w:p>
        </w:tc>
      </w:tr>
      <w:tr w:rsidR="007E770D" w:rsidRPr="007E770D" w14:paraId="6B5C6D30" w14:textId="77777777" w:rsidTr="00D670D2">
        <w:trPr>
          <w:trHeight w:val="300"/>
        </w:trPr>
        <w:tc>
          <w:tcPr>
            <w:tcW w:w="2515" w:type="pct"/>
            <w:shd w:val="clear" w:color="auto" w:fill="auto"/>
            <w:noWrap/>
            <w:vAlign w:val="bottom"/>
            <w:hideMark/>
          </w:tcPr>
          <w:p w14:paraId="1C25FCBA" w14:textId="77777777" w:rsidR="007A7960" w:rsidRPr="007E770D" w:rsidRDefault="007A7960" w:rsidP="00D670D2">
            <w:pPr>
              <w:spacing w:after="0" w:line="240" w:lineRule="auto"/>
              <w:ind w:left="360" w:hanging="360"/>
              <w:rPr>
                <w:rFonts w:cstheme="minorHAnsi"/>
                <w:color w:val="auto"/>
                <w:sz w:val="18"/>
                <w:lang w:val="sr-Cyrl-CS"/>
              </w:rPr>
            </w:pPr>
            <w:r w:rsidRPr="007E770D">
              <w:rPr>
                <w:rFonts w:cstheme="minorHAnsi"/>
                <w:color w:val="auto"/>
                <w:sz w:val="18"/>
                <w:lang w:val="sr-Cyrl-CS"/>
              </w:rPr>
              <w:t>Лична потрошња</w:t>
            </w:r>
          </w:p>
        </w:tc>
        <w:tc>
          <w:tcPr>
            <w:tcW w:w="621" w:type="pct"/>
            <w:shd w:val="clear" w:color="auto" w:fill="auto"/>
            <w:noWrap/>
            <w:hideMark/>
          </w:tcPr>
          <w:p w14:paraId="785D3448"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1,4</w:t>
            </w:r>
          </w:p>
        </w:tc>
        <w:tc>
          <w:tcPr>
            <w:tcW w:w="621" w:type="pct"/>
            <w:shd w:val="clear" w:color="auto" w:fill="auto"/>
            <w:noWrap/>
            <w:hideMark/>
          </w:tcPr>
          <w:p w14:paraId="2AABB55E"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1,3</w:t>
            </w:r>
          </w:p>
        </w:tc>
        <w:tc>
          <w:tcPr>
            <w:tcW w:w="621" w:type="pct"/>
            <w:shd w:val="clear" w:color="auto" w:fill="auto"/>
            <w:noWrap/>
            <w:hideMark/>
          </w:tcPr>
          <w:p w14:paraId="1859951E"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1,3</w:t>
            </w:r>
          </w:p>
        </w:tc>
        <w:tc>
          <w:tcPr>
            <w:tcW w:w="621" w:type="pct"/>
            <w:shd w:val="clear" w:color="auto" w:fill="auto"/>
            <w:noWrap/>
            <w:hideMark/>
          </w:tcPr>
          <w:p w14:paraId="3FBA5BB1"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1,3</w:t>
            </w:r>
          </w:p>
        </w:tc>
      </w:tr>
      <w:tr w:rsidR="007E770D" w:rsidRPr="007E770D" w14:paraId="2FBF9EBF" w14:textId="77777777" w:rsidTr="00D670D2">
        <w:trPr>
          <w:trHeight w:val="300"/>
        </w:trPr>
        <w:tc>
          <w:tcPr>
            <w:tcW w:w="2515" w:type="pct"/>
            <w:shd w:val="clear" w:color="auto" w:fill="auto"/>
            <w:noWrap/>
            <w:vAlign w:val="bottom"/>
            <w:hideMark/>
          </w:tcPr>
          <w:p w14:paraId="53D5CD1D" w14:textId="77777777" w:rsidR="007A7960" w:rsidRPr="007E770D" w:rsidRDefault="007A7960" w:rsidP="00D670D2">
            <w:pPr>
              <w:spacing w:after="0" w:line="240" w:lineRule="auto"/>
              <w:ind w:left="360" w:hanging="360"/>
              <w:rPr>
                <w:rFonts w:cstheme="minorHAnsi"/>
                <w:color w:val="auto"/>
                <w:sz w:val="18"/>
                <w:lang w:val="sr-Cyrl-CS"/>
              </w:rPr>
            </w:pPr>
            <w:r w:rsidRPr="007E770D">
              <w:rPr>
                <w:rFonts w:cstheme="minorHAnsi"/>
                <w:color w:val="auto"/>
                <w:sz w:val="18"/>
                <w:lang w:val="sr-Cyrl-CS"/>
              </w:rPr>
              <w:t>Државна потрошња</w:t>
            </w:r>
          </w:p>
        </w:tc>
        <w:tc>
          <w:tcPr>
            <w:tcW w:w="621" w:type="pct"/>
            <w:shd w:val="clear" w:color="auto" w:fill="auto"/>
            <w:noWrap/>
            <w:hideMark/>
          </w:tcPr>
          <w:p w14:paraId="4C2AA2FB"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1,1</w:t>
            </w:r>
          </w:p>
        </w:tc>
        <w:tc>
          <w:tcPr>
            <w:tcW w:w="621" w:type="pct"/>
            <w:shd w:val="clear" w:color="auto" w:fill="auto"/>
            <w:noWrap/>
            <w:hideMark/>
          </w:tcPr>
          <w:p w14:paraId="1ABB6209"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1,5</w:t>
            </w:r>
          </w:p>
        </w:tc>
        <w:tc>
          <w:tcPr>
            <w:tcW w:w="621" w:type="pct"/>
            <w:shd w:val="clear" w:color="auto" w:fill="auto"/>
            <w:noWrap/>
            <w:hideMark/>
          </w:tcPr>
          <w:p w14:paraId="21ACA77F"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1,5</w:t>
            </w:r>
          </w:p>
        </w:tc>
        <w:tc>
          <w:tcPr>
            <w:tcW w:w="621" w:type="pct"/>
            <w:shd w:val="clear" w:color="auto" w:fill="auto"/>
            <w:noWrap/>
            <w:hideMark/>
          </w:tcPr>
          <w:p w14:paraId="77A27DC3"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1,4</w:t>
            </w:r>
          </w:p>
        </w:tc>
      </w:tr>
      <w:tr w:rsidR="007E770D" w:rsidRPr="007E770D" w14:paraId="0C085132" w14:textId="77777777" w:rsidTr="00D670D2">
        <w:trPr>
          <w:trHeight w:val="300"/>
        </w:trPr>
        <w:tc>
          <w:tcPr>
            <w:tcW w:w="2515" w:type="pct"/>
            <w:shd w:val="clear" w:color="auto" w:fill="auto"/>
            <w:noWrap/>
            <w:vAlign w:val="bottom"/>
            <w:hideMark/>
          </w:tcPr>
          <w:p w14:paraId="6539D76E" w14:textId="77777777" w:rsidR="007A7960" w:rsidRPr="007E770D" w:rsidRDefault="007A7960" w:rsidP="00D670D2">
            <w:pPr>
              <w:spacing w:after="0" w:line="240" w:lineRule="auto"/>
              <w:ind w:left="360" w:hanging="360"/>
              <w:rPr>
                <w:rFonts w:cstheme="minorHAnsi"/>
                <w:color w:val="auto"/>
                <w:sz w:val="18"/>
                <w:lang w:val="sr-Cyrl-CS"/>
              </w:rPr>
            </w:pPr>
            <w:r w:rsidRPr="007E770D">
              <w:rPr>
                <w:rFonts w:cstheme="minorHAnsi"/>
                <w:color w:val="auto"/>
                <w:sz w:val="18"/>
                <w:lang w:val="sr-Cyrl-CS"/>
              </w:rPr>
              <w:t>Бруто инвестиције у основне фондове</w:t>
            </w:r>
          </w:p>
        </w:tc>
        <w:tc>
          <w:tcPr>
            <w:tcW w:w="621" w:type="pct"/>
            <w:shd w:val="clear" w:color="auto" w:fill="auto"/>
            <w:noWrap/>
            <w:hideMark/>
          </w:tcPr>
          <w:p w14:paraId="770A9330"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2,3</w:t>
            </w:r>
          </w:p>
        </w:tc>
        <w:tc>
          <w:tcPr>
            <w:tcW w:w="621" w:type="pct"/>
            <w:shd w:val="clear" w:color="auto" w:fill="auto"/>
            <w:noWrap/>
            <w:hideMark/>
          </w:tcPr>
          <w:p w14:paraId="6BBD9EC8"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3,1</w:t>
            </w:r>
          </w:p>
        </w:tc>
        <w:tc>
          <w:tcPr>
            <w:tcW w:w="621" w:type="pct"/>
            <w:shd w:val="clear" w:color="auto" w:fill="auto"/>
            <w:noWrap/>
            <w:hideMark/>
          </w:tcPr>
          <w:p w14:paraId="648152B8"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1,9</w:t>
            </w:r>
          </w:p>
        </w:tc>
        <w:tc>
          <w:tcPr>
            <w:tcW w:w="621" w:type="pct"/>
            <w:shd w:val="clear" w:color="auto" w:fill="auto"/>
            <w:noWrap/>
            <w:hideMark/>
          </w:tcPr>
          <w:p w14:paraId="504F449E"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2,1</w:t>
            </w:r>
          </w:p>
        </w:tc>
      </w:tr>
      <w:tr w:rsidR="007E770D" w:rsidRPr="007E770D" w14:paraId="387C9838" w14:textId="77777777" w:rsidTr="00D670D2">
        <w:trPr>
          <w:trHeight w:val="300"/>
        </w:trPr>
        <w:tc>
          <w:tcPr>
            <w:tcW w:w="2515" w:type="pct"/>
            <w:shd w:val="clear" w:color="auto" w:fill="auto"/>
            <w:noWrap/>
            <w:vAlign w:val="bottom"/>
            <w:hideMark/>
          </w:tcPr>
          <w:p w14:paraId="361F9EF1" w14:textId="77777777" w:rsidR="007A7960" w:rsidRPr="007E770D" w:rsidRDefault="007A7960" w:rsidP="00D670D2">
            <w:pPr>
              <w:spacing w:after="0" w:line="240" w:lineRule="auto"/>
              <w:ind w:left="360" w:hanging="360"/>
              <w:rPr>
                <w:rFonts w:cstheme="minorHAnsi"/>
                <w:color w:val="auto"/>
                <w:sz w:val="18"/>
                <w:lang w:val="sr-Cyrl-CS"/>
              </w:rPr>
            </w:pPr>
            <w:r w:rsidRPr="007E770D">
              <w:rPr>
                <w:rFonts w:cstheme="minorHAnsi"/>
                <w:color w:val="auto"/>
                <w:sz w:val="18"/>
                <w:lang w:val="sr-Cyrl-CS"/>
              </w:rPr>
              <w:t>Извоз</w:t>
            </w:r>
          </w:p>
        </w:tc>
        <w:tc>
          <w:tcPr>
            <w:tcW w:w="621" w:type="pct"/>
            <w:shd w:val="clear" w:color="auto" w:fill="auto"/>
            <w:noWrap/>
            <w:hideMark/>
          </w:tcPr>
          <w:p w14:paraId="76214ABB"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3,5</w:t>
            </w:r>
          </w:p>
        </w:tc>
        <w:tc>
          <w:tcPr>
            <w:tcW w:w="621" w:type="pct"/>
            <w:shd w:val="clear" w:color="auto" w:fill="auto"/>
            <w:noWrap/>
            <w:hideMark/>
          </w:tcPr>
          <w:p w14:paraId="763CD733"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2,3</w:t>
            </w:r>
          </w:p>
        </w:tc>
        <w:tc>
          <w:tcPr>
            <w:tcW w:w="621" w:type="pct"/>
            <w:shd w:val="clear" w:color="auto" w:fill="auto"/>
            <w:noWrap/>
            <w:hideMark/>
          </w:tcPr>
          <w:p w14:paraId="1718B5B1"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2,4</w:t>
            </w:r>
          </w:p>
        </w:tc>
        <w:tc>
          <w:tcPr>
            <w:tcW w:w="621" w:type="pct"/>
            <w:shd w:val="clear" w:color="auto" w:fill="auto"/>
            <w:noWrap/>
            <w:hideMark/>
          </w:tcPr>
          <w:p w14:paraId="29FF0C03"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3,0</w:t>
            </w:r>
          </w:p>
        </w:tc>
      </w:tr>
      <w:tr w:rsidR="007E770D" w:rsidRPr="007E770D" w14:paraId="2DD3850C" w14:textId="77777777" w:rsidTr="00D670D2">
        <w:trPr>
          <w:trHeight w:val="300"/>
        </w:trPr>
        <w:tc>
          <w:tcPr>
            <w:tcW w:w="2515" w:type="pct"/>
            <w:shd w:val="clear" w:color="auto" w:fill="auto"/>
            <w:noWrap/>
            <w:vAlign w:val="bottom"/>
            <w:hideMark/>
          </w:tcPr>
          <w:p w14:paraId="1EE880FA" w14:textId="77777777" w:rsidR="007A7960" w:rsidRPr="007E770D" w:rsidRDefault="007A7960" w:rsidP="00D670D2">
            <w:pPr>
              <w:spacing w:after="0" w:line="240" w:lineRule="auto"/>
              <w:ind w:left="360" w:hanging="360"/>
              <w:rPr>
                <w:rFonts w:cstheme="minorHAnsi"/>
                <w:color w:val="auto"/>
                <w:sz w:val="18"/>
                <w:lang w:val="sr-Cyrl-CS"/>
              </w:rPr>
            </w:pPr>
            <w:r w:rsidRPr="007E770D">
              <w:rPr>
                <w:rFonts w:cstheme="minorHAnsi"/>
                <w:color w:val="auto"/>
                <w:sz w:val="18"/>
                <w:lang w:val="sr-Cyrl-CS"/>
              </w:rPr>
              <w:t>Увоз</w:t>
            </w:r>
          </w:p>
        </w:tc>
        <w:tc>
          <w:tcPr>
            <w:tcW w:w="621" w:type="pct"/>
            <w:shd w:val="clear" w:color="auto" w:fill="auto"/>
            <w:noWrap/>
            <w:hideMark/>
          </w:tcPr>
          <w:p w14:paraId="58A8A81F"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2,7</w:t>
            </w:r>
          </w:p>
        </w:tc>
        <w:tc>
          <w:tcPr>
            <w:tcW w:w="621" w:type="pct"/>
            <w:shd w:val="clear" w:color="auto" w:fill="auto"/>
            <w:noWrap/>
            <w:hideMark/>
          </w:tcPr>
          <w:p w14:paraId="59469B08"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2,6</w:t>
            </w:r>
          </w:p>
        </w:tc>
        <w:tc>
          <w:tcPr>
            <w:tcW w:w="621" w:type="pct"/>
            <w:shd w:val="clear" w:color="auto" w:fill="auto"/>
            <w:noWrap/>
            <w:hideMark/>
          </w:tcPr>
          <w:p w14:paraId="04B65FB8"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3,1</w:t>
            </w:r>
          </w:p>
        </w:tc>
        <w:tc>
          <w:tcPr>
            <w:tcW w:w="621" w:type="pct"/>
            <w:shd w:val="clear" w:color="auto" w:fill="auto"/>
            <w:noWrap/>
            <w:hideMark/>
          </w:tcPr>
          <w:p w14:paraId="6382D934"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3,4</w:t>
            </w:r>
          </w:p>
        </w:tc>
      </w:tr>
      <w:tr w:rsidR="007E770D" w:rsidRPr="007E770D" w14:paraId="420F7C98" w14:textId="77777777" w:rsidTr="00D670D2">
        <w:trPr>
          <w:trHeight w:val="300"/>
        </w:trPr>
        <w:tc>
          <w:tcPr>
            <w:tcW w:w="2515" w:type="pct"/>
            <w:shd w:val="clear" w:color="auto" w:fill="auto"/>
            <w:noWrap/>
            <w:vAlign w:val="bottom"/>
            <w:hideMark/>
          </w:tcPr>
          <w:p w14:paraId="26A3D914" w14:textId="77777777" w:rsidR="007A7960" w:rsidRPr="007E770D" w:rsidRDefault="007A7960" w:rsidP="00D670D2">
            <w:pPr>
              <w:spacing w:after="0" w:line="240" w:lineRule="auto"/>
              <w:ind w:left="255" w:hanging="360"/>
              <w:rPr>
                <w:rFonts w:cstheme="minorHAnsi"/>
                <w:color w:val="auto"/>
                <w:sz w:val="18"/>
                <w:lang w:val="sr-Cyrl-CS"/>
              </w:rPr>
            </w:pPr>
            <w:r w:rsidRPr="007E770D">
              <w:rPr>
                <w:rFonts w:cstheme="minorHAnsi"/>
                <w:color w:val="auto"/>
                <w:sz w:val="18"/>
                <w:lang w:val="sr-Cyrl-CS"/>
              </w:rPr>
              <w:t>Запосленост</w:t>
            </w:r>
          </w:p>
        </w:tc>
        <w:tc>
          <w:tcPr>
            <w:tcW w:w="621" w:type="pct"/>
            <w:shd w:val="clear" w:color="auto" w:fill="auto"/>
            <w:noWrap/>
            <w:hideMark/>
          </w:tcPr>
          <w:p w14:paraId="76CBA52F"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1,5</w:t>
            </w:r>
          </w:p>
        </w:tc>
        <w:tc>
          <w:tcPr>
            <w:tcW w:w="621" w:type="pct"/>
            <w:shd w:val="clear" w:color="auto" w:fill="auto"/>
            <w:noWrap/>
            <w:hideMark/>
          </w:tcPr>
          <w:p w14:paraId="7D8D02DE"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1,1</w:t>
            </w:r>
          </w:p>
        </w:tc>
        <w:tc>
          <w:tcPr>
            <w:tcW w:w="621" w:type="pct"/>
            <w:shd w:val="clear" w:color="auto" w:fill="auto"/>
            <w:noWrap/>
            <w:hideMark/>
          </w:tcPr>
          <w:p w14:paraId="25B3F629"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0,5</w:t>
            </w:r>
          </w:p>
        </w:tc>
        <w:tc>
          <w:tcPr>
            <w:tcW w:w="621" w:type="pct"/>
            <w:shd w:val="clear" w:color="auto" w:fill="auto"/>
            <w:noWrap/>
            <w:hideMark/>
          </w:tcPr>
          <w:p w14:paraId="03F751F3"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0,5</w:t>
            </w:r>
          </w:p>
        </w:tc>
      </w:tr>
      <w:tr w:rsidR="007E770D" w:rsidRPr="007E770D" w14:paraId="440787E7" w14:textId="77777777" w:rsidTr="00D670D2">
        <w:trPr>
          <w:trHeight w:val="300"/>
        </w:trPr>
        <w:tc>
          <w:tcPr>
            <w:tcW w:w="2515" w:type="pct"/>
            <w:shd w:val="clear" w:color="auto" w:fill="auto"/>
            <w:noWrap/>
            <w:vAlign w:val="bottom"/>
            <w:hideMark/>
          </w:tcPr>
          <w:p w14:paraId="672B983A" w14:textId="77777777" w:rsidR="007A7960" w:rsidRPr="007E770D" w:rsidRDefault="007A7960" w:rsidP="00D670D2">
            <w:pPr>
              <w:spacing w:after="0" w:line="240" w:lineRule="auto"/>
              <w:ind w:left="255" w:hanging="360"/>
              <w:rPr>
                <w:rFonts w:cstheme="minorHAnsi"/>
                <w:color w:val="auto"/>
                <w:sz w:val="18"/>
                <w:lang w:val="sr-Cyrl-CS"/>
              </w:rPr>
            </w:pPr>
            <w:r w:rsidRPr="007E770D">
              <w:rPr>
                <w:rFonts w:cstheme="minorHAnsi"/>
                <w:color w:val="auto"/>
                <w:sz w:val="18"/>
                <w:lang w:val="sr-Cyrl-CS"/>
              </w:rPr>
              <w:t>Стопа незапослености</w:t>
            </w:r>
          </w:p>
        </w:tc>
        <w:tc>
          <w:tcPr>
            <w:tcW w:w="621" w:type="pct"/>
            <w:shd w:val="clear" w:color="auto" w:fill="auto"/>
            <w:noWrap/>
            <w:hideMark/>
          </w:tcPr>
          <w:p w14:paraId="0E7BCE14"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8,2</w:t>
            </w:r>
          </w:p>
        </w:tc>
        <w:tc>
          <w:tcPr>
            <w:tcW w:w="621" w:type="pct"/>
            <w:shd w:val="clear" w:color="auto" w:fill="auto"/>
            <w:noWrap/>
            <w:hideMark/>
          </w:tcPr>
          <w:p w14:paraId="3E9D830C"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7,7</w:t>
            </w:r>
          </w:p>
        </w:tc>
        <w:tc>
          <w:tcPr>
            <w:tcW w:w="621" w:type="pct"/>
            <w:shd w:val="clear" w:color="auto" w:fill="auto"/>
            <w:noWrap/>
            <w:hideMark/>
          </w:tcPr>
          <w:p w14:paraId="3BB93C86"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7,5</w:t>
            </w:r>
          </w:p>
        </w:tc>
        <w:tc>
          <w:tcPr>
            <w:tcW w:w="621" w:type="pct"/>
            <w:shd w:val="clear" w:color="auto" w:fill="auto"/>
            <w:noWrap/>
            <w:hideMark/>
          </w:tcPr>
          <w:p w14:paraId="4C53C05D"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7,3</w:t>
            </w:r>
          </w:p>
        </w:tc>
      </w:tr>
      <w:tr w:rsidR="007E770D" w:rsidRPr="007E770D" w14:paraId="683CD5B9" w14:textId="77777777" w:rsidTr="00D670D2">
        <w:trPr>
          <w:trHeight w:val="300"/>
        </w:trPr>
        <w:tc>
          <w:tcPr>
            <w:tcW w:w="2515" w:type="pct"/>
            <w:shd w:val="clear" w:color="auto" w:fill="auto"/>
            <w:noWrap/>
            <w:vAlign w:val="bottom"/>
            <w:hideMark/>
          </w:tcPr>
          <w:p w14:paraId="6FF573C5" w14:textId="77777777" w:rsidR="007A7960" w:rsidRPr="007E770D" w:rsidRDefault="007A7960" w:rsidP="00D670D2">
            <w:pPr>
              <w:spacing w:after="0" w:line="240" w:lineRule="auto"/>
              <w:ind w:left="255" w:hanging="360"/>
              <w:rPr>
                <w:rFonts w:cstheme="minorHAnsi"/>
                <w:color w:val="auto"/>
                <w:sz w:val="18"/>
                <w:lang w:val="sr-Cyrl-CS"/>
              </w:rPr>
            </w:pPr>
            <w:r w:rsidRPr="007E770D">
              <w:rPr>
                <w:rFonts w:cstheme="minorHAnsi"/>
                <w:color w:val="auto"/>
                <w:sz w:val="18"/>
                <w:lang w:val="sr-Cyrl-CS"/>
              </w:rPr>
              <w:t>Инфлација</w:t>
            </w:r>
          </w:p>
        </w:tc>
        <w:tc>
          <w:tcPr>
            <w:tcW w:w="621" w:type="pct"/>
            <w:shd w:val="clear" w:color="auto" w:fill="auto"/>
            <w:noWrap/>
            <w:vAlign w:val="center"/>
            <w:hideMark/>
          </w:tcPr>
          <w:p w14:paraId="36673804"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1,8</w:t>
            </w:r>
          </w:p>
        </w:tc>
        <w:tc>
          <w:tcPr>
            <w:tcW w:w="621" w:type="pct"/>
            <w:shd w:val="clear" w:color="auto" w:fill="auto"/>
            <w:noWrap/>
            <w:vAlign w:val="center"/>
            <w:hideMark/>
          </w:tcPr>
          <w:p w14:paraId="30DCB736"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1,2</w:t>
            </w:r>
          </w:p>
        </w:tc>
        <w:tc>
          <w:tcPr>
            <w:tcW w:w="621" w:type="pct"/>
            <w:shd w:val="clear" w:color="auto" w:fill="auto"/>
            <w:noWrap/>
            <w:vAlign w:val="center"/>
            <w:hideMark/>
          </w:tcPr>
          <w:p w14:paraId="1E6D7094"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1,0</w:t>
            </w:r>
          </w:p>
        </w:tc>
        <w:tc>
          <w:tcPr>
            <w:tcW w:w="621" w:type="pct"/>
            <w:shd w:val="clear" w:color="auto" w:fill="auto"/>
            <w:noWrap/>
            <w:vAlign w:val="center"/>
            <w:hideMark/>
          </w:tcPr>
          <w:p w14:paraId="6784AF10"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1,5</w:t>
            </w:r>
          </w:p>
        </w:tc>
      </w:tr>
      <w:tr w:rsidR="007E770D" w:rsidRPr="007E770D" w14:paraId="1F381F2C" w14:textId="77777777" w:rsidTr="00D670D2">
        <w:trPr>
          <w:trHeight w:val="300"/>
        </w:trPr>
        <w:tc>
          <w:tcPr>
            <w:tcW w:w="2515" w:type="pct"/>
            <w:shd w:val="clear" w:color="auto" w:fill="auto"/>
            <w:noWrap/>
            <w:vAlign w:val="bottom"/>
            <w:hideMark/>
          </w:tcPr>
          <w:p w14:paraId="00DFFD0B" w14:textId="77777777" w:rsidR="007A7960" w:rsidRPr="007E770D" w:rsidRDefault="007A7960" w:rsidP="00D670D2">
            <w:pPr>
              <w:spacing w:after="0" w:line="240" w:lineRule="auto"/>
              <w:ind w:left="255" w:hanging="360"/>
              <w:rPr>
                <w:rFonts w:cstheme="minorHAnsi"/>
                <w:color w:val="auto"/>
                <w:sz w:val="18"/>
                <w:lang w:val="sr-Cyrl-CS"/>
              </w:rPr>
            </w:pPr>
            <w:r w:rsidRPr="007E770D">
              <w:rPr>
                <w:rFonts w:cstheme="minorHAnsi"/>
                <w:color w:val="auto"/>
                <w:sz w:val="18"/>
                <w:lang w:val="sr-Cyrl-CS"/>
              </w:rPr>
              <w:t>Јединични трошкови рада</w:t>
            </w:r>
          </w:p>
        </w:tc>
        <w:tc>
          <w:tcPr>
            <w:tcW w:w="621" w:type="pct"/>
            <w:shd w:val="clear" w:color="auto" w:fill="auto"/>
            <w:noWrap/>
            <w:vAlign w:val="center"/>
            <w:hideMark/>
          </w:tcPr>
          <w:p w14:paraId="2BFB3283"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1,7</w:t>
            </w:r>
          </w:p>
        </w:tc>
        <w:tc>
          <w:tcPr>
            <w:tcW w:w="621" w:type="pct"/>
            <w:shd w:val="clear" w:color="auto" w:fill="auto"/>
            <w:noWrap/>
            <w:vAlign w:val="center"/>
            <w:hideMark/>
          </w:tcPr>
          <w:p w14:paraId="5ECDA92D"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2,1</w:t>
            </w:r>
          </w:p>
        </w:tc>
        <w:tc>
          <w:tcPr>
            <w:tcW w:w="621" w:type="pct"/>
            <w:shd w:val="clear" w:color="auto" w:fill="auto"/>
            <w:noWrap/>
            <w:vAlign w:val="center"/>
            <w:hideMark/>
          </w:tcPr>
          <w:p w14:paraId="12E003AC"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1,7</w:t>
            </w:r>
          </w:p>
        </w:tc>
        <w:tc>
          <w:tcPr>
            <w:tcW w:w="621" w:type="pct"/>
            <w:shd w:val="clear" w:color="auto" w:fill="auto"/>
            <w:noWrap/>
            <w:vAlign w:val="center"/>
            <w:hideMark/>
          </w:tcPr>
          <w:p w14:paraId="36F990E3"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1,5</w:t>
            </w:r>
          </w:p>
        </w:tc>
      </w:tr>
      <w:tr w:rsidR="007E770D" w:rsidRPr="007E770D" w14:paraId="76154EA9" w14:textId="77777777" w:rsidTr="00D670D2">
        <w:trPr>
          <w:trHeight w:val="300"/>
        </w:trPr>
        <w:tc>
          <w:tcPr>
            <w:tcW w:w="2515" w:type="pct"/>
            <w:shd w:val="clear" w:color="auto" w:fill="auto"/>
            <w:noWrap/>
            <w:vAlign w:val="bottom"/>
            <w:hideMark/>
          </w:tcPr>
          <w:p w14:paraId="47109222" w14:textId="77777777" w:rsidR="007A7960" w:rsidRPr="007E770D" w:rsidRDefault="007A7960" w:rsidP="00D670D2">
            <w:pPr>
              <w:spacing w:after="0" w:line="240" w:lineRule="auto"/>
              <w:ind w:left="255" w:hanging="360"/>
              <w:rPr>
                <w:rFonts w:cstheme="minorHAnsi"/>
                <w:color w:val="auto"/>
                <w:sz w:val="18"/>
                <w:lang w:val="sr-Cyrl-CS"/>
              </w:rPr>
            </w:pPr>
            <w:r w:rsidRPr="007E770D">
              <w:rPr>
                <w:rFonts w:cstheme="minorHAnsi"/>
                <w:color w:val="auto"/>
                <w:sz w:val="18"/>
                <w:lang w:val="sr-Cyrl-CS"/>
              </w:rPr>
              <w:t>Фискални резултат опште државе, % БДП</w:t>
            </w:r>
          </w:p>
        </w:tc>
        <w:tc>
          <w:tcPr>
            <w:tcW w:w="621" w:type="pct"/>
            <w:shd w:val="clear" w:color="auto" w:fill="auto"/>
            <w:noWrap/>
            <w:hideMark/>
          </w:tcPr>
          <w:p w14:paraId="61C2F033"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-0,5</w:t>
            </w:r>
          </w:p>
        </w:tc>
        <w:tc>
          <w:tcPr>
            <w:tcW w:w="621" w:type="pct"/>
            <w:shd w:val="clear" w:color="auto" w:fill="auto"/>
            <w:noWrap/>
            <w:hideMark/>
          </w:tcPr>
          <w:p w14:paraId="0E85CA2B"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-0,8</w:t>
            </w:r>
          </w:p>
        </w:tc>
        <w:tc>
          <w:tcPr>
            <w:tcW w:w="621" w:type="pct"/>
            <w:shd w:val="clear" w:color="auto" w:fill="auto"/>
            <w:noWrap/>
            <w:hideMark/>
          </w:tcPr>
          <w:p w14:paraId="3DA98DD7"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-0,8</w:t>
            </w:r>
          </w:p>
        </w:tc>
        <w:tc>
          <w:tcPr>
            <w:tcW w:w="621" w:type="pct"/>
            <w:shd w:val="clear" w:color="auto" w:fill="auto"/>
            <w:noWrap/>
            <w:hideMark/>
          </w:tcPr>
          <w:p w14:paraId="2CB3501E"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-1,0</w:t>
            </w:r>
          </w:p>
        </w:tc>
      </w:tr>
      <w:tr w:rsidR="007E770D" w:rsidRPr="007E770D" w14:paraId="5C414BB0" w14:textId="77777777" w:rsidTr="00D670D2">
        <w:trPr>
          <w:trHeight w:val="300"/>
        </w:trPr>
        <w:tc>
          <w:tcPr>
            <w:tcW w:w="2515" w:type="pct"/>
            <w:shd w:val="clear" w:color="auto" w:fill="auto"/>
            <w:noWrap/>
            <w:vAlign w:val="bottom"/>
            <w:hideMark/>
          </w:tcPr>
          <w:p w14:paraId="2A779957" w14:textId="77777777" w:rsidR="007A7960" w:rsidRPr="007E770D" w:rsidRDefault="007A7960" w:rsidP="00D670D2">
            <w:pPr>
              <w:spacing w:after="0" w:line="240" w:lineRule="auto"/>
              <w:ind w:left="255" w:hanging="360"/>
              <w:rPr>
                <w:rFonts w:cstheme="minorHAnsi"/>
                <w:color w:val="auto"/>
                <w:sz w:val="18"/>
                <w:lang w:val="sr-Cyrl-CS"/>
              </w:rPr>
            </w:pPr>
            <w:r w:rsidRPr="007E770D">
              <w:rPr>
                <w:rFonts w:cstheme="minorHAnsi"/>
                <w:color w:val="auto"/>
                <w:sz w:val="18"/>
                <w:lang w:val="sr-Cyrl-CS"/>
              </w:rPr>
              <w:t>Бруто дуг опште државе, % БДП</w:t>
            </w:r>
          </w:p>
        </w:tc>
        <w:tc>
          <w:tcPr>
            <w:tcW w:w="621" w:type="pct"/>
            <w:shd w:val="clear" w:color="auto" w:fill="auto"/>
            <w:noWrap/>
            <w:vAlign w:val="center"/>
            <w:hideMark/>
          </w:tcPr>
          <w:p w14:paraId="49426078"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85,4</w:t>
            </w:r>
          </w:p>
        </w:tc>
        <w:tc>
          <w:tcPr>
            <w:tcW w:w="621" w:type="pct"/>
            <w:shd w:val="clear" w:color="auto" w:fill="auto"/>
            <w:noWrap/>
            <w:vAlign w:val="center"/>
            <w:hideMark/>
          </w:tcPr>
          <w:p w14:paraId="127BA879"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83,8</w:t>
            </w:r>
          </w:p>
        </w:tc>
        <w:tc>
          <w:tcPr>
            <w:tcW w:w="621" w:type="pct"/>
            <w:shd w:val="clear" w:color="auto" w:fill="auto"/>
            <w:noWrap/>
            <w:vAlign w:val="center"/>
            <w:hideMark/>
          </w:tcPr>
          <w:p w14:paraId="2CFAEB5F"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82,5</w:t>
            </w:r>
          </w:p>
        </w:tc>
        <w:tc>
          <w:tcPr>
            <w:tcW w:w="621" w:type="pct"/>
            <w:shd w:val="clear" w:color="auto" w:fill="auto"/>
            <w:noWrap/>
            <w:vAlign w:val="center"/>
            <w:hideMark/>
          </w:tcPr>
          <w:p w14:paraId="312464F1"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81,2</w:t>
            </w:r>
          </w:p>
        </w:tc>
      </w:tr>
      <w:tr w:rsidR="007E770D" w:rsidRPr="007E770D" w14:paraId="02BBA5A2" w14:textId="77777777" w:rsidTr="00D670D2">
        <w:trPr>
          <w:trHeight w:val="300"/>
        </w:trPr>
        <w:tc>
          <w:tcPr>
            <w:tcW w:w="2515" w:type="pct"/>
            <w:tcBorders>
              <w:bottom w:val="single" w:sz="4" w:space="0" w:color="002060"/>
            </w:tcBorders>
            <w:shd w:val="clear" w:color="auto" w:fill="auto"/>
            <w:noWrap/>
            <w:vAlign w:val="bottom"/>
            <w:hideMark/>
          </w:tcPr>
          <w:p w14:paraId="50018C7B" w14:textId="77777777" w:rsidR="007A7960" w:rsidRPr="007E770D" w:rsidRDefault="007A7960" w:rsidP="00D670D2">
            <w:pPr>
              <w:spacing w:after="0" w:line="240" w:lineRule="auto"/>
              <w:ind w:left="255" w:hanging="360"/>
              <w:rPr>
                <w:rFonts w:cstheme="minorHAnsi"/>
                <w:color w:val="auto"/>
                <w:sz w:val="18"/>
                <w:lang w:val="sr-Cyrl-CS"/>
              </w:rPr>
            </w:pPr>
            <w:r w:rsidRPr="007E770D">
              <w:rPr>
                <w:rFonts w:cstheme="minorHAnsi"/>
                <w:color w:val="auto"/>
                <w:sz w:val="18"/>
                <w:lang w:val="sr-Cyrl-CS"/>
              </w:rPr>
              <w:t>Салдо текућег рачуна, %БДП</w:t>
            </w:r>
          </w:p>
        </w:tc>
        <w:tc>
          <w:tcPr>
            <w:tcW w:w="621" w:type="pct"/>
            <w:tcBorders>
              <w:bottom w:val="single" w:sz="4" w:space="0" w:color="002060"/>
            </w:tcBorders>
            <w:shd w:val="clear" w:color="auto" w:fill="auto"/>
            <w:noWrap/>
            <w:vAlign w:val="center"/>
            <w:hideMark/>
          </w:tcPr>
          <w:p w14:paraId="667739F3"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2,9</w:t>
            </w:r>
          </w:p>
        </w:tc>
        <w:tc>
          <w:tcPr>
            <w:tcW w:w="621" w:type="pct"/>
            <w:tcBorders>
              <w:bottom w:val="single" w:sz="4" w:space="0" w:color="002060"/>
            </w:tcBorders>
            <w:shd w:val="clear" w:color="auto" w:fill="auto"/>
            <w:noWrap/>
            <w:vAlign w:val="center"/>
            <w:hideMark/>
          </w:tcPr>
          <w:p w14:paraId="06F7155E"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2,6</w:t>
            </w:r>
          </w:p>
        </w:tc>
        <w:tc>
          <w:tcPr>
            <w:tcW w:w="621" w:type="pct"/>
            <w:tcBorders>
              <w:bottom w:val="single" w:sz="4" w:space="0" w:color="002060"/>
            </w:tcBorders>
            <w:shd w:val="clear" w:color="auto" w:fill="auto"/>
            <w:noWrap/>
            <w:vAlign w:val="center"/>
            <w:hideMark/>
          </w:tcPr>
          <w:p w14:paraId="4FFB74D0"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2,4</w:t>
            </w:r>
          </w:p>
        </w:tc>
        <w:tc>
          <w:tcPr>
            <w:tcW w:w="621" w:type="pct"/>
            <w:tcBorders>
              <w:bottom w:val="single" w:sz="4" w:space="0" w:color="002060"/>
            </w:tcBorders>
            <w:shd w:val="clear" w:color="auto" w:fill="auto"/>
            <w:noWrap/>
            <w:vAlign w:val="center"/>
            <w:hideMark/>
          </w:tcPr>
          <w:p w14:paraId="7CBD3C35" w14:textId="77777777" w:rsidR="007A7960" w:rsidRPr="007E770D" w:rsidRDefault="007A7960" w:rsidP="00D670D2">
            <w:pPr>
              <w:spacing w:after="0" w:line="240" w:lineRule="auto"/>
              <w:ind w:left="255"/>
              <w:jc w:val="center"/>
              <w:rPr>
                <w:rFonts w:cstheme="minorHAnsi"/>
                <w:color w:val="auto"/>
                <w:sz w:val="18"/>
                <w:lang w:val="sr-Cyrl-CS"/>
              </w:rPr>
            </w:pPr>
            <w:r w:rsidRPr="007E770D">
              <w:rPr>
                <w:rFonts w:cstheme="minorHAnsi"/>
                <w:color w:val="auto"/>
                <w:sz w:val="18"/>
                <w:lang w:val="sr-Cyrl-CS"/>
              </w:rPr>
              <w:t>2,3</w:t>
            </w:r>
          </w:p>
        </w:tc>
      </w:tr>
    </w:tbl>
    <w:p w14:paraId="73CDEC60" w14:textId="77777777" w:rsidR="007A7960" w:rsidRPr="007E770D" w:rsidRDefault="007A7960" w:rsidP="00D670D2">
      <w:pPr>
        <w:spacing w:before="40"/>
        <w:rPr>
          <w:rFonts w:cstheme="minorHAnsi"/>
          <w:bCs/>
          <w:color w:val="auto"/>
          <w:szCs w:val="72"/>
          <w:lang w:val="sr-Cyrl-CS"/>
        </w:rPr>
        <w:sectPr w:rsidR="007A7960" w:rsidRPr="007E770D" w:rsidSect="00C75D50">
          <w:type w:val="continuous"/>
          <w:pgSz w:w="12240" w:h="15840"/>
          <w:pgMar w:top="1440" w:right="1440" w:bottom="1440" w:left="1440" w:header="720" w:footer="720" w:gutter="0"/>
          <w:cols w:space="720"/>
          <w:docGrid w:linePitch="360"/>
        </w:sectPr>
      </w:pPr>
      <w:r w:rsidRPr="007E770D">
        <w:rPr>
          <w:rFonts w:cstheme="minorHAnsi"/>
          <w:bCs/>
          <w:color w:val="auto"/>
          <w:sz w:val="16"/>
          <w:szCs w:val="72"/>
          <w:lang w:val="sr-Cyrl-CS"/>
        </w:rPr>
        <w:t>Извор: Макроекономске пројекције стручњака ЕЦБ за подручје еврозоне, септембар 2019.</w:t>
      </w:r>
    </w:p>
    <w:p w14:paraId="3DF20561" w14:textId="77777777" w:rsidR="007A7960" w:rsidRPr="007E770D" w:rsidRDefault="007A7960" w:rsidP="00D670D2">
      <w:pPr>
        <w:spacing w:after="120" w:line="276" w:lineRule="auto"/>
        <w:rPr>
          <w:rFonts w:cstheme="minorHAnsi"/>
          <w:bCs/>
          <w:color w:val="auto"/>
          <w:szCs w:val="72"/>
          <w:lang w:val="sr-Cyrl-CS"/>
        </w:rPr>
      </w:pPr>
      <w:r w:rsidRPr="007E770D">
        <w:rPr>
          <w:rFonts w:cstheme="minorHAnsi"/>
          <w:bCs/>
          <w:color w:val="auto"/>
          <w:szCs w:val="72"/>
          <w:lang w:val="sr-Cyrl-CS"/>
        </w:rPr>
        <w:t>Очекује се умеренији раст радне снаге имајући у виду пројектоване нето имиграције радника, очекивану интеграцију избеглица и стални раст стопе активности. Предвиђа се да ће се стопа незапослености незнатно смањити са 7,6% у другом кварталу 2019. године (што је најнижа стопа од 2008. године) на 7,3% у 2021. години. Раст запослености ће бити ограничен, делимично услед привремених краткорочних ефеката, а затим и услед недостатака радне снаге у неким земљама. Након успоравања у 2018. години, очекује се да ће продуктивност рада полако достићи раст од 0.9% до 2021. године, што је блиско резултатима из преткризног периода.</w:t>
      </w:r>
    </w:p>
    <w:p w14:paraId="08C53761" w14:textId="3FB35111" w:rsidR="007A7960" w:rsidRPr="007E770D" w:rsidRDefault="007A7960" w:rsidP="00D670D2">
      <w:pPr>
        <w:spacing w:after="120" w:line="276" w:lineRule="auto"/>
        <w:rPr>
          <w:rFonts w:cstheme="minorHAnsi"/>
          <w:bCs/>
          <w:color w:val="auto"/>
          <w:szCs w:val="72"/>
          <w:lang w:val="sr-Cyrl-CS"/>
        </w:rPr>
      </w:pPr>
      <w:r w:rsidRPr="007E770D">
        <w:rPr>
          <w:rFonts w:cstheme="minorHAnsi"/>
          <w:bCs/>
          <w:color w:val="auto"/>
          <w:szCs w:val="72"/>
          <w:lang w:val="sr-Cyrl-CS"/>
        </w:rPr>
        <w:t xml:space="preserve">Предвиђа се да ће просечна стопа инфлације благо опасти са 1,2% у 2019. години на 1,0% у 2020. години, а затим ће у 2021. години достићи 1,5%. </w:t>
      </w:r>
      <w:r w:rsidRPr="007E770D">
        <w:rPr>
          <w:rFonts w:cstheme="minorHAnsi"/>
          <w:bCs/>
          <w:color w:val="auto"/>
          <w:szCs w:val="72"/>
          <w:lang w:val="sr-Cyrl-CS"/>
        </w:rPr>
        <w:t xml:space="preserve">Инфлација ће бити нестабилна и прилично ниска до друге половине 2020. године, углавном због утицаја цена нафте, базног ефекта и нижих цена електричне енергије и гаса. Са стабилизацијом цене нафте и уз пораст цена хране, очекује се и раст инфлације почетком 2021. године, који ће бити потпомогнут и растом базне инфлације од 1,5%. Очекује се релативно снажан раст зарада услед велике потражње за радном снагом у неким деловима Европске </w:t>
      </w:r>
      <w:r w:rsidR="00E07FF8" w:rsidRPr="007E770D">
        <w:rPr>
          <w:rFonts w:cstheme="minorHAnsi"/>
          <w:bCs/>
          <w:color w:val="auto"/>
          <w:szCs w:val="72"/>
          <w:lang w:val="sr-Cyrl-CS"/>
        </w:rPr>
        <w:t>уније</w:t>
      </w:r>
      <w:r w:rsidRPr="007E770D">
        <w:rPr>
          <w:rFonts w:cstheme="minorHAnsi"/>
          <w:bCs/>
          <w:color w:val="auto"/>
          <w:szCs w:val="72"/>
          <w:lang w:val="sr-Cyrl-CS"/>
        </w:rPr>
        <w:t>, раста инфлације током претходне две године који се у неким земљама узима као корективни фактор при формулисању плата, као и услед повећања минималне цене рада. Профитне марже ће током пројекцијског периода бити нешто више него током 2018, услед слабљења ефеката насталих због раста цена нафте и јединичних трошкова рада.</w:t>
      </w:r>
    </w:p>
    <w:p w14:paraId="10EA2F40" w14:textId="77777777" w:rsidR="007A7960" w:rsidRPr="007E770D" w:rsidRDefault="007A7960" w:rsidP="00D670D2">
      <w:pPr>
        <w:rPr>
          <w:rFonts w:cstheme="minorHAnsi"/>
          <w:bCs/>
          <w:color w:val="auto"/>
          <w:szCs w:val="72"/>
          <w:lang w:val="sr-Cyrl-CS"/>
        </w:rPr>
        <w:sectPr w:rsidR="007A7960" w:rsidRPr="007E770D" w:rsidSect="00D670D2">
          <w:headerReference w:type="default" r:id="rId38"/>
          <w:footerReference w:type="default" r:id="rId39"/>
          <w:type w:val="continuous"/>
          <w:pgSz w:w="12240" w:h="15840"/>
          <w:pgMar w:top="1440" w:right="1440" w:bottom="1440" w:left="1440" w:header="720" w:footer="720" w:gutter="0"/>
          <w:cols w:num="2" w:space="720"/>
          <w:docGrid w:linePitch="360"/>
        </w:sectPr>
      </w:pPr>
      <w:r w:rsidRPr="007E770D">
        <w:rPr>
          <w:rFonts w:cstheme="minorHAnsi"/>
          <w:bCs/>
          <w:color w:val="auto"/>
          <w:szCs w:val="72"/>
          <w:lang w:val="sr-Cyrl-CS"/>
        </w:rPr>
        <w:lastRenderedPageBreak/>
        <w:t xml:space="preserve">Пројекцијом је предвиђено да фискална политика буде благо експанзивна током целокупног пројектованог периода. Током 2019. године смањење директних пореза и повећање државне потрошње ће довести до блаже експанзије фискалне политике, док се за 2020. и 2021. годину очекује нешто веће фискално попуштање даљим </w:t>
      </w:r>
      <w:r w:rsidRPr="007E770D">
        <w:rPr>
          <w:rFonts w:cstheme="minorHAnsi"/>
          <w:bCs/>
          <w:color w:val="auto"/>
          <w:szCs w:val="72"/>
          <w:lang w:val="sr-Cyrl-CS"/>
        </w:rPr>
        <w:t>смањивањем пореза. Доћи ће до благог повећања фискалног дефицита услед експанзивности у средњорочном периоду, док би јавни дуг требало да се нађе на силазној путањи захваљујући повољним каматним разликама и примарном суфициту.</w:t>
      </w:r>
    </w:p>
    <w:p w14:paraId="37C5136B" w14:textId="77777777" w:rsidR="007A7960" w:rsidRPr="007E770D" w:rsidRDefault="007A7960" w:rsidP="007A7960">
      <w:pPr>
        <w:rPr>
          <w:color w:val="auto"/>
          <w:highlight w:val="red"/>
          <w:lang w:val="sr-Cyrl-CS"/>
        </w:rPr>
      </w:pPr>
    </w:p>
    <w:p w14:paraId="6A32DEEC" w14:textId="77777777" w:rsidR="007A7960" w:rsidRPr="007E770D" w:rsidRDefault="007A7960" w:rsidP="007A7960">
      <w:pPr>
        <w:rPr>
          <w:color w:val="auto"/>
          <w:highlight w:val="red"/>
          <w:lang w:val="sr-Cyrl-CS"/>
        </w:rPr>
      </w:pPr>
    </w:p>
    <w:p w14:paraId="64D020E5" w14:textId="77777777" w:rsidR="00687377" w:rsidRPr="007E770D" w:rsidRDefault="00687377">
      <w:pPr>
        <w:jc w:val="left"/>
        <w:rPr>
          <w:rFonts w:cstheme="minorHAnsi"/>
          <w:b/>
          <w:color w:val="auto"/>
          <w:sz w:val="24"/>
          <w:lang w:val="sr-Cyrl-CS"/>
        </w:rPr>
      </w:pPr>
      <w:bookmarkStart w:id="5" w:name="_Toc530041994"/>
      <w:bookmarkEnd w:id="4"/>
      <w:r w:rsidRPr="007E770D">
        <w:rPr>
          <w:rFonts w:cstheme="minorHAnsi"/>
          <w:b/>
          <w:color w:val="auto"/>
          <w:sz w:val="24"/>
          <w:lang w:val="sr-Cyrl-CS"/>
        </w:rPr>
        <w:br w:type="page"/>
      </w:r>
    </w:p>
    <w:p w14:paraId="2A6AD11B" w14:textId="19E4424C" w:rsidR="00687377" w:rsidRPr="007E770D" w:rsidRDefault="00687377" w:rsidP="001476C8">
      <w:pPr>
        <w:pStyle w:val="Heading2"/>
        <w:jc w:val="center"/>
        <w:rPr>
          <w:rFonts w:asciiTheme="minorHAnsi" w:hAnsiTheme="minorHAnsi" w:cstheme="minorHAnsi"/>
          <w:b/>
          <w:color w:val="auto"/>
          <w:sz w:val="24"/>
          <w:lang w:val="sr-Cyrl-CS"/>
        </w:rPr>
      </w:pPr>
      <w:bookmarkStart w:id="6" w:name="_Toc23342462"/>
      <w:r w:rsidRPr="007E770D">
        <w:rPr>
          <w:rFonts w:asciiTheme="minorHAnsi" w:hAnsiTheme="minorHAnsi" w:cstheme="minorHAnsi"/>
          <w:b/>
          <w:color w:val="auto"/>
          <w:sz w:val="24"/>
          <w:lang w:val="sr-Cyrl-CS"/>
        </w:rPr>
        <w:lastRenderedPageBreak/>
        <w:t>3. Текућа макроекономска кретања у Републици Србији и изгледи</w:t>
      </w:r>
      <w:r w:rsidRPr="007E770D">
        <w:rPr>
          <w:rFonts w:asciiTheme="minorHAnsi" w:hAnsiTheme="minorHAnsi" w:cstheme="minorHAnsi"/>
          <w:b/>
          <w:color w:val="auto"/>
          <w:sz w:val="24"/>
          <w:lang w:val="sr-Cyrl-CS"/>
        </w:rPr>
        <w:br w:type="textWrapping" w:clear="all"/>
        <w:t>за период 2020–2022. године</w:t>
      </w:r>
      <w:bookmarkEnd w:id="5"/>
      <w:bookmarkEnd w:id="6"/>
    </w:p>
    <w:p w14:paraId="5EE4BEB7" w14:textId="77777777" w:rsidR="00687377" w:rsidRPr="007E770D" w:rsidRDefault="00687377" w:rsidP="00483CA8">
      <w:pPr>
        <w:rPr>
          <w:color w:val="auto"/>
          <w:lang w:val="sr-Cyrl-CS"/>
        </w:rPr>
      </w:pPr>
      <w:r w:rsidRPr="007E770D">
        <w:rPr>
          <w:rFonts w:cstheme="minorHAnsi"/>
          <w:noProof/>
          <w:color w:val="auto"/>
        </w:rPr>
        <mc:AlternateContent>
          <mc:Choice Requires="wps">
            <w:drawing>
              <wp:anchor distT="0" distB="0" distL="114300" distR="114300" simplePos="0" relativeHeight="251714560" behindDoc="1" locked="0" layoutInCell="1" allowOverlap="1" wp14:anchorId="4A97CFB5" wp14:editId="073D8AE2">
                <wp:simplePos x="0" y="0"/>
                <wp:positionH relativeFrom="margin">
                  <wp:posOffset>-47625</wp:posOffset>
                </wp:positionH>
                <wp:positionV relativeFrom="paragraph">
                  <wp:posOffset>244002</wp:posOffset>
                </wp:positionV>
                <wp:extent cx="6028055" cy="7620000"/>
                <wp:effectExtent l="0" t="0" r="0" b="0"/>
                <wp:wrapNone/>
                <wp:docPr id="65" name="Rectangle 65"/>
                <wp:cNvGraphicFramePr/>
                <a:graphic xmlns:a="http://schemas.openxmlformats.org/drawingml/2006/main">
                  <a:graphicData uri="http://schemas.microsoft.com/office/word/2010/wordprocessingShape">
                    <wps:wsp>
                      <wps:cNvSpPr/>
                      <wps:spPr>
                        <a:xfrm>
                          <a:off x="0" y="0"/>
                          <a:ext cx="6028055" cy="7620000"/>
                        </a:xfrm>
                        <a:prstGeom prst="rect">
                          <a:avLst/>
                        </a:prstGeom>
                        <a:pattFill prst="pct25">
                          <a:fgClr>
                            <a:schemeClr val="bg1">
                              <a:lumMod val="85000"/>
                            </a:schemeClr>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8A7C030" id="Rectangle 65" o:spid="_x0000_s1026" style="position:absolute;margin-left:-3.75pt;margin-top:19.2pt;width:474.65pt;height:600pt;z-index:-2516019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" fillcolor="#d8d8d8 [2732]" stroked="f" strokeweight="1pt">
                <v:fill r:id="rId42" o:title="" color2="white [3212]" type="pattern"/>
                <w10:wrap anchorx="margin"/>
              </v:rect>
            </w:pict>
          </mc:Fallback>
        </mc:AlternateContent>
      </w:r>
    </w:p>
    <w:p w14:paraId="08755E62" w14:textId="77777777" w:rsidR="00687377" w:rsidRPr="007E770D" w:rsidRDefault="00687377" w:rsidP="00B435B3">
      <w:pPr>
        <w:rPr>
          <w:color w:val="auto"/>
          <w:lang w:val="sr-Cyrl-CS"/>
        </w:rPr>
        <w:sectPr w:rsidR="00687377" w:rsidRPr="007E770D" w:rsidSect="00CE5657">
          <w:headerReference w:type="even" r:id="rId43"/>
          <w:headerReference w:type="default" r:id="rId44"/>
          <w:footerReference w:type="even" r:id="rId45"/>
          <w:footerReference w:type="default" r:id="rId46"/>
          <w:type w:val="continuous"/>
          <w:pgSz w:w="12240" w:h="15840"/>
          <w:pgMar w:top="1440" w:right="1440" w:bottom="1440" w:left="1440" w:header="720" w:footer="720" w:gutter="0"/>
          <w:cols w:space="720"/>
          <w:docGrid w:linePitch="360"/>
        </w:sectPr>
      </w:pPr>
    </w:p>
    <w:p w14:paraId="19B2784C" w14:textId="77777777" w:rsidR="00687377" w:rsidRPr="007E770D" w:rsidRDefault="00687377" w:rsidP="00031215">
      <w:pPr>
        <w:rPr>
          <w:rFonts w:cstheme="minorHAnsi"/>
          <w:color w:val="auto"/>
          <w:lang w:val="sr-Cyrl-CS"/>
        </w:rPr>
      </w:pPr>
      <w:r w:rsidRPr="007E770D">
        <w:rPr>
          <w:rFonts w:cstheme="minorHAnsi"/>
          <w:color w:val="auto"/>
          <w:lang w:val="sr-Cyrl-CS"/>
        </w:rPr>
        <w:t>Српска економија бележи позитивне стопе раста пету годину заредом. Након пада у 2014. години, изазваног поплавама, привредна активност бележи позитивне резултате и у годинама оштре фискалне консолидације. Остварени привредни раст, паралелно са мерама штедње, потврђује адекватност и одмереност свих активности Владе које су спровођене са циљем неутралисања значајне фискалне неравнотеже. Успешно спроведен процес фискалне консолидације и истрајност у очувању постигнутих достигнућа дао је здрав основ за убрзање економског раста. То је резултирало стопом раста БДП од 4,4% у 2018. години, што је највиша стопа раста још од 2008. године. Уколико 2019. година буде завршена са пројектованим растом од 3,5%, може се рећи да је српска привреда у периоду након поплава остварила кумулативни раст од 16%.</w:t>
      </w:r>
    </w:p>
    <w:p w14:paraId="6EBDB2E7" w14:textId="273EA354" w:rsidR="00687377" w:rsidRPr="007E770D" w:rsidRDefault="00687377" w:rsidP="00031215">
      <w:pPr>
        <w:rPr>
          <w:rFonts w:cstheme="minorHAnsi"/>
          <w:color w:val="auto"/>
          <w:lang w:val="sr-Cyrl-CS"/>
        </w:rPr>
      </w:pPr>
      <w:r w:rsidRPr="007E770D">
        <w:rPr>
          <w:rFonts w:cstheme="minorHAnsi"/>
          <w:color w:val="auto"/>
          <w:lang w:val="sr-Cyrl-CS"/>
        </w:rPr>
        <w:t>Достигнута фискална равнотежа омогућила је креирање буџета за 2018. годину са фокусом на капитална улагања. То је, удружено са динамичним растом инвестиционе активности приватног сектора резултирало растом ове компоненте у 2018. години за чак 17,8%. Развојни карактер буџета задржан је и у 2019. години, са значајно повећаним капиталним улагањима, што је обезбедило задржавање високе динамике инвестиционе активности и очувало њену улогу носиоца привредног раста.</w:t>
      </w:r>
    </w:p>
    <w:p w14:paraId="7E854A11" w14:textId="6D979A57" w:rsidR="00687377" w:rsidRPr="007E770D" w:rsidRDefault="00687377" w:rsidP="00031215">
      <w:pPr>
        <w:rPr>
          <w:rFonts w:cstheme="minorHAnsi"/>
          <w:color w:val="auto"/>
          <w:lang w:val="sr-Cyrl-CS"/>
        </w:rPr>
      </w:pPr>
      <w:r w:rsidRPr="007E770D">
        <w:rPr>
          <w:rFonts w:cstheme="minorHAnsi"/>
          <w:color w:val="auto"/>
          <w:lang w:val="sr-Cyrl-CS"/>
        </w:rPr>
        <w:t xml:space="preserve">Повећање пензија и зарада у јавном сектору не угрожава успостављену равнотежу, а </w:t>
      </w:r>
      <w:r w:rsidR="00836DC9" w:rsidRPr="007E770D">
        <w:rPr>
          <w:rFonts w:cstheme="minorHAnsi"/>
          <w:color w:val="auto"/>
          <w:lang w:val="sr-Cyrl-CS"/>
        </w:rPr>
        <w:t xml:space="preserve">укупно </w:t>
      </w:r>
      <w:r w:rsidRPr="007E770D">
        <w:rPr>
          <w:rFonts w:cstheme="minorHAnsi"/>
          <w:color w:val="auto"/>
          <w:lang w:val="sr-Cyrl-CS"/>
        </w:rPr>
        <w:t xml:space="preserve">учешће расхода по овом основу у БДП </w:t>
      </w:r>
      <w:r w:rsidR="00836DC9" w:rsidRPr="007E770D">
        <w:rPr>
          <w:rFonts w:cstheme="minorHAnsi"/>
          <w:color w:val="auto"/>
          <w:lang w:val="sr-Cyrl-CS"/>
        </w:rPr>
        <w:t>има опадајућу путању</w:t>
      </w:r>
      <w:r w:rsidRPr="007E770D">
        <w:rPr>
          <w:rFonts w:cstheme="minorHAnsi"/>
          <w:color w:val="auto"/>
          <w:lang w:val="sr-Cyrl-CS"/>
        </w:rPr>
        <w:t>. Повећање плата има за циљ очување професионалног кадра у секторима којима руководи држава и тиме обезбеђење квалитетног извршавања услуга према грађанима. Селективан приступ при повећању плата одговор је на идентификоване интензивније одливе професионалног кадра из појединих сегмената државног сектора.</w:t>
      </w:r>
    </w:p>
    <w:p w14:paraId="5A775BA5" w14:textId="750F563A" w:rsidR="00687377" w:rsidRPr="007E770D" w:rsidRDefault="00687377" w:rsidP="00031215">
      <w:pPr>
        <w:rPr>
          <w:rFonts w:cstheme="minorHAnsi"/>
          <w:color w:val="auto"/>
          <w:lang w:val="sr-Cyrl-CS"/>
        </w:rPr>
      </w:pPr>
      <w:r w:rsidRPr="007E770D">
        <w:rPr>
          <w:rFonts w:cstheme="minorHAnsi"/>
          <w:color w:val="auto"/>
          <w:lang w:val="sr-Cyrl-CS"/>
        </w:rPr>
        <w:t xml:space="preserve">Поред тога, активним учешћем у социо-економском дијалогу проналазе се решења за повећање минималне цене рада на начин који </w:t>
      </w:r>
      <w:r w:rsidRPr="007E770D">
        <w:rPr>
          <w:rFonts w:cstheme="minorHAnsi"/>
          <w:color w:val="auto"/>
          <w:lang w:val="sr-Cyrl-CS"/>
        </w:rPr>
        <w:t>неће додатно оптеретити привреду и негативно утицати на њену конкурентност, а са интенцијом да се обезбеди инклузивност привредног раста и креира амбијент социјалне кохезије.</w:t>
      </w:r>
    </w:p>
    <w:p w14:paraId="3003B151" w14:textId="77777777" w:rsidR="00687377" w:rsidRPr="007E770D" w:rsidRDefault="00687377" w:rsidP="00031215">
      <w:pPr>
        <w:rPr>
          <w:rFonts w:cstheme="minorHAnsi"/>
          <w:color w:val="auto"/>
          <w:lang w:val="sr-Cyrl-CS"/>
        </w:rPr>
      </w:pPr>
      <w:r w:rsidRPr="007E770D">
        <w:rPr>
          <w:rFonts w:cstheme="minorHAnsi"/>
          <w:color w:val="auto"/>
          <w:lang w:val="sr-Cyrl-CS"/>
        </w:rPr>
        <w:t>Достигнути фискални резултат у претходном периоду очуван је и током 2019. године, а фискална дисциплина добија трајни карактер. Јавни дуг je испод критеријума Мастрихта, са тенденцијом даљег смањења и приближавања зони која пружа безбедност од фискалне кризе у случају глобалних рецесионих кретања. Истовремено, активним мерама унапређен је целокупни финансијски систем, што је између осталог резултирало смањењем учешћа НПЛ и повољнијим условима задуживања, обезбеђујући тиме додатни импулс инвестицијама и привредном расту. Остварена побољшања у фискалном, реалном и монетарном сектору преливена су и на тржиште рада. Бележи се наставак раста запослености уз перманентан раст зарада, који је и поред повећања у јавном сектору и даље вођен растом зарада у приватном сектору.</w:t>
      </w:r>
    </w:p>
    <w:p w14:paraId="18B64B3E" w14:textId="21D0EDDC" w:rsidR="00687377" w:rsidRPr="007E770D" w:rsidRDefault="00687377" w:rsidP="00031215">
      <w:pPr>
        <w:rPr>
          <w:rFonts w:cstheme="minorHAnsi"/>
          <w:color w:val="auto"/>
          <w:lang w:val="sr-Cyrl-CS"/>
        </w:rPr>
      </w:pPr>
      <w:r w:rsidRPr="007E770D">
        <w:rPr>
          <w:rFonts w:cstheme="minorHAnsi"/>
          <w:color w:val="auto"/>
          <w:lang w:val="sr-Cyrl-CS"/>
        </w:rPr>
        <w:t xml:space="preserve">Прилив по основу </w:t>
      </w:r>
      <w:r w:rsidR="000E1A99">
        <w:rPr>
          <w:rFonts w:cstheme="minorHAnsi"/>
          <w:color w:val="auto"/>
          <w:lang w:val="sr-Cyrl-CS"/>
        </w:rPr>
        <w:t>страних директних инвестиција (</w:t>
      </w:r>
      <w:r w:rsidRPr="007E770D">
        <w:rPr>
          <w:rFonts w:cstheme="minorHAnsi"/>
          <w:color w:val="auto"/>
          <w:lang w:val="sr-Cyrl-CS"/>
        </w:rPr>
        <w:t>СДИ</w:t>
      </w:r>
      <w:r w:rsidR="000E1A99">
        <w:rPr>
          <w:rFonts w:cstheme="minorHAnsi"/>
          <w:color w:val="auto"/>
          <w:lang w:val="sr-Cyrl-CS"/>
        </w:rPr>
        <w:t>)</w:t>
      </w:r>
      <w:r w:rsidRPr="007E770D">
        <w:rPr>
          <w:rFonts w:cstheme="minorHAnsi"/>
          <w:color w:val="auto"/>
          <w:lang w:val="sr-Cyrl-CS"/>
        </w:rPr>
        <w:t xml:space="preserve"> се континуирано повећава. У 2018. години нерезиденти су инвестирали у Србију око 3,5 милијарди евра, што је за скоро милијарду евра већи износ него у 2017. години. Процењује се да ће СДИ у 2019. години премашити бруто износ од 3,7 млрд </w:t>
      </w:r>
      <w:r w:rsidR="00696B61" w:rsidRPr="007E770D">
        <w:rPr>
          <w:rFonts w:cstheme="minorHAnsi"/>
          <w:color w:val="auto"/>
          <w:lang w:val="sr-Cyrl-CS"/>
        </w:rPr>
        <w:t>евра</w:t>
      </w:r>
      <w:r w:rsidRPr="007E770D">
        <w:rPr>
          <w:rFonts w:cstheme="minorHAnsi"/>
          <w:color w:val="auto"/>
          <w:lang w:val="sr-Cyrl-CS"/>
        </w:rPr>
        <w:t xml:space="preserve">, што ће бити рекордни прилив по овом основу посматрано у периоду од 2007. године за који постоје упоредиви подаци. Овим приливом је обезбеђена пуна покривеност дефицита текућег рачуна платног биланса. Посматрано према привредним делатностима уочљива је изражена диверсификација СДИ. Међу производним делатностима у првој половини 2019. године најзначајније износе привукла је прехрамбена индустрија, производња производа од гуме и пластике, затим аутомобилска, металска и фармацеутска индустрија. Међу услужним делатностима предњаче финансијске услуге, саобраћај, трговина на велико и ИК услуге. Разруђена структура дестинација СДИ потврђује побољшања свеукупног привредног амбијента </w:t>
      </w:r>
      <w:r w:rsidR="0068496E" w:rsidRPr="007E770D">
        <w:rPr>
          <w:rFonts w:cstheme="minorHAnsi"/>
          <w:noProof/>
          <w:color w:val="auto"/>
        </w:rPr>
        <w:lastRenderedPageBreak/>
        <mc:AlternateContent>
          <mc:Choice Requires="wps">
            <w:drawing>
              <wp:anchor distT="0" distB="0" distL="114300" distR="114300" simplePos="0" relativeHeight="251715584" behindDoc="1" locked="0" layoutInCell="1" allowOverlap="1" wp14:anchorId="7B816D76" wp14:editId="07F97DCE">
                <wp:simplePos x="0" y="0"/>
                <wp:positionH relativeFrom="margin">
                  <wp:posOffset>-55880</wp:posOffset>
                </wp:positionH>
                <wp:positionV relativeFrom="paragraph">
                  <wp:posOffset>-23333</wp:posOffset>
                </wp:positionV>
                <wp:extent cx="6048375" cy="8210550"/>
                <wp:effectExtent l="0" t="0" r="9525" b="0"/>
                <wp:wrapNone/>
                <wp:docPr id="4" name="Rectangle 4"/>
                <wp:cNvGraphicFramePr/>
                <a:graphic xmlns:a="http://schemas.openxmlformats.org/drawingml/2006/main">
                  <a:graphicData uri="http://schemas.microsoft.com/office/word/2010/wordprocessingShape">
                    <wps:wsp>
                      <wps:cNvSpPr/>
                      <wps:spPr>
                        <a:xfrm>
                          <a:off x="0" y="0"/>
                          <a:ext cx="6048375" cy="8210550"/>
                        </a:xfrm>
                        <a:prstGeom prst="rect">
                          <a:avLst/>
                        </a:prstGeom>
                        <a:pattFill prst="pct25">
                          <a:fgClr>
                            <a:sysClr val="window" lastClr="FFFFFF">
                              <a:lumMod val="85000"/>
                            </a:sysClr>
                          </a:fgClr>
                          <a:bgClr>
                            <a:sysClr val="window" lastClr="FFFFFF"/>
                          </a:bgClr>
                        </a:patt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62DD414" id="Rectangle 4" o:spid="_x0000_s1026" style="position:absolute;margin-left:-4.4pt;margin-top:-1.85pt;width:476.25pt;height:646.5pt;z-index:-251600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" fillcolor="#d9d9d9" stroked="f" strokeweight="1pt">
                <v:fill r:id="rId42" o:title="" color2="window" type="pattern"/>
                <w10:wrap anchorx="margin"/>
              </v:rect>
            </w:pict>
          </mc:Fallback>
        </mc:AlternateContent>
      </w:r>
      <w:r w:rsidRPr="007E770D">
        <w:rPr>
          <w:rFonts w:cstheme="minorHAnsi"/>
          <w:color w:val="auto"/>
          <w:lang w:val="sr-Cyrl-CS"/>
        </w:rPr>
        <w:t>али је уједно и гарант равномерног и одрживог раста. Бруто при</w:t>
      </w:r>
      <w:r w:rsidR="002D6307" w:rsidRPr="007E770D">
        <w:rPr>
          <w:rFonts w:cstheme="minorHAnsi"/>
          <w:color w:val="auto"/>
          <w:lang w:val="sr-Cyrl-CS"/>
        </w:rPr>
        <w:t>лив по овом основу у првих осам</w:t>
      </w:r>
      <w:r w:rsidRPr="007E770D">
        <w:rPr>
          <w:rFonts w:cstheme="minorHAnsi"/>
          <w:color w:val="auto"/>
          <w:lang w:val="sr-Cyrl-CS"/>
        </w:rPr>
        <w:t xml:space="preserve"> месеци 2019. годин</w:t>
      </w:r>
      <w:r w:rsidR="002D6307" w:rsidRPr="007E770D">
        <w:rPr>
          <w:rFonts w:cstheme="minorHAnsi"/>
          <w:color w:val="auto"/>
          <w:lang w:val="sr-Cyrl-CS"/>
        </w:rPr>
        <w:t>е међугодишње је повећан за 33,2</w:t>
      </w:r>
      <w:r w:rsidRPr="007E770D">
        <w:rPr>
          <w:rFonts w:cstheme="minorHAnsi"/>
          <w:color w:val="auto"/>
          <w:lang w:val="sr-Cyrl-CS"/>
        </w:rPr>
        <w:t>% и очекује се наставак динамичног раста. Овим ће бити обезбеђен трансфер технологија и know-how, нова радна места, виши ниво компетитивности српске привреде и нове тржишне нише.</w:t>
      </w:r>
    </w:p>
    <w:p w14:paraId="247142B2" w14:textId="77777777" w:rsidR="00687377" w:rsidRPr="007E770D" w:rsidRDefault="00687377" w:rsidP="00031215">
      <w:pPr>
        <w:rPr>
          <w:rFonts w:cstheme="minorHAnsi"/>
          <w:color w:val="auto"/>
          <w:lang w:val="sr-Cyrl-CS"/>
        </w:rPr>
      </w:pPr>
      <w:r w:rsidRPr="007E770D">
        <w:rPr>
          <w:rFonts w:cstheme="minorHAnsi"/>
          <w:color w:val="auto"/>
          <w:lang w:val="sr-Cyrl-CS"/>
        </w:rPr>
        <w:t xml:space="preserve">Све макроекономске мере доносе се у циљу јачања улоге инвестиција и извоза у успостављеном моделу раста. Напори су усмерени на интензивирање структурних реформских процеса, како би се обезбедио континуитет побољшања привредног окружења, напретка на међународним листама конкурентности и даљег подизања кредитног рејтинга земље. Посебан напор улаже се у реформисање јавних предузећа са циљем подизања њихове ефикасности. Такође, успоставља се систем поузданог мониторинга свих пословних процеса, који ће спречити шокове и </w:t>
      </w:r>
      <w:r w:rsidRPr="007E770D">
        <w:rPr>
          <w:rFonts w:cstheme="minorHAnsi"/>
          <w:color w:val="auto"/>
          <w:lang w:val="sr-Cyrl-CS"/>
        </w:rPr>
        <w:br w:type="textWrapping" w:clear="all"/>
        <w:t>препознати и квантифицирати фискалне ризике, али и ризике по привредни раст. Препозната је неопходност проналажења нових извора раста, па су иновације, истраживање и развој, обновљиви извори енергије, креативне индустрије и еко инвестиције у сталном фокусу приликом дефинисања будућих активности.</w:t>
      </w:r>
    </w:p>
    <w:p w14:paraId="281870D8" w14:textId="77777777" w:rsidR="00687377" w:rsidRPr="007E770D" w:rsidRDefault="00687377" w:rsidP="00031215">
      <w:pPr>
        <w:rPr>
          <w:rFonts w:cstheme="minorHAnsi"/>
          <w:color w:val="auto"/>
          <w:spacing w:val="-2"/>
          <w:lang w:val="sr-Cyrl-CS"/>
        </w:rPr>
      </w:pPr>
      <w:r w:rsidRPr="007E770D">
        <w:rPr>
          <w:rFonts w:cstheme="minorHAnsi"/>
          <w:color w:val="auto"/>
          <w:lang w:val="sr-Cyrl-CS"/>
        </w:rPr>
        <w:t xml:space="preserve">Влада остаје фокусирана на смањење удела сиве економије у свим привредним токовима. Очекује се да ће усвојени Национални програм за сузбијање сиве економије, преко унапређења рада Пореске управе, увођења подстицајних мера за легално пословање и запошљавање, смањења оптерећења пословања, ефикаснијег надзора и друштвене актуелизације овог феномена, додатно допринети побољшању услова пословања и обезбедити здраво конкурентско надметање. </w:t>
      </w:r>
      <w:r w:rsidRPr="007E770D">
        <w:rPr>
          <w:rFonts w:cstheme="minorHAnsi"/>
          <w:color w:val="auto"/>
          <w:spacing w:val="-2"/>
          <w:lang w:val="sr-Cyrl-CS"/>
        </w:rPr>
        <w:t>Додатни допринос достизању овог циља дају и активности дигитализације свих административних процедура.</w:t>
      </w:r>
    </w:p>
    <w:p w14:paraId="4CADE190" w14:textId="77777777" w:rsidR="00687377" w:rsidRPr="007E770D" w:rsidRDefault="00687377" w:rsidP="00B435B3">
      <w:pPr>
        <w:pStyle w:val="NoSpacing"/>
        <w:jc w:val="center"/>
        <w:rPr>
          <w:rFonts w:cstheme="minorHAnsi"/>
          <w:color w:val="auto"/>
          <w:spacing w:val="-6"/>
          <w:lang w:val="sr-Cyrl-CS"/>
        </w:rPr>
      </w:pPr>
      <w:r w:rsidRPr="007E770D">
        <w:rPr>
          <w:rFonts w:cstheme="minorHAnsi"/>
          <w:color w:val="auto"/>
          <w:lang w:val="sr-Cyrl-CS"/>
        </w:rPr>
        <w:br w:type="column"/>
      </w:r>
      <w:r w:rsidRPr="007E770D">
        <w:rPr>
          <w:rFonts w:cstheme="minorHAnsi"/>
          <w:color w:val="auto"/>
          <w:spacing w:val="-6"/>
          <w:lang w:val="sr-Cyrl-CS"/>
        </w:rPr>
        <w:t>Ревизија кретања основних макроекономских агрегата у односу на претходну Фискалну стратегију</w:t>
      </w:r>
    </w:p>
    <w:p w14:paraId="45B33C03" w14:textId="77777777" w:rsidR="00687377" w:rsidRPr="007E770D" w:rsidRDefault="00687377" w:rsidP="00B435B3">
      <w:pPr>
        <w:spacing w:after="0"/>
        <w:rPr>
          <w:color w:val="auto"/>
          <w:lang w:val="sr-Cyrl-CS"/>
        </w:rPr>
      </w:pPr>
    </w:p>
    <w:p w14:paraId="08120BBF" w14:textId="77777777" w:rsidR="00687377" w:rsidRPr="007E770D" w:rsidRDefault="00687377" w:rsidP="00B435B3">
      <w:pPr>
        <w:jc w:val="center"/>
        <w:rPr>
          <w:b/>
          <w:color w:val="auto"/>
          <w:szCs w:val="21"/>
          <w:lang w:val="sr-Cyrl-CS"/>
        </w:rPr>
      </w:pPr>
      <w:r w:rsidRPr="007E770D">
        <w:rPr>
          <w:b/>
          <w:color w:val="auto"/>
          <w:szCs w:val="21"/>
          <w:lang w:val="sr-Cyrl-CS"/>
        </w:rPr>
        <w:t>Реални раст БДП, %</w:t>
      </w:r>
    </w:p>
    <w:p w14:paraId="37594AE5" w14:textId="77777777" w:rsidR="00687377" w:rsidRPr="007E770D" w:rsidRDefault="00687377" w:rsidP="00B435B3">
      <w:pPr>
        <w:spacing w:after="0"/>
        <w:rPr>
          <w:color w:val="auto"/>
          <w:lang w:val="sr-Cyrl-CS"/>
        </w:rPr>
      </w:pPr>
      <w:r w:rsidRPr="007E770D">
        <w:rPr>
          <w:noProof/>
          <w:color w:val="auto"/>
        </w:rPr>
        <w:drawing>
          <wp:inline distT="0" distB="0" distL="0" distR="0" wp14:anchorId="58D1541E" wp14:editId="7194E68D">
            <wp:extent cx="1332000" cy="1260000"/>
            <wp:effectExtent l="0" t="0" r="1905" b="0"/>
            <wp:docPr id="20" name="Chart 20">
              <a:extLst xmlns:a="http://schemas.openxmlformats.org/drawingml/2006/main">
                <a:ext uri="{FF2B5EF4-FFF2-40B4-BE49-F238E27FC236}">
                  <a16:creationId xmlns:a16="http://schemas.microsoft.com/office/drawing/2014/main" id="{00000000-0008-0000-09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r w:rsidRPr="007E770D">
        <w:rPr>
          <w:color w:val="auto"/>
          <w:lang w:val="sr-Cyrl-CS"/>
        </w:rPr>
        <w:t xml:space="preserve">  </w:t>
      </w:r>
      <w:r w:rsidRPr="007E770D">
        <w:rPr>
          <w:noProof/>
          <w:color w:val="auto"/>
        </w:rPr>
        <w:drawing>
          <wp:inline distT="0" distB="0" distL="0" distR="0" wp14:anchorId="785D9F63" wp14:editId="3AB89605">
            <wp:extent cx="1332000" cy="1260000"/>
            <wp:effectExtent l="0" t="0" r="1905" b="0"/>
            <wp:docPr id="21" name="Chart 21">
              <a:extLst xmlns:a="http://schemas.openxmlformats.org/drawingml/2006/main">
                <a:ext uri="{FF2B5EF4-FFF2-40B4-BE49-F238E27FC236}">
                  <a16:creationId xmlns:a16="http://schemas.microsoft.com/office/drawing/2014/main" id="{00000000-0008-0000-09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779B08FB" w14:textId="77777777" w:rsidR="00687377" w:rsidRPr="007E770D" w:rsidRDefault="00687377" w:rsidP="00B435B3">
      <w:pPr>
        <w:spacing w:after="0"/>
        <w:rPr>
          <w:color w:val="auto"/>
          <w:lang w:val="sr-Cyrl-CS"/>
        </w:rPr>
      </w:pPr>
    </w:p>
    <w:p w14:paraId="11B48491" w14:textId="77777777" w:rsidR="00687377" w:rsidRPr="007E770D" w:rsidRDefault="00687377" w:rsidP="00B435B3">
      <w:pPr>
        <w:jc w:val="center"/>
        <w:rPr>
          <w:b/>
          <w:color w:val="auto"/>
          <w:szCs w:val="21"/>
          <w:lang w:val="sr-Cyrl-CS"/>
        </w:rPr>
      </w:pPr>
      <w:r w:rsidRPr="007E770D">
        <w:rPr>
          <w:b/>
          <w:color w:val="auto"/>
          <w:szCs w:val="21"/>
          <w:lang w:val="sr-Cyrl-CS"/>
        </w:rPr>
        <w:t>Салдо текућег рачуна, % БДП</w:t>
      </w:r>
    </w:p>
    <w:p w14:paraId="554E5A0F" w14:textId="77777777" w:rsidR="00687377" w:rsidRPr="007E770D" w:rsidRDefault="00687377" w:rsidP="00B435B3">
      <w:pPr>
        <w:spacing w:after="0"/>
        <w:jc w:val="left"/>
        <w:rPr>
          <w:color w:val="auto"/>
          <w:lang w:val="sr-Cyrl-CS"/>
        </w:rPr>
      </w:pPr>
      <w:r w:rsidRPr="007E770D">
        <w:rPr>
          <w:noProof/>
          <w:color w:val="auto"/>
        </w:rPr>
        <w:drawing>
          <wp:inline distT="0" distB="0" distL="0" distR="0" wp14:anchorId="56601DCC" wp14:editId="40640F19">
            <wp:extent cx="1332000" cy="1332000"/>
            <wp:effectExtent l="0" t="0" r="1905" b="1905"/>
            <wp:docPr id="5" name="Chart 5">
              <a:extLst xmlns:a="http://schemas.openxmlformats.org/drawingml/2006/main">
                <a:ext uri="{FF2B5EF4-FFF2-40B4-BE49-F238E27FC236}">
                  <a16:creationId xmlns:a16="http://schemas.microsoft.com/office/drawing/2014/main" id="{00000000-0008-0000-0900-00000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r w:rsidRPr="007E770D">
        <w:rPr>
          <w:color w:val="auto"/>
          <w:lang w:val="sr-Cyrl-CS"/>
        </w:rPr>
        <w:t xml:space="preserve">  </w:t>
      </w:r>
      <w:r w:rsidRPr="007E770D">
        <w:rPr>
          <w:noProof/>
          <w:color w:val="auto"/>
        </w:rPr>
        <w:drawing>
          <wp:inline distT="0" distB="0" distL="0" distR="0" wp14:anchorId="59A412D0" wp14:editId="0672A283">
            <wp:extent cx="1332000" cy="1332000"/>
            <wp:effectExtent l="0" t="0" r="1905" b="1905"/>
            <wp:docPr id="22" name="Chart 22">
              <a:extLst xmlns:a="http://schemas.openxmlformats.org/drawingml/2006/main">
                <a:ext uri="{FF2B5EF4-FFF2-40B4-BE49-F238E27FC236}">
                  <a16:creationId xmlns:a16="http://schemas.microsoft.com/office/drawing/2014/main" id="{00000000-0008-0000-0900-00000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39E1D1CF" w14:textId="77777777" w:rsidR="00687377" w:rsidRPr="007E770D" w:rsidRDefault="00687377" w:rsidP="00B435B3">
      <w:pPr>
        <w:spacing w:after="0"/>
        <w:rPr>
          <w:color w:val="auto"/>
          <w:lang w:val="sr-Cyrl-CS"/>
        </w:rPr>
      </w:pPr>
    </w:p>
    <w:p w14:paraId="273ABC4E" w14:textId="77777777" w:rsidR="00687377" w:rsidRPr="007E770D" w:rsidRDefault="00687377" w:rsidP="00B435B3">
      <w:pPr>
        <w:spacing w:after="0"/>
        <w:jc w:val="center"/>
        <w:rPr>
          <w:b/>
          <w:color w:val="auto"/>
          <w:szCs w:val="21"/>
          <w:lang w:val="sr-Cyrl-CS"/>
        </w:rPr>
      </w:pPr>
      <w:r w:rsidRPr="007E770D">
        <w:rPr>
          <w:b/>
          <w:color w:val="auto"/>
          <w:szCs w:val="21"/>
          <w:lang w:val="sr-Cyrl-CS"/>
        </w:rPr>
        <w:t>Инфлација, просек периода, %</w:t>
      </w:r>
    </w:p>
    <w:p w14:paraId="1356C877" w14:textId="77777777" w:rsidR="00687377" w:rsidRPr="007E770D" w:rsidRDefault="00687377" w:rsidP="00B435B3">
      <w:pPr>
        <w:spacing w:after="0"/>
        <w:rPr>
          <w:color w:val="auto"/>
          <w:lang w:val="sr-Cyrl-CS"/>
        </w:rPr>
      </w:pPr>
      <w:r w:rsidRPr="007E770D">
        <w:rPr>
          <w:noProof/>
          <w:color w:val="auto"/>
        </w:rPr>
        <w:drawing>
          <wp:inline distT="0" distB="0" distL="0" distR="0" wp14:anchorId="76D1331C" wp14:editId="52A2A9DD">
            <wp:extent cx="1332000" cy="1152000"/>
            <wp:effectExtent l="0" t="0" r="1905" b="0"/>
            <wp:docPr id="7" name="Chart 7">
              <a:extLst xmlns:a="http://schemas.openxmlformats.org/drawingml/2006/main">
                <a:ext uri="{FF2B5EF4-FFF2-40B4-BE49-F238E27FC236}">
                  <a16:creationId xmlns:a16="http://schemas.microsoft.com/office/drawing/2014/main" id="{00000000-0008-0000-0900-00000C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r w:rsidRPr="007E770D">
        <w:rPr>
          <w:color w:val="auto"/>
          <w:lang w:val="sr-Cyrl-CS"/>
        </w:rPr>
        <w:t xml:space="preserve">  </w:t>
      </w:r>
      <w:r w:rsidRPr="007E770D">
        <w:rPr>
          <w:noProof/>
          <w:color w:val="auto"/>
        </w:rPr>
        <w:drawing>
          <wp:inline distT="0" distB="0" distL="0" distR="0" wp14:anchorId="455B6451" wp14:editId="5E2459E1">
            <wp:extent cx="1332000" cy="1152000"/>
            <wp:effectExtent l="0" t="0" r="1905" b="0"/>
            <wp:docPr id="23" name="Chart 23">
              <a:extLst xmlns:a="http://schemas.openxmlformats.org/drawingml/2006/main">
                <a:ext uri="{FF2B5EF4-FFF2-40B4-BE49-F238E27FC236}">
                  <a16:creationId xmlns:a16="http://schemas.microsoft.com/office/drawing/2014/main" id="{00000000-0008-0000-0900-00000E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035545B1" w14:textId="77777777" w:rsidR="00687377" w:rsidRPr="007E770D" w:rsidRDefault="00687377" w:rsidP="00B435B3">
      <w:pPr>
        <w:spacing w:after="0"/>
        <w:rPr>
          <w:rFonts w:cstheme="minorHAnsi"/>
          <w:color w:val="auto"/>
          <w:szCs w:val="72"/>
          <w:lang w:val="sr-Cyrl-CS"/>
        </w:rPr>
      </w:pPr>
    </w:p>
    <w:p w14:paraId="795F3D36" w14:textId="77777777" w:rsidR="00687377" w:rsidRPr="007E770D" w:rsidRDefault="00687377" w:rsidP="00B435B3">
      <w:pPr>
        <w:spacing w:after="0"/>
        <w:jc w:val="center"/>
        <w:rPr>
          <w:b/>
          <w:color w:val="auto"/>
          <w:szCs w:val="21"/>
          <w:lang w:val="sr-Cyrl-CS"/>
        </w:rPr>
      </w:pPr>
      <w:r w:rsidRPr="007E770D">
        <w:rPr>
          <w:b/>
          <w:color w:val="auto"/>
          <w:szCs w:val="21"/>
          <w:lang w:val="sr-Cyrl-CS"/>
        </w:rPr>
        <w:t>Фискални резултат, % БДП</w:t>
      </w:r>
    </w:p>
    <w:p w14:paraId="55BC3D60" w14:textId="77777777" w:rsidR="00687377" w:rsidRPr="007E770D" w:rsidRDefault="00687377" w:rsidP="00B435B3">
      <w:pPr>
        <w:spacing w:after="0"/>
        <w:rPr>
          <w:color w:val="auto"/>
          <w:lang w:val="sr-Cyrl-CS"/>
        </w:rPr>
      </w:pPr>
      <w:r w:rsidRPr="007E770D">
        <w:rPr>
          <w:noProof/>
          <w:color w:val="auto"/>
        </w:rPr>
        <w:drawing>
          <wp:inline distT="0" distB="0" distL="0" distR="0" wp14:anchorId="33990081" wp14:editId="0FB520B2">
            <wp:extent cx="1332000" cy="792000"/>
            <wp:effectExtent l="0" t="0" r="1905" b="8255"/>
            <wp:docPr id="10" name="Chart 10">
              <a:extLst xmlns:a="http://schemas.openxmlformats.org/drawingml/2006/main">
                <a:ext uri="{FF2B5EF4-FFF2-40B4-BE49-F238E27FC236}">
                  <a16:creationId xmlns:a16="http://schemas.microsoft.com/office/drawing/2014/main" id="{00000000-0008-0000-0900-00000F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r w:rsidRPr="007E770D">
        <w:rPr>
          <w:color w:val="auto"/>
          <w:lang w:val="sr-Cyrl-CS"/>
        </w:rPr>
        <w:t xml:space="preserve">  </w:t>
      </w:r>
      <w:r w:rsidRPr="007E770D">
        <w:rPr>
          <w:noProof/>
          <w:color w:val="auto"/>
        </w:rPr>
        <w:drawing>
          <wp:inline distT="0" distB="0" distL="0" distR="0" wp14:anchorId="32B3F93F" wp14:editId="3D6DC2A6">
            <wp:extent cx="1332000" cy="792000"/>
            <wp:effectExtent l="0" t="0" r="1905" b="8255"/>
            <wp:docPr id="24" name="Chart 24">
              <a:extLst xmlns:a="http://schemas.openxmlformats.org/drawingml/2006/main">
                <a:ext uri="{FF2B5EF4-FFF2-40B4-BE49-F238E27FC236}">
                  <a16:creationId xmlns:a16="http://schemas.microsoft.com/office/drawing/2014/main" id="{00000000-0008-0000-0900-000011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14:paraId="318B66EA" w14:textId="77777777" w:rsidR="00687377" w:rsidRPr="007E770D" w:rsidRDefault="00687377" w:rsidP="00B435B3">
      <w:pPr>
        <w:spacing w:after="0"/>
        <w:rPr>
          <w:color w:val="auto"/>
          <w:lang w:val="sr-Cyrl-CS"/>
        </w:rPr>
      </w:pPr>
    </w:p>
    <w:p w14:paraId="4BF7ED15" w14:textId="77777777" w:rsidR="00687377" w:rsidRPr="007E770D" w:rsidRDefault="00687377" w:rsidP="00B435B3">
      <w:pPr>
        <w:spacing w:after="0"/>
        <w:jc w:val="center"/>
        <w:rPr>
          <w:b/>
          <w:color w:val="auto"/>
          <w:szCs w:val="21"/>
          <w:lang w:val="sr-Cyrl-CS"/>
        </w:rPr>
      </w:pPr>
      <w:r w:rsidRPr="007E770D">
        <w:rPr>
          <w:b/>
          <w:color w:val="auto"/>
          <w:szCs w:val="21"/>
          <w:lang w:val="sr-Cyrl-CS"/>
        </w:rPr>
        <w:t>Јавни дуг опште државе, % БДП</w:t>
      </w:r>
    </w:p>
    <w:p w14:paraId="014F22D0" w14:textId="77777777" w:rsidR="00687377" w:rsidRPr="007E770D" w:rsidRDefault="00687377" w:rsidP="00B435B3">
      <w:pPr>
        <w:spacing w:after="0"/>
        <w:rPr>
          <w:color w:val="auto"/>
          <w:lang w:val="sr-Cyrl-CS"/>
        </w:rPr>
      </w:pPr>
      <w:r w:rsidRPr="007E770D">
        <w:rPr>
          <w:noProof/>
          <w:color w:val="auto"/>
        </w:rPr>
        <w:drawing>
          <wp:inline distT="0" distB="0" distL="0" distR="0" wp14:anchorId="36D12F33" wp14:editId="120C89A7">
            <wp:extent cx="1332000" cy="1332000"/>
            <wp:effectExtent l="0" t="0" r="1905" b="1905"/>
            <wp:docPr id="15" name="Chart 15">
              <a:extLst xmlns:a="http://schemas.openxmlformats.org/drawingml/2006/main">
                <a:ext uri="{FF2B5EF4-FFF2-40B4-BE49-F238E27FC236}">
                  <a16:creationId xmlns:a16="http://schemas.microsoft.com/office/drawing/2014/main" id="{00000000-0008-0000-0900-00001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r w:rsidRPr="007E770D">
        <w:rPr>
          <w:color w:val="auto"/>
          <w:lang w:val="sr-Cyrl-CS"/>
        </w:rPr>
        <w:t xml:space="preserve">  </w:t>
      </w:r>
      <w:r w:rsidRPr="007E770D">
        <w:rPr>
          <w:noProof/>
          <w:color w:val="auto"/>
        </w:rPr>
        <w:drawing>
          <wp:inline distT="0" distB="0" distL="0" distR="0" wp14:anchorId="06098225" wp14:editId="35D27AF1">
            <wp:extent cx="1332000" cy="1332000"/>
            <wp:effectExtent l="0" t="0" r="1905" b="1905"/>
            <wp:docPr id="17" name="Chart 17">
              <a:extLst xmlns:a="http://schemas.openxmlformats.org/drawingml/2006/main">
                <a:ext uri="{FF2B5EF4-FFF2-40B4-BE49-F238E27FC236}">
                  <a16:creationId xmlns:a16="http://schemas.microsoft.com/office/drawing/2014/main" id="{00000000-0008-0000-0900-00001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14:paraId="53F7336B" w14:textId="77777777" w:rsidR="00687377" w:rsidRPr="007E770D" w:rsidRDefault="00687377" w:rsidP="00F03C70">
      <w:pPr>
        <w:jc w:val="left"/>
        <w:rPr>
          <w:rFonts w:cstheme="minorHAnsi"/>
          <w:b/>
          <w:color w:val="auto"/>
          <w:sz w:val="22"/>
          <w:lang w:val="sr-Cyrl-CS"/>
        </w:rPr>
      </w:pPr>
      <w:r w:rsidRPr="007E770D">
        <w:rPr>
          <w:rFonts w:cstheme="minorHAnsi"/>
          <w:b/>
          <w:color w:val="auto"/>
          <w:sz w:val="22"/>
          <w:lang w:val="sr-Cyrl-CS"/>
        </w:rPr>
        <w:lastRenderedPageBreak/>
        <w:t>Кретања основних макроекономских агрегата у 2018. години</w:t>
      </w:r>
    </w:p>
    <w:p w14:paraId="4D7C7001" w14:textId="77777777" w:rsidR="00687377" w:rsidRPr="007E770D" w:rsidRDefault="00687377" w:rsidP="00CE5657">
      <w:pPr>
        <w:rPr>
          <w:rFonts w:cstheme="minorHAnsi"/>
          <w:bCs/>
          <w:color w:val="auto"/>
          <w:szCs w:val="72"/>
          <w:lang w:val="sr-Cyrl-CS"/>
        </w:rPr>
      </w:pPr>
      <w:r w:rsidRPr="007E770D">
        <w:rPr>
          <w:rFonts w:cstheme="minorHAnsi"/>
          <w:bCs/>
          <w:color w:val="auto"/>
          <w:szCs w:val="72"/>
          <w:lang w:val="sr-Cyrl-CS"/>
        </w:rPr>
        <w:t>Према подацима Републичког завода за статистику (у даљем тексту: РЗС) у 2018. години је остварен реални привредни раст од 4,4%. Достигнута стопа привредног раста премашила је првобитна очекивања за 0,9 п. п. Већа стопа од пројектоване резултат је активације једног броја позитивних ризика који су приликом пројекције идентификовани. Иако је у другој половини године дошло до успоравања екстерне тражње, део унутрашњих ризика, у вези са пољопривредном производњом и динамиком грађевинске активности, материјализован је у позитивном смеру и интензитетом који је надјачао егзогене чиниоце. У складу са тим кретањима, посматрано са расходне стране обрачуна БДП, инвестиције представљају најзначајнији извор додатног раста.</w:t>
      </w:r>
    </w:p>
    <w:p w14:paraId="39E1BD64" w14:textId="77777777" w:rsidR="00687377" w:rsidRPr="007E770D" w:rsidRDefault="00687377" w:rsidP="00CE5657">
      <w:pPr>
        <w:rPr>
          <w:rFonts w:cstheme="minorHAnsi"/>
          <w:bCs/>
          <w:color w:val="auto"/>
          <w:szCs w:val="72"/>
          <w:lang w:val="sr-Cyrl-CS"/>
        </w:rPr>
      </w:pPr>
      <w:r w:rsidRPr="007E770D">
        <w:rPr>
          <w:rFonts w:cstheme="minorHAnsi"/>
          <w:bCs/>
          <w:color w:val="auto"/>
          <w:szCs w:val="72"/>
          <w:lang w:val="sr-Cyrl-CS"/>
        </w:rPr>
        <w:t>Убрзање привредне активности позитивно се ефектуирало на тржиште рада. Стопа незапослености је у 2018. години износила 12,7%, док је запосленост порасла на 47,6%. Реални раст просечне нето зараде износио је 4,4% и доминантно је био опредељен растом зарада у приватном сектору.</w:t>
      </w:r>
    </w:p>
    <w:p w14:paraId="242B75CE" w14:textId="77777777" w:rsidR="00687377" w:rsidRPr="007E770D" w:rsidRDefault="00687377" w:rsidP="00CE5657">
      <w:pPr>
        <w:rPr>
          <w:rFonts w:cstheme="minorHAnsi"/>
          <w:bCs/>
          <w:color w:val="auto"/>
          <w:szCs w:val="72"/>
          <w:lang w:val="sr-Cyrl-CS"/>
        </w:rPr>
      </w:pPr>
      <w:r w:rsidRPr="007E770D">
        <w:rPr>
          <w:rFonts w:cstheme="minorHAnsi"/>
          <w:bCs/>
          <w:color w:val="auto"/>
          <w:szCs w:val="72"/>
          <w:lang w:val="sr-Cyrl-CS"/>
        </w:rPr>
        <w:t>Током 2018. године инфлација је била ниска и стабилна. Потрошачке цене у децембру 2018. године међугодишње су биле веће за 2,0%, колико је износила и просечна инфлација на нивоу године. Најзначајнији допринос инфлацији на крају године дале су цене поврћа, цигарета и нафтних деривата. Низак утицај цена осталих производа и услуга, као и ниска и стабилна базна инфлација од 1,0% на крају године и у годишњем просеку, потврђују ниске инфлаторне притиске на страни тражње.</w:t>
      </w:r>
    </w:p>
    <w:p w14:paraId="32531676" w14:textId="77777777" w:rsidR="00687377" w:rsidRPr="007E770D" w:rsidRDefault="00687377" w:rsidP="001A25EA">
      <w:pPr>
        <w:rPr>
          <w:rFonts w:cstheme="minorHAnsi"/>
          <w:bCs/>
          <w:color w:val="auto"/>
          <w:szCs w:val="72"/>
          <w:lang w:val="sr-Cyrl-CS"/>
        </w:rPr>
      </w:pPr>
      <w:r w:rsidRPr="007E770D">
        <w:rPr>
          <w:rFonts w:cstheme="minorHAnsi"/>
          <w:bCs/>
          <w:color w:val="auto"/>
          <w:szCs w:val="72"/>
          <w:lang w:val="sr-Cyrl-CS"/>
        </w:rPr>
        <w:t xml:space="preserve">Уместо планираног дефицита буџета од 0,6% БДП, остварен је суфицит од 0,6% БДП. Овим је 2018. година била друга узастопна година са позитивним фискалним резултатом, што је потврда успешности спроведене консолидације и очувања фискалне дисциплине. Позитиван фискални резултат допринео је даљем смањењу </w:t>
      </w:r>
      <w:r w:rsidRPr="007E770D">
        <w:rPr>
          <w:rFonts w:cstheme="minorHAnsi"/>
          <w:bCs/>
          <w:color w:val="auto"/>
          <w:szCs w:val="72"/>
          <w:lang w:val="sr-Cyrl-CS"/>
        </w:rPr>
        <w:t>учешћа јавног дуга опште државе у БДП, који је на крају године износио 54,4% БДП.</w:t>
      </w:r>
    </w:p>
    <w:p w14:paraId="3891704E" w14:textId="77777777" w:rsidR="00687377" w:rsidRPr="007E770D" w:rsidRDefault="00687377" w:rsidP="00302B46">
      <w:pPr>
        <w:rPr>
          <w:rFonts w:cstheme="minorHAnsi"/>
          <w:bCs/>
          <w:color w:val="auto"/>
          <w:szCs w:val="72"/>
          <w:lang w:val="sr-Cyrl-CS"/>
        </w:rPr>
      </w:pPr>
      <w:r w:rsidRPr="007E770D">
        <w:rPr>
          <w:rFonts w:cstheme="minorHAnsi"/>
          <w:bCs/>
          <w:color w:val="auto"/>
          <w:szCs w:val="72"/>
          <w:lang w:val="sr-Cyrl-CS"/>
        </w:rPr>
        <w:t>Учешће текућег дефицита платног биланса у 2018. износило је 5,2% БДП, чиме је задржан ниво из 2017. године. Дефицит је и даље у потпуности покривен нето приливом СДИ. Благо погоршање дефицита текућег рачуна платног биланса у односу на првобитно пројектовани детерминисано је нешто динамичнијим растом увоза од 11,6% реално мг. Међутим, посматрано по структури увоза уочљиво је јачање увозне активности у сегменту интермедијарних производа, енергије и капиталних добара, што је у складу са убрзаном динамиком производне и инвестиционе активности, што би у блиској будућности требало да допринесе одржању високе динамике кретања извоза. Извоз је током 2018. године имао високе стопе раста и у сегменту роба и у сегменту услуга, што је резултирало укупним реалним повећањем од 8,3% мг. Обим укупне спољнотрговинске размене исказан у еврима је у 2018. години повећан за 11,8%, док покривеност увоза извозом износи високих 85,6%</w:t>
      </w:r>
      <w:r w:rsidRPr="007E770D">
        <w:rPr>
          <w:rStyle w:val="FootnoteReference"/>
          <w:rFonts w:cstheme="minorHAnsi"/>
          <w:bCs/>
          <w:color w:val="auto"/>
          <w:szCs w:val="72"/>
          <w:lang w:val="sr-Cyrl-CS"/>
        </w:rPr>
        <w:footnoteReference w:id="2"/>
      </w:r>
      <w:r w:rsidRPr="007E770D">
        <w:rPr>
          <w:rFonts w:cstheme="minorHAnsi"/>
          <w:bCs/>
          <w:color w:val="auto"/>
          <w:szCs w:val="72"/>
          <w:lang w:val="sr-Cyrl-CS"/>
        </w:rPr>
        <w:t>.</w:t>
      </w:r>
    </w:p>
    <w:p w14:paraId="3E8E2618" w14:textId="77777777" w:rsidR="00687377" w:rsidRPr="007E770D" w:rsidRDefault="00687377" w:rsidP="00302B46">
      <w:pPr>
        <w:rPr>
          <w:rFonts w:cstheme="minorHAnsi"/>
          <w:bCs/>
          <w:color w:val="auto"/>
          <w:szCs w:val="72"/>
          <w:lang w:val="sr-Cyrl-CS"/>
        </w:rPr>
      </w:pPr>
      <w:r w:rsidRPr="007E770D">
        <w:rPr>
          <w:rFonts w:cstheme="minorHAnsi"/>
          <w:bCs/>
          <w:color w:val="auto"/>
          <w:szCs w:val="72"/>
          <w:lang w:val="sr-Cyrl-CS"/>
        </w:rPr>
        <w:t>Нето девизне резерве на крају децембра 2018. године износиле су 8,85 милијарди евра. Ово је највиши износ девизних резерви на крају једне године посматрано од 2000. године, што је период за који са становишта методологије праћења постоје упоредиви подаци.</w:t>
      </w:r>
    </w:p>
    <w:p w14:paraId="6E5844AD" w14:textId="77777777" w:rsidR="00687377" w:rsidRPr="007E770D" w:rsidRDefault="00687377" w:rsidP="00F03C70">
      <w:pPr>
        <w:spacing w:before="240"/>
        <w:jc w:val="left"/>
        <w:rPr>
          <w:rFonts w:cstheme="minorHAnsi"/>
          <w:b/>
          <w:color w:val="auto"/>
          <w:sz w:val="22"/>
          <w:lang w:val="sr-Cyrl-CS"/>
        </w:rPr>
      </w:pPr>
      <w:r w:rsidRPr="007E770D">
        <w:rPr>
          <w:rFonts w:cstheme="minorHAnsi"/>
          <w:b/>
          <w:color w:val="auto"/>
          <w:sz w:val="22"/>
          <w:lang w:val="sr-Cyrl-CS"/>
        </w:rPr>
        <w:t>Текућа кретања реалног сектора у 2019. години</w:t>
      </w:r>
    </w:p>
    <w:p w14:paraId="4B4F9882" w14:textId="77777777" w:rsidR="00687377" w:rsidRPr="007E770D" w:rsidRDefault="00687377" w:rsidP="00352961">
      <w:pPr>
        <w:rPr>
          <w:rFonts w:cstheme="minorHAnsi"/>
          <w:bCs/>
          <w:color w:val="auto"/>
          <w:szCs w:val="72"/>
          <w:lang w:val="sr-Cyrl-CS"/>
        </w:rPr>
      </w:pPr>
      <w:r w:rsidRPr="007E770D">
        <w:rPr>
          <w:rFonts w:cstheme="minorHAnsi"/>
          <w:bCs/>
          <w:color w:val="auto"/>
          <w:szCs w:val="72"/>
          <w:lang w:val="sr-Cyrl-CS"/>
        </w:rPr>
        <w:t>Према кварталним подацима РЗС раст БДП у прва два квартала 2019. године износио је 2,7% и 2,9%, респективно. Остварени раст у првој половини године је нешто испод очекивања. Међутим, будући да успоравајући чиниоци имају привремени карактер, стопа раста од 3,5% је још увек достижна и као таква задржана при креирању средњорочног сценарија.</w:t>
      </w:r>
    </w:p>
    <w:p w14:paraId="479A9036" w14:textId="65C4AD14" w:rsidR="00687377" w:rsidRPr="007E770D" w:rsidRDefault="00687377" w:rsidP="00352961">
      <w:pPr>
        <w:rPr>
          <w:rFonts w:cstheme="minorHAnsi"/>
          <w:bCs/>
          <w:color w:val="auto"/>
          <w:szCs w:val="72"/>
          <w:lang w:val="sr-Cyrl-CS"/>
        </w:rPr>
      </w:pPr>
      <w:r w:rsidRPr="007E770D">
        <w:rPr>
          <w:rFonts w:cstheme="minorHAnsi"/>
          <w:bCs/>
          <w:color w:val="auto"/>
          <w:szCs w:val="72"/>
          <w:lang w:val="sr-Cyrl-CS"/>
        </w:rPr>
        <w:t xml:space="preserve">Остварени раст у првом кварталу вођен је кретањем услужног сектора који бележи међугодишње повећање од 3,8% и тиме доприноси расту БДП са 2,0 п. п. Грађевинска </w:t>
      </w:r>
      <w:r w:rsidRPr="007E770D">
        <w:rPr>
          <w:rFonts w:cstheme="minorHAnsi"/>
          <w:bCs/>
          <w:color w:val="auto"/>
          <w:szCs w:val="72"/>
          <w:lang w:val="sr-Cyrl-CS"/>
        </w:rPr>
        <w:lastRenderedPageBreak/>
        <w:t>активност наставља позитивна кретања и у овом периоду бележи раст од 10,5%, доприносећи стопи привредног раста са 0,3 п. п. Иако је проценом на бази вишегодишњих просека очекиван пад сектора пољоприв</w:t>
      </w:r>
      <w:r w:rsidR="007E770D">
        <w:rPr>
          <w:rFonts w:cstheme="minorHAnsi"/>
          <w:bCs/>
          <w:color w:val="auto"/>
          <w:szCs w:val="72"/>
          <w:lang w:val="sr-Cyrl-CS"/>
        </w:rPr>
        <w:t>р</w:t>
      </w:r>
      <w:r w:rsidRPr="007E770D">
        <w:rPr>
          <w:rFonts w:cstheme="minorHAnsi"/>
          <w:bCs/>
          <w:color w:val="auto"/>
          <w:szCs w:val="72"/>
          <w:lang w:val="sr-Cyrl-CS"/>
        </w:rPr>
        <w:t xml:space="preserve">еде, регистрована кретања су била боља од очекиваних, негативан допринос је изостао и био готово неутралан. Код индустријске производње је у првом тромесечју регистрован пад од 1,4%. Месечни индекси физичког обима производње показују да је најзначајнији успоравајући утицај на кретање овог сектора дошао од делатности нафтне и хемијске индустрије. Смањење обима производње ових делатности директна је последица готово потпуне обуставе производних процеса у водећим компанијама које су у њима регистроване. У оба случаја разлог је планирани редовни ремонт производних капацитета који је започет у марту. Прехрамбена индустрија, као делатност која је у највећој мери погођена </w:t>
      </w:r>
      <w:r w:rsidR="000A55CF" w:rsidRPr="007E770D">
        <w:rPr>
          <w:rFonts w:cstheme="minorHAnsi"/>
          <w:bCs/>
          <w:color w:val="auto"/>
          <w:szCs w:val="72"/>
          <w:lang w:val="sr-Cyrl-CS"/>
        </w:rPr>
        <w:t>уведеним тарифама</w:t>
      </w:r>
      <w:r w:rsidRPr="007E770D">
        <w:rPr>
          <w:rFonts w:cstheme="minorHAnsi"/>
          <w:bCs/>
          <w:color w:val="auto"/>
          <w:szCs w:val="72"/>
          <w:lang w:val="sr-Cyrl-CS"/>
        </w:rPr>
        <w:t xml:space="preserve"> Приштине, задржала је ниво производње из истог квартала претходне године, чиме је изостао њен позитиван допринос. Узимајући у обзир природу успоравајућих чинилаца приписан им је привремени карактер.</w:t>
      </w:r>
    </w:p>
    <w:p w14:paraId="0F9B516B" w14:textId="77777777" w:rsidR="00687377" w:rsidRPr="007E770D" w:rsidRDefault="00687377" w:rsidP="00352961">
      <w:pPr>
        <w:rPr>
          <w:rFonts w:cstheme="minorHAnsi"/>
          <w:bCs/>
          <w:color w:val="auto"/>
          <w:szCs w:val="72"/>
          <w:lang w:val="sr-Cyrl-CS"/>
        </w:rPr>
      </w:pPr>
      <w:r w:rsidRPr="007E770D">
        <w:rPr>
          <w:rFonts w:cstheme="minorHAnsi"/>
          <w:bCs/>
          <w:color w:val="auto"/>
          <w:szCs w:val="72"/>
          <w:lang w:val="sr-Cyrl-CS"/>
        </w:rPr>
        <w:t>Посматрано према компонентама употребе доминантни извори раста су лична потрошња и инвестициона активност. Реални међугодишњи раст зарада у првом кварталу од 6,9%, као и раст запослености од 3,1%, обезбедили су раст личне потрошње од 3,3%. Сходно високом учешћу ове компоненте у расходној структури БДП овај раст је дао допринос од 2,3 п. п. Инвестициона активност је наставила динамичан раст и забележила међугодишње повећање од 7,8%, што је допринело стопи раста БДП са 1,3 п. п. Наставак интензивног инвестирања приватног сектора удружено са ефикаснијим спровођењем јавних радова државе обезбедио је кретање ове компоненте нешто изнад очекивања. Раст државне потрошње износио је 2,5% и дао је благи позитиван допринос привредном расту. Извоз и увоз су међугодишње гледано повећани готово уједначено 9,3% и 9,8%, респективно. То је определило наставак негативног утицаја нето извоза на привредни раст и у овом кварталу.</w:t>
      </w:r>
    </w:p>
    <w:p w14:paraId="548F3BA1" w14:textId="77777777" w:rsidR="00687377" w:rsidRPr="007E770D" w:rsidRDefault="00687377" w:rsidP="00352961">
      <w:pPr>
        <w:rPr>
          <w:rFonts w:cstheme="minorHAnsi"/>
          <w:bCs/>
          <w:color w:val="auto"/>
          <w:szCs w:val="72"/>
          <w:lang w:val="sr-Cyrl-CS"/>
        </w:rPr>
      </w:pPr>
      <w:r w:rsidRPr="007E770D">
        <w:rPr>
          <w:rFonts w:cstheme="minorHAnsi"/>
          <w:bCs/>
          <w:color w:val="auto"/>
          <w:szCs w:val="72"/>
          <w:lang w:val="sr-Cyrl-CS"/>
        </w:rPr>
        <w:t>У другом кварталу 2019. године регистрована је реална међугодишња стопа привредног раста од 2,9%. Услуге задржавају динамику из претходног квартала и остају у улози главног извора раста са доприносом од 2,0 п. п. Грађевинска активност је значајно убрзала и са повећањем од 16,8% дала дупло већи допринос стопи привредног раста него у претходном кварталу. Пољопривреда задржава неутралан допринос, док је негативни утицај индустријске производње продубљен услед наставка ремонтних активности током другог квартала и у нафтној и у хемијској делатности. Успоравању индустрије додатно је допринело значајно смањење обима производње прехрамбених производа.</w:t>
      </w:r>
    </w:p>
    <w:p w14:paraId="15EF6D74" w14:textId="77777777" w:rsidR="00687377" w:rsidRPr="007E770D" w:rsidRDefault="00687377" w:rsidP="00352961">
      <w:pPr>
        <w:rPr>
          <w:rFonts w:cstheme="minorHAnsi"/>
          <w:bCs/>
          <w:color w:val="auto"/>
          <w:szCs w:val="72"/>
          <w:lang w:val="sr-Cyrl-CS"/>
        </w:rPr>
      </w:pPr>
      <w:r w:rsidRPr="007E770D">
        <w:rPr>
          <w:rFonts w:cstheme="minorHAnsi"/>
          <w:bCs/>
          <w:color w:val="auto"/>
          <w:szCs w:val="72"/>
          <w:lang w:val="sr-Cyrl-CS"/>
        </w:rPr>
        <w:t>Структура извора раста са расходне стране БДП показује јачање инвестиционе активности и погоршање утицаја спољнотрговинске размене на привредни раст. Ова кретања већим делом су опредељена интензивираним радовима на одређеним инфраструктурним пројектима и увозом компоненти неопходних за њихову реализацију. Улогу носиоца раста и даље задржава приватна потрошња са доприносом од 2,3 п. п, што је подржано снажнијим позитивним ефектом инвестиција и доприносом од 1,6 п. п. Задржана динамика извоза са растом од 9,1% и увозна активност већа за 10,9% определили су негативан допринос нето извоза од 1,8 п. п.</w:t>
      </w:r>
    </w:p>
    <w:p w14:paraId="1D46A614" w14:textId="77777777" w:rsidR="00687377" w:rsidRPr="007E770D" w:rsidRDefault="00687377" w:rsidP="00352961">
      <w:pPr>
        <w:rPr>
          <w:rFonts w:cstheme="minorHAnsi"/>
          <w:bCs/>
          <w:color w:val="auto"/>
          <w:szCs w:val="72"/>
          <w:lang w:val="sr-Cyrl-CS"/>
        </w:rPr>
        <w:sectPr w:rsidR="00687377" w:rsidRPr="007E770D" w:rsidSect="00CE5657">
          <w:type w:val="continuous"/>
          <w:pgSz w:w="12240" w:h="15840"/>
          <w:pgMar w:top="1440" w:right="1440" w:bottom="1440" w:left="1440" w:header="720" w:footer="720" w:gutter="0"/>
          <w:cols w:num="2" w:space="720"/>
          <w:docGrid w:linePitch="360"/>
          <w15:footnoteColumns w:val="1"/>
        </w:sectPr>
      </w:pPr>
      <w:r w:rsidRPr="007E770D">
        <w:rPr>
          <w:rFonts w:cstheme="minorHAnsi"/>
          <w:bCs/>
          <w:color w:val="auto"/>
          <w:szCs w:val="72"/>
          <w:lang w:val="sr-Cyrl-CS"/>
        </w:rPr>
        <w:t xml:space="preserve">Високофреквентни индикатори привредне активности указују на привремени карактер успоравајућих чинилаца индустрије, наставак позитивних кретања услуга и даље убрзање грађевинске активности. Према индексима физичког обима производње укупна индустрија у јулу и августу бележи стопе раста од 3,7% и 0,5%, респективно, уз коначни опоравак нафтне и хемијске индустрије. Посматрано у периоду јануар–август међугодишња стопа раста физичког обима производње показује смањење од 1,0%. Ефекат успоравања услед ремонта још увек је јак, али се очекује да ће до краја године бити неутрализован, те да ће укупна индустрија имати благи реални раст бруто додате вредности од 0,3% мг. у 2019. години. </w:t>
      </w:r>
    </w:p>
    <w:p w14:paraId="3A5E03D0" w14:textId="77777777" w:rsidR="00687377" w:rsidRPr="007E770D" w:rsidRDefault="00687377">
      <w:pPr>
        <w:jc w:val="left"/>
        <w:rPr>
          <w:rFonts w:cstheme="minorHAnsi"/>
          <w:b/>
          <w:color w:val="auto"/>
          <w:lang w:val="sr-Cyrl-CS"/>
        </w:rPr>
      </w:pPr>
      <w:r w:rsidRPr="007E770D">
        <w:rPr>
          <w:rFonts w:cstheme="minorHAnsi"/>
          <w:b/>
          <w:color w:val="auto"/>
          <w:lang w:val="sr-Cyrl-CS"/>
        </w:rPr>
        <w:br w:type="page"/>
      </w:r>
    </w:p>
    <w:p w14:paraId="43C52565" w14:textId="77777777" w:rsidR="00687377" w:rsidRPr="007E770D" w:rsidRDefault="00687377" w:rsidP="00B435B3">
      <w:pPr>
        <w:spacing w:after="120" w:line="240" w:lineRule="auto"/>
        <w:jc w:val="center"/>
        <w:rPr>
          <w:rFonts w:cstheme="minorHAnsi"/>
          <w:b/>
          <w:color w:val="auto"/>
          <w:lang w:val="sr-Cyrl-CS"/>
        </w:rPr>
      </w:pPr>
      <w:r w:rsidRPr="007E770D">
        <w:rPr>
          <w:rFonts w:cstheme="minorHAnsi"/>
          <w:b/>
          <w:color w:val="auto"/>
          <w:lang w:val="sr-Cyrl-CS"/>
        </w:rPr>
        <w:lastRenderedPageBreak/>
        <w:t>Индекси физичког обима водећих делатности индустријске производње, 2018=100</w:t>
      </w:r>
    </w:p>
    <w:tbl>
      <w:tblPr>
        <w:tblStyle w:val="TableGrid5"/>
        <w:tblW w:w="0" w:type="auto"/>
        <w:tblBorders>
          <w:top w:val="none" w:sz="0" w:space="0" w:color="auto"/>
          <w:left w:val="none" w:sz="0" w:space="0" w:color="auto"/>
          <w:bottom w:val="dashSmallGap" w:sz="4" w:space="0" w:color="BFBFBF" w:themeColor="background1" w:themeShade="BF"/>
          <w:right w:val="none" w:sz="0" w:space="0" w:color="auto"/>
          <w:insideH w:val="dashSmallGap" w:sz="4" w:space="0" w:color="BFBFBF" w:themeColor="background1" w:themeShade="BF"/>
          <w:insideV w:val="dashSmallGap" w:sz="4" w:space="0" w:color="BFBFBF" w:themeColor="background1" w:themeShade="BF"/>
        </w:tblBorders>
        <w:tblLook w:val="04A0" w:firstRow="1" w:lastRow="0" w:firstColumn="1" w:lastColumn="0" w:noHBand="0" w:noVBand="1"/>
      </w:tblPr>
      <w:tblGrid>
        <w:gridCol w:w="4680"/>
        <w:gridCol w:w="4680"/>
      </w:tblGrid>
      <w:tr w:rsidR="007E770D" w:rsidRPr="007E770D" w14:paraId="69F92ACD" w14:textId="77777777" w:rsidTr="00B435B3">
        <w:tc>
          <w:tcPr>
            <w:tcW w:w="4680" w:type="dxa"/>
          </w:tcPr>
          <w:p w14:paraId="7D385D91" w14:textId="77777777" w:rsidR="00687377" w:rsidRPr="007E770D" w:rsidRDefault="00687377" w:rsidP="00B435B3">
            <w:pPr>
              <w:jc w:val="center"/>
              <w:rPr>
                <w:color w:val="auto"/>
                <w:lang w:val="sr-Cyrl-CS"/>
              </w:rPr>
            </w:pPr>
            <w:r w:rsidRPr="007E770D">
              <w:rPr>
                <w:color w:val="auto"/>
                <w:lang w:val="sr-Cyrl-CS"/>
              </w:rPr>
              <w:t>Производња производа од гуме и пластике</w:t>
            </w:r>
          </w:p>
          <w:p w14:paraId="766A879F" w14:textId="77777777" w:rsidR="00687377" w:rsidRPr="007E770D" w:rsidRDefault="00687377" w:rsidP="00B435B3">
            <w:pPr>
              <w:jc w:val="center"/>
              <w:rPr>
                <w:color w:val="auto"/>
                <w:lang w:val="sr-Cyrl-CS"/>
              </w:rPr>
            </w:pPr>
          </w:p>
          <w:p w14:paraId="6FE1DA04" w14:textId="77777777" w:rsidR="00687377" w:rsidRPr="007E770D" w:rsidRDefault="00687377" w:rsidP="00B435B3">
            <w:pPr>
              <w:rPr>
                <w:color w:val="auto"/>
                <w:lang w:val="sr-Cyrl-CS"/>
              </w:rPr>
            </w:pPr>
            <w:r w:rsidRPr="007E770D">
              <w:rPr>
                <w:noProof/>
                <w:color w:val="auto"/>
              </w:rPr>
              <w:drawing>
                <wp:inline distT="0" distB="0" distL="0" distR="0" wp14:anchorId="66C33D8D" wp14:editId="6B1D276E">
                  <wp:extent cx="2880000" cy="1332000"/>
                  <wp:effectExtent l="0" t="0" r="0" b="1905"/>
                  <wp:docPr id="45" name="Chart 45">
                    <a:extLst xmlns:a="http://schemas.openxmlformats.org/drawingml/2006/main">
                      <a:ext uri="{FF2B5EF4-FFF2-40B4-BE49-F238E27FC236}">
                        <a16:creationId xmlns:a16="http://schemas.microsoft.com/office/drawing/2014/main" id="{00000000-0008-0000-1600-00001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tc>
        <w:tc>
          <w:tcPr>
            <w:tcW w:w="4680" w:type="dxa"/>
          </w:tcPr>
          <w:p w14:paraId="4675C403" w14:textId="77777777" w:rsidR="00687377" w:rsidRPr="007E770D" w:rsidRDefault="00687377" w:rsidP="00B435B3">
            <w:pPr>
              <w:jc w:val="center"/>
              <w:rPr>
                <w:color w:val="auto"/>
                <w:lang w:val="sr-Cyrl-CS"/>
              </w:rPr>
            </w:pPr>
            <w:r w:rsidRPr="007E770D">
              <w:rPr>
                <w:color w:val="auto"/>
                <w:lang w:val="sr-Cyrl-CS"/>
              </w:rPr>
              <w:t>Производња основних фармацеутских производа и препарата</w:t>
            </w:r>
          </w:p>
          <w:p w14:paraId="2EED8AF8" w14:textId="77777777" w:rsidR="00687377" w:rsidRPr="007E770D" w:rsidRDefault="00687377" w:rsidP="00B435B3">
            <w:pPr>
              <w:jc w:val="left"/>
              <w:rPr>
                <w:color w:val="auto"/>
                <w:lang w:val="sr-Cyrl-CS"/>
              </w:rPr>
            </w:pPr>
            <w:r w:rsidRPr="007E770D">
              <w:rPr>
                <w:noProof/>
                <w:color w:val="auto"/>
              </w:rPr>
              <w:drawing>
                <wp:inline distT="0" distB="0" distL="0" distR="0" wp14:anchorId="587EA5AA" wp14:editId="0DA64A98">
                  <wp:extent cx="2880000" cy="1332000"/>
                  <wp:effectExtent l="0" t="0" r="0" b="1905"/>
                  <wp:docPr id="52" name="Chart 52">
                    <a:extLst xmlns:a="http://schemas.openxmlformats.org/drawingml/2006/main">
                      <a:ext uri="{FF2B5EF4-FFF2-40B4-BE49-F238E27FC236}">
                        <a16:creationId xmlns:a16="http://schemas.microsoft.com/office/drawing/2014/main" id="{00000000-0008-0000-1600-00001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tc>
      </w:tr>
      <w:tr w:rsidR="007E770D" w:rsidRPr="007E770D" w14:paraId="4A4B740E" w14:textId="77777777" w:rsidTr="00B435B3">
        <w:tc>
          <w:tcPr>
            <w:tcW w:w="4680" w:type="dxa"/>
          </w:tcPr>
          <w:p w14:paraId="16EBEB18" w14:textId="77777777" w:rsidR="00687377" w:rsidRPr="007E770D" w:rsidRDefault="00687377" w:rsidP="00B435B3">
            <w:pPr>
              <w:spacing w:before="60"/>
              <w:jc w:val="center"/>
              <w:rPr>
                <w:color w:val="auto"/>
                <w:lang w:val="sr-Cyrl-CS"/>
              </w:rPr>
            </w:pPr>
            <w:r w:rsidRPr="007E770D">
              <w:rPr>
                <w:color w:val="auto"/>
                <w:lang w:val="sr-Cyrl-CS"/>
              </w:rPr>
              <w:t>Производња производа од неметалних минерала</w:t>
            </w:r>
          </w:p>
          <w:p w14:paraId="73A6AB6B" w14:textId="77777777" w:rsidR="00687377" w:rsidRPr="007E770D" w:rsidRDefault="00687377" w:rsidP="00B435B3">
            <w:pPr>
              <w:rPr>
                <w:color w:val="auto"/>
                <w:lang w:val="sr-Cyrl-CS"/>
              </w:rPr>
            </w:pPr>
            <w:r w:rsidRPr="007E770D">
              <w:rPr>
                <w:noProof/>
                <w:color w:val="auto"/>
              </w:rPr>
              <w:drawing>
                <wp:inline distT="0" distB="0" distL="0" distR="0" wp14:anchorId="3F8868E8" wp14:editId="6F2D7541">
                  <wp:extent cx="2880000" cy="1332000"/>
                  <wp:effectExtent l="0" t="0" r="0" b="1905"/>
                  <wp:docPr id="53" name="Chart 53">
                    <a:extLst xmlns:a="http://schemas.openxmlformats.org/drawingml/2006/main">
                      <a:ext uri="{FF2B5EF4-FFF2-40B4-BE49-F238E27FC236}">
                        <a16:creationId xmlns:a16="http://schemas.microsoft.com/office/drawing/2014/main" id="{00000000-0008-0000-1600-00001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tc>
        <w:tc>
          <w:tcPr>
            <w:tcW w:w="4680" w:type="dxa"/>
          </w:tcPr>
          <w:p w14:paraId="5C0B0E72" w14:textId="77777777" w:rsidR="00687377" w:rsidRPr="007E770D" w:rsidRDefault="00687377" w:rsidP="00B435B3">
            <w:pPr>
              <w:spacing w:before="60"/>
              <w:jc w:val="center"/>
              <w:rPr>
                <w:color w:val="auto"/>
                <w:lang w:val="sr-Cyrl-CS"/>
              </w:rPr>
            </w:pPr>
            <w:r w:rsidRPr="007E770D">
              <w:rPr>
                <w:color w:val="auto"/>
                <w:lang w:val="sr-Cyrl-CS"/>
              </w:rPr>
              <w:t>Производња прехрамбених производа</w:t>
            </w:r>
          </w:p>
          <w:p w14:paraId="2F361EE1" w14:textId="77777777" w:rsidR="00687377" w:rsidRPr="007E770D" w:rsidRDefault="00687377" w:rsidP="00B435B3">
            <w:pPr>
              <w:rPr>
                <w:color w:val="auto"/>
                <w:lang w:val="sr-Cyrl-CS"/>
              </w:rPr>
            </w:pPr>
            <w:r w:rsidRPr="007E770D">
              <w:rPr>
                <w:noProof/>
                <w:color w:val="auto"/>
              </w:rPr>
              <w:drawing>
                <wp:inline distT="0" distB="0" distL="0" distR="0" wp14:anchorId="3DF82ACF" wp14:editId="748F2C20">
                  <wp:extent cx="2880000" cy="1332000"/>
                  <wp:effectExtent l="0" t="0" r="0" b="1905"/>
                  <wp:docPr id="54" name="Chart 54">
                    <a:extLst xmlns:a="http://schemas.openxmlformats.org/drawingml/2006/main">
                      <a:ext uri="{FF2B5EF4-FFF2-40B4-BE49-F238E27FC236}">
                        <a16:creationId xmlns:a16="http://schemas.microsoft.com/office/drawing/2014/main" id="{00000000-0008-0000-1600-000019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tc>
      </w:tr>
      <w:tr w:rsidR="007E770D" w:rsidRPr="007E770D" w14:paraId="20DC106B" w14:textId="77777777" w:rsidTr="00B435B3">
        <w:tc>
          <w:tcPr>
            <w:tcW w:w="4680" w:type="dxa"/>
          </w:tcPr>
          <w:p w14:paraId="4BB02084" w14:textId="77777777" w:rsidR="00687377" w:rsidRPr="007E770D" w:rsidRDefault="00687377" w:rsidP="00B435B3">
            <w:pPr>
              <w:spacing w:before="60"/>
              <w:jc w:val="center"/>
              <w:rPr>
                <w:color w:val="auto"/>
                <w:lang w:val="sr-Cyrl-CS"/>
              </w:rPr>
            </w:pPr>
            <w:r w:rsidRPr="007E770D">
              <w:rPr>
                <w:color w:val="auto"/>
                <w:lang w:val="sr-Cyrl-CS"/>
              </w:rPr>
              <w:t>Производња кокса и деривата нафте</w:t>
            </w:r>
          </w:p>
          <w:p w14:paraId="3EDC4337" w14:textId="77777777" w:rsidR="00687377" w:rsidRPr="007E770D" w:rsidRDefault="00687377" w:rsidP="00B435B3">
            <w:pPr>
              <w:rPr>
                <w:color w:val="auto"/>
                <w:lang w:val="sr-Cyrl-CS"/>
              </w:rPr>
            </w:pPr>
            <w:r w:rsidRPr="007E770D">
              <w:rPr>
                <w:noProof/>
                <w:color w:val="auto"/>
              </w:rPr>
              <w:drawing>
                <wp:inline distT="0" distB="0" distL="0" distR="0" wp14:anchorId="339CBB2A" wp14:editId="1EC517B2">
                  <wp:extent cx="2880000" cy="1332000"/>
                  <wp:effectExtent l="0" t="0" r="0" b="1905"/>
                  <wp:docPr id="49" name="Chart 49">
                    <a:extLst xmlns:a="http://schemas.openxmlformats.org/drawingml/2006/main">
                      <a:ext uri="{FF2B5EF4-FFF2-40B4-BE49-F238E27FC236}">
                        <a16:creationId xmlns:a16="http://schemas.microsoft.com/office/drawing/2014/main" id="{00000000-0008-0000-1600-00001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tc>
        <w:tc>
          <w:tcPr>
            <w:tcW w:w="4680" w:type="dxa"/>
          </w:tcPr>
          <w:p w14:paraId="230B77F6" w14:textId="77777777" w:rsidR="00687377" w:rsidRPr="007E770D" w:rsidRDefault="00687377" w:rsidP="00B435B3">
            <w:pPr>
              <w:spacing w:before="60"/>
              <w:jc w:val="center"/>
              <w:rPr>
                <w:color w:val="auto"/>
                <w:lang w:val="sr-Cyrl-CS"/>
              </w:rPr>
            </w:pPr>
            <w:r w:rsidRPr="007E770D">
              <w:rPr>
                <w:color w:val="auto"/>
                <w:lang w:val="sr-Cyrl-CS"/>
              </w:rPr>
              <w:t>Производња хемикалија и хемијских производа</w:t>
            </w:r>
          </w:p>
          <w:p w14:paraId="0A05F030" w14:textId="77777777" w:rsidR="00687377" w:rsidRPr="007E770D" w:rsidRDefault="00687377" w:rsidP="00B435B3">
            <w:pPr>
              <w:rPr>
                <w:color w:val="auto"/>
                <w:lang w:val="sr-Cyrl-CS"/>
              </w:rPr>
            </w:pPr>
            <w:r w:rsidRPr="007E770D">
              <w:rPr>
                <w:noProof/>
                <w:color w:val="auto"/>
              </w:rPr>
              <w:drawing>
                <wp:inline distT="0" distB="0" distL="0" distR="0" wp14:anchorId="0A2ACE8D" wp14:editId="2742A442">
                  <wp:extent cx="2880000" cy="1332000"/>
                  <wp:effectExtent l="0" t="0" r="0" b="1905"/>
                  <wp:docPr id="50" name="Chart 50">
                    <a:extLst xmlns:a="http://schemas.openxmlformats.org/drawingml/2006/main">
                      <a:ext uri="{FF2B5EF4-FFF2-40B4-BE49-F238E27FC236}">
                        <a16:creationId xmlns:a16="http://schemas.microsoft.com/office/drawing/2014/main" id="{00000000-0008-0000-1600-00001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tc>
      </w:tr>
    </w:tbl>
    <w:p w14:paraId="356EAE71" w14:textId="77777777" w:rsidR="00687377" w:rsidRPr="007E770D" w:rsidRDefault="00687377" w:rsidP="00B435B3">
      <w:pPr>
        <w:spacing w:before="40" w:after="0"/>
        <w:jc w:val="center"/>
        <w:rPr>
          <w:rFonts w:cstheme="minorHAnsi"/>
          <w:b/>
          <w:bCs/>
          <w:color w:val="auto"/>
          <w:szCs w:val="72"/>
          <w:lang w:val="sr-Cyrl-CS"/>
        </w:rPr>
      </w:pPr>
      <w:r w:rsidRPr="007E770D">
        <w:rPr>
          <w:noProof/>
          <w:color w:val="auto"/>
        </w:rPr>
        <w:drawing>
          <wp:inline distT="0" distB="0" distL="0" distR="0" wp14:anchorId="42A431D2" wp14:editId="301827D2">
            <wp:extent cx="4371429" cy="219048"/>
            <wp:effectExtent l="0" t="0" r="0" b="0"/>
            <wp:docPr id="51"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8"/>
                    <pic:cNvPicPr>
                      <a:picLocks noChangeAspect="1"/>
                    </pic:cNvPicPr>
                  </pic:nvPicPr>
                  <pic:blipFill>
                    <a:blip r:embed="rId63"/>
                    <a:stretch>
                      <a:fillRect/>
                    </a:stretch>
                  </pic:blipFill>
                  <pic:spPr>
                    <a:xfrm>
                      <a:off x="0" y="0"/>
                      <a:ext cx="4371429" cy="219048"/>
                    </a:xfrm>
                    <a:prstGeom prst="rect">
                      <a:avLst/>
                    </a:prstGeom>
                  </pic:spPr>
                </pic:pic>
              </a:graphicData>
            </a:graphic>
          </wp:inline>
        </w:drawing>
      </w:r>
    </w:p>
    <w:p w14:paraId="7226E928" w14:textId="77777777" w:rsidR="00687377" w:rsidRPr="007E770D" w:rsidRDefault="00687377" w:rsidP="00B435B3">
      <w:pPr>
        <w:spacing w:after="0"/>
        <w:jc w:val="left"/>
        <w:rPr>
          <w:rFonts w:cstheme="minorHAnsi"/>
          <w:b/>
          <w:bCs/>
          <w:color w:val="auto"/>
          <w:szCs w:val="72"/>
          <w:lang w:val="sr-Cyrl-CS"/>
        </w:rPr>
      </w:pPr>
      <w:r w:rsidRPr="007E770D">
        <w:rPr>
          <w:rFonts w:cstheme="minorHAnsi"/>
          <w:bCs/>
          <w:color w:val="auto"/>
          <w:sz w:val="16"/>
          <w:szCs w:val="72"/>
          <w:lang w:val="sr-Cyrl-CS"/>
        </w:rPr>
        <w:t>Извор: Министарство финансија</w:t>
      </w:r>
    </w:p>
    <w:p w14:paraId="59CBA801" w14:textId="77777777" w:rsidR="00687377" w:rsidRPr="007E770D" w:rsidRDefault="00687377" w:rsidP="00B435B3">
      <w:pPr>
        <w:spacing w:after="0"/>
        <w:rPr>
          <w:rFonts w:cstheme="minorHAnsi"/>
          <w:b/>
          <w:bCs/>
          <w:color w:val="auto"/>
          <w:szCs w:val="72"/>
          <w:lang w:val="sr-Cyrl-CS"/>
        </w:rPr>
      </w:pPr>
    </w:p>
    <w:p w14:paraId="74F90D98" w14:textId="77777777" w:rsidR="00687377" w:rsidRPr="007E770D" w:rsidRDefault="00687377" w:rsidP="00B435B3">
      <w:pPr>
        <w:spacing w:after="0"/>
        <w:rPr>
          <w:rFonts w:cstheme="minorHAnsi"/>
          <w:b/>
          <w:bCs/>
          <w:color w:val="auto"/>
          <w:szCs w:val="72"/>
          <w:lang w:val="sr-Cyrl-CS"/>
        </w:rPr>
        <w:sectPr w:rsidR="00687377" w:rsidRPr="007E770D" w:rsidSect="00B435B3">
          <w:type w:val="continuous"/>
          <w:pgSz w:w="12240" w:h="15840"/>
          <w:pgMar w:top="1440" w:right="1440" w:bottom="1440" w:left="1440" w:header="720" w:footer="720" w:gutter="0"/>
          <w:cols w:space="720"/>
          <w:docGrid w:linePitch="360"/>
          <w15:footnoteColumns w:val="1"/>
        </w:sectPr>
      </w:pPr>
    </w:p>
    <w:p w14:paraId="2F0429FB" w14:textId="399A26D0" w:rsidR="00687377" w:rsidRPr="007E770D" w:rsidRDefault="00687377" w:rsidP="00B435B3">
      <w:pPr>
        <w:rPr>
          <w:rFonts w:cstheme="minorHAnsi"/>
          <w:bCs/>
          <w:color w:val="auto"/>
          <w:szCs w:val="72"/>
          <w:lang w:val="sr-Cyrl-CS"/>
        </w:rPr>
      </w:pPr>
      <w:r w:rsidRPr="007E770D">
        <w:rPr>
          <w:rFonts w:cstheme="minorHAnsi"/>
          <w:bCs/>
          <w:color w:val="auto"/>
          <w:szCs w:val="72"/>
          <w:lang w:val="sr-Cyrl-CS"/>
        </w:rPr>
        <w:t xml:space="preserve">Услужни сектор у првих осам месеци 2019. године стабилно расте и чува улогу доминантног носиоца привредног раста. У овом периоду, у односу на исти период претходне године, малопродајни промет је био већи за 10,9% номинално, односно 8,7% реално. Посматрано у сталним ценама, непрехрамбеним производима трговало се више за 10,5%, док је промет моторних горива и хране, пића и дувана био већи за 8,1% и 7,6%, респективно. </w:t>
      </w:r>
      <w:r w:rsidRPr="007E770D">
        <w:rPr>
          <w:rFonts w:cstheme="minorHAnsi"/>
          <w:bCs/>
          <w:color w:val="auto"/>
          <w:spacing w:val="-4"/>
          <w:szCs w:val="72"/>
          <w:lang w:val="sr-Cyrl-CS"/>
        </w:rPr>
        <w:t xml:space="preserve">Стратешка оријентација Владе ка јачању туристичких услуга обезбеђује континуирани </w:t>
      </w:r>
      <w:r w:rsidRPr="007E770D">
        <w:rPr>
          <w:rFonts w:cstheme="minorHAnsi"/>
          <w:bCs/>
          <w:color w:val="auto"/>
          <w:spacing w:val="-4"/>
          <w:szCs w:val="72"/>
          <w:lang w:val="sr-Cyrl-CS"/>
        </w:rPr>
        <w:t>раст овог дела услуга.</w:t>
      </w:r>
      <w:r w:rsidRPr="007E770D">
        <w:rPr>
          <w:rFonts w:cstheme="minorHAnsi"/>
          <w:bCs/>
          <w:color w:val="auto"/>
          <w:szCs w:val="72"/>
          <w:lang w:val="sr-Cyrl-CS"/>
        </w:rPr>
        <w:t xml:space="preserve"> Број туриста је у овом периоду износио око 2,5 милиона, што је међугодишње повећање од 5,6%. Повећан је и број остварених ноћења за 5,2%, те их је укупно забележено око 7 милиона. Девизни прилив од туризма, у п</w:t>
      </w:r>
      <w:r w:rsidR="002E7C10" w:rsidRPr="007E770D">
        <w:rPr>
          <w:rFonts w:cstheme="minorHAnsi"/>
          <w:bCs/>
          <w:color w:val="auto"/>
          <w:szCs w:val="72"/>
          <w:lang w:val="sr-Cyrl-CS"/>
        </w:rPr>
        <w:t>ериоду јануар–август износио је 918</w:t>
      </w:r>
      <w:r w:rsidRPr="007E770D">
        <w:rPr>
          <w:rFonts w:cstheme="minorHAnsi"/>
          <w:bCs/>
          <w:color w:val="auto"/>
          <w:szCs w:val="72"/>
          <w:lang w:val="sr-Cyrl-CS"/>
        </w:rPr>
        <w:t>,</w:t>
      </w:r>
      <w:r w:rsidR="002E7C10" w:rsidRPr="007E770D">
        <w:rPr>
          <w:rFonts w:cstheme="minorHAnsi"/>
          <w:bCs/>
          <w:color w:val="auto"/>
          <w:szCs w:val="72"/>
          <w:lang w:val="sr-Cyrl-CS"/>
        </w:rPr>
        <w:t>7</w:t>
      </w:r>
      <w:r w:rsidRPr="007E770D">
        <w:rPr>
          <w:rFonts w:cstheme="minorHAnsi"/>
          <w:bCs/>
          <w:color w:val="auto"/>
          <w:szCs w:val="72"/>
          <w:lang w:val="sr-Cyrl-CS"/>
        </w:rPr>
        <w:t xml:space="preserve"> мил. евра, што је међугодишње повећање од </w:t>
      </w:r>
      <w:r w:rsidR="002E7C10" w:rsidRPr="007E770D">
        <w:rPr>
          <w:rFonts w:cstheme="minorHAnsi"/>
          <w:bCs/>
          <w:color w:val="auto"/>
          <w:szCs w:val="72"/>
          <w:lang w:val="sr-Cyrl-CS"/>
        </w:rPr>
        <w:t>6,</w:t>
      </w:r>
      <w:r w:rsidRPr="007E770D">
        <w:rPr>
          <w:rFonts w:cstheme="minorHAnsi"/>
          <w:bCs/>
          <w:color w:val="auto"/>
          <w:szCs w:val="72"/>
          <w:lang w:val="sr-Cyrl-CS"/>
        </w:rPr>
        <w:t xml:space="preserve">7%. </w:t>
      </w:r>
      <w:r w:rsidR="002E7C10" w:rsidRPr="007E770D">
        <w:rPr>
          <w:rFonts w:cstheme="minorHAnsi"/>
          <w:bCs/>
          <w:color w:val="auto"/>
          <w:szCs w:val="72"/>
          <w:lang w:val="sr-Cyrl-CS"/>
        </w:rPr>
        <w:t>П</w:t>
      </w:r>
      <w:r w:rsidRPr="007E770D">
        <w:rPr>
          <w:rFonts w:cstheme="minorHAnsi"/>
          <w:bCs/>
          <w:color w:val="auto"/>
          <w:szCs w:val="72"/>
          <w:lang w:val="sr-Cyrl-CS"/>
        </w:rPr>
        <w:t>ромет у угоститељству, посматрано у</w:t>
      </w:r>
      <w:r w:rsidR="002E7C10" w:rsidRPr="007E770D">
        <w:rPr>
          <w:rFonts w:cstheme="minorHAnsi"/>
          <w:bCs/>
          <w:color w:val="auto"/>
          <w:szCs w:val="72"/>
          <w:lang w:val="sr-Cyrl-CS"/>
        </w:rPr>
        <w:t xml:space="preserve"> периоду јануар-јул, </w:t>
      </w:r>
      <w:r w:rsidRPr="007E770D">
        <w:rPr>
          <w:rFonts w:cstheme="minorHAnsi"/>
          <w:bCs/>
          <w:color w:val="auto"/>
          <w:szCs w:val="72"/>
          <w:lang w:val="sr-Cyrl-CS"/>
        </w:rPr>
        <w:t>међугодишње је</w:t>
      </w:r>
      <w:r w:rsidR="002E7C10" w:rsidRPr="007E770D">
        <w:rPr>
          <w:rFonts w:cstheme="minorHAnsi"/>
          <w:bCs/>
          <w:color w:val="auto"/>
          <w:szCs w:val="72"/>
          <w:lang w:val="sr-Cyrl-CS"/>
        </w:rPr>
        <w:t xml:space="preserve"> реално</w:t>
      </w:r>
      <w:r w:rsidRPr="007E770D">
        <w:rPr>
          <w:rFonts w:cstheme="minorHAnsi"/>
          <w:bCs/>
          <w:color w:val="auto"/>
          <w:szCs w:val="72"/>
          <w:lang w:val="sr-Cyrl-CS"/>
        </w:rPr>
        <w:t xml:space="preserve"> порастао за 9,0%.</w:t>
      </w:r>
    </w:p>
    <w:p w14:paraId="4DCB52F5" w14:textId="77777777" w:rsidR="00687377" w:rsidRPr="007E770D" w:rsidRDefault="00687377" w:rsidP="00B435B3">
      <w:pPr>
        <w:rPr>
          <w:rFonts w:cstheme="minorHAnsi"/>
          <w:b/>
          <w:bCs/>
          <w:color w:val="auto"/>
          <w:szCs w:val="72"/>
          <w:lang w:val="sr-Cyrl-CS"/>
        </w:rPr>
        <w:sectPr w:rsidR="00687377" w:rsidRPr="007E770D" w:rsidSect="00CE5657">
          <w:type w:val="continuous"/>
          <w:pgSz w:w="12240" w:h="15840"/>
          <w:pgMar w:top="1440" w:right="1440" w:bottom="1440" w:left="1440" w:header="720" w:footer="720" w:gutter="0"/>
          <w:cols w:num="2" w:space="720"/>
          <w:docGrid w:linePitch="360"/>
          <w15:footnoteColumns w:val="1"/>
        </w:sectPr>
      </w:pPr>
    </w:p>
    <w:p w14:paraId="0C3A5381" w14:textId="77777777" w:rsidR="00687377" w:rsidRPr="007E770D" w:rsidRDefault="00687377">
      <w:pPr>
        <w:jc w:val="left"/>
        <w:rPr>
          <w:rFonts w:cstheme="minorHAnsi"/>
          <w:b/>
          <w:color w:val="auto"/>
          <w:lang w:val="sr-Cyrl-CS"/>
        </w:rPr>
      </w:pPr>
      <w:r w:rsidRPr="007E770D">
        <w:rPr>
          <w:rFonts w:cstheme="minorHAnsi"/>
          <w:b/>
          <w:color w:val="auto"/>
          <w:lang w:val="sr-Cyrl-CS"/>
        </w:rPr>
        <w:br w:type="page"/>
      </w:r>
    </w:p>
    <w:p w14:paraId="34A22ED1" w14:textId="77777777" w:rsidR="00687377" w:rsidRPr="007E770D" w:rsidRDefault="00687377" w:rsidP="00B435B3">
      <w:pPr>
        <w:spacing w:before="240"/>
        <w:jc w:val="center"/>
        <w:rPr>
          <w:rFonts w:cstheme="minorHAnsi"/>
          <w:b/>
          <w:color w:val="auto"/>
          <w:lang w:val="sr-Cyrl-CS"/>
        </w:rPr>
      </w:pPr>
      <w:r w:rsidRPr="007E770D">
        <w:rPr>
          <w:rFonts w:cstheme="minorHAnsi"/>
          <w:b/>
          <w:color w:val="auto"/>
          <w:lang w:val="sr-Cyrl-CS"/>
        </w:rPr>
        <w:lastRenderedPageBreak/>
        <w:t>Високофреквентни индикатори најзначајнијих услужних делатности, 2018=100</w:t>
      </w:r>
    </w:p>
    <w:tbl>
      <w:tblPr>
        <w:tblStyle w:val="TableGrid6"/>
        <w:tblW w:w="0" w:type="auto"/>
        <w:tblBorders>
          <w:top w:val="none" w:sz="0" w:space="0" w:color="auto"/>
          <w:left w:val="none" w:sz="0" w:space="0" w:color="auto"/>
          <w:bottom w:val="dashSmallGap" w:sz="4" w:space="0" w:color="BFBFBF" w:themeColor="background1" w:themeShade="BF"/>
          <w:right w:val="none" w:sz="0" w:space="0" w:color="auto"/>
          <w:insideH w:val="dashSmallGap" w:sz="4" w:space="0" w:color="BFBFBF" w:themeColor="background1" w:themeShade="BF"/>
          <w:insideV w:val="dashSmallGap" w:sz="4" w:space="0" w:color="BFBFBF" w:themeColor="background1" w:themeShade="BF"/>
        </w:tblBorders>
        <w:tblLook w:val="04A0" w:firstRow="1" w:lastRow="0" w:firstColumn="1" w:lastColumn="0" w:noHBand="0" w:noVBand="1"/>
      </w:tblPr>
      <w:tblGrid>
        <w:gridCol w:w="4680"/>
        <w:gridCol w:w="4680"/>
      </w:tblGrid>
      <w:tr w:rsidR="007E770D" w:rsidRPr="007E770D" w14:paraId="7B9BD833" w14:textId="77777777" w:rsidTr="00B435B3">
        <w:tc>
          <w:tcPr>
            <w:tcW w:w="4680" w:type="dxa"/>
          </w:tcPr>
          <w:p w14:paraId="4CEACF2F" w14:textId="77777777" w:rsidR="00687377" w:rsidRPr="007E770D" w:rsidRDefault="00687377" w:rsidP="00B435B3">
            <w:pPr>
              <w:jc w:val="center"/>
              <w:rPr>
                <w:color w:val="auto"/>
                <w:lang w:val="sr-Cyrl-CS"/>
              </w:rPr>
            </w:pPr>
            <w:r w:rsidRPr="007E770D">
              <w:rPr>
                <w:color w:val="auto"/>
                <w:lang w:val="sr-Cyrl-CS"/>
              </w:rPr>
              <w:t>Промет у трговини на мало у сталним ценама</w:t>
            </w:r>
          </w:p>
          <w:p w14:paraId="671B0DF2" w14:textId="77777777" w:rsidR="00687377" w:rsidRPr="007E770D" w:rsidRDefault="00687377" w:rsidP="00B435B3">
            <w:pPr>
              <w:jc w:val="center"/>
              <w:rPr>
                <w:color w:val="auto"/>
                <w:lang w:val="sr-Cyrl-CS"/>
              </w:rPr>
            </w:pPr>
            <w:r w:rsidRPr="007E770D">
              <w:rPr>
                <w:noProof/>
                <w:color w:val="auto"/>
              </w:rPr>
              <w:drawing>
                <wp:inline distT="0" distB="0" distL="0" distR="0" wp14:anchorId="29BC77A9" wp14:editId="3E47561A">
                  <wp:extent cx="2880000" cy="1332000"/>
                  <wp:effectExtent l="0" t="0" r="0" b="1905"/>
                  <wp:docPr id="11" name="Chart 11">
                    <a:extLst xmlns:a="http://schemas.openxmlformats.org/drawingml/2006/main">
                      <a:ext uri="{FF2B5EF4-FFF2-40B4-BE49-F238E27FC236}">
                        <a16:creationId xmlns:a16="http://schemas.microsoft.com/office/drawing/2014/main" id="{00000000-0008-0000-1700-00000D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tc>
        <w:tc>
          <w:tcPr>
            <w:tcW w:w="4680" w:type="dxa"/>
          </w:tcPr>
          <w:p w14:paraId="13F2EEE2" w14:textId="77777777" w:rsidR="00687377" w:rsidRPr="007E770D" w:rsidRDefault="00687377" w:rsidP="00B435B3">
            <w:pPr>
              <w:jc w:val="center"/>
              <w:rPr>
                <w:color w:val="auto"/>
                <w:lang w:val="sr-Cyrl-CS"/>
              </w:rPr>
            </w:pPr>
            <w:r w:rsidRPr="007E770D">
              <w:rPr>
                <w:color w:val="auto"/>
                <w:lang w:val="sr-Cyrl-CS"/>
              </w:rPr>
              <w:t>Промет у угоститељству у сталним ценама</w:t>
            </w:r>
          </w:p>
          <w:p w14:paraId="69C31224" w14:textId="77777777" w:rsidR="00687377" w:rsidRPr="007E770D" w:rsidRDefault="00687377" w:rsidP="00B435B3">
            <w:pPr>
              <w:jc w:val="center"/>
              <w:rPr>
                <w:color w:val="auto"/>
                <w:lang w:val="sr-Cyrl-CS"/>
              </w:rPr>
            </w:pPr>
            <w:r w:rsidRPr="007E770D">
              <w:rPr>
                <w:noProof/>
                <w:color w:val="auto"/>
              </w:rPr>
              <w:drawing>
                <wp:inline distT="0" distB="0" distL="0" distR="0" wp14:anchorId="51BEF6C4" wp14:editId="260D9672">
                  <wp:extent cx="2880000" cy="1332000"/>
                  <wp:effectExtent l="0" t="0" r="0" b="1905"/>
                  <wp:docPr id="12" name="Chart 12">
                    <a:extLst xmlns:a="http://schemas.openxmlformats.org/drawingml/2006/main">
                      <a:ext uri="{FF2B5EF4-FFF2-40B4-BE49-F238E27FC236}">
                        <a16:creationId xmlns:a16="http://schemas.microsoft.com/office/drawing/2014/main" id="{00000000-0008-0000-1700-000010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tc>
      </w:tr>
      <w:tr w:rsidR="007E770D" w:rsidRPr="007E770D" w14:paraId="26F17BE2" w14:textId="77777777" w:rsidTr="00B435B3">
        <w:tc>
          <w:tcPr>
            <w:tcW w:w="4680" w:type="dxa"/>
          </w:tcPr>
          <w:p w14:paraId="24C216AA" w14:textId="77777777" w:rsidR="00687377" w:rsidRPr="007E770D" w:rsidRDefault="00687377" w:rsidP="00B435B3">
            <w:pPr>
              <w:spacing w:before="60"/>
              <w:jc w:val="center"/>
              <w:rPr>
                <w:color w:val="auto"/>
                <w:lang w:val="sr-Cyrl-CS"/>
              </w:rPr>
            </w:pPr>
            <w:r w:rsidRPr="007E770D">
              <w:rPr>
                <w:color w:val="auto"/>
                <w:lang w:val="sr-Cyrl-CS"/>
              </w:rPr>
              <w:t>Ноћења туриста</w:t>
            </w:r>
          </w:p>
          <w:p w14:paraId="44EC2E3B" w14:textId="77777777" w:rsidR="00687377" w:rsidRPr="007E770D" w:rsidRDefault="00687377" w:rsidP="00B435B3">
            <w:pPr>
              <w:jc w:val="center"/>
              <w:rPr>
                <w:color w:val="auto"/>
                <w:lang w:val="sr-Cyrl-CS"/>
              </w:rPr>
            </w:pPr>
            <w:r w:rsidRPr="007E770D">
              <w:rPr>
                <w:noProof/>
                <w:color w:val="auto"/>
              </w:rPr>
              <w:drawing>
                <wp:inline distT="0" distB="0" distL="0" distR="0" wp14:anchorId="725153B3" wp14:editId="3504F463">
                  <wp:extent cx="2880000" cy="1332000"/>
                  <wp:effectExtent l="0" t="0" r="0" b="1905"/>
                  <wp:docPr id="13" name="Chart 13">
                    <a:extLst xmlns:a="http://schemas.openxmlformats.org/drawingml/2006/main">
                      <a:ext uri="{FF2B5EF4-FFF2-40B4-BE49-F238E27FC236}">
                        <a16:creationId xmlns:a16="http://schemas.microsoft.com/office/drawing/2014/main" id="{00000000-0008-0000-1700-000011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tc>
        <w:tc>
          <w:tcPr>
            <w:tcW w:w="4680" w:type="dxa"/>
          </w:tcPr>
          <w:p w14:paraId="33B6694C" w14:textId="77777777" w:rsidR="00687377" w:rsidRPr="007E770D" w:rsidRDefault="00687377" w:rsidP="00B435B3">
            <w:pPr>
              <w:spacing w:before="60"/>
              <w:jc w:val="center"/>
              <w:rPr>
                <w:color w:val="auto"/>
                <w:lang w:val="sr-Cyrl-CS"/>
              </w:rPr>
            </w:pPr>
            <w:r w:rsidRPr="007E770D">
              <w:rPr>
                <w:color w:val="auto"/>
                <w:lang w:val="sr-Cyrl-CS"/>
              </w:rPr>
              <w:t>Транспорт</w:t>
            </w:r>
          </w:p>
          <w:p w14:paraId="77F2569B" w14:textId="77777777" w:rsidR="00687377" w:rsidRPr="007E770D" w:rsidRDefault="00687377" w:rsidP="00B435B3">
            <w:pPr>
              <w:jc w:val="center"/>
              <w:rPr>
                <w:color w:val="auto"/>
                <w:lang w:val="sr-Cyrl-CS"/>
              </w:rPr>
            </w:pPr>
            <w:r w:rsidRPr="007E770D">
              <w:rPr>
                <w:noProof/>
                <w:color w:val="auto"/>
              </w:rPr>
              <w:drawing>
                <wp:inline distT="0" distB="0" distL="0" distR="0" wp14:anchorId="1A204545" wp14:editId="630E3098">
                  <wp:extent cx="2880000" cy="1332000"/>
                  <wp:effectExtent l="0" t="0" r="0" b="1905"/>
                  <wp:docPr id="16" name="Chart 16">
                    <a:extLst xmlns:a="http://schemas.openxmlformats.org/drawingml/2006/main">
                      <a:ext uri="{FF2B5EF4-FFF2-40B4-BE49-F238E27FC236}">
                        <a16:creationId xmlns:a16="http://schemas.microsoft.com/office/drawing/2014/main" id="{00000000-0008-0000-1800-00000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tc>
      </w:tr>
      <w:tr w:rsidR="007E770D" w:rsidRPr="007E770D" w14:paraId="4E0703FD" w14:textId="77777777" w:rsidTr="00B435B3">
        <w:tc>
          <w:tcPr>
            <w:tcW w:w="4680" w:type="dxa"/>
          </w:tcPr>
          <w:p w14:paraId="192A6572" w14:textId="77777777" w:rsidR="00687377" w:rsidRPr="007E770D" w:rsidRDefault="00687377" w:rsidP="00B435B3">
            <w:pPr>
              <w:spacing w:before="60"/>
              <w:jc w:val="center"/>
              <w:rPr>
                <w:color w:val="auto"/>
                <w:lang w:val="sr-Cyrl-CS"/>
              </w:rPr>
            </w:pPr>
            <w:r w:rsidRPr="007E770D">
              <w:rPr>
                <w:color w:val="auto"/>
                <w:lang w:val="sr-Cyrl-CS"/>
              </w:rPr>
              <w:t>Туризам</w:t>
            </w:r>
          </w:p>
          <w:p w14:paraId="0A827FD0" w14:textId="77777777" w:rsidR="00687377" w:rsidRPr="007E770D" w:rsidRDefault="00687377" w:rsidP="00B435B3">
            <w:pPr>
              <w:jc w:val="center"/>
              <w:rPr>
                <w:color w:val="auto"/>
                <w:lang w:val="sr-Cyrl-CS"/>
              </w:rPr>
            </w:pPr>
          </w:p>
          <w:p w14:paraId="4B6E0748" w14:textId="77777777" w:rsidR="00687377" w:rsidRPr="007E770D" w:rsidRDefault="00687377" w:rsidP="00B435B3">
            <w:pPr>
              <w:jc w:val="center"/>
              <w:rPr>
                <w:color w:val="auto"/>
                <w:lang w:val="sr-Cyrl-CS"/>
              </w:rPr>
            </w:pPr>
            <w:r w:rsidRPr="007E770D">
              <w:rPr>
                <w:noProof/>
                <w:color w:val="auto"/>
              </w:rPr>
              <w:drawing>
                <wp:inline distT="0" distB="0" distL="0" distR="0" wp14:anchorId="326B30D4" wp14:editId="553D0749">
                  <wp:extent cx="2880000" cy="1332000"/>
                  <wp:effectExtent l="0" t="0" r="0" b="1905"/>
                  <wp:docPr id="18" name="Chart 18">
                    <a:extLst xmlns:a="http://schemas.openxmlformats.org/drawingml/2006/main">
                      <a:ext uri="{FF2B5EF4-FFF2-40B4-BE49-F238E27FC236}">
                        <a16:creationId xmlns:a16="http://schemas.microsoft.com/office/drawing/2014/main" id="{00000000-0008-0000-1800-00000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tc>
        <w:tc>
          <w:tcPr>
            <w:tcW w:w="4680" w:type="dxa"/>
          </w:tcPr>
          <w:p w14:paraId="571A4240" w14:textId="77777777" w:rsidR="00687377" w:rsidRPr="007E770D" w:rsidRDefault="00687377" w:rsidP="00B435B3">
            <w:pPr>
              <w:spacing w:before="60"/>
              <w:jc w:val="center"/>
              <w:rPr>
                <w:color w:val="auto"/>
                <w:lang w:val="sr-Cyrl-CS" w:eastAsia="en-GB"/>
              </w:rPr>
            </w:pPr>
            <w:r w:rsidRPr="007E770D">
              <w:rPr>
                <w:color w:val="auto"/>
                <w:lang w:val="sr-Cyrl-CS"/>
              </w:rPr>
              <w:t>Услуге телекомуникација, компјутерске и информацијске услуге</w:t>
            </w:r>
          </w:p>
          <w:p w14:paraId="256C7D13" w14:textId="77777777" w:rsidR="00687377" w:rsidRPr="007E770D" w:rsidRDefault="00687377" w:rsidP="00B435B3">
            <w:pPr>
              <w:spacing w:before="60"/>
              <w:jc w:val="center"/>
              <w:rPr>
                <w:color w:val="auto"/>
                <w:lang w:val="sr-Cyrl-CS"/>
              </w:rPr>
            </w:pPr>
            <w:r w:rsidRPr="007E770D">
              <w:rPr>
                <w:noProof/>
                <w:color w:val="auto"/>
              </w:rPr>
              <w:drawing>
                <wp:inline distT="0" distB="0" distL="0" distR="0" wp14:anchorId="214D664B" wp14:editId="315A1EDE">
                  <wp:extent cx="2880000" cy="1332000"/>
                  <wp:effectExtent l="0" t="0" r="0" b="1905"/>
                  <wp:docPr id="19" name="Chart 19">
                    <a:extLst xmlns:a="http://schemas.openxmlformats.org/drawingml/2006/main">
                      <a:ext uri="{FF2B5EF4-FFF2-40B4-BE49-F238E27FC236}">
                        <a16:creationId xmlns:a16="http://schemas.microsoft.com/office/drawing/2014/main" id="{00000000-0008-0000-1800-00000C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tc>
      </w:tr>
    </w:tbl>
    <w:p w14:paraId="7E30E2B0" w14:textId="77777777" w:rsidR="00687377" w:rsidRPr="007E770D" w:rsidRDefault="00687377" w:rsidP="00B435B3">
      <w:pPr>
        <w:spacing w:before="120" w:after="0"/>
        <w:jc w:val="center"/>
        <w:rPr>
          <w:rFonts w:cstheme="minorHAnsi"/>
          <w:b/>
          <w:color w:val="auto"/>
          <w:lang w:val="sr-Cyrl-CS"/>
        </w:rPr>
      </w:pPr>
      <w:r w:rsidRPr="007E770D">
        <w:rPr>
          <w:noProof/>
          <w:color w:val="auto"/>
        </w:rPr>
        <w:drawing>
          <wp:inline distT="0" distB="0" distL="0" distR="0" wp14:anchorId="695EF965" wp14:editId="7B929438">
            <wp:extent cx="4371429" cy="219048"/>
            <wp:effectExtent l="0" t="0" r="0" b="0"/>
            <wp:docPr id="8"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pic:cNvPicPr>
                      <a:picLocks noChangeAspect="1"/>
                    </pic:cNvPicPr>
                  </pic:nvPicPr>
                  <pic:blipFill>
                    <a:blip r:embed="rId63"/>
                    <a:stretch>
                      <a:fillRect/>
                    </a:stretch>
                  </pic:blipFill>
                  <pic:spPr>
                    <a:xfrm>
                      <a:off x="0" y="0"/>
                      <a:ext cx="4371429" cy="219048"/>
                    </a:xfrm>
                    <a:prstGeom prst="rect">
                      <a:avLst/>
                    </a:prstGeom>
                  </pic:spPr>
                </pic:pic>
              </a:graphicData>
            </a:graphic>
          </wp:inline>
        </w:drawing>
      </w:r>
    </w:p>
    <w:p w14:paraId="34757BB7" w14:textId="77777777" w:rsidR="00687377" w:rsidRPr="007E770D" w:rsidRDefault="00687377" w:rsidP="00B435B3">
      <w:pPr>
        <w:jc w:val="left"/>
        <w:rPr>
          <w:rFonts w:cstheme="minorHAnsi"/>
          <w:b/>
          <w:color w:val="auto"/>
          <w:lang w:val="sr-Cyrl-CS"/>
        </w:rPr>
      </w:pPr>
      <w:r w:rsidRPr="007E770D">
        <w:rPr>
          <w:rFonts w:cstheme="minorHAnsi"/>
          <w:bCs/>
          <w:color w:val="auto"/>
          <w:sz w:val="16"/>
          <w:szCs w:val="72"/>
          <w:lang w:val="sr-Cyrl-CS"/>
        </w:rPr>
        <w:t>Извор: Министарство финансија</w:t>
      </w:r>
    </w:p>
    <w:p w14:paraId="1A17E609" w14:textId="77777777" w:rsidR="00687377" w:rsidRPr="007E770D" w:rsidRDefault="00687377" w:rsidP="00B435B3">
      <w:pPr>
        <w:jc w:val="center"/>
        <w:rPr>
          <w:rFonts w:cstheme="minorHAnsi"/>
          <w:b/>
          <w:color w:val="auto"/>
          <w:lang w:val="sr-Cyrl-CS"/>
        </w:rPr>
        <w:sectPr w:rsidR="00687377" w:rsidRPr="007E770D" w:rsidSect="00B435B3">
          <w:type w:val="continuous"/>
          <w:pgSz w:w="12240" w:h="15840"/>
          <w:pgMar w:top="1440" w:right="1440" w:bottom="1440" w:left="1440" w:header="720" w:footer="720" w:gutter="0"/>
          <w:cols w:space="720"/>
          <w:docGrid w:linePitch="360"/>
          <w15:footnoteColumns w:val="1"/>
        </w:sectPr>
      </w:pPr>
    </w:p>
    <w:p w14:paraId="21E0B6D8" w14:textId="77777777" w:rsidR="00687377" w:rsidRPr="007E770D" w:rsidRDefault="00687377" w:rsidP="00352961">
      <w:pPr>
        <w:rPr>
          <w:rFonts w:cstheme="minorHAnsi"/>
          <w:bCs/>
          <w:color w:val="auto"/>
          <w:szCs w:val="72"/>
          <w:lang w:val="sr-Cyrl-CS"/>
        </w:rPr>
      </w:pPr>
      <w:r w:rsidRPr="007E770D">
        <w:rPr>
          <w:rFonts w:cstheme="minorHAnsi"/>
          <w:bCs/>
          <w:color w:val="auto"/>
          <w:szCs w:val="72"/>
          <w:lang w:val="sr-Cyrl-CS"/>
        </w:rPr>
        <w:t>Грађевинска активност наставља снажну динамику током 2019. године. Број издатих грађевинских дозвола у периоду јануар–август већи је за 7,2%, док је на бази њих очекивана вредност радова већа за чак 101,8%. Поред тога, очекује се да ће капитални расходи републике у 2019. години бити међугодишње већи за 26,7%.</w:t>
      </w:r>
    </w:p>
    <w:p w14:paraId="44D35290" w14:textId="77777777" w:rsidR="00687377" w:rsidRPr="007E770D" w:rsidRDefault="00687377" w:rsidP="00352961">
      <w:pPr>
        <w:rPr>
          <w:rFonts w:cstheme="minorHAnsi"/>
          <w:bCs/>
          <w:color w:val="auto"/>
          <w:szCs w:val="72"/>
          <w:lang w:val="sr-Cyrl-CS"/>
        </w:rPr>
      </w:pPr>
      <w:r w:rsidRPr="007E770D">
        <w:rPr>
          <w:rFonts w:cstheme="minorHAnsi"/>
          <w:bCs/>
          <w:color w:val="auto"/>
          <w:szCs w:val="72"/>
          <w:lang w:val="sr-Cyrl-CS"/>
        </w:rPr>
        <w:t xml:space="preserve">Расположиви подаци о кретању пољопривредне производње показују да је овај сектор имао резултат бољи од оног који је очекиван на бази вишегодишњих просека. </w:t>
      </w:r>
      <w:r w:rsidRPr="007E770D">
        <w:rPr>
          <w:rFonts w:cstheme="minorHAnsi"/>
          <w:bCs/>
          <w:color w:val="auto"/>
          <w:spacing w:val="-4"/>
          <w:szCs w:val="72"/>
          <w:lang w:val="sr-Cyrl-CS"/>
        </w:rPr>
        <w:t>И поред високе базе из прошле године производња кукуруза међугодишње</w:t>
      </w:r>
      <w:r w:rsidRPr="007E770D">
        <w:rPr>
          <w:rFonts w:cstheme="minorHAnsi"/>
          <w:bCs/>
          <w:color w:val="auto"/>
          <w:szCs w:val="72"/>
          <w:lang w:val="sr-Cyrl-CS"/>
        </w:rPr>
        <w:t xml:space="preserve"> </w:t>
      </w:r>
      <w:r w:rsidRPr="007E770D">
        <w:rPr>
          <w:rFonts w:cstheme="minorHAnsi"/>
          <w:bCs/>
          <w:color w:val="auto"/>
          <w:szCs w:val="72"/>
          <w:lang w:val="sr-Cyrl-CS"/>
        </w:rPr>
        <w:t>је већа за 7,7% што је с обзиром на пондер ове културе у укупној пољопривредној производњи значајно определило кретање овог сектора. Додатно је допринео раст производње соје за 8,5%, јабука за 8,5% и шљиве 29,9%.</w:t>
      </w:r>
    </w:p>
    <w:p w14:paraId="7A132CD6" w14:textId="77777777" w:rsidR="00687377" w:rsidRPr="007E770D" w:rsidRDefault="00687377" w:rsidP="00352961">
      <w:pPr>
        <w:rPr>
          <w:rFonts w:cstheme="minorHAnsi"/>
          <w:bCs/>
          <w:color w:val="auto"/>
          <w:szCs w:val="72"/>
          <w:lang w:val="sr-Cyrl-CS"/>
        </w:rPr>
      </w:pPr>
      <w:r w:rsidRPr="007E770D">
        <w:rPr>
          <w:rFonts w:cstheme="minorHAnsi"/>
          <w:bCs/>
          <w:color w:val="auto"/>
          <w:szCs w:val="72"/>
          <w:lang w:val="sr-Cyrl-CS"/>
        </w:rPr>
        <w:t>Индекс привредне активности Србије (ИПАС)</w:t>
      </w:r>
      <w:r w:rsidRPr="007E770D">
        <w:rPr>
          <w:rStyle w:val="FootnoteReference"/>
          <w:rFonts w:cstheme="minorHAnsi"/>
          <w:bCs/>
          <w:color w:val="auto"/>
          <w:szCs w:val="72"/>
          <w:lang w:val="sr-Cyrl-CS"/>
        </w:rPr>
        <w:footnoteReference w:id="3"/>
      </w:r>
      <w:r w:rsidRPr="007E770D">
        <w:rPr>
          <w:rFonts w:cstheme="minorHAnsi"/>
          <w:bCs/>
          <w:color w:val="auto"/>
          <w:szCs w:val="72"/>
          <w:lang w:val="sr-Cyrl-CS"/>
        </w:rPr>
        <w:t>, који Министарство финансија израђује за потребе оцена краткорочних економских кретања показује убрзање привредне активности у јулу и августу и узима вредности од 4,4% и 3,8%, респективно.</w:t>
      </w:r>
    </w:p>
    <w:p w14:paraId="4CABF55E" w14:textId="77777777" w:rsidR="00687377" w:rsidRPr="007E770D" w:rsidRDefault="00687377">
      <w:pPr>
        <w:jc w:val="left"/>
        <w:rPr>
          <w:rFonts w:cstheme="minorHAnsi"/>
          <w:b/>
          <w:color w:val="auto"/>
          <w:lang w:val="sr-Cyrl-CS"/>
        </w:rPr>
      </w:pPr>
      <w:r w:rsidRPr="007E770D">
        <w:rPr>
          <w:rFonts w:cstheme="minorHAnsi"/>
          <w:b/>
          <w:color w:val="auto"/>
          <w:lang w:val="sr-Cyrl-CS"/>
        </w:rPr>
        <w:br w:type="page"/>
      </w:r>
    </w:p>
    <w:p w14:paraId="7BF0F914" w14:textId="45CB9E70" w:rsidR="00687377" w:rsidRPr="007E770D" w:rsidRDefault="00687377" w:rsidP="00B435B3">
      <w:pPr>
        <w:spacing w:after="0"/>
        <w:jc w:val="center"/>
        <w:rPr>
          <w:rFonts w:cstheme="minorHAnsi"/>
          <w:b/>
          <w:color w:val="auto"/>
          <w:lang w:val="sr-Cyrl-CS"/>
        </w:rPr>
      </w:pPr>
      <w:r w:rsidRPr="007E770D">
        <w:rPr>
          <w:rFonts w:cstheme="minorHAnsi"/>
          <w:b/>
          <w:color w:val="auto"/>
          <w:lang w:val="sr-Cyrl-CS"/>
        </w:rPr>
        <w:lastRenderedPageBreak/>
        <w:t>Индекс привредне активности Србије (ИПАС) по секторима</w:t>
      </w:r>
      <w:r w:rsidR="00D60787" w:rsidRPr="007E770D">
        <w:rPr>
          <w:rFonts w:cstheme="minorHAnsi"/>
          <w:b/>
          <w:color w:val="auto"/>
          <w:lang w:val="sr-Cyrl-CS"/>
        </w:rPr>
        <w:t xml:space="preserve"> (доприноси расту, п.</w:t>
      </w:r>
      <w:r w:rsidR="00560817" w:rsidRPr="007E770D">
        <w:rPr>
          <w:rFonts w:cstheme="minorHAnsi"/>
          <w:b/>
          <w:color w:val="auto"/>
          <w:lang w:val="sr-Cyrl-CS"/>
        </w:rPr>
        <w:t> </w:t>
      </w:r>
      <w:r w:rsidR="00D60787" w:rsidRPr="007E770D">
        <w:rPr>
          <w:rFonts w:cstheme="minorHAnsi"/>
          <w:b/>
          <w:color w:val="auto"/>
          <w:lang w:val="sr-Cyrl-CS"/>
        </w:rPr>
        <w:t>п.)</w:t>
      </w:r>
    </w:p>
    <w:p w14:paraId="66905D9D" w14:textId="77777777" w:rsidR="00687377" w:rsidRPr="007E770D" w:rsidRDefault="00687377" w:rsidP="00B435B3">
      <w:pPr>
        <w:spacing w:after="40"/>
        <w:rPr>
          <w:rFonts w:cstheme="minorHAnsi"/>
          <w:b/>
          <w:bCs/>
          <w:color w:val="auto"/>
          <w:szCs w:val="72"/>
          <w:lang w:val="sr-Cyrl-CS"/>
        </w:rPr>
      </w:pPr>
      <w:r w:rsidRPr="007E770D">
        <w:rPr>
          <w:noProof/>
          <w:color w:val="auto"/>
        </w:rPr>
        <w:drawing>
          <wp:inline distT="0" distB="0" distL="0" distR="0" wp14:anchorId="414D2433" wp14:editId="47729C1B">
            <wp:extent cx="2743200" cy="2052000"/>
            <wp:effectExtent l="0" t="0" r="0" b="5715"/>
            <wp:docPr id="25" name="Chart 25">
              <a:extLst xmlns:a="http://schemas.openxmlformats.org/drawingml/2006/main">
                <a:ext uri="{FF2B5EF4-FFF2-40B4-BE49-F238E27FC236}">
                  <a16:creationId xmlns:a16="http://schemas.microsoft.com/office/drawing/2014/main" id="{00000000-0008-0000-0A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14:paraId="4B6438DC" w14:textId="77777777" w:rsidR="00687377" w:rsidRPr="007E770D" w:rsidRDefault="00687377" w:rsidP="00352961">
      <w:pPr>
        <w:rPr>
          <w:rFonts w:cstheme="minorHAnsi"/>
          <w:b/>
          <w:bCs/>
          <w:color w:val="auto"/>
          <w:szCs w:val="72"/>
          <w:lang w:val="sr-Cyrl-CS"/>
        </w:rPr>
      </w:pPr>
      <w:r w:rsidRPr="007E770D">
        <w:rPr>
          <w:rFonts w:cstheme="minorHAnsi"/>
          <w:bCs/>
          <w:color w:val="auto"/>
          <w:sz w:val="16"/>
          <w:szCs w:val="72"/>
          <w:lang w:val="sr-Cyrl-CS"/>
        </w:rPr>
        <w:t>Извор: Министарство финансија</w:t>
      </w:r>
    </w:p>
    <w:p w14:paraId="5EE62E2E" w14:textId="77777777" w:rsidR="00687377" w:rsidRPr="007E770D" w:rsidRDefault="00687377" w:rsidP="00352961">
      <w:pPr>
        <w:rPr>
          <w:rFonts w:cstheme="minorHAnsi"/>
          <w:bCs/>
          <w:color w:val="auto"/>
          <w:szCs w:val="72"/>
          <w:lang w:val="sr-Cyrl-CS"/>
        </w:rPr>
      </w:pPr>
      <w:r w:rsidRPr="007E770D">
        <w:rPr>
          <w:rFonts w:cstheme="minorHAnsi"/>
          <w:bCs/>
          <w:color w:val="auto"/>
          <w:szCs w:val="72"/>
          <w:lang w:val="sr-Cyrl-CS"/>
        </w:rPr>
        <w:br w:type="column"/>
      </w:r>
      <w:r w:rsidRPr="007E770D">
        <w:rPr>
          <w:rFonts w:cstheme="minorHAnsi"/>
          <w:bCs/>
          <w:color w:val="auto"/>
          <w:szCs w:val="72"/>
          <w:lang w:val="sr-Cyrl-CS"/>
        </w:rPr>
        <w:t>На бази расположивих показатеља, уочених трендова, анализа извора раста и природе чинилаца успоравања Министарство финансија је задржало пројектовану стопу раста БДП за 2019. години на нивоу од 3,5%. Разлози и аргументи ове одлуке прихваћени су и потврђени и од стране ММФ. Иако је централна пројекција раста задржана, структура његових извора је једним делом промењена, чиме је уважена јача динамика инвестиција и погоршан утицај нето извоза, односно, посматрано са производне стране квантификован је снажнији раст грађевинарства, затим принос пољопривредне производње изнад очекивања, као и регистрована успоравања сектора индустрије.</w:t>
      </w:r>
    </w:p>
    <w:p w14:paraId="3F8687E2" w14:textId="77777777" w:rsidR="00687377" w:rsidRPr="007E770D" w:rsidRDefault="00687377" w:rsidP="00352961">
      <w:pPr>
        <w:rPr>
          <w:rFonts w:cstheme="minorHAnsi"/>
          <w:bCs/>
          <w:color w:val="auto"/>
          <w:szCs w:val="72"/>
          <w:lang w:val="sr-Cyrl-CS"/>
        </w:rPr>
      </w:pPr>
    </w:p>
    <w:p w14:paraId="2717B588" w14:textId="77777777" w:rsidR="00687377" w:rsidRPr="007E770D" w:rsidRDefault="00687377" w:rsidP="00352961">
      <w:pPr>
        <w:rPr>
          <w:rFonts w:cstheme="minorHAnsi"/>
          <w:bCs/>
          <w:color w:val="auto"/>
          <w:szCs w:val="72"/>
          <w:lang w:val="sr-Cyrl-CS"/>
        </w:rPr>
        <w:sectPr w:rsidR="00687377" w:rsidRPr="007E770D" w:rsidSect="00CE5657">
          <w:type w:val="continuous"/>
          <w:pgSz w:w="12240" w:h="15840"/>
          <w:pgMar w:top="1440" w:right="1440" w:bottom="1440" w:left="1440" w:header="720" w:footer="720" w:gutter="0"/>
          <w:cols w:num="2" w:space="720"/>
          <w:docGrid w:linePitch="360"/>
          <w15:footnoteColumns w:val="1"/>
        </w:sectPr>
      </w:pPr>
    </w:p>
    <w:p w14:paraId="539BE05F" w14:textId="77777777" w:rsidR="00687377" w:rsidRPr="007E770D" w:rsidRDefault="00687377" w:rsidP="00B435B3">
      <w:pPr>
        <w:jc w:val="center"/>
        <w:rPr>
          <w:rFonts w:ascii="Calibri" w:eastAsia="Calibri" w:hAnsi="Calibri" w:cs="Times New Roman"/>
          <w:color w:val="auto"/>
          <w:lang w:val="sr-Cyrl-CS"/>
        </w:rPr>
      </w:pPr>
      <w:r w:rsidRPr="007E770D">
        <w:rPr>
          <w:rFonts w:ascii="Calibri" w:eastAsia="Calibri" w:hAnsi="Calibri" w:cs="Calibri"/>
          <w:b/>
          <w:color w:val="auto"/>
          <w:lang w:val="sr-Cyrl-CS"/>
        </w:rPr>
        <w:t>Табела 3. Бруто домаћи производ, стопе реалног раста, %</w:t>
      </w:r>
    </w:p>
    <w:tbl>
      <w:tblPr>
        <w:tblStyle w:val="TableGrid"/>
        <w:tblW w:w="4431"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49"/>
        <w:gridCol w:w="955"/>
        <w:gridCol w:w="955"/>
        <w:gridCol w:w="957"/>
        <w:gridCol w:w="1074"/>
        <w:gridCol w:w="1200"/>
      </w:tblGrid>
      <w:tr w:rsidR="007E770D" w:rsidRPr="007E770D" w14:paraId="7C4C082D" w14:textId="77777777" w:rsidTr="00B435B3">
        <w:trPr>
          <w:jc w:val="center"/>
        </w:trPr>
        <w:tc>
          <w:tcPr>
            <w:tcW w:w="1900" w:type="pct"/>
            <w:tcBorders>
              <w:top w:val="single" w:sz="4" w:space="0" w:color="002060"/>
              <w:left w:val="single" w:sz="2" w:space="0" w:color="FFFFFF"/>
              <w:bottom w:val="single" w:sz="2" w:space="0" w:color="FFFFFF"/>
              <w:right w:val="single" w:sz="2" w:space="0" w:color="FFFFFF"/>
            </w:tcBorders>
          </w:tcPr>
          <w:p w14:paraId="1DFB7EAC" w14:textId="77777777" w:rsidR="00687377" w:rsidRPr="007E770D" w:rsidRDefault="00687377" w:rsidP="00B435B3">
            <w:pPr>
              <w:rPr>
                <w:rFonts w:ascii="Calibri" w:eastAsia="Calibri" w:hAnsi="Calibri" w:cs="Calibri"/>
                <w:color w:val="auto"/>
                <w:sz w:val="18"/>
                <w:lang w:val="sr-Cyrl-CS"/>
              </w:rPr>
            </w:pPr>
          </w:p>
        </w:tc>
        <w:tc>
          <w:tcPr>
            <w:tcW w:w="576" w:type="pct"/>
            <w:tcBorders>
              <w:top w:val="single" w:sz="4" w:space="0" w:color="002060"/>
              <w:left w:val="single" w:sz="2" w:space="0" w:color="FFFFFF"/>
              <w:bottom w:val="single" w:sz="4" w:space="0" w:color="002060"/>
              <w:right w:val="single" w:sz="2" w:space="0" w:color="FFFFFF"/>
            </w:tcBorders>
          </w:tcPr>
          <w:p w14:paraId="54373E03"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2018</w:t>
            </w:r>
          </w:p>
        </w:tc>
        <w:tc>
          <w:tcPr>
            <w:tcW w:w="576" w:type="pct"/>
            <w:tcBorders>
              <w:top w:val="single" w:sz="4" w:space="0" w:color="002060"/>
              <w:left w:val="single" w:sz="2" w:space="0" w:color="FFFFFF"/>
              <w:bottom w:val="single" w:sz="4" w:space="0" w:color="002060"/>
              <w:right w:val="single" w:sz="2" w:space="0" w:color="FFFFFF"/>
            </w:tcBorders>
          </w:tcPr>
          <w:p w14:paraId="6652D566"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Q1 2019</w:t>
            </w:r>
          </w:p>
        </w:tc>
        <w:tc>
          <w:tcPr>
            <w:tcW w:w="577" w:type="pct"/>
            <w:tcBorders>
              <w:top w:val="single" w:sz="4" w:space="0" w:color="002060"/>
              <w:left w:val="single" w:sz="2" w:space="0" w:color="FFFFFF"/>
              <w:bottom w:val="single" w:sz="4" w:space="0" w:color="002060"/>
              <w:right w:val="single" w:sz="2" w:space="0" w:color="FFFFFF"/>
            </w:tcBorders>
          </w:tcPr>
          <w:p w14:paraId="12D1A1DE"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Q2 2019</w:t>
            </w:r>
          </w:p>
        </w:tc>
        <w:tc>
          <w:tcPr>
            <w:tcW w:w="648" w:type="pct"/>
            <w:tcBorders>
              <w:top w:val="single" w:sz="4" w:space="0" w:color="002060"/>
              <w:left w:val="single" w:sz="2" w:space="0" w:color="FFFFFF"/>
              <w:bottom w:val="single" w:sz="4" w:space="0" w:color="002060"/>
              <w:right w:val="single" w:sz="2" w:space="0" w:color="FFFFFF"/>
            </w:tcBorders>
          </w:tcPr>
          <w:p w14:paraId="0F3B8623"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2019* (претходна процена)</w:t>
            </w:r>
          </w:p>
        </w:tc>
        <w:tc>
          <w:tcPr>
            <w:tcW w:w="724" w:type="pct"/>
            <w:tcBorders>
              <w:top w:val="single" w:sz="4" w:space="0" w:color="002060"/>
              <w:left w:val="single" w:sz="2" w:space="0" w:color="FFFFFF"/>
              <w:bottom w:val="single" w:sz="4" w:space="0" w:color="002060"/>
              <w:right w:val="single" w:sz="2" w:space="0" w:color="FFFFFF"/>
            </w:tcBorders>
          </w:tcPr>
          <w:p w14:paraId="7995A0F0"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2019* (ревидирана процена)</w:t>
            </w:r>
          </w:p>
        </w:tc>
      </w:tr>
      <w:tr w:rsidR="007E770D" w:rsidRPr="007E770D" w14:paraId="005E1821" w14:textId="77777777" w:rsidTr="00B435B3">
        <w:trPr>
          <w:jc w:val="center"/>
        </w:trPr>
        <w:tc>
          <w:tcPr>
            <w:tcW w:w="1900" w:type="pct"/>
            <w:tcBorders>
              <w:top w:val="single" w:sz="2" w:space="0" w:color="FFFFFF"/>
            </w:tcBorders>
          </w:tcPr>
          <w:p w14:paraId="0BE2A342" w14:textId="77777777" w:rsidR="00687377" w:rsidRPr="007E770D" w:rsidRDefault="00687377" w:rsidP="00B435B3">
            <w:pPr>
              <w:ind w:left="-15"/>
              <w:rPr>
                <w:rFonts w:ascii="Calibri" w:eastAsia="Calibri" w:hAnsi="Calibri" w:cs="Calibri"/>
                <w:color w:val="auto"/>
                <w:sz w:val="18"/>
                <w:lang w:val="sr-Cyrl-CS"/>
              </w:rPr>
            </w:pPr>
            <w:r w:rsidRPr="007E770D">
              <w:rPr>
                <w:rFonts w:ascii="Calibri" w:eastAsia="Calibri" w:hAnsi="Calibri" w:cs="Calibri"/>
                <w:color w:val="auto"/>
                <w:sz w:val="18"/>
                <w:lang w:val="sr-Cyrl-CS"/>
              </w:rPr>
              <w:t>Бруто домаћи производ</w:t>
            </w:r>
          </w:p>
        </w:tc>
        <w:tc>
          <w:tcPr>
            <w:tcW w:w="576" w:type="pct"/>
            <w:tcBorders>
              <w:top w:val="single" w:sz="4" w:space="0" w:color="002060"/>
            </w:tcBorders>
          </w:tcPr>
          <w:p w14:paraId="109DC6AA"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4,4</w:t>
            </w:r>
          </w:p>
        </w:tc>
        <w:tc>
          <w:tcPr>
            <w:tcW w:w="576" w:type="pct"/>
            <w:tcBorders>
              <w:top w:val="single" w:sz="4" w:space="0" w:color="002060"/>
            </w:tcBorders>
          </w:tcPr>
          <w:p w14:paraId="0FDB1744"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2,7</w:t>
            </w:r>
          </w:p>
        </w:tc>
        <w:tc>
          <w:tcPr>
            <w:tcW w:w="577" w:type="pct"/>
            <w:tcBorders>
              <w:top w:val="single" w:sz="4" w:space="0" w:color="002060"/>
            </w:tcBorders>
          </w:tcPr>
          <w:p w14:paraId="63184552"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2,9</w:t>
            </w:r>
          </w:p>
        </w:tc>
        <w:tc>
          <w:tcPr>
            <w:tcW w:w="648" w:type="pct"/>
            <w:tcBorders>
              <w:top w:val="single" w:sz="4" w:space="0" w:color="002060"/>
            </w:tcBorders>
          </w:tcPr>
          <w:p w14:paraId="35284EC7"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3,5</w:t>
            </w:r>
          </w:p>
        </w:tc>
        <w:tc>
          <w:tcPr>
            <w:tcW w:w="724" w:type="pct"/>
            <w:tcBorders>
              <w:top w:val="single" w:sz="4" w:space="0" w:color="002060"/>
            </w:tcBorders>
          </w:tcPr>
          <w:p w14:paraId="66630906"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3,5</w:t>
            </w:r>
          </w:p>
        </w:tc>
      </w:tr>
      <w:tr w:rsidR="007E770D" w:rsidRPr="007E770D" w14:paraId="4E819BB5" w14:textId="77777777" w:rsidTr="00B435B3">
        <w:trPr>
          <w:jc w:val="center"/>
        </w:trPr>
        <w:tc>
          <w:tcPr>
            <w:tcW w:w="1900" w:type="pct"/>
            <w:tcBorders>
              <w:top w:val="single" w:sz="2" w:space="0" w:color="FFFFFF"/>
            </w:tcBorders>
            <w:shd w:val="clear" w:color="auto" w:fill="E7E6E6"/>
          </w:tcPr>
          <w:p w14:paraId="34D06183" w14:textId="77777777" w:rsidR="00687377" w:rsidRPr="007E770D" w:rsidRDefault="00687377" w:rsidP="00B435B3">
            <w:pPr>
              <w:jc w:val="right"/>
              <w:rPr>
                <w:rFonts w:ascii="Calibri" w:eastAsia="Calibri" w:hAnsi="Calibri" w:cs="Calibri"/>
                <w:color w:val="auto"/>
                <w:sz w:val="18"/>
                <w:lang w:val="sr-Cyrl-CS"/>
              </w:rPr>
            </w:pPr>
          </w:p>
        </w:tc>
        <w:tc>
          <w:tcPr>
            <w:tcW w:w="576" w:type="pct"/>
            <w:tcBorders>
              <w:top w:val="single" w:sz="2" w:space="0" w:color="FFFFFF"/>
            </w:tcBorders>
            <w:shd w:val="clear" w:color="auto" w:fill="E7E6E6"/>
          </w:tcPr>
          <w:p w14:paraId="3939A8EC" w14:textId="77777777" w:rsidR="00687377" w:rsidRPr="007E770D" w:rsidRDefault="00687377" w:rsidP="00B435B3">
            <w:pPr>
              <w:jc w:val="right"/>
              <w:rPr>
                <w:rFonts w:ascii="Calibri" w:eastAsia="Calibri" w:hAnsi="Calibri" w:cs="Calibri"/>
                <w:color w:val="auto"/>
                <w:sz w:val="18"/>
                <w:lang w:val="sr-Cyrl-CS"/>
              </w:rPr>
            </w:pPr>
          </w:p>
        </w:tc>
        <w:tc>
          <w:tcPr>
            <w:tcW w:w="576" w:type="pct"/>
            <w:tcBorders>
              <w:top w:val="single" w:sz="2" w:space="0" w:color="FFFFFF"/>
            </w:tcBorders>
            <w:shd w:val="clear" w:color="auto" w:fill="E7E6E6"/>
          </w:tcPr>
          <w:p w14:paraId="74122EC9" w14:textId="77777777" w:rsidR="00687377" w:rsidRPr="007E770D" w:rsidRDefault="00687377" w:rsidP="00B435B3">
            <w:pPr>
              <w:jc w:val="right"/>
              <w:rPr>
                <w:rFonts w:ascii="Calibri" w:eastAsia="Calibri" w:hAnsi="Calibri" w:cs="Calibri"/>
                <w:color w:val="auto"/>
                <w:sz w:val="18"/>
                <w:lang w:val="sr-Cyrl-CS"/>
              </w:rPr>
            </w:pPr>
          </w:p>
        </w:tc>
        <w:tc>
          <w:tcPr>
            <w:tcW w:w="577" w:type="pct"/>
            <w:tcBorders>
              <w:top w:val="single" w:sz="2" w:space="0" w:color="FFFFFF"/>
            </w:tcBorders>
            <w:shd w:val="clear" w:color="auto" w:fill="E7E6E6"/>
          </w:tcPr>
          <w:p w14:paraId="7899D90A" w14:textId="77777777" w:rsidR="00687377" w:rsidRPr="007E770D" w:rsidRDefault="00687377" w:rsidP="00B435B3">
            <w:pPr>
              <w:jc w:val="center"/>
              <w:rPr>
                <w:rFonts w:ascii="Calibri" w:eastAsia="Calibri" w:hAnsi="Calibri" w:cs="Calibri"/>
                <w:color w:val="auto"/>
                <w:sz w:val="18"/>
                <w:lang w:val="sr-Cyrl-CS"/>
              </w:rPr>
            </w:pPr>
          </w:p>
        </w:tc>
        <w:tc>
          <w:tcPr>
            <w:tcW w:w="648" w:type="pct"/>
            <w:tcBorders>
              <w:top w:val="single" w:sz="2" w:space="0" w:color="FFFFFF"/>
            </w:tcBorders>
            <w:shd w:val="clear" w:color="auto" w:fill="E7E6E6"/>
          </w:tcPr>
          <w:p w14:paraId="412856EF" w14:textId="77777777" w:rsidR="00687377" w:rsidRPr="007E770D" w:rsidRDefault="00687377" w:rsidP="00B435B3">
            <w:pPr>
              <w:jc w:val="center"/>
              <w:rPr>
                <w:rFonts w:ascii="Calibri" w:eastAsia="Calibri" w:hAnsi="Calibri" w:cs="Calibri"/>
                <w:color w:val="auto"/>
                <w:sz w:val="18"/>
                <w:lang w:val="sr-Cyrl-CS"/>
              </w:rPr>
            </w:pPr>
          </w:p>
        </w:tc>
        <w:tc>
          <w:tcPr>
            <w:tcW w:w="724" w:type="pct"/>
            <w:tcBorders>
              <w:top w:val="single" w:sz="2" w:space="0" w:color="FFFFFF"/>
            </w:tcBorders>
            <w:shd w:val="clear" w:color="auto" w:fill="E7E6E6"/>
          </w:tcPr>
          <w:p w14:paraId="439BE3DE" w14:textId="77777777" w:rsidR="00687377" w:rsidRPr="007E770D" w:rsidRDefault="00687377" w:rsidP="00B435B3">
            <w:pPr>
              <w:jc w:val="center"/>
              <w:rPr>
                <w:rFonts w:ascii="Calibri" w:eastAsia="Calibri" w:hAnsi="Calibri" w:cs="Calibri"/>
                <w:color w:val="auto"/>
                <w:sz w:val="18"/>
                <w:lang w:val="sr-Cyrl-CS"/>
              </w:rPr>
            </w:pPr>
          </w:p>
        </w:tc>
      </w:tr>
      <w:tr w:rsidR="007E770D" w:rsidRPr="007E770D" w14:paraId="61481447" w14:textId="77777777" w:rsidTr="00B435B3">
        <w:trPr>
          <w:jc w:val="center"/>
        </w:trPr>
        <w:tc>
          <w:tcPr>
            <w:tcW w:w="1900" w:type="pct"/>
          </w:tcPr>
          <w:p w14:paraId="5D3F4359" w14:textId="77777777" w:rsidR="00687377" w:rsidRPr="007E770D" w:rsidRDefault="00687377" w:rsidP="00B435B3">
            <w:pPr>
              <w:ind w:left="-15"/>
              <w:rPr>
                <w:rFonts w:ascii="Calibri" w:eastAsia="Calibri" w:hAnsi="Calibri" w:cs="Calibri"/>
                <w:color w:val="auto"/>
                <w:sz w:val="18"/>
                <w:lang w:val="sr-Cyrl-CS"/>
              </w:rPr>
            </w:pPr>
            <w:r w:rsidRPr="007E770D">
              <w:rPr>
                <w:rFonts w:ascii="Calibri" w:eastAsia="Calibri" w:hAnsi="Calibri" w:cs="Calibri"/>
                <w:color w:val="auto"/>
                <w:sz w:val="18"/>
                <w:lang w:val="sr-Cyrl-CS"/>
              </w:rPr>
              <w:t>Приватна потрошња</w:t>
            </w:r>
          </w:p>
        </w:tc>
        <w:tc>
          <w:tcPr>
            <w:tcW w:w="576" w:type="pct"/>
          </w:tcPr>
          <w:p w14:paraId="5F0789F1"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3,1</w:t>
            </w:r>
          </w:p>
        </w:tc>
        <w:tc>
          <w:tcPr>
            <w:tcW w:w="576" w:type="pct"/>
          </w:tcPr>
          <w:p w14:paraId="3F43CFDF"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3,3</w:t>
            </w:r>
          </w:p>
        </w:tc>
        <w:tc>
          <w:tcPr>
            <w:tcW w:w="577" w:type="pct"/>
          </w:tcPr>
          <w:p w14:paraId="278A7861"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3,2</w:t>
            </w:r>
          </w:p>
        </w:tc>
        <w:tc>
          <w:tcPr>
            <w:tcW w:w="648" w:type="pct"/>
          </w:tcPr>
          <w:p w14:paraId="0638D6F7"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3,5</w:t>
            </w:r>
          </w:p>
        </w:tc>
        <w:tc>
          <w:tcPr>
            <w:tcW w:w="724" w:type="pct"/>
          </w:tcPr>
          <w:p w14:paraId="4D9B7E46"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3,5</w:t>
            </w:r>
          </w:p>
        </w:tc>
      </w:tr>
      <w:tr w:rsidR="007E770D" w:rsidRPr="007E770D" w14:paraId="1609D04C" w14:textId="77777777" w:rsidTr="00B435B3">
        <w:trPr>
          <w:jc w:val="center"/>
        </w:trPr>
        <w:tc>
          <w:tcPr>
            <w:tcW w:w="1900" w:type="pct"/>
          </w:tcPr>
          <w:p w14:paraId="253EC142" w14:textId="77777777" w:rsidR="00687377" w:rsidRPr="007E770D" w:rsidRDefault="00687377" w:rsidP="00B435B3">
            <w:pPr>
              <w:ind w:left="-15"/>
              <w:rPr>
                <w:rFonts w:ascii="Calibri" w:eastAsia="Calibri" w:hAnsi="Calibri" w:cs="Calibri"/>
                <w:color w:val="auto"/>
                <w:sz w:val="18"/>
                <w:lang w:val="sr-Cyrl-CS"/>
              </w:rPr>
            </w:pPr>
            <w:r w:rsidRPr="007E770D">
              <w:rPr>
                <w:rFonts w:ascii="Calibri" w:eastAsia="Calibri" w:hAnsi="Calibri" w:cs="Calibri"/>
                <w:color w:val="auto"/>
                <w:sz w:val="18"/>
                <w:lang w:val="sr-Cyrl-CS"/>
              </w:rPr>
              <w:t>Државна потрошња</w:t>
            </w:r>
          </w:p>
        </w:tc>
        <w:tc>
          <w:tcPr>
            <w:tcW w:w="576" w:type="pct"/>
          </w:tcPr>
          <w:p w14:paraId="7388D62B"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3,7</w:t>
            </w:r>
          </w:p>
        </w:tc>
        <w:tc>
          <w:tcPr>
            <w:tcW w:w="576" w:type="pct"/>
          </w:tcPr>
          <w:p w14:paraId="638D1D9D"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2,5</w:t>
            </w:r>
          </w:p>
        </w:tc>
        <w:tc>
          <w:tcPr>
            <w:tcW w:w="577" w:type="pct"/>
          </w:tcPr>
          <w:p w14:paraId="37B602C0"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2,4</w:t>
            </w:r>
          </w:p>
        </w:tc>
        <w:tc>
          <w:tcPr>
            <w:tcW w:w="648" w:type="pct"/>
          </w:tcPr>
          <w:p w14:paraId="5C945D1C"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2,7</w:t>
            </w:r>
          </w:p>
        </w:tc>
        <w:tc>
          <w:tcPr>
            <w:tcW w:w="724" w:type="pct"/>
          </w:tcPr>
          <w:p w14:paraId="42C4E173"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4,1</w:t>
            </w:r>
          </w:p>
        </w:tc>
      </w:tr>
      <w:tr w:rsidR="007E770D" w:rsidRPr="007E770D" w14:paraId="36D745E7" w14:textId="77777777" w:rsidTr="00B435B3">
        <w:trPr>
          <w:jc w:val="center"/>
        </w:trPr>
        <w:tc>
          <w:tcPr>
            <w:tcW w:w="1900" w:type="pct"/>
          </w:tcPr>
          <w:p w14:paraId="1188AD15" w14:textId="77777777" w:rsidR="00687377" w:rsidRPr="007E770D" w:rsidRDefault="00687377" w:rsidP="00B435B3">
            <w:pPr>
              <w:ind w:left="-15"/>
              <w:rPr>
                <w:rFonts w:ascii="Calibri" w:eastAsia="Calibri" w:hAnsi="Calibri" w:cs="Calibri"/>
                <w:color w:val="auto"/>
                <w:sz w:val="18"/>
                <w:lang w:val="sr-Cyrl-CS"/>
              </w:rPr>
            </w:pPr>
            <w:r w:rsidRPr="007E770D">
              <w:rPr>
                <w:rFonts w:ascii="Calibri" w:eastAsia="Calibri" w:hAnsi="Calibri" w:cs="Calibri"/>
                <w:color w:val="auto"/>
                <w:sz w:val="18"/>
                <w:lang w:val="sr-Cyrl-CS"/>
              </w:rPr>
              <w:t>Инвестиције у основне фондове</w:t>
            </w:r>
          </w:p>
        </w:tc>
        <w:tc>
          <w:tcPr>
            <w:tcW w:w="576" w:type="pct"/>
          </w:tcPr>
          <w:p w14:paraId="4364BE51"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17,8</w:t>
            </w:r>
          </w:p>
        </w:tc>
        <w:tc>
          <w:tcPr>
            <w:tcW w:w="576" w:type="pct"/>
          </w:tcPr>
          <w:p w14:paraId="0AE61267"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7,8</w:t>
            </w:r>
          </w:p>
        </w:tc>
        <w:tc>
          <w:tcPr>
            <w:tcW w:w="577" w:type="pct"/>
          </w:tcPr>
          <w:p w14:paraId="375CBF41"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8,6</w:t>
            </w:r>
          </w:p>
        </w:tc>
        <w:tc>
          <w:tcPr>
            <w:tcW w:w="648" w:type="pct"/>
          </w:tcPr>
          <w:p w14:paraId="7C21DF2D"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6,7</w:t>
            </w:r>
          </w:p>
        </w:tc>
        <w:tc>
          <w:tcPr>
            <w:tcW w:w="724" w:type="pct"/>
          </w:tcPr>
          <w:p w14:paraId="3A7BB4E3"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8,8</w:t>
            </w:r>
          </w:p>
        </w:tc>
      </w:tr>
      <w:tr w:rsidR="007E770D" w:rsidRPr="007E770D" w14:paraId="0AA568D6" w14:textId="77777777" w:rsidTr="00B435B3">
        <w:trPr>
          <w:jc w:val="center"/>
        </w:trPr>
        <w:tc>
          <w:tcPr>
            <w:tcW w:w="1900" w:type="pct"/>
          </w:tcPr>
          <w:p w14:paraId="7BA175CC" w14:textId="77777777" w:rsidR="00687377" w:rsidRPr="007E770D" w:rsidRDefault="00687377" w:rsidP="00B435B3">
            <w:pPr>
              <w:ind w:left="-15"/>
              <w:rPr>
                <w:rFonts w:ascii="Calibri" w:eastAsia="Calibri" w:hAnsi="Calibri" w:cs="Calibri"/>
                <w:color w:val="auto"/>
                <w:sz w:val="18"/>
                <w:lang w:val="sr-Cyrl-CS"/>
              </w:rPr>
            </w:pPr>
            <w:r w:rsidRPr="007E770D">
              <w:rPr>
                <w:rFonts w:ascii="Calibri" w:eastAsia="Calibri" w:hAnsi="Calibri" w:cs="Calibri"/>
                <w:color w:val="auto"/>
                <w:sz w:val="18"/>
                <w:lang w:val="sr-Cyrl-CS"/>
              </w:rPr>
              <w:t>Извоз робе и услуга</w:t>
            </w:r>
          </w:p>
        </w:tc>
        <w:tc>
          <w:tcPr>
            <w:tcW w:w="576" w:type="pct"/>
          </w:tcPr>
          <w:p w14:paraId="7C310CDD"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8,3</w:t>
            </w:r>
          </w:p>
        </w:tc>
        <w:tc>
          <w:tcPr>
            <w:tcW w:w="576" w:type="pct"/>
          </w:tcPr>
          <w:p w14:paraId="00C780EF"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9,3</w:t>
            </w:r>
          </w:p>
        </w:tc>
        <w:tc>
          <w:tcPr>
            <w:tcW w:w="577" w:type="pct"/>
          </w:tcPr>
          <w:p w14:paraId="00AA140A"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9,1</w:t>
            </w:r>
          </w:p>
        </w:tc>
        <w:tc>
          <w:tcPr>
            <w:tcW w:w="648" w:type="pct"/>
          </w:tcPr>
          <w:p w14:paraId="17CF747D"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7,4</w:t>
            </w:r>
          </w:p>
        </w:tc>
        <w:tc>
          <w:tcPr>
            <w:tcW w:w="724" w:type="pct"/>
          </w:tcPr>
          <w:p w14:paraId="0CB4AEDF"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8,6</w:t>
            </w:r>
          </w:p>
        </w:tc>
      </w:tr>
      <w:tr w:rsidR="007E770D" w:rsidRPr="007E770D" w14:paraId="029C321F" w14:textId="77777777" w:rsidTr="00B435B3">
        <w:trPr>
          <w:jc w:val="center"/>
        </w:trPr>
        <w:tc>
          <w:tcPr>
            <w:tcW w:w="1900" w:type="pct"/>
          </w:tcPr>
          <w:p w14:paraId="06B37DF9" w14:textId="77777777" w:rsidR="00687377" w:rsidRPr="007E770D" w:rsidRDefault="00687377" w:rsidP="00B435B3">
            <w:pPr>
              <w:ind w:left="-15"/>
              <w:rPr>
                <w:rFonts w:ascii="Calibri" w:eastAsia="Calibri" w:hAnsi="Calibri" w:cs="Calibri"/>
                <w:color w:val="auto"/>
                <w:sz w:val="18"/>
                <w:lang w:val="sr-Cyrl-CS"/>
              </w:rPr>
            </w:pPr>
            <w:r w:rsidRPr="007E770D">
              <w:rPr>
                <w:rFonts w:ascii="Calibri" w:eastAsia="Calibri" w:hAnsi="Calibri" w:cs="Calibri"/>
                <w:color w:val="auto"/>
                <w:sz w:val="18"/>
                <w:lang w:val="sr-Cyrl-CS"/>
              </w:rPr>
              <w:t>Увоз робе и услуга</w:t>
            </w:r>
          </w:p>
        </w:tc>
        <w:tc>
          <w:tcPr>
            <w:tcW w:w="576" w:type="pct"/>
          </w:tcPr>
          <w:p w14:paraId="2EF47956"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11,6</w:t>
            </w:r>
          </w:p>
        </w:tc>
        <w:tc>
          <w:tcPr>
            <w:tcW w:w="576" w:type="pct"/>
          </w:tcPr>
          <w:p w14:paraId="73DF9917"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9,8</w:t>
            </w:r>
          </w:p>
        </w:tc>
        <w:tc>
          <w:tcPr>
            <w:tcW w:w="577" w:type="pct"/>
          </w:tcPr>
          <w:p w14:paraId="6400FC6E"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10,9</w:t>
            </w:r>
          </w:p>
        </w:tc>
        <w:tc>
          <w:tcPr>
            <w:tcW w:w="648" w:type="pct"/>
          </w:tcPr>
          <w:p w14:paraId="14E0EDF1"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7,6</w:t>
            </w:r>
          </w:p>
        </w:tc>
        <w:tc>
          <w:tcPr>
            <w:tcW w:w="724" w:type="pct"/>
          </w:tcPr>
          <w:p w14:paraId="1414F232"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9,6</w:t>
            </w:r>
          </w:p>
        </w:tc>
      </w:tr>
      <w:tr w:rsidR="007E770D" w:rsidRPr="007E770D" w14:paraId="3C89D905" w14:textId="77777777" w:rsidTr="00B435B3">
        <w:trPr>
          <w:jc w:val="center"/>
        </w:trPr>
        <w:tc>
          <w:tcPr>
            <w:tcW w:w="1900" w:type="pct"/>
            <w:shd w:val="clear" w:color="auto" w:fill="E7E6E6"/>
          </w:tcPr>
          <w:p w14:paraId="3D3B8D74" w14:textId="77777777" w:rsidR="00687377" w:rsidRPr="007E770D" w:rsidRDefault="00687377" w:rsidP="00B435B3">
            <w:pPr>
              <w:ind w:left="-15"/>
              <w:jc w:val="right"/>
              <w:rPr>
                <w:rFonts w:ascii="Calibri" w:eastAsia="Calibri" w:hAnsi="Calibri" w:cs="Calibri"/>
                <w:color w:val="auto"/>
                <w:sz w:val="18"/>
                <w:lang w:val="sr-Cyrl-CS"/>
              </w:rPr>
            </w:pPr>
          </w:p>
        </w:tc>
        <w:tc>
          <w:tcPr>
            <w:tcW w:w="576" w:type="pct"/>
            <w:shd w:val="clear" w:color="auto" w:fill="E7E6E6"/>
          </w:tcPr>
          <w:p w14:paraId="30AE6BD8" w14:textId="77777777" w:rsidR="00687377" w:rsidRPr="007E770D" w:rsidRDefault="00687377" w:rsidP="00B435B3">
            <w:pPr>
              <w:ind w:left="-15"/>
              <w:jc w:val="center"/>
              <w:rPr>
                <w:rFonts w:ascii="Calibri" w:eastAsia="Calibri" w:hAnsi="Calibri" w:cs="Calibri"/>
                <w:color w:val="auto"/>
                <w:sz w:val="18"/>
                <w:lang w:val="sr-Cyrl-CS"/>
              </w:rPr>
            </w:pPr>
          </w:p>
        </w:tc>
        <w:tc>
          <w:tcPr>
            <w:tcW w:w="576" w:type="pct"/>
            <w:shd w:val="clear" w:color="auto" w:fill="E7E6E6"/>
          </w:tcPr>
          <w:p w14:paraId="2E6BF9A3" w14:textId="77777777" w:rsidR="00687377" w:rsidRPr="007E770D" w:rsidRDefault="00687377" w:rsidP="00B435B3">
            <w:pPr>
              <w:ind w:left="-15"/>
              <w:jc w:val="center"/>
              <w:rPr>
                <w:rFonts w:ascii="Calibri" w:eastAsia="Calibri" w:hAnsi="Calibri" w:cs="Calibri"/>
                <w:color w:val="auto"/>
                <w:sz w:val="18"/>
                <w:lang w:val="sr-Cyrl-CS"/>
              </w:rPr>
            </w:pPr>
          </w:p>
        </w:tc>
        <w:tc>
          <w:tcPr>
            <w:tcW w:w="577" w:type="pct"/>
            <w:shd w:val="clear" w:color="auto" w:fill="E7E6E6"/>
          </w:tcPr>
          <w:p w14:paraId="7F54B695" w14:textId="77777777" w:rsidR="00687377" w:rsidRPr="007E770D" w:rsidRDefault="00687377" w:rsidP="00B435B3">
            <w:pPr>
              <w:ind w:left="-15"/>
              <w:jc w:val="center"/>
              <w:rPr>
                <w:rFonts w:ascii="Calibri" w:eastAsia="Calibri" w:hAnsi="Calibri" w:cs="Calibri"/>
                <w:color w:val="auto"/>
                <w:sz w:val="18"/>
                <w:lang w:val="sr-Cyrl-CS"/>
              </w:rPr>
            </w:pPr>
          </w:p>
        </w:tc>
        <w:tc>
          <w:tcPr>
            <w:tcW w:w="648" w:type="pct"/>
            <w:shd w:val="clear" w:color="auto" w:fill="E7E6E6"/>
          </w:tcPr>
          <w:p w14:paraId="6FED6032" w14:textId="77777777" w:rsidR="00687377" w:rsidRPr="007E770D" w:rsidRDefault="00687377" w:rsidP="00B435B3">
            <w:pPr>
              <w:ind w:left="-15"/>
              <w:jc w:val="center"/>
              <w:rPr>
                <w:rFonts w:ascii="Calibri" w:eastAsia="Calibri" w:hAnsi="Calibri" w:cs="Calibri"/>
                <w:color w:val="auto"/>
                <w:sz w:val="18"/>
                <w:lang w:val="sr-Cyrl-CS"/>
              </w:rPr>
            </w:pPr>
          </w:p>
        </w:tc>
        <w:tc>
          <w:tcPr>
            <w:tcW w:w="724" w:type="pct"/>
            <w:shd w:val="clear" w:color="auto" w:fill="E7E6E6"/>
          </w:tcPr>
          <w:p w14:paraId="009057ED" w14:textId="77777777" w:rsidR="00687377" w:rsidRPr="007E770D" w:rsidRDefault="00687377" w:rsidP="00B435B3">
            <w:pPr>
              <w:ind w:left="-15"/>
              <w:jc w:val="center"/>
              <w:rPr>
                <w:rFonts w:ascii="Calibri" w:eastAsia="Calibri" w:hAnsi="Calibri" w:cs="Calibri"/>
                <w:color w:val="auto"/>
                <w:sz w:val="18"/>
                <w:lang w:val="sr-Cyrl-CS"/>
              </w:rPr>
            </w:pPr>
          </w:p>
        </w:tc>
      </w:tr>
      <w:tr w:rsidR="007E770D" w:rsidRPr="007E770D" w14:paraId="2A1BE48A" w14:textId="77777777" w:rsidTr="00B435B3">
        <w:trPr>
          <w:jc w:val="center"/>
        </w:trPr>
        <w:tc>
          <w:tcPr>
            <w:tcW w:w="1900" w:type="pct"/>
          </w:tcPr>
          <w:p w14:paraId="0F5757F5" w14:textId="77777777" w:rsidR="00687377" w:rsidRPr="007E770D" w:rsidRDefault="00687377" w:rsidP="00B435B3">
            <w:pPr>
              <w:ind w:left="-15"/>
              <w:rPr>
                <w:rFonts w:ascii="Calibri" w:eastAsia="Calibri" w:hAnsi="Calibri" w:cs="Calibri"/>
                <w:color w:val="auto"/>
                <w:sz w:val="18"/>
                <w:lang w:val="sr-Cyrl-CS"/>
              </w:rPr>
            </w:pPr>
            <w:r w:rsidRPr="007E770D">
              <w:rPr>
                <w:rFonts w:ascii="Calibri" w:eastAsia="Calibri" w:hAnsi="Calibri" w:cs="Calibri"/>
                <w:color w:val="auto"/>
                <w:sz w:val="18"/>
                <w:lang w:val="sr-Cyrl-CS"/>
              </w:rPr>
              <w:t>Пољопривреда</w:t>
            </w:r>
          </w:p>
        </w:tc>
        <w:tc>
          <w:tcPr>
            <w:tcW w:w="576" w:type="pct"/>
          </w:tcPr>
          <w:p w14:paraId="24D6075B"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15,2</w:t>
            </w:r>
          </w:p>
        </w:tc>
        <w:tc>
          <w:tcPr>
            <w:tcW w:w="576" w:type="pct"/>
          </w:tcPr>
          <w:p w14:paraId="41E4EE1F"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0,5</w:t>
            </w:r>
          </w:p>
        </w:tc>
        <w:tc>
          <w:tcPr>
            <w:tcW w:w="577" w:type="pct"/>
          </w:tcPr>
          <w:p w14:paraId="069000B8"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-0,5</w:t>
            </w:r>
          </w:p>
        </w:tc>
        <w:tc>
          <w:tcPr>
            <w:tcW w:w="648" w:type="pct"/>
          </w:tcPr>
          <w:p w14:paraId="5D784412"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-3,9</w:t>
            </w:r>
          </w:p>
        </w:tc>
        <w:tc>
          <w:tcPr>
            <w:tcW w:w="724" w:type="pct"/>
          </w:tcPr>
          <w:p w14:paraId="69D84D57"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0,0</w:t>
            </w:r>
          </w:p>
        </w:tc>
      </w:tr>
      <w:tr w:rsidR="007E770D" w:rsidRPr="007E770D" w14:paraId="0CE32433" w14:textId="77777777" w:rsidTr="00B435B3">
        <w:trPr>
          <w:jc w:val="center"/>
        </w:trPr>
        <w:tc>
          <w:tcPr>
            <w:tcW w:w="1900" w:type="pct"/>
          </w:tcPr>
          <w:p w14:paraId="0B1B451F" w14:textId="77777777" w:rsidR="00687377" w:rsidRPr="007E770D" w:rsidRDefault="00687377" w:rsidP="00B435B3">
            <w:pPr>
              <w:ind w:left="-15"/>
              <w:rPr>
                <w:rFonts w:ascii="Calibri" w:eastAsia="Calibri" w:hAnsi="Calibri" w:cs="Calibri"/>
                <w:color w:val="auto"/>
                <w:sz w:val="18"/>
                <w:lang w:val="sr-Cyrl-CS"/>
              </w:rPr>
            </w:pPr>
            <w:r w:rsidRPr="007E770D">
              <w:rPr>
                <w:rFonts w:ascii="Calibri" w:eastAsia="Calibri" w:hAnsi="Calibri" w:cs="Calibri"/>
                <w:color w:val="auto"/>
                <w:sz w:val="18"/>
                <w:lang w:val="sr-Cyrl-CS"/>
              </w:rPr>
              <w:t>Индустрија</w:t>
            </w:r>
          </w:p>
        </w:tc>
        <w:tc>
          <w:tcPr>
            <w:tcW w:w="576" w:type="pct"/>
          </w:tcPr>
          <w:p w14:paraId="30377893"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1,0</w:t>
            </w:r>
          </w:p>
        </w:tc>
        <w:tc>
          <w:tcPr>
            <w:tcW w:w="576" w:type="pct"/>
          </w:tcPr>
          <w:p w14:paraId="5B196FB9"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-1,4</w:t>
            </w:r>
          </w:p>
        </w:tc>
        <w:tc>
          <w:tcPr>
            <w:tcW w:w="577" w:type="pct"/>
          </w:tcPr>
          <w:p w14:paraId="79E0019E"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-2,1</w:t>
            </w:r>
          </w:p>
        </w:tc>
        <w:tc>
          <w:tcPr>
            <w:tcW w:w="648" w:type="pct"/>
          </w:tcPr>
          <w:p w14:paraId="21AAFC71"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3,0</w:t>
            </w:r>
          </w:p>
        </w:tc>
        <w:tc>
          <w:tcPr>
            <w:tcW w:w="724" w:type="pct"/>
          </w:tcPr>
          <w:p w14:paraId="37A34036"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0,3</w:t>
            </w:r>
          </w:p>
        </w:tc>
      </w:tr>
      <w:tr w:rsidR="007E770D" w:rsidRPr="007E770D" w14:paraId="50C34EAC" w14:textId="77777777" w:rsidTr="00B435B3">
        <w:trPr>
          <w:jc w:val="center"/>
        </w:trPr>
        <w:tc>
          <w:tcPr>
            <w:tcW w:w="1900" w:type="pct"/>
          </w:tcPr>
          <w:p w14:paraId="00F05E12" w14:textId="77777777" w:rsidR="00687377" w:rsidRPr="007E770D" w:rsidRDefault="00687377" w:rsidP="00B435B3">
            <w:pPr>
              <w:ind w:left="-15"/>
              <w:rPr>
                <w:rFonts w:ascii="Calibri" w:eastAsia="Calibri" w:hAnsi="Calibri" w:cs="Calibri"/>
                <w:color w:val="auto"/>
                <w:sz w:val="18"/>
                <w:lang w:val="sr-Cyrl-CS"/>
              </w:rPr>
            </w:pPr>
            <w:r w:rsidRPr="007E770D">
              <w:rPr>
                <w:rFonts w:ascii="Calibri" w:eastAsia="Calibri" w:hAnsi="Calibri" w:cs="Calibri"/>
                <w:color w:val="auto"/>
                <w:sz w:val="18"/>
                <w:lang w:val="sr-Cyrl-CS"/>
              </w:rPr>
              <w:t>Грађевинарство</w:t>
            </w:r>
          </w:p>
        </w:tc>
        <w:tc>
          <w:tcPr>
            <w:tcW w:w="576" w:type="pct"/>
          </w:tcPr>
          <w:p w14:paraId="20558C18"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12,8</w:t>
            </w:r>
          </w:p>
        </w:tc>
        <w:tc>
          <w:tcPr>
            <w:tcW w:w="576" w:type="pct"/>
          </w:tcPr>
          <w:p w14:paraId="0CEC2700"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10,5</w:t>
            </w:r>
          </w:p>
        </w:tc>
        <w:tc>
          <w:tcPr>
            <w:tcW w:w="577" w:type="pct"/>
          </w:tcPr>
          <w:p w14:paraId="5AA0E568"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16,8</w:t>
            </w:r>
          </w:p>
        </w:tc>
        <w:tc>
          <w:tcPr>
            <w:tcW w:w="648" w:type="pct"/>
          </w:tcPr>
          <w:p w14:paraId="698DA407"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9,0</w:t>
            </w:r>
          </w:p>
        </w:tc>
        <w:tc>
          <w:tcPr>
            <w:tcW w:w="724" w:type="pct"/>
          </w:tcPr>
          <w:p w14:paraId="79DA8F95"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18,4</w:t>
            </w:r>
          </w:p>
        </w:tc>
      </w:tr>
      <w:tr w:rsidR="007E770D" w:rsidRPr="007E770D" w14:paraId="68449B52" w14:textId="77777777" w:rsidTr="00B435B3">
        <w:trPr>
          <w:trHeight w:val="369"/>
          <w:jc w:val="center"/>
        </w:trPr>
        <w:tc>
          <w:tcPr>
            <w:tcW w:w="1900" w:type="pct"/>
            <w:tcBorders>
              <w:bottom w:val="single" w:sz="4" w:space="0" w:color="002060"/>
            </w:tcBorders>
          </w:tcPr>
          <w:p w14:paraId="6FAE0CF3" w14:textId="77777777" w:rsidR="00687377" w:rsidRPr="007E770D" w:rsidRDefault="00687377" w:rsidP="00B435B3">
            <w:pPr>
              <w:ind w:left="-15"/>
              <w:rPr>
                <w:rFonts w:ascii="Calibri" w:eastAsia="Calibri" w:hAnsi="Calibri" w:cs="Calibri"/>
                <w:color w:val="auto"/>
                <w:sz w:val="18"/>
                <w:lang w:val="sr-Cyrl-CS"/>
              </w:rPr>
            </w:pPr>
            <w:r w:rsidRPr="007E770D">
              <w:rPr>
                <w:rFonts w:ascii="Calibri" w:eastAsia="Calibri" w:hAnsi="Calibri" w:cs="Calibri"/>
                <w:color w:val="auto"/>
                <w:sz w:val="18"/>
                <w:lang w:val="sr-Cyrl-CS"/>
              </w:rPr>
              <w:t>Услуге</w:t>
            </w:r>
          </w:p>
        </w:tc>
        <w:tc>
          <w:tcPr>
            <w:tcW w:w="576" w:type="pct"/>
            <w:tcBorders>
              <w:bottom w:val="single" w:sz="4" w:space="0" w:color="002060"/>
            </w:tcBorders>
          </w:tcPr>
          <w:p w14:paraId="0333B8C6" w14:textId="77777777" w:rsidR="00687377" w:rsidRPr="007E770D" w:rsidRDefault="00687377" w:rsidP="00B435B3">
            <w:pPr>
              <w:tabs>
                <w:tab w:val="left" w:pos="420"/>
                <w:tab w:val="center" w:pos="586"/>
              </w:tabs>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4,2</w:t>
            </w:r>
          </w:p>
        </w:tc>
        <w:tc>
          <w:tcPr>
            <w:tcW w:w="576" w:type="pct"/>
            <w:tcBorders>
              <w:bottom w:val="single" w:sz="4" w:space="0" w:color="002060"/>
            </w:tcBorders>
          </w:tcPr>
          <w:p w14:paraId="72442605"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3,8</w:t>
            </w:r>
          </w:p>
        </w:tc>
        <w:tc>
          <w:tcPr>
            <w:tcW w:w="577" w:type="pct"/>
            <w:tcBorders>
              <w:bottom w:val="single" w:sz="4" w:space="0" w:color="002060"/>
            </w:tcBorders>
          </w:tcPr>
          <w:p w14:paraId="3B738076"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3,8</w:t>
            </w:r>
          </w:p>
        </w:tc>
        <w:tc>
          <w:tcPr>
            <w:tcW w:w="648" w:type="pct"/>
            <w:tcBorders>
              <w:bottom w:val="single" w:sz="4" w:space="0" w:color="002060"/>
            </w:tcBorders>
          </w:tcPr>
          <w:p w14:paraId="5913F5F9"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4,1</w:t>
            </w:r>
          </w:p>
        </w:tc>
        <w:tc>
          <w:tcPr>
            <w:tcW w:w="724" w:type="pct"/>
            <w:tcBorders>
              <w:bottom w:val="single" w:sz="4" w:space="0" w:color="002060"/>
            </w:tcBorders>
          </w:tcPr>
          <w:p w14:paraId="6DD039C1" w14:textId="77777777" w:rsidR="00687377" w:rsidRPr="007E770D" w:rsidRDefault="00687377" w:rsidP="00B435B3">
            <w:pPr>
              <w:jc w:val="center"/>
              <w:rPr>
                <w:rFonts w:ascii="Calibri" w:eastAsia="Calibri" w:hAnsi="Calibri" w:cs="Calibri"/>
                <w:color w:val="auto"/>
                <w:sz w:val="18"/>
                <w:lang w:val="sr-Cyrl-CS"/>
              </w:rPr>
            </w:pPr>
            <w:r w:rsidRPr="007E770D">
              <w:rPr>
                <w:rFonts w:ascii="Calibri" w:eastAsia="Calibri" w:hAnsi="Calibri" w:cs="Calibri"/>
                <w:color w:val="auto"/>
                <w:sz w:val="18"/>
                <w:lang w:val="sr-Cyrl-CS"/>
              </w:rPr>
              <w:t>3,9</w:t>
            </w:r>
          </w:p>
        </w:tc>
      </w:tr>
    </w:tbl>
    <w:p w14:paraId="2B077C85" w14:textId="77777777" w:rsidR="00687377" w:rsidRPr="007E770D" w:rsidRDefault="00687377" w:rsidP="00B435B3">
      <w:pPr>
        <w:spacing w:before="40" w:after="60"/>
        <w:rPr>
          <w:rFonts w:ascii="Calibri" w:eastAsia="Calibri" w:hAnsi="Calibri" w:cs="Calibri"/>
          <w:bCs/>
          <w:color w:val="auto"/>
          <w:sz w:val="16"/>
          <w:szCs w:val="72"/>
          <w:lang w:val="sr-Cyrl-CS"/>
        </w:rPr>
      </w:pPr>
      <w:r w:rsidRPr="007E770D">
        <w:rPr>
          <w:rFonts w:ascii="Calibri" w:eastAsia="Calibri" w:hAnsi="Calibri" w:cs="Calibri"/>
          <w:bCs/>
          <w:color w:val="auto"/>
          <w:sz w:val="16"/>
          <w:szCs w:val="72"/>
          <w:lang w:val="sr-Cyrl-CS"/>
        </w:rPr>
        <w:t>Извор: РЗС</w:t>
      </w:r>
    </w:p>
    <w:p w14:paraId="5940CB16" w14:textId="77777777" w:rsidR="00687377" w:rsidRPr="007E770D" w:rsidRDefault="00687377" w:rsidP="00B435B3">
      <w:pPr>
        <w:spacing w:before="40" w:after="60"/>
        <w:rPr>
          <w:rFonts w:ascii="Calibri" w:eastAsia="Calibri" w:hAnsi="Calibri" w:cs="Calibri"/>
          <w:bCs/>
          <w:color w:val="auto"/>
          <w:sz w:val="16"/>
          <w:szCs w:val="72"/>
          <w:lang w:val="sr-Cyrl-CS"/>
        </w:rPr>
      </w:pPr>
      <w:r w:rsidRPr="007E770D">
        <w:rPr>
          <w:rFonts w:ascii="Calibri" w:eastAsia="Calibri" w:hAnsi="Calibri" w:cs="Calibri"/>
          <w:bCs/>
          <w:color w:val="auto"/>
          <w:sz w:val="16"/>
          <w:szCs w:val="72"/>
          <w:lang w:val="sr-Cyrl-CS"/>
        </w:rPr>
        <w:t>* Министарство финансија</w:t>
      </w:r>
    </w:p>
    <w:p w14:paraId="25BC03DA" w14:textId="77777777" w:rsidR="00687377" w:rsidRPr="007E770D" w:rsidRDefault="00687377" w:rsidP="00B33A92">
      <w:pPr>
        <w:tabs>
          <w:tab w:val="left" w:pos="527"/>
        </w:tabs>
        <w:spacing w:after="0" w:line="240" w:lineRule="auto"/>
        <w:rPr>
          <w:rFonts w:cstheme="minorHAnsi"/>
          <w:color w:val="auto"/>
          <w:szCs w:val="72"/>
          <w:lang w:val="sr-Cyrl-CS"/>
        </w:rPr>
        <w:sectPr w:rsidR="00687377" w:rsidRPr="007E770D" w:rsidSect="002C1D90">
          <w:type w:val="continuous"/>
          <w:pgSz w:w="12240" w:h="15840"/>
          <w:pgMar w:top="1440" w:right="1440" w:bottom="1440" w:left="1440" w:header="720" w:footer="720" w:gutter="0"/>
          <w:cols w:space="720"/>
          <w:docGrid w:linePitch="360"/>
        </w:sectPr>
      </w:pPr>
    </w:p>
    <w:p w14:paraId="6816B7D8" w14:textId="143835EF" w:rsidR="00687377" w:rsidRPr="007E770D" w:rsidRDefault="00687377" w:rsidP="008066BE">
      <w:pPr>
        <w:rPr>
          <w:rFonts w:cstheme="minorHAnsi"/>
          <w:b/>
          <w:color w:val="auto"/>
          <w:lang w:val="sr-Cyrl-CS"/>
        </w:rPr>
      </w:pPr>
    </w:p>
    <w:p w14:paraId="440BCAC1" w14:textId="4D144B65" w:rsidR="00687377" w:rsidRPr="007E770D" w:rsidRDefault="00687377" w:rsidP="00C55154">
      <w:pPr>
        <w:rPr>
          <w:color w:val="auto"/>
          <w:lang w:val="sr-Cyrl-CS"/>
        </w:rPr>
      </w:pPr>
    </w:p>
    <w:p w14:paraId="1E9D38E9" w14:textId="436AAE29" w:rsidR="008066BE" w:rsidRPr="007E770D" w:rsidRDefault="008066BE" w:rsidP="00C55154">
      <w:pPr>
        <w:rPr>
          <w:color w:val="auto"/>
          <w:lang w:val="sr-Cyrl-CS"/>
        </w:rPr>
      </w:pPr>
    </w:p>
    <w:p w14:paraId="6EA82EE3" w14:textId="5A6E7459" w:rsidR="008066BE" w:rsidRPr="007E770D" w:rsidRDefault="008066BE" w:rsidP="00C55154">
      <w:pPr>
        <w:rPr>
          <w:color w:val="auto"/>
          <w:lang w:val="sr-Cyrl-CS"/>
        </w:rPr>
      </w:pPr>
    </w:p>
    <w:p w14:paraId="5A72628E" w14:textId="033E76AF" w:rsidR="008066BE" w:rsidRPr="007E770D" w:rsidRDefault="008066BE">
      <w:pPr>
        <w:jc w:val="left"/>
        <w:rPr>
          <w:color w:val="auto"/>
          <w:lang w:val="sr-Cyrl-CS"/>
        </w:rPr>
      </w:pPr>
      <w:r w:rsidRPr="007E770D">
        <w:rPr>
          <w:color w:val="auto"/>
          <w:lang w:val="sr-Cyrl-CS"/>
        </w:rPr>
        <w:br w:type="page"/>
      </w:r>
    </w:p>
    <w:p w14:paraId="5790DDAE" w14:textId="77777777" w:rsidR="008066BE" w:rsidRPr="007E770D" w:rsidRDefault="008066BE" w:rsidP="00F03C70">
      <w:pPr>
        <w:jc w:val="left"/>
        <w:rPr>
          <w:rFonts w:cstheme="minorHAnsi"/>
          <w:b/>
          <w:color w:val="auto"/>
          <w:sz w:val="22"/>
          <w:lang w:val="sr-Cyrl-CS"/>
        </w:rPr>
      </w:pPr>
      <w:r w:rsidRPr="007E770D">
        <w:rPr>
          <w:rFonts w:cstheme="minorHAnsi"/>
          <w:b/>
          <w:color w:val="auto"/>
          <w:sz w:val="22"/>
          <w:lang w:val="sr-Cyrl-CS"/>
        </w:rPr>
        <w:lastRenderedPageBreak/>
        <w:t>Пројекције кретања реалног сектора у периоду 2020–2022. година</w:t>
      </w:r>
    </w:p>
    <w:p w14:paraId="6B95379F" w14:textId="234DD6EB" w:rsidR="008066BE" w:rsidRPr="007E770D" w:rsidRDefault="008066BE">
      <w:pPr>
        <w:rPr>
          <w:rFonts w:cstheme="minorHAnsi"/>
          <w:bCs/>
          <w:color w:val="auto"/>
          <w:szCs w:val="72"/>
          <w:lang w:val="sr-Cyrl-CS"/>
        </w:rPr>
      </w:pPr>
      <w:r w:rsidRPr="007E770D">
        <w:rPr>
          <w:rFonts w:cstheme="minorHAnsi"/>
          <w:bCs/>
          <w:color w:val="auto"/>
          <w:szCs w:val="72"/>
          <w:lang w:val="sr-Cyrl-CS"/>
        </w:rPr>
        <w:t>Кретања основних макроекономских агрегата и индикатора за Републику Србију у периоду 2020–2022. година пројектована су на основу актуелних економских показатеља и изгледа за Републику Србију и међународно окружење, као и на основу процене ефеката планираних мера економске политике. У обзир су узети и успостављена фискална стабилност и трендна кретања реалног сектора, ојачана екстерна позиција земље и растући прилив СДИ. Поред тога, започете реформе и планирана системска унапређења привредног амбијента идентификована су као извори могућег додатног раста. У супротном смеру могу деловати потенцијалне неизвесности креиране турбуленцијама на међународном тржишту роба и ка</w:t>
      </w:r>
      <w:r w:rsidR="006B68DD" w:rsidRPr="007E770D">
        <w:rPr>
          <w:rFonts w:cstheme="minorHAnsi"/>
          <w:bCs/>
          <w:color w:val="auto"/>
          <w:szCs w:val="72"/>
          <w:lang w:val="sr-Cyrl-CS"/>
        </w:rPr>
        <w:t>питала.</w:t>
      </w:r>
    </w:p>
    <w:p w14:paraId="5683BFAD" w14:textId="77777777" w:rsidR="008066BE" w:rsidRPr="007E770D" w:rsidRDefault="008066BE" w:rsidP="00B435B3">
      <w:pPr>
        <w:rPr>
          <w:rFonts w:cstheme="minorHAnsi"/>
          <w:bCs/>
          <w:color w:val="auto"/>
          <w:szCs w:val="72"/>
          <w:lang w:val="sr-Cyrl-CS"/>
        </w:rPr>
      </w:pPr>
      <w:r w:rsidRPr="007E770D">
        <w:rPr>
          <w:rFonts w:cstheme="minorHAnsi"/>
          <w:bCs/>
          <w:color w:val="auto"/>
          <w:szCs w:val="72"/>
          <w:lang w:val="sr-Cyrl-CS"/>
        </w:rPr>
        <w:t>Влада ће у овом периоду водити одговорну и предвидиву фискалну политику, синхронизовану са монетарним властима и фокусирану на лоцирање нових извора раста. Очувана стабилност јавних финансија обезбедила је фискални простор за повећање капиталних расхода, али и омогућила конкретне мере у правцу растерећења привреде и афирмације приватног инвестирања. Прилив СДИ обезбедиће трансфер знања и технологије, подићи конкурентност и обезбедити нове продајне канале домаћим произвођачима. Механизам подстицаја има за циљ њихову секторску и регионалну дисперзију како би биле обезбеђене претпоставке равномерног развоја и максималне искоришћености конкурентских предности.</w:t>
      </w:r>
    </w:p>
    <w:p w14:paraId="175D45DD" w14:textId="77777777" w:rsidR="008066BE" w:rsidRPr="007E770D" w:rsidRDefault="008066BE" w:rsidP="00B435B3">
      <w:pPr>
        <w:spacing w:after="0"/>
        <w:rPr>
          <w:color w:val="auto"/>
          <w:lang w:val="sr-Cyrl-CS"/>
        </w:rPr>
      </w:pPr>
    </w:p>
    <w:p w14:paraId="704DE5FB" w14:textId="77777777" w:rsidR="008066BE" w:rsidRPr="007E770D" w:rsidRDefault="008066BE" w:rsidP="00B435B3">
      <w:pPr>
        <w:spacing w:after="0"/>
        <w:rPr>
          <w:color w:val="auto"/>
          <w:lang w:val="sr-Cyrl-CS"/>
        </w:rPr>
      </w:pPr>
    </w:p>
    <w:p w14:paraId="777CBEF3" w14:textId="77777777" w:rsidR="008066BE" w:rsidRPr="007E770D" w:rsidRDefault="008066BE" w:rsidP="00B435B3">
      <w:pPr>
        <w:spacing w:after="0"/>
        <w:rPr>
          <w:color w:val="auto"/>
          <w:lang w:val="sr-Cyrl-CS"/>
        </w:rPr>
        <w:sectPr w:rsidR="008066BE" w:rsidRPr="007E770D" w:rsidSect="00B435B3">
          <w:headerReference w:type="even" r:id="rId71"/>
          <w:headerReference w:type="default" r:id="rId72"/>
          <w:footerReference w:type="even" r:id="rId73"/>
          <w:footerReference w:type="default" r:id="rId74"/>
          <w:headerReference w:type="first" r:id="rId75"/>
          <w:type w:val="continuous"/>
          <w:pgSz w:w="12240" w:h="15840"/>
          <w:pgMar w:top="1440" w:right="1440" w:bottom="1440" w:left="1440" w:header="720" w:footer="720" w:gutter="0"/>
          <w:cols w:num="2" w:space="720"/>
          <w:docGrid w:linePitch="360"/>
        </w:sectPr>
      </w:pPr>
    </w:p>
    <w:tbl>
      <w:tblPr>
        <w:tblStyle w:val="TableGrid"/>
        <w:tblW w:w="4952" w:type="pct"/>
        <w:tblInd w:w="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4"/>
        <w:gridCol w:w="925"/>
        <w:gridCol w:w="925"/>
        <w:gridCol w:w="971"/>
        <w:gridCol w:w="931"/>
        <w:gridCol w:w="914"/>
      </w:tblGrid>
      <w:tr w:rsidR="007E770D" w:rsidRPr="007E770D" w14:paraId="79685A12" w14:textId="77777777" w:rsidTr="00B435B3">
        <w:trPr>
          <w:trHeight w:val="414"/>
        </w:trPr>
        <w:tc>
          <w:tcPr>
            <w:tcW w:w="5000" w:type="pct"/>
            <w:gridSpan w:val="6"/>
            <w:tcBorders>
              <w:bottom w:val="single" w:sz="4" w:space="0" w:color="002060"/>
            </w:tcBorders>
          </w:tcPr>
          <w:p w14:paraId="07B6585B" w14:textId="77777777" w:rsidR="008066BE" w:rsidRPr="007E770D" w:rsidRDefault="008066BE" w:rsidP="001527EE">
            <w:pPr>
              <w:jc w:val="center"/>
              <w:rPr>
                <w:rFonts w:cstheme="minorHAnsi"/>
                <w:b/>
                <w:color w:val="auto"/>
                <w:sz w:val="16"/>
                <w:lang w:val="sr-Cyrl-CS"/>
              </w:rPr>
            </w:pPr>
            <w:r w:rsidRPr="007E770D">
              <w:rPr>
                <w:rFonts w:cstheme="minorHAnsi"/>
                <w:b/>
                <w:color w:val="auto"/>
                <w:lang w:val="sr-Cyrl-CS"/>
              </w:rPr>
              <w:t>Табела 4. Пројекција основних макроекономских показатеља Републике Србије</w:t>
            </w:r>
          </w:p>
        </w:tc>
      </w:tr>
      <w:tr w:rsidR="007E770D" w:rsidRPr="007E770D" w14:paraId="143B856E" w14:textId="77777777" w:rsidTr="00B435B3">
        <w:tc>
          <w:tcPr>
            <w:tcW w:w="2483" w:type="pct"/>
            <w:tcBorders>
              <w:top w:val="single" w:sz="4" w:space="0" w:color="002060"/>
              <w:left w:val="single" w:sz="2" w:space="0" w:color="FFFFFF" w:themeColor="background1"/>
              <w:bottom w:val="single" w:sz="2" w:space="0" w:color="FFFFFF" w:themeColor="background1"/>
              <w:right w:val="single" w:sz="2" w:space="0" w:color="FFFFFF" w:themeColor="background1"/>
            </w:tcBorders>
          </w:tcPr>
          <w:p w14:paraId="33545B87" w14:textId="77777777" w:rsidR="008066BE" w:rsidRPr="007E770D" w:rsidRDefault="008066BE" w:rsidP="00C130D2">
            <w:pPr>
              <w:rPr>
                <w:rFonts w:cstheme="minorHAnsi"/>
                <w:color w:val="auto"/>
                <w:sz w:val="18"/>
                <w:lang w:val="sr-Cyrl-CS"/>
              </w:rPr>
            </w:pPr>
          </w:p>
        </w:tc>
        <w:tc>
          <w:tcPr>
            <w:tcW w:w="499" w:type="pct"/>
            <w:tcBorders>
              <w:top w:val="single" w:sz="4" w:space="0" w:color="002060"/>
              <w:left w:val="single" w:sz="2" w:space="0" w:color="FFFFFF" w:themeColor="background1"/>
              <w:bottom w:val="single" w:sz="4" w:space="0" w:color="FFFFFF" w:themeColor="background1"/>
              <w:right w:val="single" w:sz="2" w:space="0" w:color="FFFFFF" w:themeColor="background1"/>
            </w:tcBorders>
            <w:shd w:val="clear" w:color="auto" w:fill="auto"/>
          </w:tcPr>
          <w:p w14:paraId="46480E9A" w14:textId="77777777" w:rsidR="008066BE" w:rsidRPr="007E770D" w:rsidRDefault="008066BE" w:rsidP="00C130D2">
            <w:pPr>
              <w:jc w:val="center"/>
              <w:rPr>
                <w:rFonts w:cstheme="minorHAnsi"/>
                <w:color w:val="auto"/>
                <w:sz w:val="18"/>
                <w:lang w:val="sr-Cyrl-CS"/>
              </w:rPr>
            </w:pPr>
            <w:r w:rsidRPr="007E770D">
              <w:rPr>
                <w:rFonts w:cstheme="minorHAnsi"/>
                <w:color w:val="auto"/>
                <w:sz w:val="18"/>
                <w:lang w:val="sr-Cyrl-CS"/>
              </w:rPr>
              <w:t>Процена</w:t>
            </w:r>
          </w:p>
        </w:tc>
        <w:tc>
          <w:tcPr>
            <w:tcW w:w="499" w:type="pct"/>
            <w:tcBorders>
              <w:top w:val="single" w:sz="4" w:space="0" w:color="002060"/>
              <w:left w:val="single" w:sz="2" w:space="0" w:color="FFFFFF" w:themeColor="background1"/>
              <w:bottom w:val="single" w:sz="2" w:space="0" w:color="FFFFFF" w:themeColor="background1"/>
              <w:right w:val="single" w:sz="2" w:space="0" w:color="FFFFFF" w:themeColor="background1"/>
            </w:tcBorders>
            <w:shd w:val="clear" w:color="auto" w:fill="auto"/>
          </w:tcPr>
          <w:p w14:paraId="55650B80" w14:textId="77777777" w:rsidR="008066BE" w:rsidRPr="007E770D" w:rsidRDefault="008066BE" w:rsidP="00C130D2">
            <w:pPr>
              <w:jc w:val="center"/>
              <w:rPr>
                <w:rFonts w:cstheme="minorHAnsi"/>
                <w:color w:val="auto"/>
                <w:sz w:val="18"/>
                <w:lang w:val="sr-Cyrl-CS"/>
              </w:rPr>
            </w:pPr>
          </w:p>
        </w:tc>
        <w:tc>
          <w:tcPr>
            <w:tcW w:w="1519" w:type="pct"/>
            <w:gridSpan w:val="3"/>
            <w:tcBorders>
              <w:top w:val="single" w:sz="4" w:space="0" w:color="002060"/>
              <w:left w:val="single" w:sz="2" w:space="0" w:color="FFFFFF" w:themeColor="background1"/>
              <w:bottom w:val="single" w:sz="4" w:space="0" w:color="FFFFFF" w:themeColor="background1"/>
              <w:right w:val="single" w:sz="2" w:space="0" w:color="FFFFFF" w:themeColor="background1"/>
            </w:tcBorders>
            <w:shd w:val="clear" w:color="auto" w:fill="auto"/>
          </w:tcPr>
          <w:p w14:paraId="20771A60" w14:textId="77777777" w:rsidR="008066BE" w:rsidRPr="007E770D" w:rsidRDefault="008066BE" w:rsidP="00C130D2">
            <w:pPr>
              <w:jc w:val="center"/>
              <w:rPr>
                <w:rFonts w:cstheme="minorHAnsi"/>
                <w:color w:val="auto"/>
                <w:sz w:val="18"/>
                <w:lang w:val="sr-Cyrl-CS"/>
              </w:rPr>
            </w:pPr>
            <w:r w:rsidRPr="007E770D">
              <w:rPr>
                <w:rFonts w:cstheme="minorHAnsi"/>
                <w:color w:val="auto"/>
                <w:sz w:val="18"/>
                <w:lang w:val="sr-Cyrl-CS"/>
              </w:rPr>
              <w:t>Пројекције</w:t>
            </w:r>
          </w:p>
        </w:tc>
      </w:tr>
      <w:tr w:rsidR="007E770D" w:rsidRPr="007E770D" w14:paraId="0982CACB" w14:textId="77777777" w:rsidTr="00B435B3">
        <w:tc>
          <w:tcPr>
            <w:tcW w:w="2483" w:type="pct"/>
            <w:tcBorders>
              <w:top w:val="single" w:sz="2" w:space="0" w:color="FFFFFF" w:themeColor="background1"/>
            </w:tcBorders>
          </w:tcPr>
          <w:p w14:paraId="4A7A9B69" w14:textId="77777777" w:rsidR="008066BE" w:rsidRPr="007E770D" w:rsidRDefault="008066BE" w:rsidP="00C130D2">
            <w:pPr>
              <w:ind w:left="-15"/>
              <w:rPr>
                <w:rFonts w:cstheme="minorHAnsi"/>
                <w:color w:val="auto"/>
                <w:sz w:val="18"/>
                <w:szCs w:val="18"/>
                <w:lang w:val="sr-Cyrl-CS"/>
              </w:rPr>
            </w:pPr>
          </w:p>
        </w:tc>
        <w:tc>
          <w:tcPr>
            <w:tcW w:w="499" w:type="pct"/>
            <w:tcBorders>
              <w:top w:val="single" w:sz="4" w:space="0" w:color="FFFFFF" w:themeColor="background1"/>
              <w:bottom w:val="single" w:sz="4" w:space="0" w:color="auto"/>
            </w:tcBorders>
          </w:tcPr>
          <w:p w14:paraId="5CA8EBCD"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lang w:val="sr-Cyrl-CS"/>
              </w:rPr>
              <w:t>2019</w:t>
            </w:r>
          </w:p>
        </w:tc>
        <w:tc>
          <w:tcPr>
            <w:tcW w:w="499" w:type="pct"/>
            <w:tcBorders>
              <w:top w:val="single" w:sz="2" w:space="0" w:color="FFFFFF" w:themeColor="background1"/>
            </w:tcBorders>
          </w:tcPr>
          <w:p w14:paraId="576AFD73" w14:textId="77777777" w:rsidR="008066BE" w:rsidRPr="007E770D" w:rsidRDefault="008066BE" w:rsidP="00C130D2">
            <w:pPr>
              <w:jc w:val="center"/>
              <w:rPr>
                <w:rFonts w:cstheme="minorHAnsi"/>
                <w:color w:val="auto"/>
                <w:sz w:val="18"/>
                <w:szCs w:val="18"/>
                <w:lang w:val="sr-Cyrl-CS"/>
              </w:rPr>
            </w:pPr>
          </w:p>
        </w:tc>
        <w:tc>
          <w:tcPr>
            <w:tcW w:w="524" w:type="pct"/>
            <w:tcBorders>
              <w:top w:val="single" w:sz="4" w:space="0" w:color="FFFFFF" w:themeColor="background1"/>
              <w:bottom w:val="single" w:sz="4" w:space="0" w:color="auto"/>
            </w:tcBorders>
          </w:tcPr>
          <w:p w14:paraId="3E8A06C9"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lang w:val="sr-Cyrl-CS"/>
              </w:rPr>
              <w:t>2020</w:t>
            </w:r>
          </w:p>
        </w:tc>
        <w:tc>
          <w:tcPr>
            <w:tcW w:w="502" w:type="pct"/>
            <w:tcBorders>
              <w:top w:val="single" w:sz="4" w:space="0" w:color="FFFFFF" w:themeColor="background1"/>
              <w:bottom w:val="single" w:sz="4" w:space="0" w:color="auto"/>
            </w:tcBorders>
          </w:tcPr>
          <w:p w14:paraId="503316F9"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lang w:val="sr-Cyrl-CS"/>
              </w:rPr>
              <w:t>2021</w:t>
            </w:r>
          </w:p>
        </w:tc>
        <w:tc>
          <w:tcPr>
            <w:tcW w:w="493" w:type="pct"/>
            <w:tcBorders>
              <w:top w:val="single" w:sz="4" w:space="0" w:color="FFFFFF" w:themeColor="background1"/>
              <w:bottom w:val="single" w:sz="4" w:space="0" w:color="auto"/>
            </w:tcBorders>
          </w:tcPr>
          <w:p w14:paraId="53053303"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lang w:val="sr-Cyrl-CS"/>
              </w:rPr>
              <w:t>2022</w:t>
            </w:r>
          </w:p>
        </w:tc>
      </w:tr>
      <w:tr w:rsidR="007E770D" w:rsidRPr="007E770D" w14:paraId="33C74476" w14:textId="77777777" w:rsidTr="00B435B3">
        <w:tc>
          <w:tcPr>
            <w:tcW w:w="2483" w:type="pct"/>
            <w:tcBorders>
              <w:top w:val="single" w:sz="2" w:space="0" w:color="FFFFFF" w:themeColor="background1"/>
            </w:tcBorders>
          </w:tcPr>
          <w:p w14:paraId="79AA72E8" w14:textId="77777777" w:rsidR="008066BE" w:rsidRPr="007E770D" w:rsidRDefault="008066BE" w:rsidP="00C130D2">
            <w:pPr>
              <w:ind w:left="-15"/>
              <w:rPr>
                <w:rFonts w:cstheme="minorHAnsi"/>
                <w:color w:val="auto"/>
                <w:sz w:val="18"/>
                <w:szCs w:val="18"/>
                <w:lang w:val="sr-Cyrl-CS"/>
              </w:rPr>
            </w:pPr>
            <w:r w:rsidRPr="007E770D">
              <w:rPr>
                <w:rFonts w:cstheme="minorHAnsi"/>
                <w:color w:val="auto"/>
                <w:sz w:val="18"/>
                <w:szCs w:val="18"/>
                <w:lang w:val="sr-Cyrl-CS"/>
              </w:rPr>
              <w:t>БДП, млрд динара (текуће цене)</w:t>
            </w:r>
          </w:p>
        </w:tc>
        <w:tc>
          <w:tcPr>
            <w:tcW w:w="499" w:type="pct"/>
            <w:tcBorders>
              <w:top w:val="single" w:sz="4" w:space="0" w:color="auto"/>
            </w:tcBorders>
          </w:tcPr>
          <w:p w14:paraId="1B073215"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5.417</w:t>
            </w:r>
          </w:p>
        </w:tc>
        <w:tc>
          <w:tcPr>
            <w:tcW w:w="499" w:type="pct"/>
            <w:tcBorders>
              <w:top w:val="single" w:sz="2" w:space="0" w:color="FFFFFF" w:themeColor="background1"/>
            </w:tcBorders>
          </w:tcPr>
          <w:p w14:paraId="7E191695" w14:textId="77777777" w:rsidR="008066BE" w:rsidRPr="007E770D" w:rsidRDefault="008066BE" w:rsidP="00C130D2">
            <w:pPr>
              <w:jc w:val="center"/>
              <w:rPr>
                <w:rFonts w:cstheme="minorHAnsi"/>
                <w:color w:val="auto"/>
                <w:sz w:val="18"/>
                <w:szCs w:val="18"/>
                <w:lang w:val="sr-Cyrl-CS"/>
              </w:rPr>
            </w:pPr>
          </w:p>
        </w:tc>
        <w:tc>
          <w:tcPr>
            <w:tcW w:w="524" w:type="pct"/>
            <w:tcBorders>
              <w:top w:val="single" w:sz="4" w:space="0" w:color="auto"/>
            </w:tcBorders>
          </w:tcPr>
          <w:p w14:paraId="238452DC"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5.827</w:t>
            </w:r>
          </w:p>
        </w:tc>
        <w:tc>
          <w:tcPr>
            <w:tcW w:w="502" w:type="pct"/>
            <w:tcBorders>
              <w:top w:val="single" w:sz="4" w:space="0" w:color="auto"/>
            </w:tcBorders>
          </w:tcPr>
          <w:p w14:paraId="266B77CC"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6.264</w:t>
            </w:r>
          </w:p>
        </w:tc>
        <w:tc>
          <w:tcPr>
            <w:tcW w:w="493" w:type="pct"/>
            <w:tcBorders>
              <w:top w:val="single" w:sz="4" w:space="0" w:color="auto"/>
            </w:tcBorders>
          </w:tcPr>
          <w:p w14:paraId="03DF9798"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6.740</w:t>
            </w:r>
          </w:p>
        </w:tc>
      </w:tr>
      <w:tr w:rsidR="007E770D" w:rsidRPr="007E770D" w14:paraId="1193EE45" w14:textId="77777777" w:rsidTr="00B435B3">
        <w:tc>
          <w:tcPr>
            <w:tcW w:w="2483" w:type="pct"/>
          </w:tcPr>
          <w:p w14:paraId="7E9A3D14" w14:textId="77777777" w:rsidR="008066BE" w:rsidRPr="007E770D" w:rsidRDefault="008066BE" w:rsidP="00C130D2">
            <w:pPr>
              <w:ind w:left="-15"/>
              <w:rPr>
                <w:rFonts w:cstheme="minorHAnsi"/>
                <w:color w:val="auto"/>
                <w:sz w:val="18"/>
                <w:szCs w:val="18"/>
                <w:lang w:val="sr-Cyrl-CS"/>
              </w:rPr>
            </w:pPr>
            <w:r w:rsidRPr="007E770D">
              <w:rPr>
                <w:rFonts w:cstheme="minorHAnsi"/>
                <w:color w:val="auto"/>
                <w:sz w:val="18"/>
                <w:szCs w:val="18"/>
                <w:lang w:val="sr-Cyrl-CS"/>
              </w:rPr>
              <w:t>Реални раст БДП, %</w:t>
            </w:r>
          </w:p>
        </w:tc>
        <w:tc>
          <w:tcPr>
            <w:tcW w:w="499" w:type="pct"/>
          </w:tcPr>
          <w:p w14:paraId="7E261CC7"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3,5</w:t>
            </w:r>
          </w:p>
        </w:tc>
        <w:tc>
          <w:tcPr>
            <w:tcW w:w="499" w:type="pct"/>
          </w:tcPr>
          <w:p w14:paraId="172AE985" w14:textId="77777777" w:rsidR="008066BE" w:rsidRPr="007E770D" w:rsidRDefault="008066BE" w:rsidP="00C130D2">
            <w:pPr>
              <w:jc w:val="center"/>
              <w:rPr>
                <w:rFonts w:cstheme="minorHAnsi"/>
                <w:color w:val="auto"/>
                <w:sz w:val="18"/>
                <w:szCs w:val="18"/>
                <w:lang w:val="sr-Cyrl-CS"/>
              </w:rPr>
            </w:pPr>
          </w:p>
        </w:tc>
        <w:tc>
          <w:tcPr>
            <w:tcW w:w="524" w:type="pct"/>
          </w:tcPr>
          <w:p w14:paraId="644D4418"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4,0</w:t>
            </w:r>
          </w:p>
        </w:tc>
        <w:tc>
          <w:tcPr>
            <w:tcW w:w="502" w:type="pct"/>
          </w:tcPr>
          <w:p w14:paraId="033A3014"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4,0</w:t>
            </w:r>
          </w:p>
        </w:tc>
        <w:tc>
          <w:tcPr>
            <w:tcW w:w="493" w:type="pct"/>
          </w:tcPr>
          <w:p w14:paraId="6A531D32"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4,0</w:t>
            </w:r>
          </w:p>
        </w:tc>
      </w:tr>
      <w:tr w:rsidR="007E770D" w:rsidRPr="007E770D" w14:paraId="20A717DF" w14:textId="77777777" w:rsidTr="00B435B3">
        <w:tc>
          <w:tcPr>
            <w:tcW w:w="2483" w:type="pct"/>
          </w:tcPr>
          <w:p w14:paraId="73289525" w14:textId="77777777" w:rsidR="008066BE" w:rsidRPr="007E770D" w:rsidRDefault="008066BE" w:rsidP="00C130D2">
            <w:pPr>
              <w:ind w:left="-15"/>
              <w:rPr>
                <w:rFonts w:cstheme="minorHAnsi"/>
                <w:color w:val="auto"/>
                <w:sz w:val="18"/>
                <w:szCs w:val="18"/>
                <w:lang w:val="sr-Cyrl-CS"/>
              </w:rPr>
            </w:pPr>
            <w:r w:rsidRPr="007E770D">
              <w:rPr>
                <w:rFonts w:cstheme="minorHAnsi"/>
                <w:color w:val="auto"/>
                <w:sz w:val="18"/>
                <w:szCs w:val="18"/>
                <w:lang w:val="sr-Cyrl-CS"/>
              </w:rPr>
              <w:t>Дефлатор БДП, %</w:t>
            </w:r>
          </w:p>
        </w:tc>
        <w:tc>
          <w:tcPr>
            <w:tcW w:w="499" w:type="pct"/>
          </w:tcPr>
          <w:p w14:paraId="76EEA29A"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3,3</w:t>
            </w:r>
          </w:p>
        </w:tc>
        <w:tc>
          <w:tcPr>
            <w:tcW w:w="499" w:type="pct"/>
          </w:tcPr>
          <w:p w14:paraId="3BE0D905" w14:textId="77777777" w:rsidR="008066BE" w:rsidRPr="007E770D" w:rsidRDefault="008066BE" w:rsidP="00C130D2">
            <w:pPr>
              <w:jc w:val="center"/>
              <w:rPr>
                <w:rFonts w:cstheme="minorHAnsi"/>
                <w:color w:val="auto"/>
                <w:sz w:val="18"/>
                <w:szCs w:val="18"/>
                <w:lang w:val="sr-Cyrl-CS"/>
              </w:rPr>
            </w:pPr>
          </w:p>
        </w:tc>
        <w:tc>
          <w:tcPr>
            <w:tcW w:w="524" w:type="pct"/>
          </w:tcPr>
          <w:p w14:paraId="3BF25E06"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3,4</w:t>
            </w:r>
          </w:p>
        </w:tc>
        <w:tc>
          <w:tcPr>
            <w:tcW w:w="502" w:type="pct"/>
          </w:tcPr>
          <w:p w14:paraId="5C0DD169"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3,4</w:t>
            </w:r>
          </w:p>
        </w:tc>
        <w:tc>
          <w:tcPr>
            <w:tcW w:w="493" w:type="pct"/>
          </w:tcPr>
          <w:p w14:paraId="1927A30E"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3,5</w:t>
            </w:r>
          </w:p>
        </w:tc>
      </w:tr>
      <w:tr w:rsidR="007E770D" w:rsidRPr="007E770D" w14:paraId="7B91C14D" w14:textId="77777777" w:rsidTr="00B435B3">
        <w:tc>
          <w:tcPr>
            <w:tcW w:w="5000" w:type="pct"/>
            <w:gridSpan w:val="6"/>
            <w:shd w:val="clear" w:color="auto" w:fill="E7E6E6" w:themeFill="background2"/>
          </w:tcPr>
          <w:p w14:paraId="454B79F0" w14:textId="77777777" w:rsidR="008066BE" w:rsidRPr="007E770D" w:rsidRDefault="008066BE" w:rsidP="00C130D2">
            <w:pPr>
              <w:rPr>
                <w:rFonts w:cstheme="minorHAnsi"/>
                <w:color w:val="auto"/>
                <w:sz w:val="18"/>
                <w:szCs w:val="18"/>
                <w:lang w:val="sr-Cyrl-CS"/>
              </w:rPr>
            </w:pPr>
            <w:r w:rsidRPr="007E770D">
              <w:rPr>
                <w:rFonts w:cstheme="minorHAnsi"/>
                <w:color w:val="auto"/>
                <w:sz w:val="18"/>
                <w:szCs w:val="18"/>
                <w:lang w:val="sr-Cyrl-CS"/>
              </w:rPr>
              <w:t>Реални раст појединих компоненти БДП, %</w:t>
            </w:r>
          </w:p>
        </w:tc>
      </w:tr>
      <w:tr w:rsidR="007E770D" w:rsidRPr="007E770D" w14:paraId="6B0C49BB" w14:textId="77777777" w:rsidTr="00B435B3">
        <w:tc>
          <w:tcPr>
            <w:tcW w:w="2483" w:type="pct"/>
          </w:tcPr>
          <w:p w14:paraId="21B1B45D" w14:textId="77777777" w:rsidR="008066BE" w:rsidRPr="007E770D" w:rsidRDefault="008066BE" w:rsidP="00C130D2">
            <w:pPr>
              <w:ind w:left="256"/>
              <w:rPr>
                <w:rFonts w:cstheme="minorHAnsi"/>
                <w:color w:val="auto"/>
                <w:sz w:val="18"/>
                <w:szCs w:val="18"/>
                <w:lang w:val="sr-Cyrl-CS"/>
              </w:rPr>
            </w:pPr>
            <w:r w:rsidRPr="007E770D">
              <w:rPr>
                <w:rFonts w:cstheme="minorHAnsi"/>
                <w:color w:val="auto"/>
                <w:sz w:val="18"/>
                <w:szCs w:val="18"/>
                <w:lang w:val="sr-Cyrl-CS"/>
              </w:rPr>
              <w:t>Лична потрошња</w:t>
            </w:r>
          </w:p>
        </w:tc>
        <w:tc>
          <w:tcPr>
            <w:tcW w:w="499" w:type="pct"/>
          </w:tcPr>
          <w:p w14:paraId="39612455"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3,5</w:t>
            </w:r>
          </w:p>
        </w:tc>
        <w:tc>
          <w:tcPr>
            <w:tcW w:w="499" w:type="pct"/>
          </w:tcPr>
          <w:p w14:paraId="5EBBB4D5" w14:textId="77777777" w:rsidR="008066BE" w:rsidRPr="007E770D" w:rsidRDefault="008066BE" w:rsidP="00C130D2">
            <w:pPr>
              <w:jc w:val="center"/>
              <w:rPr>
                <w:rFonts w:cstheme="minorHAnsi"/>
                <w:color w:val="auto"/>
                <w:sz w:val="18"/>
                <w:szCs w:val="18"/>
                <w:lang w:val="sr-Cyrl-CS"/>
              </w:rPr>
            </w:pPr>
          </w:p>
        </w:tc>
        <w:tc>
          <w:tcPr>
            <w:tcW w:w="524" w:type="pct"/>
          </w:tcPr>
          <w:p w14:paraId="6215350E"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3,9</w:t>
            </w:r>
          </w:p>
        </w:tc>
        <w:tc>
          <w:tcPr>
            <w:tcW w:w="502" w:type="pct"/>
          </w:tcPr>
          <w:p w14:paraId="62A14695"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3,6</w:t>
            </w:r>
          </w:p>
        </w:tc>
        <w:tc>
          <w:tcPr>
            <w:tcW w:w="493" w:type="pct"/>
          </w:tcPr>
          <w:p w14:paraId="601D9C91"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3,7</w:t>
            </w:r>
          </w:p>
        </w:tc>
      </w:tr>
      <w:tr w:rsidR="007E770D" w:rsidRPr="007E770D" w14:paraId="170EF693" w14:textId="77777777" w:rsidTr="00B435B3">
        <w:tc>
          <w:tcPr>
            <w:tcW w:w="2483" w:type="pct"/>
          </w:tcPr>
          <w:p w14:paraId="517569B8" w14:textId="77777777" w:rsidR="008066BE" w:rsidRPr="007E770D" w:rsidRDefault="008066BE" w:rsidP="00C130D2">
            <w:pPr>
              <w:ind w:left="256"/>
              <w:rPr>
                <w:rFonts w:cstheme="minorHAnsi"/>
                <w:color w:val="auto"/>
                <w:sz w:val="18"/>
                <w:szCs w:val="18"/>
                <w:lang w:val="sr-Cyrl-CS"/>
              </w:rPr>
            </w:pPr>
            <w:r w:rsidRPr="007E770D">
              <w:rPr>
                <w:rFonts w:cstheme="minorHAnsi"/>
                <w:color w:val="auto"/>
                <w:sz w:val="18"/>
                <w:szCs w:val="18"/>
                <w:lang w:val="sr-Cyrl-CS"/>
              </w:rPr>
              <w:t>Државна потрошња</w:t>
            </w:r>
          </w:p>
        </w:tc>
        <w:tc>
          <w:tcPr>
            <w:tcW w:w="499" w:type="pct"/>
          </w:tcPr>
          <w:p w14:paraId="20658925"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4,1</w:t>
            </w:r>
          </w:p>
        </w:tc>
        <w:tc>
          <w:tcPr>
            <w:tcW w:w="499" w:type="pct"/>
          </w:tcPr>
          <w:p w14:paraId="724B06FD" w14:textId="77777777" w:rsidR="008066BE" w:rsidRPr="007E770D" w:rsidRDefault="008066BE" w:rsidP="00C130D2">
            <w:pPr>
              <w:jc w:val="center"/>
              <w:rPr>
                <w:rFonts w:cstheme="minorHAnsi"/>
                <w:color w:val="auto"/>
                <w:sz w:val="18"/>
                <w:szCs w:val="18"/>
                <w:lang w:val="sr-Cyrl-CS"/>
              </w:rPr>
            </w:pPr>
          </w:p>
        </w:tc>
        <w:tc>
          <w:tcPr>
            <w:tcW w:w="524" w:type="pct"/>
          </w:tcPr>
          <w:p w14:paraId="4357FABE"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1,5</w:t>
            </w:r>
          </w:p>
        </w:tc>
        <w:tc>
          <w:tcPr>
            <w:tcW w:w="502" w:type="pct"/>
          </w:tcPr>
          <w:p w14:paraId="213B14FB"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1,3</w:t>
            </w:r>
          </w:p>
        </w:tc>
        <w:tc>
          <w:tcPr>
            <w:tcW w:w="493" w:type="pct"/>
          </w:tcPr>
          <w:p w14:paraId="72A09F5F"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0,4</w:t>
            </w:r>
          </w:p>
        </w:tc>
      </w:tr>
      <w:tr w:rsidR="007E770D" w:rsidRPr="007E770D" w14:paraId="3F30F7F4" w14:textId="77777777" w:rsidTr="00B435B3">
        <w:tc>
          <w:tcPr>
            <w:tcW w:w="2483" w:type="pct"/>
          </w:tcPr>
          <w:p w14:paraId="34163102" w14:textId="77777777" w:rsidR="008066BE" w:rsidRPr="007E770D" w:rsidRDefault="008066BE" w:rsidP="00C130D2">
            <w:pPr>
              <w:ind w:left="256"/>
              <w:rPr>
                <w:rFonts w:cstheme="minorHAnsi"/>
                <w:color w:val="auto"/>
                <w:sz w:val="18"/>
                <w:szCs w:val="18"/>
                <w:lang w:val="sr-Cyrl-CS"/>
              </w:rPr>
            </w:pPr>
            <w:r w:rsidRPr="007E770D">
              <w:rPr>
                <w:rFonts w:cstheme="minorHAnsi"/>
                <w:color w:val="auto"/>
                <w:sz w:val="18"/>
                <w:szCs w:val="18"/>
                <w:lang w:val="sr-Cyrl-CS"/>
              </w:rPr>
              <w:t>Бруто инвестиције у основне фондове</w:t>
            </w:r>
          </w:p>
        </w:tc>
        <w:tc>
          <w:tcPr>
            <w:tcW w:w="499" w:type="pct"/>
          </w:tcPr>
          <w:p w14:paraId="5262D7C4"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8,8</w:t>
            </w:r>
          </w:p>
        </w:tc>
        <w:tc>
          <w:tcPr>
            <w:tcW w:w="499" w:type="pct"/>
          </w:tcPr>
          <w:p w14:paraId="34FC6354" w14:textId="77777777" w:rsidR="008066BE" w:rsidRPr="007E770D" w:rsidRDefault="008066BE" w:rsidP="00C130D2">
            <w:pPr>
              <w:jc w:val="center"/>
              <w:rPr>
                <w:rFonts w:cstheme="minorHAnsi"/>
                <w:color w:val="auto"/>
                <w:sz w:val="18"/>
                <w:szCs w:val="18"/>
                <w:lang w:val="sr-Cyrl-CS"/>
              </w:rPr>
            </w:pPr>
          </w:p>
        </w:tc>
        <w:tc>
          <w:tcPr>
            <w:tcW w:w="524" w:type="pct"/>
          </w:tcPr>
          <w:p w14:paraId="517B6149"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6,4</w:t>
            </w:r>
          </w:p>
        </w:tc>
        <w:tc>
          <w:tcPr>
            <w:tcW w:w="502" w:type="pct"/>
          </w:tcPr>
          <w:p w14:paraId="05500A36"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5,4</w:t>
            </w:r>
          </w:p>
        </w:tc>
        <w:tc>
          <w:tcPr>
            <w:tcW w:w="493" w:type="pct"/>
          </w:tcPr>
          <w:p w14:paraId="6AA4612D"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5,7</w:t>
            </w:r>
          </w:p>
        </w:tc>
      </w:tr>
      <w:tr w:rsidR="007E770D" w:rsidRPr="007E770D" w14:paraId="6F24E6A9" w14:textId="77777777" w:rsidTr="00B435B3">
        <w:tc>
          <w:tcPr>
            <w:tcW w:w="2483" w:type="pct"/>
          </w:tcPr>
          <w:p w14:paraId="54A5281A" w14:textId="77777777" w:rsidR="008066BE" w:rsidRPr="007E770D" w:rsidRDefault="008066BE" w:rsidP="00C130D2">
            <w:pPr>
              <w:ind w:left="256"/>
              <w:rPr>
                <w:rFonts w:cstheme="minorHAnsi"/>
                <w:color w:val="auto"/>
                <w:sz w:val="18"/>
                <w:szCs w:val="18"/>
                <w:lang w:val="sr-Cyrl-CS"/>
              </w:rPr>
            </w:pPr>
            <w:r w:rsidRPr="007E770D">
              <w:rPr>
                <w:rFonts w:cstheme="minorHAnsi"/>
                <w:color w:val="auto"/>
                <w:sz w:val="18"/>
                <w:szCs w:val="18"/>
                <w:lang w:val="sr-Cyrl-CS"/>
              </w:rPr>
              <w:t>Извоз робе и услуга</w:t>
            </w:r>
          </w:p>
        </w:tc>
        <w:tc>
          <w:tcPr>
            <w:tcW w:w="499" w:type="pct"/>
          </w:tcPr>
          <w:p w14:paraId="5F004CD4"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8,6</w:t>
            </w:r>
          </w:p>
        </w:tc>
        <w:tc>
          <w:tcPr>
            <w:tcW w:w="499" w:type="pct"/>
          </w:tcPr>
          <w:p w14:paraId="2990439F" w14:textId="77777777" w:rsidR="008066BE" w:rsidRPr="007E770D" w:rsidRDefault="008066BE" w:rsidP="00C130D2">
            <w:pPr>
              <w:jc w:val="center"/>
              <w:rPr>
                <w:rFonts w:cstheme="minorHAnsi"/>
                <w:color w:val="auto"/>
                <w:sz w:val="18"/>
                <w:szCs w:val="18"/>
                <w:lang w:val="sr-Cyrl-CS"/>
              </w:rPr>
            </w:pPr>
          </w:p>
        </w:tc>
        <w:tc>
          <w:tcPr>
            <w:tcW w:w="524" w:type="pct"/>
          </w:tcPr>
          <w:p w14:paraId="1E7F061A"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8,1</w:t>
            </w:r>
          </w:p>
        </w:tc>
        <w:tc>
          <w:tcPr>
            <w:tcW w:w="502" w:type="pct"/>
          </w:tcPr>
          <w:p w14:paraId="0A19D709"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8,4</w:t>
            </w:r>
          </w:p>
        </w:tc>
        <w:tc>
          <w:tcPr>
            <w:tcW w:w="493" w:type="pct"/>
          </w:tcPr>
          <w:p w14:paraId="1C5B219B"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8,4</w:t>
            </w:r>
          </w:p>
        </w:tc>
      </w:tr>
      <w:tr w:rsidR="007E770D" w:rsidRPr="007E770D" w14:paraId="20946A67" w14:textId="77777777" w:rsidTr="00B435B3">
        <w:tc>
          <w:tcPr>
            <w:tcW w:w="2483" w:type="pct"/>
          </w:tcPr>
          <w:p w14:paraId="75B1D9CD" w14:textId="77777777" w:rsidR="008066BE" w:rsidRPr="007E770D" w:rsidRDefault="008066BE" w:rsidP="00C130D2">
            <w:pPr>
              <w:ind w:left="256"/>
              <w:rPr>
                <w:rFonts w:cstheme="minorHAnsi"/>
                <w:color w:val="auto"/>
                <w:sz w:val="18"/>
                <w:szCs w:val="18"/>
                <w:lang w:val="sr-Cyrl-CS"/>
              </w:rPr>
            </w:pPr>
            <w:r w:rsidRPr="007E770D">
              <w:rPr>
                <w:rFonts w:cstheme="minorHAnsi"/>
                <w:color w:val="auto"/>
                <w:sz w:val="18"/>
                <w:szCs w:val="18"/>
                <w:lang w:val="sr-Cyrl-CS"/>
              </w:rPr>
              <w:t>Увоз робе и услуга</w:t>
            </w:r>
          </w:p>
        </w:tc>
        <w:tc>
          <w:tcPr>
            <w:tcW w:w="499" w:type="pct"/>
          </w:tcPr>
          <w:p w14:paraId="42FD89C7"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9,6</w:t>
            </w:r>
          </w:p>
        </w:tc>
        <w:tc>
          <w:tcPr>
            <w:tcW w:w="499" w:type="pct"/>
          </w:tcPr>
          <w:p w14:paraId="139B7E53" w14:textId="77777777" w:rsidR="008066BE" w:rsidRPr="007E770D" w:rsidRDefault="008066BE" w:rsidP="00C130D2">
            <w:pPr>
              <w:jc w:val="center"/>
              <w:rPr>
                <w:rFonts w:cstheme="minorHAnsi"/>
                <w:color w:val="auto"/>
                <w:sz w:val="18"/>
                <w:szCs w:val="18"/>
                <w:lang w:val="sr-Cyrl-CS"/>
              </w:rPr>
            </w:pPr>
          </w:p>
        </w:tc>
        <w:tc>
          <w:tcPr>
            <w:tcW w:w="524" w:type="pct"/>
          </w:tcPr>
          <w:p w14:paraId="4F49E043"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7,4</w:t>
            </w:r>
          </w:p>
        </w:tc>
        <w:tc>
          <w:tcPr>
            <w:tcW w:w="502" w:type="pct"/>
          </w:tcPr>
          <w:p w14:paraId="602D4753"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7,1</w:t>
            </w:r>
          </w:p>
        </w:tc>
        <w:tc>
          <w:tcPr>
            <w:tcW w:w="493" w:type="pct"/>
          </w:tcPr>
          <w:p w14:paraId="441624F3"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7,2</w:t>
            </w:r>
          </w:p>
        </w:tc>
      </w:tr>
      <w:tr w:rsidR="007E770D" w:rsidRPr="007E770D" w14:paraId="3BDE5279" w14:textId="77777777" w:rsidTr="00B435B3">
        <w:tc>
          <w:tcPr>
            <w:tcW w:w="2483" w:type="pct"/>
          </w:tcPr>
          <w:p w14:paraId="78C2A903" w14:textId="77777777" w:rsidR="008066BE" w:rsidRPr="007E770D" w:rsidRDefault="008066BE" w:rsidP="00C130D2">
            <w:pPr>
              <w:ind w:left="-15"/>
              <w:rPr>
                <w:rFonts w:cstheme="minorHAnsi"/>
                <w:color w:val="auto"/>
                <w:sz w:val="18"/>
                <w:szCs w:val="18"/>
                <w:lang w:val="sr-Cyrl-CS"/>
              </w:rPr>
            </w:pPr>
            <w:r w:rsidRPr="007E770D">
              <w:rPr>
                <w:rFonts w:cstheme="minorHAnsi"/>
                <w:color w:val="auto"/>
                <w:sz w:val="18"/>
                <w:szCs w:val="18"/>
                <w:lang w:val="sr-Cyrl-CS"/>
              </w:rPr>
              <w:t>Салдо робе и услуга, у ЕУР, % БДП</w:t>
            </w:r>
          </w:p>
        </w:tc>
        <w:tc>
          <w:tcPr>
            <w:tcW w:w="499" w:type="pct"/>
          </w:tcPr>
          <w:p w14:paraId="5EDACFC0"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-10,3</w:t>
            </w:r>
          </w:p>
        </w:tc>
        <w:tc>
          <w:tcPr>
            <w:tcW w:w="499" w:type="pct"/>
          </w:tcPr>
          <w:p w14:paraId="0B60D5BD" w14:textId="77777777" w:rsidR="008066BE" w:rsidRPr="007E770D" w:rsidRDefault="008066BE" w:rsidP="00C130D2">
            <w:pPr>
              <w:jc w:val="center"/>
              <w:rPr>
                <w:rFonts w:cstheme="minorHAnsi"/>
                <w:color w:val="auto"/>
                <w:sz w:val="18"/>
                <w:szCs w:val="18"/>
                <w:lang w:val="sr-Cyrl-CS"/>
              </w:rPr>
            </w:pPr>
          </w:p>
        </w:tc>
        <w:tc>
          <w:tcPr>
            <w:tcW w:w="524" w:type="pct"/>
          </w:tcPr>
          <w:p w14:paraId="1CF47719"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-9,6</w:t>
            </w:r>
          </w:p>
        </w:tc>
        <w:tc>
          <w:tcPr>
            <w:tcW w:w="502" w:type="pct"/>
          </w:tcPr>
          <w:p w14:paraId="6989BFD7"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-8,9</w:t>
            </w:r>
          </w:p>
        </w:tc>
        <w:tc>
          <w:tcPr>
            <w:tcW w:w="493" w:type="pct"/>
          </w:tcPr>
          <w:p w14:paraId="64917910"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-8,2</w:t>
            </w:r>
          </w:p>
        </w:tc>
      </w:tr>
      <w:tr w:rsidR="007E770D" w:rsidRPr="007E770D" w14:paraId="088F4965" w14:textId="77777777" w:rsidTr="00B435B3">
        <w:tc>
          <w:tcPr>
            <w:tcW w:w="2483" w:type="pct"/>
          </w:tcPr>
          <w:p w14:paraId="5B0EC8DE" w14:textId="77777777" w:rsidR="008066BE" w:rsidRPr="007E770D" w:rsidRDefault="008066BE" w:rsidP="00C130D2">
            <w:pPr>
              <w:ind w:left="-15"/>
              <w:rPr>
                <w:rFonts w:cstheme="minorHAnsi"/>
                <w:color w:val="auto"/>
                <w:sz w:val="18"/>
                <w:szCs w:val="18"/>
                <w:lang w:val="sr-Cyrl-CS"/>
              </w:rPr>
            </w:pPr>
            <w:r w:rsidRPr="007E770D">
              <w:rPr>
                <w:rFonts w:cstheme="minorHAnsi"/>
                <w:color w:val="auto"/>
                <w:sz w:val="18"/>
                <w:szCs w:val="18"/>
                <w:lang w:val="sr-Cyrl-CS"/>
              </w:rPr>
              <w:t>Салдо текућег рачуна, у ЕУР, % БДП</w:t>
            </w:r>
          </w:p>
        </w:tc>
        <w:tc>
          <w:tcPr>
            <w:tcW w:w="499" w:type="pct"/>
          </w:tcPr>
          <w:p w14:paraId="613CCF7A"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-5,9</w:t>
            </w:r>
          </w:p>
        </w:tc>
        <w:tc>
          <w:tcPr>
            <w:tcW w:w="499" w:type="pct"/>
          </w:tcPr>
          <w:p w14:paraId="74F06B8F" w14:textId="77777777" w:rsidR="008066BE" w:rsidRPr="007E770D" w:rsidRDefault="008066BE" w:rsidP="00C130D2">
            <w:pPr>
              <w:jc w:val="center"/>
              <w:rPr>
                <w:rFonts w:cstheme="minorHAnsi"/>
                <w:color w:val="auto"/>
                <w:sz w:val="18"/>
                <w:szCs w:val="18"/>
                <w:lang w:val="sr-Cyrl-CS"/>
              </w:rPr>
            </w:pPr>
          </w:p>
        </w:tc>
        <w:tc>
          <w:tcPr>
            <w:tcW w:w="524" w:type="pct"/>
          </w:tcPr>
          <w:p w14:paraId="465B50E6"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-5,3</w:t>
            </w:r>
          </w:p>
        </w:tc>
        <w:tc>
          <w:tcPr>
            <w:tcW w:w="502" w:type="pct"/>
          </w:tcPr>
          <w:p w14:paraId="383B5C73"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-5,2</w:t>
            </w:r>
          </w:p>
        </w:tc>
        <w:tc>
          <w:tcPr>
            <w:tcW w:w="493" w:type="pct"/>
          </w:tcPr>
          <w:p w14:paraId="585679E6"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-4,7</w:t>
            </w:r>
          </w:p>
        </w:tc>
      </w:tr>
      <w:tr w:rsidR="007E770D" w:rsidRPr="007E770D" w14:paraId="64FDFAFB" w14:textId="77777777" w:rsidTr="00B435B3">
        <w:trPr>
          <w:trHeight w:val="369"/>
        </w:trPr>
        <w:tc>
          <w:tcPr>
            <w:tcW w:w="2483" w:type="pct"/>
            <w:tcBorders>
              <w:bottom w:val="single" w:sz="4" w:space="0" w:color="002060"/>
            </w:tcBorders>
          </w:tcPr>
          <w:p w14:paraId="7BFF5D30" w14:textId="77777777" w:rsidR="008066BE" w:rsidRPr="007E770D" w:rsidRDefault="008066BE" w:rsidP="00C130D2">
            <w:pPr>
              <w:rPr>
                <w:rFonts w:cstheme="minorHAnsi"/>
                <w:color w:val="auto"/>
                <w:sz w:val="18"/>
                <w:szCs w:val="18"/>
                <w:lang w:val="sr-Cyrl-CS"/>
              </w:rPr>
            </w:pPr>
            <w:r w:rsidRPr="007E770D">
              <w:rPr>
                <w:rFonts w:cstheme="minorHAnsi"/>
                <w:color w:val="auto"/>
                <w:sz w:val="18"/>
                <w:szCs w:val="18"/>
                <w:lang w:val="sr-Cyrl-CS"/>
              </w:rPr>
              <w:t>Инфлација, просек периода, %</w:t>
            </w:r>
          </w:p>
        </w:tc>
        <w:tc>
          <w:tcPr>
            <w:tcW w:w="499" w:type="pct"/>
            <w:tcBorders>
              <w:bottom w:val="single" w:sz="4" w:space="0" w:color="002060"/>
            </w:tcBorders>
          </w:tcPr>
          <w:p w14:paraId="0EA6EECE"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1,9</w:t>
            </w:r>
          </w:p>
        </w:tc>
        <w:tc>
          <w:tcPr>
            <w:tcW w:w="499" w:type="pct"/>
            <w:tcBorders>
              <w:bottom w:val="single" w:sz="4" w:space="0" w:color="002060"/>
            </w:tcBorders>
          </w:tcPr>
          <w:p w14:paraId="35240BC2" w14:textId="77777777" w:rsidR="008066BE" w:rsidRPr="007E770D" w:rsidRDefault="008066BE" w:rsidP="00C130D2">
            <w:pPr>
              <w:jc w:val="center"/>
              <w:rPr>
                <w:rFonts w:cstheme="minorHAnsi"/>
                <w:color w:val="auto"/>
                <w:sz w:val="18"/>
                <w:szCs w:val="18"/>
                <w:lang w:val="sr-Cyrl-CS"/>
              </w:rPr>
            </w:pPr>
          </w:p>
        </w:tc>
        <w:tc>
          <w:tcPr>
            <w:tcW w:w="524" w:type="pct"/>
            <w:tcBorders>
              <w:bottom w:val="single" w:sz="4" w:space="0" w:color="002060"/>
            </w:tcBorders>
          </w:tcPr>
          <w:p w14:paraId="42E3F0C9"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2,0</w:t>
            </w:r>
          </w:p>
        </w:tc>
        <w:tc>
          <w:tcPr>
            <w:tcW w:w="502" w:type="pct"/>
            <w:tcBorders>
              <w:bottom w:val="single" w:sz="4" w:space="0" w:color="002060"/>
            </w:tcBorders>
          </w:tcPr>
          <w:p w14:paraId="3D992AA8"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2,2</w:t>
            </w:r>
          </w:p>
        </w:tc>
        <w:tc>
          <w:tcPr>
            <w:tcW w:w="493" w:type="pct"/>
            <w:tcBorders>
              <w:bottom w:val="single" w:sz="4" w:space="0" w:color="002060"/>
            </w:tcBorders>
          </w:tcPr>
          <w:p w14:paraId="38064E7E" w14:textId="77777777" w:rsidR="008066BE" w:rsidRPr="007E770D" w:rsidRDefault="008066BE" w:rsidP="00C130D2">
            <w:pPr>
              <w:jc w:val="center"/>
              <w:rPr>
                <w:rFonts w:cstheme="minorHAnsi"/>
                <w:color w:val="auto"/>
                <w:sz w:val="18"/>
                <w:szCs w:val="18"/>
                <w:lang w:val="sr-Cyrl-CS"/>
              </w:rPr>
            </w:pPr>
            <w:r w:rsidRPr="007E770D">
              <w:rPr>
                <w:rFonts w:cstheme="minorHAnsi"/>
                <w:color w:val="auto"/>
                <w:sz w:val="18"/>
                <w:szCs w:val="18"/>
                <w:lang w:val="sr-Cyrl-CS"/>
              </w:rPr>
              <w:t>2,5</w:t>
            </w:r>
          </w:p>
        </w:tc>
      </w:tr>
      <w:tr w:rsidR="007E770D" w:rsidRPr="007E770D" w14:paraId="77D9EAE0" w14:textId="77777777" w:rsidTr="00B435B3">
        <w:tc>
          <w:tcPr>
            <w:tcW w:w="2483" w:type="pct"/>
            <w:tcBorders>
              <w:top w:val="single" w:sz="4" w:space="0" w:color="002060"/>
            </w:tcBorders>
          </w:tcPr>
          <w:p w14:paraId="7E926CC3" w14:textId="77777777" w:rsidR="008066BE" w:rsidRPr="007E770D" w:rsidRDefault="008066BE" w:rsidP="00314629">
            <w:pPr>
              <w:spacing w:before="40"/>
              <w:rPr>
                <w:rFonts w:cstheme="minorHAnsi"/>
                <w:color w:val="auto"/>
                <w:sz w:val="16"/>
                <w:lang w:val="sr-Cyrl-CS"/>
              </w:rPr>
            </w:pPr>
            <w:r w:rsidRPr="007E770D">
              <w:rPr>
                <w:rFonts w:cstheme="minorHAnsi"/>
                <w:color w:val="auto"/>
                <w:sz w:val="16"/>
                <w:lang w:val="sr-Cyrl-CS"/>
              </w:rPr>
              <w:t>Извор: Министарство финансија</w:t>
            </w:r>
          </w:p>
        </w:tc>
        <w:tc>
          <w:tcPr>
            <w:tcW w:w="499" w:type="pct"/>
            <w:tcBorders>
              <w:top w:val="single" w:sz="4" w:space="0" w:color="002060"/>
            </w:tcBorders>
          </w:tcPr>
          <w:p w14:paraId="52635F2A" w14:textId="77777777" w:rsidR="008066BE" w:rsidRPr="007E770D" w:rsidRDefault="008066BE" w:rsidP="00C130D2">
            <w:pPr>
              <w:rPr>
                <w:rFonts w:cstheme="minorHAnsi"/>
                <w:color w:val="auto"/>
                <w:sz w:val="16"/>
                <w:lang w:val="sr-Cyrl-CS"/>
              </w:rPr>
            </w:pPr>
          </w:p>
        </w:tc>
        <w:tc>
          <w:tcPr>
            <w:tcW w:w="499" w:type="pct"/>
            <w:tcBorders>
              <w:top w:val="single" w:sz="4" w:space="0" w:color="002060"/>
            </w:tcBorders>
          </w:tcPr>
          <w:p w14:paraId="49469E81" w14:textId="77777777" w:rsidR="008066BE" w:rsidRPr="007E770D" w:rsidRDefault="008066BE" w:rsidP="00C130D2">
            <w:pPr>
              <w:rPr>
                <w:rFonts w:cstheme="minorHAnsi"/>
                <w:color w:val="auto"/>
                <w:sz w:val="16"/>
                <w:lang w:val="sr-Cyrl-CS"/>
              </w:rPr>
            </w:pPr>
          </w:p>
        </w:tc>
        <w:tc>
          <w:tcPr>
            <w:tcW w:w="524" w:type="pct"/>
            <w:tcBorders>
              <w:top w:val="single" w:sz="4" w:space="0" w:color="002060"/>
            </w:tcBorders>
          </w:tcPr>
          <w:p w14:paraId="353BA94F" w14:textId="77777777" w:rsidR="008066BE" w:rsidRPr="007E770D" w:rsidRDefault="008066BE" w:rsidP="00C130D2">
            <w:pPr>
              <w:rPr>
                <w:rFonts w:cstheme="minorHAnsi"/>
                <w:color w:val="auto"/>
                <w:sz w:val="16"/>
                <w:lang w:val="sr-Cyrl-CS"/>
              </w:rPr>
            </w:pPr>
          </w:p>
        </w:tc>
        <w:tc>
          <w:tcPr>
            <w:tcW w:w="502" w:type="pct"/>
            <w:tcBorders>
              <w:top w:val="single" w:sz="4" w:space="0" w:color="002060"/>
            </w:tcBorders>
          </w:tcPr>
          <w:p w14:paraId="4CDB0B7F" w14:textId="77777777" w:rsidR="008066BE" w:rsidRPr="007E770D" w:rsidRDefault="008066BE" w:rsidP="00C130D2">
            <w:pPr>
              <w:rPr>
                <w:rFonts w:cstheme="minorHAnsi"/>
                <w:color w:val="auto"/>
                <w:sz w:val="16"/>
                <w:lang w:val="sr-Cyrl-CS"/>
              </w:rPr>
            </w:pPr>
          </w:p>
        </w:tc>
        <w:tc>
          <w:tcPr>
            <w:tcW w:w="493" w:type="pct"/>
            <w:tcBorders>
              <w:top w:val="single" w:sz="4" w:space="0" w:color="002060"/>
            </w:tcBorders>
          </w:tcPr>
          <w:p w14:paraId="0A54F223" w14:textId="77777777" w:rsidR="008066BE" w:rsidRPr="007E770D" w:rsidRDefault="008066BE" w:rsidP="00C130D2">
            <w:pPr>
              <w:rPr>
                <w:rFonts w:cstheme="minorHAnsi"/>
                <w:color w:val="auto"/>
                <w:sz w:val="16"/>
                <w:lang w:val="sr-Cyrl-CS"/>
              </w:rPr>
            </w:pPr>
          </w:p>
        </w:tc>
      </w:tr>
    </w:tbl>
    <w:p w14:paraId="7E147C1F" w14:textId="77777777" w:rsidR="008066BE" w:rsidRPr="007E770D" w:rsidRDefault="008066BE" w:rsidP="00B435B3">
      <w:pPr>
        <w:spacing w:after="0"/>
        <w:jc w:val="center"/>
        <w:rPr>
          <w:rFonts w:cstheme="minorHAnsi"/>
          <w:b/>
          <w:color w:val="auto"/>
          <w:sz w:val="16"/>
          <w:lang w:val="sr-Cyrl-CS"/>
        </w:rPr>
        <w:sectPr w:rsidR="008066BE" w:rsidRPr="007E770D" w:rsidSect="00AB121A">
          <w:type w:val="continuous"/>
          <w:pgSz w:w="12240" w:h="15840"/>
          <w:pgMar w:top="1440" w:right="1440" w:bottom="1440" w:left="1440" w:header="720" w:footer="720" w:gutter="0"/>
          <w:cols w:space="720"/>
          <w:docGrid w:linePitch="360"/>
        </w:sectPr>
      </w:pPr>
    </w:p>
    <w:p w14:paraId="72EAAF10" w14:textId="6584801D" w:rsidR="008066BE" w:rsidRPr="007E770D" w:rsidRDefault="008066BE" w:rsidP="006E3D4E">
      <w:pPr>
        <w:rPr>
          <w:rFonts w:cstheme="minorHAnsi"/>
          <w:bCs/>
          <w:color w:val="auto"/>
          <w:szCs w:val="72"/>
          <w:lang w:val="sr-Cyrl-CS"/>
        </w:rPr>
      </w:pPr>
      <w:r w:rsidRPr="007E770D">
        <w:rPr>
          <w:rFonts w:cstheme="minorHAnsi"/>
          <w:bCs/>
          <w:color w:val="auto"/>
          <w:szCs w:val="72"/>
          <w:lang w:val="sr-Cyrl-CS"/>
        </w:rPr>
        <w:t>Средњорочна пројекција кретања реалног сектора је заснована на реалистичном приступу, како би фискална политика била адекватно постављена и како не би угрозила досадашња постигнућа. Вођена институционалним памћењем и искуствима из ранијег периода Влада циљеве фискалне политике поставља на реалним претпоставкама које не жели да мења ad hoc мерама, свесна неодрживости таквих мера као и негативног „бумеранг“ ефекта који са собом носе. Пројектоване годишње стопе привредног раста не представљају дефинисане циљеве, већ су одраз тренутне констелације одлучујућих фактора.</w:t>
      </w:r>
      <w:r w:rsidR="009D4D6D" w:rsidRPr="007E770D">
        <w:rPr>
          <w:rFonts w:cstheme="minorHAnsi"/>
          <w:bCs/>
          <w:color w:val="auto"/>
          <w:szCs w:val="72"/>
          <w:lang w:val="sr-Cyrl-CS"/>
        </w:rPr>
        <w:t xml:space="preserve"> Матрица ризика пројекције постоји и описана је у </w:t>
      </w:r>
      <w:r w:rsidR="009D4D6D" w:rsidRPr="007E770D">
        <w:rPr>
          <w:rFonts w:cstheme="minorHAnsi"/>
          <w:bCs/>
          <w:color w:val="auto"/>
          <w:szCs w:val="72"/>
          <w:lang w:val="sr-Cyrl-CS"/>
        </w:rPr>
        <w:t xml:space="preserve">овом документу. </w:t>
      </w:r>
      <w:r w:rsidRPr="007E770D">
        <w:rPr>
          <w:rFonts w:cstheme="minorHAnsi"/>
          <w:bCs/>
          <w:color w:val="auto"/>
          <w:szCs w:val="72"/>
          <w:lang w:val="sr-Cyrl-CS"/>
        </w:rPr>
        <w:t xml:space="preserve"> Овакав приступ се може сматрати опрезним али не и недовољно амбициозним, будући да су све активности Владе усмерене на отклањање баријера привредном расту и активацију његових додатних извора како би пројектоване стопе биле премашене.</w:t>
      </w:r>
    </w:p>
    <w:p w14:paraId="304AF81E" w14:textId="703F8EE3" w:rsidR="008066BE" w:rsidRPr="007E770D" w:rsidRDefault="008066BE" w:rsidP="006E3D4E">
      <w:pPr>
        <w:rPr>
          <w:rFonts w:cstheme="minorHAnsi"/>
          <w:bCs/>
          <w:color w:val="auto"/>
          <w:szCs w:val="72"/>
          <w:lang w:val="sr-Cyrl-CS"/>
        </w:rPr>
      </w:pPr>
      <w:r w:rsidRPr="007E770D">
        <w:rPr>
          <w:rFonts w:cstheme="minorHAnsi"/>
          <w:bCs/>
          <w:color w:val="auto"/>
          <w:szCs w:val="72"/>
          <w:lang w:val="sr-Cyrl-CS"/>
        </w:rPr>
        <w:t xml:space="preserve">За 2020. годину пројектовано је убрзање реалног раста економске активности за 4,0%. Посматрано по агрегатима употребе, очекује се наставак позитивног утицаја раста запослености и повољних услова задуживања на приватну потрошњу која ће забележити раст од 3,9%. У складу са својим доминантним учешћем у </w:t>
      </w:r>
      <w:r w:rsidRPr="007E770D">
        <w:rPr>
          <w:rFonts w:cstheme="minorHAnsi"/>
          <w:bCs/>
          <w:color w:val="auto"/>
          <w:szCs w:val="72"/>
          <w:lang w:val="sr-Cyrl-CS"/>
        </w:rPr>
        <w:lastRenderedPageBreak/>
        <w:t>структури БДП ова компонента ће дати најзначајнији допринос економском расту. Треба имати у виду да је раст потрошње базиран на здравим изворима, биће нижи је од реалног раста БДП и неће генерисати унутрашње и спољне неравнотеже. У 2020. години инвестиције ће бити друга по значају компонента у погледу позитивног доприноса расту, што је веома важно са становишта његове одрживости. Очекује се међугодишње повећање од 6,4%, односно допринос расту БДП од 1,5 п. п. Усмереност СДИ пре свега у секторе који производе разменљива добра, модернизација постојећих и активирање нових производних капацитета, уз очекивани опоравак спољне тражње, резултираће бржим растом извоза (8,1%) од раста увоза (7,4%). Оваква кретања ће обезбедити смањење негативног доприноса</w:t>
      </w:r>
      <w:r w:rsidR="006B68DD" w:rsidRPr="007E770D">
        <w:rPr>
          <w:rFonts w:cstheme="minorHAnsi"/>
          <w:bCs/>
          <w:color w:val="auto"/>
          <w:szCs w:val="72"/>
          <w:lang w:val="sr-Cyrl-CS"/>
        </w:rPr>
        <w:t xml:space="preserve"> нето извоза реалном расту БДП.</w:t>
      </w:r>
    </w:p>
    <w:p w14:paraId="471D61C0" w14:textId="77777777" w:rsidR="008066BE" w:rsidRPr="007E770D" w:rsidRDefault="008066BE" w:rsidP="006E3D4E">
      <w:pPr>
        <w:pStyle w:val="NoSpacing"/>
        <w:jc w:val="center"/>
        <w:rPr>
          <w:rFonts w:cstheme="minorHAnsi"/>
          <w:color w:val="auto"/>
          <w:lang w:val="sr-Cyrl-CS"/>
        </w:rPr>
      </w:pPr>
      <w:r w:rsidRPr="007E770D">
        <w:rPr>
          <w:rFonts w:cstheme="minorHAnsi"/>
          <w:color w:val="auto"/>
          <w:lang w:val="sr-Cyrl-CS"/>
        </w:rPr>
        <w:t xml:space="preserve">Доприноси стопи реалног раста БДП, </w:t>
      </w:r>
      <w:r w:rsidRPr="007E770D">
        <w:rPr>
          <w:rFonts w:cstheme="minorHAnsi"/>
          <w:color w:val="auto"/>
          <w:lang w:val="sr-Cyrl-CS"/>
        </w:rPr>
        <w:br/>
        <w:t>расходни приступ, п. п.</w:t>
      </w:r>
    </w:p>
    <w:p w14:paraId="4D3BEE32" w14:textId="77777777" w:rsidR="008066BE" w:rsidRPr="007E770D" w:rsidRDefault="008066BE" w:rsidP="008217BC">
      <w:pPr>
        <w:rPr>
          <w:rFonts w:cstheme="minorHAnsi"/>
          <w:color w:val="auto"/>
          <w:sz w:val="16"/>
          <w:lang w:val="sr-Cyrl-CS"/>
        </w:rPr>
      </w:pPr>
      <w:r w:rsidRPr="007E770D">
        <w:rPr>
          <w:noProof/>
          <w:color w:val="auto"/>
        </w:rPr>
        <w:drawing>
          <wp:inline distT="0" distB="0" distL="0" distR="0" wp14:anchorId="3B74C6FB" wp14:editId="0A025F2F">
            <wp:extent cx="2743200" cy="2086377"/>
            <wp:effectExtent l="0" t="0" r="0" b="0"/>
            <wp:docPr id="29" name="Chart 29">
              <a:extLst xmlns:a="http://schemas.openxmlformats.org/drawingml/2006/main">
                <a:ext uri="{FF2B5EF4-FFF2-40B4-BE49-F238E27FC236}">
                  <a16:creationId xmlns:a16="http://schemas.microsoft.com/office/drawing/2014/main" id="{00000000-0008-0000-0A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14:paraId="0F2DE024" w14:textId="77777777" w:rsidR="008066BE" w:rsidRPr="007E770D" w:rsidRDefault="008066BE" w:rsidP="00B435B3">
      <w:pPr>
        <w:rPr>
          <w:rFonts w:cstheme="minorHAnsi"/>
          <w:color w:val="auto"/>
          <w:sz w:val="16"/>
          <w:lang w:val="sr-Cyrl-CS"/>
        </w:rPr>
      </w:pPr>
      <w:r w:rsidRPr="007E770D">
        <w:rPr>
          <w:rFonts w:cstheme="minorHAnsi"/>
          <w:color w:val="auto"/>
          <w:sz w:val="16"/>
          <w:lang w:val="sr-Cyrl-CS"/>
        </w:rPr>
        <w:t>Извор: Министарство финансија</w:t>
      </w:r>
    </w:p>
    <w:p w14:paraId="6DFC6EBC" w14:textId="77777777" w:rsidR="008066BE" w:rsidRPr="007E770D" w:rsidRDefault="008066BE" w:rsidP="008217BC">
      <w:pPr>
        <w:rPr>
          <w:rFonts w:cstheme="minorHAnsi"/>
          <w:bCs/>
          <w:color w:val="auto"/>
          <w:szCs w:val="72"/>
          <w:lang w:val="sr-Cyrl-CS"/>
        </w:rPr>
      </w:pPr>
      <w:r w:rsidRPr="007E770D">
        <w:rPr>
          <w:rFonts w:cstheme="minorHAnsi"/>
          <w:bCs/>
          <w:color w:val="auto"/>
          <w:szCs w:val="72"/>
          <w:lang w:val="sr-Cyrl-CS"/>
        </w:rPr>
        <w:t xml:space="preserve">Посматрано са производне стране, повећање креиране БДВ очекује се код свих сектора, осим код пољопривреде под претпоставком просечне сезоне. Услужни сектор ће задржати улогу доминантног носиоца раста са доприносом од 2,2 п. п. Раст би требао да буде диверсификован и остварен у већини услужних делатности а посебно у трговини, саобраћају, туристичким услугама али и све значајнијем ИТ сектору. Укупна индустрија ће са опоравком спољне тражње и активирањем нових производних капацитета али и услед дејства базног ефекта убрзати у 2020. години и допринети расту БДП са 0,9 п. п. Оваквим кретањима услужног и индустријског сектора биће </w:t>
      </w:r>
      <w:r w:rsidRPr="007E770D">
        <w:rPr>
          <w:rFonts w:cstheme="minorHAnsi"/>
          <w:bCs/>
          <w:color w:val="auto"/>
          <w:szCs w:val="72"/>
          <w:lang w:val="sr-Cyrl-CS"/>
        </w:rPr>
        <w:t>опредељено око три четвртине стопе привредног раста. За грађевинарство се предвиђа наставак стабилног раста и у наредном периоду и допринос расту БДП од 0,4 п. п. у 2020. години. Очекује се наставак извођења приватних грађевинских радова, уз повећање ефикасности реализације јавних пројеката. Под претпоставком просечне пољопривредне сезоне за сектор пољопривреде пројектован је негативан допринос расту БДП у 2020. години од 0,2 п. п.</w:t>
      </w:r>
    </w:p>
    <w:p w14:paraId="08312234" w14:textId="77777777" w:rsidR="008066BE" w:rsidRPr="007E770D" w:rsidRDefault="008066BE" w:rsidP="008217BC">
      <w:pPr>
        <w:pStyle w:val="Caption"/>
        <w:keepNext/>
        <w:rPr>
          <w:rFonts w:cstheme="minorHAnsi"/>
          <w:b w:val="0"/>
          <w:i/>
          <w:iCs w:val="0"/>
          <w:color w:val="auto"/>
          <w:szCs w:val="22"/>
          <w:lang w:val="sr-Cyrl-CS"/>
        </w:rPr>
      </w:pPr>
      <w:r w:rsidRPr="007E770D">
        <w:rPr>
          <w:rFonts w:cstheme="minorHAnsi"/>
          <w:iCs w:val="0"/>
          <w:color w:val="auto"/>
          <w:szCs w:val="22"/>
          <w:lang w:val="sr-Cyrl-CS"/>
        </w:rPr>
        <w:t>Доприноси стопи реалног раста БДП, производни приступ, п. п.</w:t>
      </w:r>
      <w:r w:rsidRPr="007E770D">
        <w:rPr>
          <w:noProof/>
          <w:color w:val="auto"/>
        </w:rPr>
        <w:drawing>
          <wp:inline distT="0" distB="0" distL="0" distR="0" wp14:anchorId="180A32F1" wp14:editId="5A51091D">
            <wp:extent cx="2743200" cy="1920240"/>
            <wp:effectExtent l="0" t="0" r="0" b="3810"/>
            <wp:docPr id="30" name="Chart 30">
              <a:extLst xmlns:a="http://schemas.openxmlformats.org/drawingml/2006/main">
                <a:ext uri="{FF2B5EF4-FFF2-40B4-BE49-F238E27FC236}">
                  <a16:creationId xmlns:a16="http://schemas.microsoft.com/office/drawing/2014/main" id="{00000000-0008-0000-0A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p w14:paraId="5FF9DAC3" w14:textId="77777777" w:rsidR="008066BE" w:rsidRPr="007E770D" w:rsidRDefault="008066BE" w:rsidP="008217BC">
      <w:pPr>
        <w:rPr>
          <w:rFonts w:cstheme="minorHAnsi"/>
          <w:color w:val="auto"/>
          <w:sz w:val="16"/>
          <w:lang w:val="sr-Cyrl-CS"/>
        </w:rPr>
      </w:pPr>
      <w:r w:rsidRPr="007E770D">
        <w:rPr>
          <w:rFonts w:cstheme="minorHAnsi"/>
          <w:color w:val="auto"/>
          <w:sz w:val="16"/>
          <w:lang w:val="sr-Cyrl-CS"/>
        </w:rPr>
        <w:t>Извор: Министарство финансија</w:t>
      </w:r>
    </w:p>
    <w:p w14:paraId="0F4A5BAF" w14:textId="5F0EE8C1" w:rsidR="008066BE" w:rsidRPr="007E770D" w:rsidRDefault="008066BE" w:rsidP="008217BC">
      <w:pPr>
        <w:rPr>
          <w:rFonts w:cstheme="minorHAnsi"/>
          <w:bCs/>
          <w:color w:val="auto"/>
          <w:szCs w:val="72"/>
          <w:lang w:val="sr-Cyrl-CS"/>
        </w:rPr>
      </w:pPr>
      <w:r w:rsidRPr="007E770D">
        <w:rPr>
          <w:rFonts w:cstheme="minorHAnsi"/>
          <w:bCs/>
          <w:color w:val="auto"/>
          <w:spacing w:val="-4"/>
          <w:szCs w:val="72"/>
          <w:lang w:val="sr-Cyrl-CS"/>
        </w:rPr>
        <w:t>Према средњорочној макроекономској пројекцији кумулативна стопа раста у периоду 2020–2022. година износиће 12,5% и биће опредељена растом домаће тражње. Овај извор раста је детерминисан како перманентним повећањем инвестиција тако и растом потрошње домаћинстава услед раста животног стандарда становништва. Привредни раст и добар фискални резултат, са успостављеном фискалном дисциплином и значајно ојачаним кредибилитетом државе Србије код инвеститора, уз повољније услове задуживања на међународном финансијском тржишту, обезбедиће наставак убрзаног темпа смањења учешћа јавног дуга у БДП. Процењено је да ће јавни дуг опш</w:t>
      </w:r>
      <w:r w:rsidR="004662E0" w:rsidRPr="007E770D">
        <w:rPr>
          <w:rFonts w:cstheme="minorHAnsi"/>
          <w:bCs/>
          <w:color w:val="auto"/>
          <w:spacing w:val="-4"/>
          <w:szCs w:val="72"/>
          <w:lang w:val="sr-Cyrl-CS"/>
        </w:rPr>
        <w:t xml:space="preserve">те државе на крају 2022. године </w:t>
      </w:r>
      <w:r w:rsidRPr="007E770D">
        <w:rPr>
          <w:rFonts w:cstheme="minorHAnsi"/>
          <w:bCs/>
          <w:color w:val="auto"/>
          <w:spacing w:val="-4"/>
          <w:szCs w:val="72"/>
          <w:lang w:val="sr-Cyrl-CS"/>
        </w:rPr>
        <w:t>износити 48,</w:t>
      </w:r>
      <w:r w:rsidR="003763EB" w:rsidRPr="007E770D">
        <w:rPr>
          <w:rFonts w:cstheme="minorHAnsi"/>
          <w:bCs/>
          <w:color w:val="auto"/>
          <w:spacing w:val="-4"/>
          <w:szCs w:val="72"/>
          <w:lang w:val="sr-Cyrl-CS"/>
        </w:rPr>
        <w:t>3</w:t>
      </w:r>
      <w:r w:rsidRPr="007E770D">
        <w:rPr>
          <w:rFonts w:cstheme="minorHAnsi"/>
          <w:bCs/>
          <w:color w:val="auto"/>
          <w:spacing w:val="-4"/>
          <w:szCs w:val="72"/>
          <w:lang w:val="sr-Cyrl-CS"/>
        </w:rPr>
        <w:t>% БДП. Просечно годишње, српска привреда ће расти по стопи од 4,0%.</w:t>
      </w:r>
      <w:r w:rsidRPr="007E770D">
        <w:rPr>
          <w:rFonts w:cstheme="minorHAnsi"/>
          <w:bCs/>
          <w:color w:val="auto"/>
          <w:szCs w:val="72"/>
          <w:lang w:val="sr-Cyrl-CS"/>
        </w:rPr>
        <w:t xml:space="preserve"> Повећање приватне потрошње пројектовано је по нижој стопи од убрзања привредне активности и у просеку ће износити 3,7%. Ово повећање у себи не садржи нарушавајуће елементе успостављеним равнотежама. Засновано је на здравим изворима, пре свега на повећању запослености али и повољном утицају </w:t>
      </w:r>
      <w:r w:rsidRPr="007E770D">
        <w:rPr>
          <w:rFonts w:cstheme="minorHAnsi"/>
          <w:bCs/>
          <w:color w:val="auto"/>
          <w:szCs w:val="72"/>
          <w:lang w:val="sr-Cyrl-CS"/>
        </w:rPr>
        <w:lastRenderedPageBreak/>
        <w:t>ценовних и кредитних кретања на расположиви доходак. Очекује се стабилан раст инвестиција, у просеку од око 6% годишње, што ће постепено подизати њихово учешће у структури БДП које би на крају пројекцијског периода требало да износи близу 25%. Извоз ће у просеку годишње расти по стопи од 8,3%, што је брже од очекиваног годишњег раста увоза који ће у просеку износити 7,2%. Оваква динамика спољнотрговинских токова побољшаће салдо текућег рачуна платног биланса и обезбедити позитиван утицај нето извоза на стопу привредног раста у средњем року. Такође, побољшању дефицита текућег рачуна би требао да допринесе и све значајнији раст извоза услуга. У периоду 2020–2022. година очекује се стабилан прилив СДИ од 3,0 млрд евра годишње. Поред тога, ефектуирање СДИ из претходног периода допринеће повећању конкуренције и утицати на ефикасност домаћих произвођача, док ће са друге стране бити активирани нови канали продаје и отворене нове тржишне нише. Такође, конкретним мерама уклањају се баријере и ослобађају ресурси за убрзано инвестирање домаћих произвођача, стимулише се и храбри сваки вид домаће инвентивности и проактивности. Посматрано на страни понуде, услужни сектор и индустрија ће задржати улогу доминантних извора раста и повећавати креирану БДВ у просеку годишње за 4,1% и 4,6%, респективно. Позитиван допринос ће доћи и од очуваног динамичног раста грађевинске активности који ће просечно годишње износити 7,2%. Достизање европских стандарда и подизање конкурентности у пољопривреди, испуњењем услова за отварање Поглавља 11 и кроз коришћење ИПАРД II програма ЕУ, смањиће варијабилност производње овог сектора изазвану агрометеоролошким условима.</w:t>
      </w:r>
    </w:p>
    <w:p w14:paraId="32AC112E" w14:textId="77777777" w:rsidR="008066BE" w:rsidRPr="007E770D" w:rsidRDefault="008066BE" w:rsidP="008217BC">
      <w:pPr>
        <w:rPr>
          <w:rFonts w:cstheme="minorHAnsi"/>
          <w:bCs/>
          <w:color w:val="auto"/>
          <w:szCs w:val="72"/>
          <w:lang w:val="sr-Cyrl-CS"/>
        </w:rPr>
      </w:pPr>
      <w:r w:rsidRPr="007E770D">
        <w:rPr>
          <w:rFonts w:cstheme="minorHAnsi"/>
          <w:bCs/>
          <w:color w:val="auto"/>
          <w:szCs w:val="72"/>
          <w:lang w:val="sr-Cyrl-CS"/>
        </w:rPr>
        <w:t xml:space="preserve">Влада и овим трогодишњим сценариом остаје посвећена очувању модела привредног раста који се заснива на инвестицијама и извозу, а који је подржан растом приватне потрошње на реалним </w:t>
      </w:r>
      <w:r w:rsidRPr="007E770D">
        <w:rPr>
          <w:rFonts w:cstheme="minorHAnsi"/>
          <w:bCs/>
          <w:color w:val="auto"/>
          <w:szCs w:val="72"/>
          <w:lang w:val="sr-Cyrl-CS"/>
        </w:rPr>
        <w:t>и здравим изворима. Удео бруто инвестиција у основне фондове у БДП ће на крају 2022. године бити за око 4,5 п. п. већи у односу на 2017. годину. У истој години, удео извоза роба и услуга износио је 50,5% БДП, док ће на крају периода обухваћеног овим сценариом бити повећан на 56,0%. Државна потрошња ће задржати учешће од око 16% БДП, што је значајно испод европског просека који прелази 20%. Смањење учешћа дефицита роба и услуга у БДП, биће праћено и смањењем учешћа дефицита текућег рачуна у БДП. Овим је обезбеђена одрживост спољног дуга, екстерна ликвидност и солвентност.</w:t>
      </w:r>
    </w:p>
    <w:p w14:paraId="0E1BEBEE" w14:textId="0099E25A" w:rsidR="008066BE" w:rsidRPr="007E770D" w:rsidRDefault="008066BE" w:rsidP="008217BC">
      <w:pPr>
        <w:rPr>
          <w:rFonts w:cstheme="minorHAnsi"/>
          <w:bCs/>
          <w:color w:val="auto"/>
          <w:szCs w:val="72"/>
          <w:lang w:val="sr-Cyrl-CS"/>
        </w:rPr>
      </w:pPr>
      <w:r w:rsidRPr="007E770D">
        <w:rPr>
          <w:rFonts w:cstheme="minorHAnsi"/>
          <w:bCs/>
          <w:color w:val="auto"/>
          <w:szCs w:val="72"/>
          <w:lang w:val="sr-Cyrl-CS"/>
        </w:rPr>
        <w:t xml:space="preserve">Влада својим активностима и мерама покушава да оснажи инвестициону и извозну компоненту </w:t>
      </w:r>
      <w:r w:rsidR="009D4D6D" w:rsidRPr="007E770D">
        <w:rPr>
          <w:rFonts w:cstheme="minorHAnsi"/>
          <w:bCs/>
          <w:color w:val="auto"/>
          <w:szCs w:val="72"/>
          <w:lang w:val="sr-Cyrl-CS"/>
        </w:rPr>
        <w:t>БДП посматрано са расходне стране</w:t>
      </w:r>
      <w:r w:rsidRPr="007E770D">
        <w:rPr>
          <w:rFonts w:cstheme="minorHAnsi"/>
          <w:bCs/>
          <w:color w:val="auto"/>
          <w:szCs w:val="72"/>
          <w:lang w:val="sr-Cyrl-CS"/>
        </w:rPr>
        <w:t xml:space="preserve"> и да кроз ове изворе обезбеди раст изнад пројектованог на здрав и одржив начин. Убрзање свих административних процедура које прате ове активности, растерећење привреде са циљем подизања њене конкурентности, потписивање споразума који треба да обезбеде задржавање постојећих и отварање нових ино тржишта, интензивније и ефикасније извођење инфраструктурних радова су само неке од мера које треба да обезбеде здраве фундаменте за раст потенцијалног БДП.  Доследност у очувању фискалне стабилности спречава генерисање неравнотежа и креирање неизвесности, а реформски процеси треба да обезбеде снажнију позитивну динамику основних макроекономских варијабли. Дигитална трансформација и изградња дигиталног екосистема остаје стратешка орјентација Владе. Ефикаснији рад државне администрације, скраћивање процедура становништву и привреди са фокусом на дигитализацији образовања убрзаће конвергенцију наше привреде ка развијеним земљама. Како су ови циљеви тешко достижни без научно-истраживачког рада и иновативности, Влада је креирала систем подстицаја кроз „иновационе ваучереˮ</w:t>
      </w:r>
      <w:r w:rsidRPr="007E770D">
        <w:rPr>
          <w:color w:val="auto"/>
          <w:vertAlign w:val="superscript"/>
          <w:lang w:val="sr-Cyrl-CS"/>
        </w:rPr>
        <w:footnoteReference w:id="4"/>
      </w:r>
      <w:r w:rsidRPr="007E770D">
        <w:rPr>
          <w:rFonts w:cstheme="minorHAnsi"/>
          <w:bCs/>
          <w:color w:val="auto"/>
          <w:szCs w:val="72"/>
          <w:lang w:val="sr-Cyrl-CS"/>
        </w:rPr>
        <w:t xml:space="preserve">, усмерен пре свега на </w:t>
      </w:r>
      <w:r w:rsidRPr="007E770D">
        <w:rPr>
          <w:rFonts w:cstheme="minorHAnsi"/>
          <w:bCs/>
          <w:color w:val="auto"/>
          <w:szCs w:val="72"/>
          <w:lang w:val="sr-Cyrl-CS"/>
        </w:rPr>
        <w:lastRenderedPageBreak/>
        <w:t>сектор малих и средњих предузећа. Нови систем фискализације, у склопу Акционог плана за сузбијање сиве економије 2019/20, уз усвојене Измене Царинског закона, смањиће учешће сиве економије у укупним привредним токовима, обезбедити афирмативно конкурентско надметање и побољшати економичност и ефикасност процедура.</w:t>
      </w:r>
    </w:p>
    <w:p w14:paraId="2D3AA909" w14:textId="77777777" w:rsidR="008066BE" w:rsidRPr="007E770D" w:rsidRDefault="008066BE" w:rsidP="00692557">
      <w:pPr>
        <w:pStyle w:val="Caption"/>
        <w:keepNext/>
        <w:rPr>
          <w:rFonts w:cstheme="minorHAnsi"/>
          <w:b w:val="0"/>
          <w:i/>
          <w:iCs w:val="0"/>
          <w:color w:val="auto"/>
          <w:szCs w:val="22"/>
          <w:lang w:val="sr-Cyrl-CS"/>
        </w:rPr>
      </w:pPr>
      <w:r w:rsidRPr="007E770D">
        <w:rPr>
          <w:rFonts w:cstheme="minorHAnsi"/>
          <w:iCs w:val="0"/>
          <w:color w:val="auto"/>
          <w:szCs w:val="22"/>
          <w:lang w:val="sr-Cyrl-CS"/>
        </w:rPr>
        <w:t>Доприноси фактора производње потенцијалној стопи раста БДП, п. п.</w:t>
      </w:r>
    </w:p>
    <w:p w14:paraId="3E738E5E" w14:textId="34801C23" w:rsidR="008066BE" w:rsidRPr="007E770D" w:rsidRDefault="008066BE" w:rsidP="002B644D">
      <w:pPr>
        <w:spacing w:after="0"/>
        <w:rPr>
          <w:rFonts w:cstheme="minorHAnsi"/>
          <w:bCs/>
          <w:color w:val="auto"/>
          <w:sz w:val="16"/>
          <w:szCs w:val="72"/>
          <w:lang w:val="sr-Cyrl-CS"/>
        </w:rPr>
      </w:pPr>
      <w:r w:rsidRPr="007E770D">
        <w:rPr>
          <w:noProof/>
          <w:color w:val="auto"/>
        </w:rPr>
        <w:drawing>
          <wp:inline distT="0" distB="0" distL="0" distR="0" wp14:anchorId="71D774E6" wp14:editId="4617694B">
            <wp:extent cx="2743200" cy="2303780"/>
            <wp:effectExtent l="0" t="0" r="0" b="1270"/>
            <wp:docPr id="31" name="Chart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p w14:paraId="72298CA7" w14:textId="3391DDA3" w:rsidR="008066BE" w:rsidRPr="007E770D" w:rsidRDefault="008066BE" w:rsidP="008217BC">
      <w:pPr>
        <w:rPr>
          <w:rFonts w:cstheme="minorHAnsi"/>
          <w:color w:val="auto"/>
          <w:sz w:val="16"/>
          <w:lang w:val="sr-Cyrl-CS"/>
        </w:rPr>
      </w:pPr>
      <w:r w:rsidRPr="007E770D">
        <w:rPr>
          <w:rFonts w:cstheme="minorHAnsi"/>
          <w:color w:val="auto"/>
          <w:sz w:val="16"/>
          <w:lang w:val="sr-Cyrl-CS"/>
        </w:rPr>
        <w:t>Извор: Министарство финансија</w:t>
      </w:r>
    </w:p>
    <w:p w14:paraId="3F05E113" w14:textId="4C85CD7F" w:rsidR="008066BE" w:rsidRPr="007E770D" w:rsidRDefault="00F03C70" w:rsidP="008217BC">
      <w:pPr>
        <w:rPr>
          <w:rFonts w:cstheme="minorHAnsi"/>
          <w:bCs/>
          <w:color w:val="auto"/>
          <w:szCs w:val="72"/>
          <w:lang w:val="sr-Cyrl-CS"/>
        </w:rPr>
      </w:pPr>
      <w:r w:rsidRPr="007E770D">
        <w:rPr>
          <w:rFonts w:cstheme="minorHAnsi"/>
          <w:noProof/>
          <w:color w:val="auto"/>
        </w:rPr>
        <mc:AlternateContent>
          <mc:Choice Requires="wps">
            <w:drawing>
              <wp:anchor distT="0" distB="0" distL="114300" distR="114300" simplePos="0" relativeHeight="251720704" behindDoc="1" locked="0" layoutInCell="1" allowOverlap="1" wp14:anchorId="4E0A0987" wp14:editId="4F7199CB">
                <wp:simplePos x="0" y="0"/>
                <wp:positionH relativeFrom="margin">
                  <wp:posOffset>-95250</wp:posOffset>
                </wp:positionH>
                <wp:positionV relativeFrom="paragraph">
                  <wp:posOffset>2428874</wp:posOffset>
                </wp:positionV>
                <wp:extent cx="6134100" cy="1414145"/>
                <wp:effectExtent l="0" t="0" r="0" b="0"/>
                <wp:wrapNone/>
                <wp:docPr id="26" name="Rectangle 26"/>
                <wp:cNvGraphicFramePr/>
                <a:graphic xmlns:a="http://schemas.openxmlformats.org/drawingml/2006/main">
                  <a:graphicData uri="http://schemas.microsoft.com/office/word/2010/wordprocessingShape">
                    <wps:wsp>
                      <wps:cNvSpPr/>
                      <wps:spPr>
                        <a:xfrm>
                          <a:off x="0" y="0"/>
                          <a:ext cx="6134100" cy="1414145"/>
                        </a:xfrm>
                        <a:prstGeom prst="rect">
                          <a:avLst/>
                        </a:prstGeom>
                        <a:pattFill prst="pct25">
                          <a:fgClr>
                            <a:schemeClr val="bg1">
                              <a:lumMod val="85000"/>
                            </a:schemeClr>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E8F774" id="Rectangle 26" o:spid="_x0000_s1026" style="position:absolute;margin-left:-7.5pt;margin-top:191.25pt;width:483pt;height:111.35pt;z-index:-2515957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" fillcolor="#d8d8d8 [2732]" stroked="f" strokeweight="1pt">
                <v:fill r:id="rId79" o:title="" color2="white [3212]" type="pattern"/>
                <w10:wrap anchorx="margin"/>
              </v:rect>
            </w:pict>
          </mc:Fallback>
        </mc:AlternateContent>
      </w:r>
      <w:r w:rsidR="008066BE" w:rsidRPr="007E770D">
        <w:rPr>
          <w:rFonts w:cstheme="minorHAnsi"/>
          <w:bCs/>
          <w:color w:val="auto"/>
          <w:szCs w:val="72"/>
          <w:lang w:val="sr-Cyrl-CS"/>
        </w:rPr>
        <w:t xml:space="preserve">Према централном сценарију, у средњорочном периоду се очекује убрзање раста потенцијалног БДП. Након повећања од 3,6% у 2019. години, потенцијални БДП ће се просечно годишње повећавати за 4,0%. Раст потенцијалног БДП у овом периоду опредељен је појачаним приливом СДИ. Њихов утицај на продуктивност и ефикасност је двојак како кроз трансфер технологије тако и кроз трансфер знања. Такође, очекује се да ће овај тренд бити оснажен домаћим иновативним активностима. Поред тога, на раст потенцијалног БДП утицаће и повољна кретања на тржишту рада, а крајем средњорочног периода биће уочљив и </w:t>
      </w:r>
      <w:r w:rsidR="008066BE" w:rsidRPr="007E770D">
        <w:rPr>
          <w:rFonts w:cstheme="minorHAnsi"/>
          <w:bCs/>
          <w:color w:val="auto"/>
          <w:szCs w:val="72"/>
          <w:lang w:val="sr-Cyrl-CS"/>
        </w:rPr>
        <w:t>позитиван утицај до сада предузетих реформи у образовању кроз смањење структурне незапослености. Дигитализација ће значајно убрзати ове процесе и додатно подићи ефикасност искоришћености расположивих капацитета.</w:t>
      </w:r>
    </w:p>
    <w:p w14:paraId="5F9859DC" w14:textId="77777777" w:rsidR="008066BE" w:rsidRPr="007E770D" w:rsidRDefault="008066BE" w:rsidP="008217BC">
      <w:pPr>
        <w:rPr>
          <w:rFonts w:cstheme="minorHAnsi"/>
          <w:bCs/>
          <w:color w:val="auto"/>
          <w:szCs w:val="72"/>
          <w:lang w:val="sr-Cyrl-CS"/>
        </w:rPr>
      </w:pPr>
      <w:r w:rsidRPr="007E770D">
        <w:rPr>
          <w:rFonts w:cstheme="minorHAnsi"/>
          <w:bCs/>
          <w:color w:val="auto"/>
          <w:szCs w:val="72"/>
          <w:lang w:val="sr-Cyrl-CS"/>
        </w:rPr>
        <w:t>Након периода неутралисања фискалних и ублажавања платнобилансних неравнотежа Влада своје напоре усмерава у ослобађање потенцијала српске привреде како би остварени раст био изнад пројектованог. Адекватна и синхронизована монетарна политика, даља унапређења финансијског система, подизање кредибилитета и атрактивности код инвеститора, коренита реформа система просвете и његово прилагођавање потребама привреде, као и модернизација образовних програма, трансфер знања и технологија из најразвијенијих земаља треба да обезбеде позитиван утицај на оба фактора производње. Са друге стране, јачање владавине закона, реформа законодавства из области привреде и пословања, убрзање процедура и подизање ефикасности администрације треба да обезбеде максимизацију факторске продуктивности у средњем року.</w:t>
      </w:r>
    </w:p>
    <w:p w14:paraId="17E39F84" w14:textId="77777777" w:rsidR="006159C6" w:rsidRPr="007E770D" w:rsidRDefault="006159C6" w:rsidP="00B435B3">
      <w:pPr>
        <w:jc w:val="left"/>
        <w:rPr>
          <w:rFonts w:cstheme="minorHAnsi"/>
          <w:bCs/>
          <w:color w:val="auto"/>
          <w:szCs w:val="72"/>
          <w:lang w:val="sr-Cyrl-CS"/>
        </w:rPr>
      </w:pPr>
      <w:r w:rsidRPr="007E770D">
        <w:rPr>
          <w:rFonts w:cstheme="minorHAnsi"/>
          <w:b/>
          <w:color w:val="auto"/>
          <w:sz w:val="22"/>
          <w:lang w:val="sr-Cyrl-CS"/>
        </w:rPr>
        <w:t>Тржиште рада</w:t>
      </w:r>
    </w:p>
    <w:p w14:paraId="126B40FB" w14:textId="77777777" w:rsidR="006159C6" w:rsidRPr="007E770D" w:rsidRDefault="006159C6" w:rsidP="00B435B3">
      <w:pPr>
        <w:spacing w:after="320"/>
        <w:rPr>
          <w:rFonts w:cstheme="minorHAnsi"/>
          <w:bCs/>
          <w:color w:val="auto"/>
          <w:szCs w:val="72"/>
          <w:lang w:val="sr-Cyrl-CS"/>
        </w:rPr>
        <w:sectPr w:rsidR="006159C6" w:rsidRPr="007E770D" w:rsidSect="00C130D2">
          <w:footerReference w:type="even" r:id="rId80"/>
          <w:footerReference w:type="default" r:id="rId81"/>
          <w:type w:val="continuous"/>
          <w:pgSz w:w="12240" w:h="15840"/>
          <w:pgMar w:top="1440" w:right="1440" w:bottom="1440" w:left="1440" w:header="720" w:footer="720" w:gutter="0"/>
          <w:cols w:num="2" w:space="720"/>
          <w:docGrid w:linePitch="360"/>
          <w15:footnoteColumns w:val="1"/>
        </w:sectPr>
      </w:pPr>
      <w:r w:rsidRPr="007E770D">
        <w:rPr>
          <w:rFonts w:cstheme="minorHAnsi"/>
          <w:bCs/>
          <w:color w:val="auto"/>
          <w:szCs w:val="72"/>
          <w:lang w:val="sr-Cyrl-CS"/>
        </w:rPr>
        <w:t>Привредни раст, удружен са повољним инвестиционим амбијентом, новоотворени и проширени производни капацитети, али и мере активне политике запошљавања и самозапошљавања, утицали су позитивно на тржиште радне снаге, које од 2014. године бележи смањивање стопе незапослености. Такође, почев од 2019. године укинута је обавеза плаћања доприноса за осигурање за случај незапослености на терет послодавца, чиме је смањено пореско оптерећење нето зараде.</w:t>
      </w:r>
    </w:p>
    <w:p w14:paraId="37A88F3D" w14:textId="1B2744C4" w:rsidR="006159C6" w:rsidRPr="007E770D" w:rsidRDefault="006159C6" w:rsidP="00B435B3">
      <w:pPr>
        <w:jc w:val="center"/>
        <w:rPr>
          <w:rFonts w:cstheme="minorHAnsi"/>
          <w:b/>
          <w:color w:val="auto"/>
          <w:sz w:val="22"/>
          <w:lang w:val="sr-Cyrl-CS"/>
        </w:rPr>
        <w:sectPr w:rsidR="006159C6" w:rsidRPr="007E770D" w:rsidSect="00B435B3">
          <w:type w:val="continuous"/>
          <w:pgSz w:w="12240" w:h="15840"/>
          <w:pgMar w:top="1440" w:right="1440" w:bottom="1440" w:left="1440" w:header="720" w:footer="720" w:gutter="0"/>
          <w:cols w:space="720"/>
          <w:docGrid w:linePitch="360"/>
          <w15:footnoteColumns w:val="1"/>
        </w:sectPr>
      </w:pPr>
      <w:r w:rsidRPr="007E770D">
        <w:rPr>
          <w:rFonts w:cstheme="minorHAnsi"/>
          <w:b/>
          <w:color w:val="auto"/>
          <w:sz w:val="22"/>
          <w:lang w:val="sr-Cyrl-CS"/>
        </w:rPr>
        <w:t xml:space="preserve">Структурна побољшања на тржишту рада у периоду од 2014. до 2018. године </w:t>
      </w:r>
    </w:p>
    <w:p w14:paraId="588BD786" w14:textId="58976D9E" w:rsidR="006159C6" w:rsidRPr="007E770D" w:rsidRDefault="006159C6" w:rsidP="006B68DD">
      <w:pPr>
        <w:spacing w:after="360"/>
        <w:rPr>
          <w:rFonts w:cstheme="minorHAnsi"/>
          <w:bCs/>
          <w:color w:val="auto"/>
          <w:szCs w:val="72"/>
          <w:lang w:val="sr-Cyrl-CS"/>
        </w:rPr>
        <w:sectPr w:rsidR="006159C6" w:rsidRPr="007E770D" w:rsidSect="00C130D2">
          <w:type w:val="continuous"/>
          <w:pgSz w:w="12240" w:h="15840"/>
          <w:pgMar w:top="1440" w:right="1440" w:bottom="1440" w:left="1440" w:header="720" w:footer="720" w:gutter="0"/>
          <w:cols w:num="2" w:space="720"/>
          <w:docGrid w:linePitch="360"/>
          <w15:footnoteColumns w:val="1"/>
        </w:sectPr>
      </w:pPr>
      <w:r w:rsidRPr="007E770D">
        <w:rPr>
          <w:rFonts w:cstheme="minorHAnsi"/>
          <w:bCs/>
          <w:color w:val="auto"/>
          <w:szCs w:val="72"/>
          <w:lang w:val="sr-Cyrl-CS"/>
        </w:rPr>
        <w:t xml:space="preserve">Према Анкети о радној снази у 2018. години стопа незапослености достигла је рекордно низак ниво и износила је 12,7%, што је мање за 0,8 п. п. у поређењу са годином пре и за чак 6,5 п. п. мање него 2014. године. Од 2014. до 2018. године повећана је запосленост за 10,7%, и износила је </w:t>
      </w:r>
      <w:r w:rsidRPr="007E770D">
        <w:rPr>
          <w:rFonts w:cstheme="minorHAnsi"/>
          <w:bCs/>
          <w:color w:val="auto"/>
          <w:szCs w:val="72"/>
          <w:lang w:val="sr-Cyrl-CS"/>
        </w:rPr>
        <w:t xml:space="preserve">2.832,9 хиљада, уз повећање броја радника на неодређено и одређено време, као и запослених са пуним радним временом. У овом периоду, стопа запослености достигла је ниво од 47,6%, што је њен највећи ниво од када постоје упоредиви подаци (2014–2018). Поред значајног смањења </w:t>
      </w:r>
      <w:r w:rsidR="00F03C70" w:rsidRPr="007E770D">
        <w:rPr>
          <w:rFonts w:cstheme="minorHAnsi"/>
          <w:noProof/>
          <w:color w:val="auto"/>
        </w:rPr>
        <w:lastRenderedPageBreak/>
        <mc:AlternateContent>
          <mc:Choice Requires="wps">
            <w:drawing>
              <wp:anchor distT="0" distB="0" distL="114300" distR="114300" simplePos="0" relativeHeight="251718656" behindDoc="1" locked="0" layoutInCell="1" allowOverlap="1" wp14:anchorId="0B58B1DF" wp14:editId="14B1BAE2">
                <wp:simplePos x="0" y="0"/>
                <wp:positionH relativeFrom="margin">
                  <wp:posOffset>-95250</wp:posOffset>
                </wp:positionH>
                <wp:positionV relativeFrom="paragraph">
                  <wp:posOffset>-9525</wp:posOffset>
                </wp:positionV>
                <wp:extent cx="6134100" cy="4848225"/>
                <wp:effectExtent l="0" t="0" r="0" b="0"/>
                <wp:wrapNone/>
                <wp:docPr id="33" name="Rectangle 33"/>
                <wp:cNvGraphicFramePr/>
                <a:graphic xmlns:a="http://schemas.openxmlformats.org/drawingml/2006/main">
                  <a:graphicData uri="http://schemas.microsoft.com/office/word/2010/wordprocessingShape">
                    <wps:wsp>
                      <wps:cNvSpPr/>
                      <wps:spPr>
                        <a:xfrm>
                          <a:off x="0" y="0"/>
                          <a:ext cx="6134100" cy="4848225"/>
                        </a:xfrm>
                        <a:prstGeom prst="rect">
                          <a:avLst/>
                        </a:prstGeom>
                        <a:pattFill prst="pct25">
                          <a:fgClr>
                            <a:schemeClr val="bg1">
                              <a:lumMod val="85000"/>
                            </a:schemeClr>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AF6520" id="Rectangle 33" o:spid="_x0000_s1026" style="position:absolute;margin-left:-7.5pt;margin-top:-.75pt;width:483pt;height:381.75pt;z-index:-2515978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" fillcolor="#d8d8d8 [2732]" stroked="f" strokeweight="1pt">
                <v:fill r:id="rId79" o:title="" color2="white [3212]" type="pattern"/>
                <w10:wrap anchorx="margin"/>
              </v:rect>
            </w:pict>
          </mc:Fallback>
        </mc:AlternateContent>
      </w:r>
      <w:r w:rsidRPr="007E770D">
        <w:rPr>
          <w:rFonts w:cstheme="minorHAnsi"/>
          <w:bCs/>
          <w:color w:val="auto"/>
          <w:szCs w:val="72"/>
          <w:lang w:val="sr-Cyrl-CS"/>
        </w:rPr>
        <w:t xml:space="preserve">стопе незапослености, забележена су и структурна побољшања на тржишту рада. У последње четири године регистровано је смањење стопе незапослености младих са 47,5% на 29,7%. Смањење незапослености регистровано је у свим старосним групама. Поред категорије младих </w:t>
      </w:r>
      <w:r w:rsidRPr="007E770D">
        <w:rPr>
          <w:rFonts w:cstheme="minorHAnsi"/>
          <w:bCs/>
          <w:color w:val="auto"/>
          <w:spacing w:val="4"/>
          <w:szCs w:val="72"/>
          <w:lang w:val="sr-Cyrl-CS"/>
        </w:rPr>
        <w:t xml:space="preserve">(15–24 године), значајно смањење незапослености забележено је и код старосне групе 25–34 </w:t>
      </w:r>
      <w:r w:rsidRPr="007E770D">
        <w:rPr>
          <w:rFonts w:cstheme="minorHAnsi"/>
          <w:bCs/>
          <w:color w:val="auto"/>
          <w:spacing w:val="4"/>
          <w:szCs w:val="72"/>
          <w:lang w:val="sr-Cyrl-CS"/>
        </w:rPr>
        <w:t xml:space="preserve">године. Такође, уочљив је напредак у положају жена на тржишту рада. </w:t>
      </w:r>
      <w:r w:rsidRPr="007E770D">
        <w:rPr>
          <w:rFonts w:cstheme="minorHAnsi"/>
          <w:bCs/>
          <w:color w:val="auto"/>
          <w:szCs w:val="72"/>
          <w:lang w:val="sr-Cyrl-CS"/>
        </w:rPr>
        <w:t>Динамика смањења незапослености код жена бржа је него код мушкараца у старосној доби од 20. до 44. године. Такође, приметно је повећање стопе активности код оба пола свих старосних доби, уз нешто бржу динамику код женског дела популације.</w:t>
      </w:r>
    </w:p>
    <w:p w14:paraId="07D80AA5" w14:textId="77777777" w:rsidR="006159C6" w:rsidRPr="007E770D" w:rsidRDefault="006159C6" w:rsidP="00C130D2">
      <w:pPr>
        <w:spacing w:after="60"/>
        <w:jc w:val="center"/>
        <w:rPr>
          <w:rFonts w:cstheme="minorHAnsi"/>
          <w:b/>
          <w:bCs/>
          <w:color w:val="auto"/>
          <w:szCs w:val="72"/>
          <w:lang w:val="sr-Cyrl-CS"/>
        </w:rPr>
      </w:pPr>
      <w:r w:rsidRPr="007E770D">
        <w:rPr>
          <w:rFonts w:cstheme="minorHAnsi"/>
          <w:b/>
          <w:bCs/>
          <w:color w:val="auto"/>
          <w:szCs w:val="72"/>
          <w:lang w:val="sr-Cyrl-CS"/>
        </w:rPr>
        <w:t>Показатељи тржишта рада према старосним групама и полу</w:t>
      </w:r>
    </w:p>
    <w:p w14:paraId="061D230D" w14:textId="77777777" w:rsidR="006159C6" w:rsidRPr="007E770D" w:rsidRDefault="006159C6" w:rsidP="00C130D2">
      <w:pPr>
        <w:spacing w:after="0"/>
        <w:jc w:val="center"/>
        <w:rPr>
          <w:rFonts w:cstheme="minorHAnsi"/>
          <w:b/>
          <w:bCs/>
          <w:color w:val="auto"/>
          <w:szCs w:val="72"/>
          <w:lang w:val="sr-Cyrl-CS"/>
        </w:rPr>
      </w:pPr>
      <w:r w:rsidRPr="007E770D">
        <w:rPr>
          <w:rFonts w:cstheme="minorHAnsi"/>
          <w:b/>
          <w:bCs/>
          <w:color w:val="auto"/>
          <w:szCs w:val="72"/>
          <w:lang w:val="sr-Cyrl-CS"/>
        </w:rPr>
        <w:t>2014. година                                                                                             2018. година</w:t>
      </w:r>
    </w:p>
    <w:p w14:paraId="26D66BA9" w14:textId="77777777" w:rsidR="006159C6" w:rsidRPr="007E770D" w:rsidRDefault="006159C6" w:rsidP="00C130D2">
      <w:pPr>
        <w:rPr>
          <w:rFonts w:cstheme="minorHAnsi"/>
          <w:bCs/>
          <w:color w:val="auto"/>
          <w:szCs w:val="72"/>
          <w:lang w:val="sr-Cyrl-CS"/>
        </w:rPr>
      </w:pPr>
      <w:r w:rsidRPr="007E770D">
        <w:rPr>
          <w:rFonts w:cstheme="minorHAnsi"/>
          <w:bCs/>
          <w:noProof/>
          <w:color w:val="auto"/>
          <w:szCs w:val="72"/>
        </w:rPr>
        <w:drawing>
          <wp:anchor distT="0" distB="0" distL="114300" distR="114300" simplePos="0" relativeHeight="251717632" behindDoc="0" locked="0" layoutInCell="1" allowOverlap="1" wp14:anchorId="47145B87" wp14:editId="73082D05">
            <wp:simplePos x="0" y="0"/>
            <wp:positionH relativeFrom="margin">
              <wp:align>center</wp:align>
            </wp:positionH>
            <wp:positionV relativeFrom="paragraph">
              <wp:posOffset>1071143</wp:posOffset>
            </wp:positionV>
            <wp:extent cx="673160" cy="592532"/>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673160" cy="592532"/>
                    </a:xfrm>
                    <a:prstGeom prst="rect">
                      <a:avLst/>
                    </a:prstGeom>
                    <a:noFill/>
                  </pic:spPr>
                </pic:pic>
              </a:graphicData>
            </a:graphic>
          </wp:anchor>
        </w:drawing>
      </w:r>
      <w:r w:rsidRPr="007E770D">
        <w:rPr>
          <w:noProof/>
          <w:color w:val="auto"/>
        </w:rPr>
        <w:drawing>
          <wp:inline distT="0" distB="0" distL="0" distR="0" wp14:anchorId="1BB41700" wp14:editId="66E309FA">
            <wp:extent cx="2999213" cy="2376000"/>
            <wp:effectExtent l="6985" t="0" r="0" b="0"/>
            <wp:docPr id="47"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6"/>
                    <pic:cNvPicPr>
                      <a:picLocks noChangeAspect="1" noChangeArrowheads="1"/>
                      <a:extLst>
                        <a:ext uri="{84589F7E-364E-4C9E-8A38-B11213B215E9}">
                          <a14:cameraTool xmlns:a14="http://schemas.microsoft.com/office/drawing/2010/main" cellRange="$A$185:$F$203"/>
                        </a:ext>
                      </a:extLst>
                    </pic:cNvPicPr>
                  </pic:nvPicPr>
                  <pic:blipFill>
                    <a:blip r:embed="rId83"/>
                    <a:srcRect/>
                    <a:stretch>
                      <a:fillRect/>
                    </a:stretch>
                  </pic:blipFill>
                  <pic:spPr bwMode="auto">
                    <a:xfrm rot="16200000">
                      <a:off x="0" y="0"/>
                      <a:ext cx="2999213" cy="2376000"/>
                    </a:xfrm>
                    <a:prstGeom prst="rect">
                      <a:avLst/>
                    </a:prstGeom>
                    <a:solidFill>
                      <a:srgbClr xmlns:a14="http://schemas.microsoft.com/office/drawing/2010/main" val="FFFFFF" mc:Ignorable="a14" a14:legacySpreadsheetColorIndex="9"/>
                    </a:solidFill>
                    <a:ln w="9525">
                      <a:noFill/>
                      <a:miter lim="800000"/>
                      <a:headEnd/>
                      <a:tailEnd/>
                    </a:ln>
                  </pic:spPr>
                </pic:pic>
              </a:graphicData>
            </a:graphic>
          </wp:inline>
        </w:drawing>
      </w:r>
      <w:r w:rsidRPr="007E770D">
        <w:rPr>
          <w:rFonts w:cstheme="minorHAnsi"/>
          <w:bCs/>
          <w:color w:val="auto"/>
          <w:szCs w:val="72"/>
          <w:lang w:val="sr-Cyrl-CS"/>
        </w:rPr>
        <w:t xml:space="preserve">                                  </w:t>
      </w:r>
      <w:r w:rsidRPr="007E770D">
        <w:rPr>
          <w:noProof/>
          <w:color w:val="auto"/>
        </w:rPr>
        <w:drawing>
          <wp:inline distT="0" distB="0" distL="0" distR="0" wp14:anchorId="2F02B7C1" wp14:editId="16502B3A">
            <wp:extent cx="3001611" cy="2377900"/>
            <wp:effectExtent l="6985" t="0" r="0" b="0"/>
            <wp:docPr id="32"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8"/>
                    <pic:cNvPicPr>
                      <a:picLocks noChangeAspect="1" noChangeArrowheads="1"/>
                      <a:extLst>
                        <a:ext uri="{84589F7E-364E-4C9E-8A38-B11213B215E9}">
                          <a14:cameraTool xmlns:a14="http://schemas.microsoft.com/office/drawing/2010/main" cellRange="$A$185:$F$203"/>
                        </a:ext>
                      </a:extLst>
                    </pic:cNvPicPr>
                  </pic:nvPicPr>
                  <pic:blipFill>
                    <a:blip r:embed="rId84"/>
                    <a:srcRect/>
                    <a:stretch>
                      <a:fillRect/>
                    </a:stretch>
                  </pic:blipFill>
                  <pic:spPr bwMode="auto">
                    <a:xfrm rot="16200000">
                      <a:off x="0" y="0"/>
                      <a:ext cx="3029870" cy="2400287"/>
                    </a:xfrm>
                    <a:prstGeom prst="rect">
                      <a:avLst/>
                    </a:prstGeom>
                    <a:solidFill>
                      <a:srgbClr xmlns:a14="http://schemas.microsoft.com/office/drawing/2010/main" val="FFFFFF" mc:Ignorable="a14" a14:legacySpreadsheetColorIndex="9"/>
                    </a:solidFill>
                    <a:ln w="9525">
                      <a:noFill/>
                      <a:miter lim="800000"/>
                      <a:headEnd/>
                      <a:tailEnd/>
                    </a:ln>
                  </pic:spPr>
                </pic:pic>
              </a:graphicData>
            </a:graphic>
          </wp:inline>
        </w:drawing>
      </w:r>
    </w:p>
    <w:p w14:paraId="0AED063E" w14:textId="77777777" w:rsidR="006159C6" w:rsidRPr="007E770D" w:rsidRDefault="006159C6" w:rsidP="0074685C">
      <w:pPr>
        <w:spacing w:after="0"/>
        <w:rPr>
          <w:rFonts w:cstheme="minorHAnsi"/>
          <w:bCs/>
          <w:color w:val="auto"/>
          <w:szCs w:val="72"/>
          <w:lang w:val="sr-Cyrl-CS"/>
        </w:rPr>
        <w:sectPr w:rsidR="006159C6" w:rsidRPr="007E770D" w:rsidSect="00C130D2">
          <w:type w:val="continuous"/>
          <w:pgSz w:w="12240" w:h="15840"/>
          <w:pgMar w:top="1440" w:right="1440" w:bottom="1440" w:left="1440" w:header="720" w:footer="720" w:gutter="0"/>
          <w:cols w:space="720"/>
          <w:docGrid w:linePitch="360"/>
          <w15:footnoteColumns w:val="1"/>
        </w:sectPr>
      </w:pPr>
    </w:p>
    <w:p w14:paraId="421535D1" w14:textId="77777777" w:rsidR="006159C6" w:rsidRPr="007E770D" w:rsidRDefault="006159C6" w:rsidP="00C130D2">
      <w:pPr>
        <w:rPr>
          <w:rFonts w:cstheme="minorHAnsi"/>
          <w:bCs/>
          <w:color w:val="auto"/>
          <w:szCs w:val="72"/>
          <w:lang w:val="sr-Cyrl-CS"/>
        </w:rPr>
      </w:pPr>
      <w:r w:rsidRPr="007E770D">
        <w:rPr>
          <w:rFonts w:cstheme="minorHAnsi"/>
          <w:bCs/>
          <w:color w:val="auto"/>
          <w:szCs w:val="72"/>
          <w:lang w:val="sr-Cyrl-CS"/>
        </w:rPr>
        <w:t xml:space="preserve">У 2019. години бележе се изузетно повољна кретања на тржишту рада. Према подацима АРС стопа незапослености на међугодишњем нивоу у првом кварталу је смањена за 2,7 п. п, на ниво од 12,1%. Истовремено, укупна запосленост је била већа за 4,5%, уз раст формалне за око 140 хиљада и пад неформалне запослености од око 18 хиљада лица. У другом кварталу стопа незапослености је смањена за 1,6 п. п. на рекордно низак ниво од 10,3%. Укупна запосленост је била већа за 0,7%, уз даљи раст формалне за 62,7 хиљада и пад неформалне запослености од 43 хиљада лица, а што је резултат, пре свега, ефикасног деловања инспекцијских служби на сузбијању сиве економије. Поред значајног смањења стопе незапослености и раста укупног броја запослених забележена су и структурна побољшања на тржишту рада. Побољшан је положај код осетљивијих категорија становништва, односно код популације младих и жена. Тако је смањена </w:t>
      </w:r>
      <w:r w:rsidRPr="007E770D">
        <w:rPr>
          <w:rFonts w:cstheme="minorHAnsi"/>
          <w:bCs/>
          <w:color w:val="auto"/>
          <w:szCs w:val="72"/>
          <w:lang w:val="sr-Cyrl-CS"/>
        </w:rPr>
        <w:t xml:space="preserve">стопа незапослености младих са 27,5% на 24,4%, док је код жена смањена за 1,6 п. п. на 11,0%. </w:t>
      </w:r>
      <w:r w:rsidRPr="007E770D">
        <w:rPr>
          <w:rFonts w:cstheme="minorHAnsi"/>
          <w:bCs/>
          <w:color w:val="auto"/>
          <w:spacing w:val="-4"/>
          <w:szCs w:val="72"/>
          <w:lang w:val="sr-Cyrl-CS"/>
        </w:rPr>
        <w:t>Такође, смањена је стопа дугорочне незапослености за 1,3 п. п. на 6,1%, и стопа запослености у неформалном делу привреде за 1,7 п. п. на 19,3%.</w:t>
      </w:r>
      <w:r w:rsidRPr="007E770D">
        <w:rPr>
          <w:rFonts w:cstheme="minorHAnsi"/>
          <w:bCs/>
          <w:color w:val="auto"/>
          <w:szCs w:val="72"/>
          <w:lang w:val="sr-Cyrl-CS"/>
        </w:rPr>
        <w:t xml:space="preserve"> Повољна кретања на тржишту радне снаге потврђују и подаци из ЦРОСО, према којима је у периоду јануар–август број запослених на међугодишњем нивоу повећан за 50,9 хиљада лица, односно за 2,5%. То је у потпуности резултат раста броја запослених у приватном сектору за 57,9 хиљада, док је у јавном сектору смањена запосленост за 7 хиљада лица. Секторски посматрано прерађивачка индустрија предњачи по запошљавању са 15,7 хиљада новозапослених радника, а у оквиру ње значајнији раст бележе производња прехрамбених производа, моторних возила и металних производа. Такође, још једна потврда добрих резултата на тржишту рада су и подаци НСЗ према којима је у периоду јануар–</w:t>
      </w:r>
      <w:r w:rsidRPr="007E770D">
        <w:rPr>
          <w:rFonts w:cstheme="minorHAnsi"/>
          <w:bCs/>
          <w:color w:val="auto"/>
          <w:szCs w:val="72"/>
          <w:lang w:val="sr-Cyrl-CS"/>
        </w:rPr>
        <w:lastRenderedPageBreak/>
        <w:t>август 2019. године број незапослених лица смањен за 55,6 хиљада, односно за 9,3%, мг.</w:t>
      </w:r>
    </w:p>
    <w:p w14:paraId="42BE5CBB" w14:textId="77777777" w:rsidR="006159C6" w:rsidRPr="007E770D" w:rsidRDefault="006159C6" w:rsidP="00C130D2">
      <w:pPr>
        <w:pStyle w:val="Caption"/>
        <w:keepNext/>
        <w:rPr>
          <w:rFonts w:cstheme="minorHAnsi"/>
          <w:b w:val="0"/>
          <w:i/>
          <w:iCs w:val="0"/>
          <w:color w:val="auto"/>
          <w:szCs w:val="22"/>
          <w:lang w:val="sr-Cyrl-CS"/>
        </w:rPr>
      </w:pPr>
      <w:r w:rsidRPr="007E770D">
        <w:rPr>
          <w:rFonts w:cstheme="minorHAnsi"/>
          <w:iCs w:val="0"/>
          <w:color w:val="auto"/>
          <w:szCs w:val="22"/>
          <w:lang w:val="sr-Cyrl-CS"/>
        </w:rPr>
        <w:t>Кретање основних показатеља тржишта рада</w:t>
      </w:r>
    </w:p>
    <w:p w14:paraId="1BF8488E" w14:textId="77777777" w:rsidR="006159C6" w:rsidRPr="007E770D" w:rsidRDefault="006159C6" w:rsidP="0074685C">
      <w:pPr>
        <w:spacing w:after="0"/>
        <w:rPr>
          <w:rFonts w:cstheme="minorHAnsi"/>
          <w:bCs/>
          <w:color w:val="auto"/>
          <w:szCs w:val="72"/>
          <w:lang w:val="sr-Cyrl-CS"/>
        </w:rPr>
      </w:pPr>
      <w:r w:rsidRPr="007E770D">
        <w:rPr>
          <w:noProof/>
          <w:color w:val="auto"/>
        </w:rPr>
        <w:drawing>
          <wp:inline distT="0" distB="0" distL="0" distR="0" wp14:anchorId="1C9707D2" wp14:editId="6913BC28">
            <wp:extent cx="2743200" cy="1700530"/>
            <wp:effectExtent l="0" t="0" r="0" b="13970"/>
            <wp:docPr id="34" name="Chart 34">
              <a:extLst xmlns:a="http://schemas.openxmlformats.org/drawingml/2006/main">
                <a:ext uri="{FF2B5EF4-FFF2-40B4-BE49-F238E27FC236}">
                  <a16:creationId xmlns:a16="http://schemas.microsoft.com/office/drawing/2014/main" id="{00000000-0008-0000-0C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p w14:paraId="1F04222A" w14:textId="77777777" w:rsidR="006159C6" w:rsidRPr="007E770D" w:rsidRDefault="006159C6" w:rsidP="0074685C">
      <w:pPr>
        <w:spacing w:before="40"/>
        <w:rPr>
          <w:rFonts w:cstheme="minorHAnsi"/>
          <w:bCs/>
          <w:color w:val="auto"/>
          <w:szCs w:val="72"/>
          <w:lang w:val="sr-Cyrl-CS"/>
        </w:rPr>
      </w:pPr>
      <w:r w:rsidRPr="007E770D">
        <w:rPr>
          <w:rFonts w:cstheme="minorHAnsi"/>
          <w:bCs/>
          <w:color w:val="auto"/>
          <w:sz w:val="16"/>
          <w:szCs w:val="72"/>
          <w:lang w:val="sr-Cyrl-CS"/>
        </w:rPr>
        <w:t>Извор: РЗС</w:t>
      </w:r>
    </w:p>
    <w:p w14:paraId="7C9F7008" w14:textId="77777777" w:rsidR="006159C6" w:rsidRPr="007E770D" w:rsidRDefault="006159C6" w:rsidP="00C130D2">
      <w:pPr>
        <w:rPr>
          <w:rFonts w:cstheme="minorHAnsi"/>
          <w:bCs/>
          <w:color w:val="auto"/>
          <w:szCs w:val="72"/>
          <w:lang w:val="sr-Cyrl-CS"/>
        </w:rPr>
      </w:pPr>
      <w:r w:rsidRPr="007E770D">
        <w:rPr>
          <w:rFonts w:cstheme="minorHAnsi"/>
          <w:bCs/>
          <w:color w:val="auto"/>
          <w:szCs w:val="72"/>
          <w:lang w:val="sr-Cyrl-CS"/>
        </w:rPr>
        <w:t>Кретање просечне зараде у периоду после 2015. године значајно је било опредељено увођењем мера фискалне консолидације крајем 2014. године. Тако је просечна нето зарада у периоду од 2015. до 2017. године забележила реални кумулативни раст од 1,3%. Висок раст зарада се бележи од 2018. године, што је делом резултат успешно спроведене фискалне консолидације, чиме је креиран повољан амбијент у којем је отворен простор за повећање зарада. Такође, на раст зарада у овом периоду утицао је снажан привредни раст, а онда и повећана минимална цена рада, прво са 130 динара по радном часу у 2017. години на 143 динара у 2018. години, а затим и на 155,3 динара у 2019. години.</w:t>
      </w:r>
    </w:p>
    <w:p w14:paraId="0B99EDC0" w14:textId="77777777" w:rsidR="006159C6" w:rsidRPr="007E770D" w:rsidRDefault="006159C6" w:rsidP="00C130D2">
      <w:pPr>
        <w:rPr>
          <w:rFonts w:cstheme="minorHAnsi"/>
          <w:bCs/>
          <w:color w:val="auto"/>
          <w:szCs w:val="72"/>
          <w:lang w:val="sr-Cyrl-CS"/>
        </w:rPr>
      </w:pPr>
      <w:r w:rsidRPr="007E770D">
        <w:rPr>
          <w:rFonts w:cstheme="minorHAnsi"/>
          <w:bCs/>
          <w:color w:val="auto"/>
          <w:szCs w:val="72"/>
          <w:lang w:val="sr-Cyrl-CS"/>
        </w:rPr>
        <w:t>У 2018. години РЗС је извршио промену методологије обрачуна просечних зарада, тако што се подаци потребни за рачунање добијају из евиденција Пореске управе. Просечна зарада према новој методологији представља обрачунату зараду за извештајни месец, а просечне зараде по општинама се односе на општину становања запослених. Предности наведених промена огледају се пре свега у побољшању квалитета добијених података, али и већем обухвату података.</w:t>
      </w:r>
    </w:p>
    <w:p w14:paraId="2B42A88E" w14:textId="77777777" w:rsidR="006159C6" w:rsidRPr="007E770D" w:rsidRDefault="006159C6" w:rsidP="00C130D2">
      <w:pPr>
        <w:rPr>
          <w:rFonts w:cstheme="minorHAnsi"/>
          <w:bCs/>
          <w:color w:val="auto"/>
          <w:szCs w:val="72"/>
          <w:lang w:val="sr-Cyrl-CS"/>
        </w:rPr>
      </w:pPr>
      <w:r w:rsidRPr="007E770D">
        <w:rPr>
          <w:rFonts w:cstheme="minorHAnsi"/>
          <w:bCs/>
          <w:color w:val="auto"/>
          <w:szCs w:val="72"/>
          <w:lang w:val="sr-Cyrl-CS"/>
        </w:rPr>
        <w:t xml:space="preserve">Просечна нето зарада у 2018. години је износила 49.650 динара и повећана је номинално за 6,5% и реално за 4,4% у односу на 2017. годину. На овај раст утицало је готово подједнако повећање зарада у јавном и приватном сектору. Посматрано </w:t>
      </w:r>
      <w:r w:rsidRPr="007E770D">
        <w:rPr>
          <w:rFonts w:cstheme="minorHAnsi"/>
          <w:bCs/>
          <w:color w:val="auto"/>
          <w:szCs w:val="72"/>
          <w:lang w:val="sr-Cyrl-CS"/>
        </w:rPr>
        <w:t>према делатностима расту зарада су пре свега допринеле трговина и прерађивачка индустрија. Значајнији допринос укупном расту просечне зараде дале су и следеће области: трговина на мало, јавна управа и одбрана, здравствене делатности, образовање и трговина на велико, затим производња прехрамбених производа, припремање и послуживање хране и пића, копнени саобраћај и цевоводни транспорт и производња одевних предмета. Позитивна кретања настављена су, бржим темпом, у 2019. години, на шта је поред фискалне релаксације утицало и повећање минималне цене рада по радном часу. Тако у периоду јануар–јул просечна нето зарада номинално је повећана за 10,1%, а реално за 7,7%, мг. и износила је 54.278 динара. Повећање просечне нето зараде забележено је у свим регионима, с тим да је највеће било у Београдском региону. Као резултат пре свега мера фискалне релаксације реални раст зарада у јавном сектору је износио 7,4%, а био је подржан и повећањем зарада у приватном сектору од 8,1%. Секторски посматрано највећи допринос расту просечне зараде као и у 2018. години дају трговина и прерађивачка индустрија.</w:t>
      </w:r>
    </w:p>
    <w:p w14:paraId="37492634" w14:textId="1CA765C6" w:rsidR="006159C6" w:rsidRPr="007E770D" w:rsidRDefault="006159C6" w:rsidP="00C130D2">
      <w:pPr>
        <w:rPr>
          <w:rFonts w:cstheme="minorHAnsi"/>
          <w:bCs/>
          <w:color w:val="auto"/>
          <w:szCs w:val="72"/>
          <w:lang w:val="sr-Cyrl-CS"/>
        </w:rPr>
      </w:pPr>
      <w:r w:rsidRPr="007E770D">
        <w:rPr>
          <w:rFonts w:cstheme="minorHAnsi"/>
          <w:bCs/>
          <w:color w:val="auto"/>
          <w:szCs w:val="72"/>
          <w:lang w:val="sr-Cyrl-CS"/>
        </w:rPr>
        <w:t xml:space="preserve">Досадашња изузетно повољна кретања, али и посвећеност Владе повећању броја запослених, као једном од приоритетних циљева економске политике определила су пројекцију за средњорочни период, према којој се очекује наставак позитивних кретања на тржишту рада, а што ће се огледати кроз побољшање свих индикатора тржишта рада, нарочито кроз даље смањивање стопе незапослености, на ниво знатно испод очекиваног претходним пројекцијама. Оваква очекивања, конкретно су резултат континуираног побољшавања услова на тржишту рада, унапређивања институција тржишта рада, подстицања запошљавања и укључивања на тржиште рада теже запошљивих лица, као и подршке регионалној и локалној политици запошљавања. Такође, континуирано се ради на унапређивању радне снаге у погледу квалитета, као и на улагању у људски капитал, све у циљу лакшег општег запошљавања, а нарочито у оном делу привреде који има већу додату вредност. Такође, интензивираним радом инспекцијских служби, а након унапређења радног </w:t>
      </w:r>
      <w:r w:rsidRPr="007E770D">
        <w:rPr>
          <w:rFonts w:cstheme="minorHAnsi"/>
          <w:bCs/>
          <w:color w:val="auto"/>
          <w:szCs w:val="72"/>
          <w:lang w:val="sr-Cyrl-CS"/>
        </w:rPr>
        <w:lastRenderedPageBreak/>
        <w:t>законодавства и донесених мера у правцу пореског растерећења рада, наставиће се смањивање броја запослених у сивој зони и њихово превођење у контингент формално запослених. Овим мерама ће услови рада, у погледу права и осигурања радника, бити побољшани, а позитиван ефекат ће се одразити и на приходе буџета. На крају средњорочног периода очекује се ефектуирање комплексних реформи образовног система и адекватан одговор на потребе привреде, док ће се активним мерама обука, преквалификација и подршке социјалном предузетништву олакшати доступност радних места социјално рањивим категоријама друштва и тиме додатно обезбедити инклузивност привредног раста. У средњем року очекује се наставак повољних кретања на тржишту рада која ће се огледати и кроз даљи раст просечних зарада. Ради економске одрживости, раст зарада у средњем и нарочито дужем року треба да буде заснован на расту продуктивности. То ће захтевати наставак креирања повољних услова за привредни раст, пре свега кроз раст потрошње и привлачење приватних инвестиција.</w:t>
      </w:r>
    </w:p>
    <w:p w14:paraId="0C4B71D6" w14:textId="77777777" w:rsidR="006159C6" w:rsidRPr="007E770D" w:rsidRDefault="006159C6" w:rsidP="00F97457">
      <w:pPr>
        <w:rPr>
          <w:rFonts w:cstheme="minorHAnsi"/>
          <w:b/>
          <w:color w:val="auto"/>
          <w:sz w:val="22"/>
          <w:lang w:val="sr-Cyrl-CS"/>
        </w:rPr>
      </w:pPr>
      <w:r w:rsidRPr="007E770D">
        <w:rPr>
          <w:rFonts w:cstheme="minorHAnsi"/>
          <w:b/>
          <w:color w:val="auto"/>
          <w:sz w:val="22"/>
          <w:lang w:val="sr-Cyrl-CS"/>
        </w:rPr>
        <w:t>Монетарна кретања</w:t>
      </w:r>
    </w:p>
    <w:p w14:paraId="455AC328" w14:textId="77777777" w:rsidR="006159C6" w:rsidRPr="007E770D" w:rsidRDefault="006159C6" w:rsidP="00C130D2">
      <w:pPr>
        <w:rPr>
          <w:rFonts w:cstheme="minorHAnsi"/>
          <w:color w:val="auto"/>
          <w:lang w:val="sr-Cyrl-CS"/>
        </w:rPr>
      </w:pPr>
      <w:r w:rsidRPr="007E770D">
        <w:rPr>
          <w:rFonts w:cstheme="minorHAnsi"/>
          <w:color w:val="auto"/>
          <w:lang w:val="sr-Cyrl-CS"/>
        </w:rPr>
        <w:t>Имајући у виду средњорочну пројекцију инфлације и кретање других макроекономских показатеља из домаћег и међународног окружења, као и присутне ниске инфлаторне притиске, НБС је у 2019. години, закључно са октобарском седницом Извршног одбора, два пута снижавала референтну каматну стопу, за по 0,25 п. п. у јулу и августу, на нови најнижи ниво у режиму циљања инфлације од 2,5%. Релаксирањем монетарне политике НБС пружа подршку расту кредитне и привредне активности. Стопа девизне обавезне резерве је на нивоу с почетка 2016. године, када је последњи пут смањена и износи 20% за обавезу рочности до две године, односно 13% за обавезу рочности преко две године. У складу са стратегијом динаризације, актуелне стопе обавезне динарске резерве за рочност до две године и преко две године су ниже и износе 5,0% и 0,0%, респективно.</w:t>
      </w:r>
    </w:p>
    <w:p w14:paraId="45FDBA03" w14:textId="77777777" w:rsidR="006159C6" w:rsidRPr="007E770D" w:rsidRDefault="006159C6" w:rsidP="00C130D2">
      <w:pPr>
        <w:rPr>
          <w:rFonts w:cstheme="minorHAnsi"/>
          <w:color w:val="auto"/>
          <w:lang w:val="sr-Cyrl-CS"/>
        </w:rPr>
      </w:pPr>
      <w:r w:rsidRPr="007E770D">
        <w:rPr>
          <w:rFonts w:cstheme="minorHAnsi"/>
          <w:color w:val="auto"/>
          <w:lang w:val="sr-Cyrl-CS"/>
        </w:rPr>
        <w:t xml:space="preserve">Кредитна активност бележи високе стопе раста, паралелно са решавањем проблематичних кредита. Раст кредитне активности подржан је </w:t>
      </w:r>
      <w:r w:rsidRPr="007E770D">
        <w:rPr>
          <w:rFonts w:cstheme="minorHAnsi"/>
          <w:color w:val="auto"/>
          <w:lang w:val="sr-Cyrl-CS"/>
        </w:rPr>
        <w:t>привредним растом, побољшањима на тржишту рада и повољним условима задуживања. Позитиван допринос расту кредита дали су и привреда и становништво, а задржана је и повољна структура кредита, пре свега код привреде, где су инвестициони кредити премашили кредите за обртна средства. Крајем августа 2019. године регистрован је номинални раст укупних кредита за 10,1%, мг. Кредити привреди били су већи за 11,6%, а кредити становништву за 8,4%. Уколико би се искључио ефекат отписа и продаје проблематичних кредита код привреде, међугодишњи раст кредита привреди, као и укупних кредита био би још израженији. Стратегијом за смањење нивоа проблематичних кредита, чија је примена започета у другој половини 2015. године, учешће проблематичних кредита банкарског сектора у укупним кредитима значајно је смањено за више од 17 п. п. и на крају августа 2019. године износило је 4,9%. Тако је стање проблематичних кредита за четири године снижено за преко 70%, а њихово учешће у укупним кредитима спуштено на најнижи ниво од када се прати.</w:t>
      </w:r>
    </w:p>
    <w:p w14:paraId="31D5CED2" w14:textId="77777777" w:rsidR="006159C6" w:rsidRPr="007E770D" w:rsidRDefault="006159C6" w:rsidP="00C130D2">
      <w:pPr>
        <w:pStyle w:val="Caption"/>
        <w:keepNext/>
        <w:rPr>
          <w:rFonts w:cstheme="minorHAnsi"/>
          <w:b w:val="0"/>
          <w:i/>
          <w:iCs w:val="0"/>
          <w:color w:val="auto"/>
          <w:szCs w:val="22"/>
          <w:lang w:val="sr-Cyrl-CS"/>
        </w:rPr>
      </w:pPr>
      <w:r w:rsidRPr="007E770D">
        <w:rPr>
          <w:rFonts w:cstheme="minorHAnsi"/>
          <w:iCs w:val="0"/>
          <w:color w:val="auto"/>
          <w:szCs w:val="22"/>
          <w:lang w:val="sr-Cyrl-CS"/>
        </w:rPr>
        <w:t>Проблематични кредити, млрд РСД</w:t>
      </w:r>
    </w:p>
    <w:p w14:paraId="726C1DEF" w14:textId="4CF60B1E" w:rsidR="006159C6" w:rsidRPr="007E770D" w:rsidRDefault="0020784A" w:rsidP="00C130D2">
      <w:pPr>
        <w:rPr>
          <w:rFonts w:cstheme="minorHAnsi"/>
          <w:bCs/>
          <w:color w:val="auto"/>
          <w:szCs w:val="72"/>
          <w:highlight w:val="yellow"/>
          <w:lang w:val="sr-Cyrl-CS"/>
        </w:rPr>
      </w:pPr>
      <w:r w:rsidRPr="007E770D">
        <w:rPr>
          <w:noProof/>
          <w:color w:val="auto"/>
        </w:rPr>
        <w:drawing>
          <wp:inline distT="0" distB="0" distL="0" distR="0" wp14:anchorId="16154F93" wp14:editId="42E68CCA">
            <wp:extent cx="2743200" cy="1675130"/>
            <wp:effectExtent l="0" t="0" r="0" b="1270"/>
            <wp:docPr id="1" name="Chart 1">
              <a:extLst xmlns:a="http://schemas.openxmlformats.org/drawingml/2006/main">
                <a:ext uri="{FF2B5EF4-FFF2-40B4-BE49-F238E27FC236}">
                  <a16:creationId xmlns:a16="http://schemas.microsoft.com/office/drawing/2014/main" id="{00000000-0008-0000-11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p w14:paraId="38C55D40" w14:textId="77777777" w:rsidR="006159C6" w:rsidRPr="007E770D" w:rsidRDefault="006159C6" w:rsidP="00C130D2">
      <w:pPr>
        <w:rPr>
          <w:rFonts w:cstheme="minorHAnsi"/>
          <w:color w:val="auto"/>
          <w:lang w:val="sr-Cyrl-CS"/>
        </w:rPr>
      </w:pPr>
      <w:r w:rsidRPr="007E770D">
        <w:rPr>
          <w:rFonts w:cstheme="minorHAnsi"/>
          <w:bCs/>
          <w:color w:val="auto"/>
          <w:sz w:val="16"/>
          <w:szCs w:val="72"/>
          <w:lang w:val="sr-Cyrl-CS"/>
        </w:rPr>
        <w:t>Извор: НБС</w:t>
      </w:r>
    </w:p>
    <w:p w14:paraId="06972ACF" w14:textId="2D511FB5" w:rsidR="006159C6" w:rsidRPr="007E770D" w:rsidRDefault="006159C6" w:rsidP="00592092">
      <w:pPr>
        <w:rPr>
          <w:rFonts w:cstheme="minorHAnsi"/>
          <w:bCs/>
          <w:color w:val="auto"/>
          <w:szCs w:val="72"/>
          <w:lang w:val="sr-Cyrl-CS"/>
        </w:rPr>
      </w:pPr>
      <w:r w:rsidRPr="007E770D">
        <w:rPr>
          <w:rFonts w:cstheme="minorHAnsi"/>
          <w:bCs/>
          <w:color w:val="auto"/>
          <w:szCs w:val="72"/>
          <w:lang w:val="sr-Cyrl-CS"/>
        </w:rPr>
        <w:t xml:space="preserve">Кретања на девизном тржишту у 2018. години обележила је релативна стабилност девизног курса, уз преовладавање апрецијацијских притисака. Под утицајем, пре свега веће тражње увозника енергената за девизама, у јануару 2019. године су преовладали благи депрецијацијски притисци. Међутим, пре свега добри извозни резултати, као и висок ниво директних страних инвестиција, утицали су да од фебруара поново буду присутни апрецијацијски притисци. На </w:t>
      </w:r>
      <w:r w:rsidRPr="007E770D">
        <w:rPr>
          <w:rFonts w:cstheme="minorHAnsi"/>
          <w:bCs/>
          <w:color w:val="auto"/>
          <w:szCs w:val="72"/>
          <w:lang w:val="sr-Cyrl-CS"/>
        </w:rPr>
        <w:lastRenderedPageBreak/>
        <w:t>јачање апрецијацијских притисака утицало је и повећање нето индексиране имовине банака, релативно висок откуп ефективног страног новца и нето продужење девизне позиције банака по основу коришћења платних картица нерезидената. Ипак, кретања на девизном тржишту карактерише стабилност, која је подстакнута повољном макроекономском ситуацијом и смањеном премијом ризика. Девизни курс је у периоду јануар–септембар у просеку номинално апрецирао за 0,2% на међугодишњем нивоу. Како би ублажила прекомерне краткорочне осцилације курса, НБС је интервенисала на међубанкарском девизном тржишту, и то у јануару продајом 130 мил. евра, а у периоду фебруар–септембар нето куповином 2,2 млрд евра.</w:t>
      </w:r>
    </w:p>
    <w:p w14:paraId="7051F068" w14:textId="77777777" w:rsidR="006159C6" w:rsidRPr="007E770D" w:rsidRDefault="006159C6" w:rsidP="00C130D2">
      <w:pPr>
        <w:pStyle w:val="Caption"/>
        <w:keepNext/>
        <w:rPr>
          <w:rFonts w:cstheme="minorHAnsi"/>
          <w:b w:val="0"/>
          <w:i/>
          <w:iCs w:val="0"/>
          <w:color w:val="auto"/>
          <w:szCs w:val="22"/>
          <w:lang w:val="sr-Cyrl-CS"/>
        </w:rPr>
      </w:pPr>
      <w:r w:rsidRPr="007E770D">
        <w:rPr>
          <w:rFonts w:cstheme="minorHAnsi"/>
          <w:iCs w:val="0"/>
          <w:color w:val="auto"/>
          <w:szCs w:val="22"/>
          <w:lang w:val="sr-Cyrl-CS"/>
        </w:rPr>
        <w:t>Девизни курс и интервенције НБС на девизном тржишту</w:t>
      </w:r>
    </w:p>
    <w:p w14:paraId="1280C23E" w14:textId="77777777" w:rsidR="006159C6" w:rsidRPr="007E770D" w:rsidRDefault="006159C6" w:rsidP="00C130D2">
      <w:pPr>
        <w:rPr>
          <w:rFonts w:cstheme="minorHAnsi"/>
          <w:bCs/>
          <w:color w:val="auto"/>
          <w:szCs w:val="72"/>
          <w:lang w:val="sr-Cyrl-CS"/>
        </w:rPr>
      </w:pPr>
      <w:r w:rsidRPr="007E770D">
        <w:rPr>
          <w:noProof/>
          <w:color w:val="auto"/>
        </w:rPr>
        <w:drawing>
          <wp:inline distT="0" distB="0" distL="0" distR="0" wp14:anchorId="0B5B7C08" wp14:editId="4FB1F348">
            <wp:extent cx="2743200" cy="1694180"/>
            <wp:effectExtent l="0" t="0" r="0" b="1270"/>
            <wp:docPr id="36" name="Chart 36">
              <a:extLst xmlns:a="http://schemas.openxmlformats.org/drawingml/2006/main">
                <a:ext uri="{FF2B5EF4-FFF2-40B4-BE49-F238E27FC236}">
                  <a16:creationId xmlns:a16="http://schemas.microsoft.com/office/drawing/2014/main" id="{00000000-0008-0000-10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p w14:paraId="70A86CC2" w14:textId="77777777" w:rsidR="006159C6" w:rsidRPr="007E770D" w:rsidRDefault="006159C6" w:rsidP="00C130D2">
      <w:pPr>
        <w:rPr>
          <w:rFonts w:cstheme="minorHAnsi"/>
          <w:bCs/>
          <w:color w:val="auto"/>
          <w:szCs w:val="72"/>
          <w:lang w:val="sr-Cyrl-CS"/>
        </w:rPr>
      </w:pPr>
      <w:r w:rsidRPr="007E770D">
        <w:rPr>
          <w:rFonts w:cstheme="minorHAnsi"/>
          <w:bCs/>
          <w:color w:val="auto"/>
          <w:sz w:val="16"/>
          <w:szCs w:val="72"/>
          <w:lang w:val="sr-Cyrl-CS"/>
        </w:rPr>
        <w:t>Извор: НБС</w:t>
      </w:r>
    </w:p>
    <w:p w14:paraId="08613D13" w14:textId="77777777" w:rsidR="006159C6" w:rsidRPr="007E770D" w:rsidRDefault="006159C6" w:rsidP="00592092">
      <w:pPr>
        <w:rPr>
          <w:rFonts w:cstheme="minorHAnsi"/>
          <w:bCs/>
          <w:color w:val="auto"/>
          <w:szCs w:val="72"/>
          <w:lang w:val="sr-Cyrl-CS"/>
        </w:rPr>
      </w:pPr>
      <w:r w:rsidRPr="007E770D">
        <w:rPr>
          <w:rFonts w:cstheme="minorHAnsi"/>
          <w:bCs/>
          <w:color w:val="auto"/>
          <w:szCs w:val="72"/>
          <w:lang w:val="sr-Cyrl-CS"/>
        </w:rPr>
        <w:t>Девизне резерве су крајем септембра међугодишње повећане за 2,1 млрд евра и износиле су 13,3 млрд евра, што је највећи ниво од када се прате. То је било довољно за покривеност новчане масе М1 од 188% и за шест месеци увоза робе и услуга. На раст девизних резерви највећим делом су утицале интервенције НБС на домаћем девизном тржишту, нето куповином девиза у износу од 2,1 млрд евра у последњих девет месеци.</w:t>
      </w:r>
    </w:p>
    <w:p w14:paraId="1570B947" w14:textId="77777777" w:rsidR="006159C6" w:rsidRPr="007E770D" w:rsidRDefault="006159C6" w:rsidP="00E31C39">
      <w:pPr>
        <w:pStyle w:val="Caption"/>
        <w:keepNext/>
        <w:rPr>
          <w:rFonts w:cstheme="minorHAnsi"/>
          <w:b w:val="0"/>
          <w:i/>
          <w:iCs w:val="0"/>
          <w:color w:val="auto"/>
          <w:szCs w:val="22"/>
          <w:lang w:val="sr-Cyrl-CS"/>
        </w:rPr>
      </w:pPr>
      <w:r w:rsidRPr="007E770D">
        <w:rPr>
          <w:rFonts w:cstheme="minorHAnsi"/>
          <w:iCs w:val="0"/>
          <w:color w:val="auto"/>
          <w:szCs w:val="22"/>
          <w:lang w:val="sr-Cyrl-CS"/>
        </w:rPr>
        <w:t>Девизне резерве и девизна штедња, млрд евра</w:t>
      </w:r>
    </w:p>
    <w:p w14:paraId="20809530" w14:textId="77777777" w:rsidR="006159C6" w:rsidRPr="007E770D" w:rsidRDefault="006159C6" w:rsidP="00C130D2">
      <w:pPr>
        <w:spacing w:after="0"/>
        <w:rPr>
          <w:rFonts w:cstheme="minorHAnsi"/>
          <w:bCs/>
          <w:color w:val="auto"/>
          <w:szCs w:val="72"/>
          <w:lang w:val="sr-Cyrl-CS"/>
        </w:rPr>
      </w:pPr>
      <w:r w:rsidRPr="007E770D">
        <w:rPr>
          <w:noProof/>
          <w:color w:val="auto"/>
        </w:rPr>
        <w:drawing>
          <wp:inline distT="0" distB="0" distL="0" distR="0" wp14:anchorId="78CEE9B8" wp14:editId="34E92C82">
            <wp:extent cx="2743200" cy="1799590"/>
            <wp:effectExtent l="0" t="0" r="0" b="0"/>
            <wp:docPr id="37" name="Chart 37">
              <a:extLst xmlns:a="http://schemas.openxmlformats.org/drawingml/2006/main">
                <a:ext uri="{FF2B5EF4-FFF2-40B4-BE49-F238E27FC236}">
                  <a16:creationId xmlns:a16="http://schemas.microsoft.com/office/drawing/2014/main" id="{00000000-0008-0000-0F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p w14:paraId="7FE81558" w14:textId="77777777" w:rsidR="006159C6" w:rsidRPr="007E770D" w:rsidRDefault="006159C6" w:rsidP="00592092">
      <w:pPr>
        <w:rPr>
          <w:rFonts w:cstheme="minorHAnsi"/>
          <w:bCs/>
          <w:color w:val="auto"/>
          <w:szCs w:val="72"/>
          <w:lang w:val="sr-Cyrl-CS"/>
        </w:rPr>
      </w:pPr>
      <w:r w:rsidRPr="007E770D">
        <w:rPr>
          <w:rFonts w:cstheme="minorHAnsi"/>
          <w:bCs/>
          <w:color w:val="auto"/>
          <w:sz w:val="16"/>
          <w:szCs w:val="72"/>
          <w:lang w:val="sr-Cyrl-CS"/>
        </w:rPr>
        <w:t>Извор: НБС</w:t>
      </w:r>
    </w:p>
    <w:p w14:paraId="0587D90B" w14:textId="77777777" w:rsidR="006159C6" w:rsidRPr="007E770D" w:rsidRDefault="006159C6" w:rsidP="00C130D2">
      <w:pPr>
        <w:rPr>
          <w:rFonts w:cstheme="minorHAnsi"/>
          <w:bCs/>
          <w:color w:val="auto"/>
          <w:szCs w:val="72"/>
          <w:lang w:val="sr-Cyrl-CS"/>
        </w:rPr>
      </w:pPr>
      <w:r w:rsidRPr="007E770D">
        <w:rPr>
          <w:rFonts w:cstheme="minorHAnsi"/>
          <w:bCs/>
          <w:color w:val="auto"/>
          <w:szCs w:val="72"/>
          <w:lang w:val="sr-Cyrl-CS"/>
        </w:rPr>
        <w:t>Инфлација се од почетка 2017. године углавном кретала у границама дозвољеног одступања од циља НБС (3 ± 1,5%), са изузетком марта и априла 2018 и августа и септембра 2019. године, када је под утицајем базног ефекта била благо испод доње границе дозвољеног одступања од циља. Као резултат, пре свега ниских инфлаторних притисака, а подржано стабилним кретањима на девизном тржишту, као и добрим фискалним резултатима, инфлација у 2019. години се креће на ниском нивоу. У периоду јануар–септембар потрошачке цене су у просеку порасле за 2,0% мг, а највећи раст од 3,1% мг. забележен је у априлу. Да је инфлација ниска и стабилна указују и подаци о базној инфлацији, тј. стопи раста потрошачких цена по искључењу цена хране, енергије, алкохола и цигарета. Она се у периоду од августа 2017. до септембра 2019. године кретала у распону од најниже вредности од 0,8% до највише од 1,5%, мг. Међугодишња инфлација у септембру је износила 1,1%. Највећи утицај на инфлацију у овом периоду имало је пре свега повећање цена дувана, свињског меса и туристичких аранжмана, чији је раст у збиру утицао на око две трећине укупног раста потрошачких цена.</w:t>
      </w:r>
    </w:p>
    <w:p w14:paraId="479E2914" w14:textId="77777777" w:rsidR="006159C6" w:rsidRPr="007E770D" w:rsidRDefault="006159C6" w:rsidP="00C130D2">
      <w:pPr>
        <w:pStyle w:val="Caption"/>
        <w:keepNext/>
        <w:rPr>
          <w:rFonts w:cstheme="minorHAnsi"/>
          <w:b w:val="0"/>
          <w:iCs w:val="0"/>
          <w:color w:val="auto"/>
          <w:szCs w:val="22"/>
          <w:lang w:val="sr-Cyrl-CS"/>
        </w:rPr>
      </w:pPr>
      <w:r w:rsidRPr="007E770D">
        <w:rPr>
          <w:rFonts w:cstheme="minorHAnsi"/>
          <w:iCs w:val="0"/>
          <w:color w:val="auto"/>
          <w:szCs w:val="22"/>
          <w:lang w:val="sr-Cyrl-CS"/>
        </w:rPr>
        <w:lastRenderedPageBreak/>
        <w:t>Инфлација и референтна каматна стопа, %</w:t>
      </w:r>
    </w:p>
    <w:p w14:paraId="199AB2F1" w14:textId="77777777" w:rsidR="006159C6" w:rsidRPr="007E770D" w:rsidRDefault="006159C6" w:rsidP="00C130D2">
      <w:pPr>
        <w:rPr>
          <w:rFonts w:cstheme="minorHAnsi"/>
          <w:bCs/>
          <w:color w:val="auto"/>
          <w:szCs w:val="72"/>
          <w:highlight w:val="yellow"/>
          <w:lang w:val="sr-Cyrl-CS"/>
        </w:rPr>
      </w:pPr>
      <w:r w:rsidRPr="007E770D">
        <w:rPr>
          <w:noProof/>
          <w:color w:val="auto"/>
        </w:rPr>
        <w:drawing>
          <wp:inline distT="0" distB="0" distL="0" distR="0" wp14:anchorId="705D4A05" wp14:editId="45ED9701">
            <wp:extent cx="2743200" cy="1737360"/>
            <wp:effectExtent l="0" t="0" r="0" b="0"/>
            <wp:docPr id="43" name="Chart 43">
              <a:extLst xmlns:a="http://schemas.openxmlformats.org/drawingml/2006/main">
                <a:ext uri="{FF2B5EF4-FFF2-40B4-BE49-F238E27FC236}">
                  <a16:creationId xmlns:a16="http://schemas.microsoft.com/office/drawing/2014/main" id="{00000000-0008-0000-0D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p w14:paraId="5ECF96C0" w14:textId="77777777" w:rsidR="006159C6" w:rsidRPr="007E770D" w:rsidRDefault="006159C6" w:rsidP="00C130D2">
      <w:pPr>
        <w:rPr>
          <w:rFonts w:cstheme="minorHAnsi"/>
          <w:bCs/>
          <w:color w:val="auto"/>
          <w:szCs w:val="72"/>
          <w:lang w:val="sr-Cyrl-CS"/>
        </w:rPr>
      </w:pPr>
      <w:r w:rsidRPr="007E770D">
        <w:rPr>
          <w:rFonts w:cstheme="minorHAnsi"/>
          <w:bCs/>
          <w:color w:val="auto"/>
          <w:sz w:val="16"/>
          <w:szCs w:val="72"/>
          <w:lang w:val="sr-Cyrl-CS"/>
        </w:rPr>
        <w:t>Извор: НБС</w:t>
      </w:r>
    </w:p>
    <w:p w14:paraId="5CD71D5D" w14:textId="77777777" w:rsidR="006159C6" w:rsidRPr="007E770D" w:rsidRDefault="006159C6" w:rsidP="00C130D2">
      <w:pPr>
        <w:rPr>
          <w:rFonts w:cstheme="minorHAnsi"/>
          <w:bCs/>
          <w:color w:val="auto"/>
          <w:szCs w:val="72"/>
          <w:highlight w:val="yellow"/>
          <w:lang w:val="sr-Cyrl-CS"/>
        </w:rPr>
      </w:pPr>
      <w:r w:rsidRPr="007E770D">
        <w:rPr>
          <w:rFonts w:cstheme="minorHAnsi"/>
          <w:bCs/>
          <w:color w:val="auto"/>
          <w:szCs w:val="72"/>
          <w:lang w:val="sr-Cyrl-CS"/>
        </w:rPr>
        <w:t>Средњорочна пројекција инфлације заснована је на очекиваним кретањима у домаћем и међународном окружењу. Процењује се да ће се инфлација у средњем року кретати на ниском нивоу, у доњем делу циљаног коридора НБС (3±1,5%) са постепеним приближавањем средишњој вредности циља ближећи се крају пројекцијског периода. На ублажавање инфлације утицаће и даље присутни ниски трошковни притисци и одрживи раст агрегатне тражње. У супротном правцу ће утицати постепено слабљење ефеката апрецијације девизног курса, као и нешто већи раст регулисаних цена него претходних година, али и ниска база код цене поврћа. Кључни ризици остварења пројекције инфлације односе се на кретања у међународном окружењу, а посебно на неизвесности у погледу кретања на светском тржишту примарних производа и финансијском тржишту.</w:t>
      </w:r>
    </w:p>
    <w:p w14:paraId="438E5BEA" w14:textId="77777777" w:rsidR="006159C6" w:rsidRPr="007E770D" w:rsidRDefault="006159C6" w:rsidP="00C130D2">
      <w:pPr>
        <w:pStyle w:val="Caption"/>
        <w:keepNext/>
        <w:rPr>
          <w:rFonts w:cstheme="minorHAnsi"/>
          <w:b w:val="0"/>
          <w:i/>
          <w:iCs w:val="0"/>
          <w:color w:val="auto"/>
          <w:szCs w:val="22"/>
          <w:lang w:val="sr-Cyrl-CS"/>
        </w:rPr>
      </w:pPr>
      <w:r w:rsidRPr="007E770D">
        <w:rPr>
          <w:rFonts w:cstheme="minorHAnsi"/>
          <w:iCs w:val="0"/>
          <w:color w:val="auto"/>
          <w:szCs w:val="22"/>
          <w:lang w:val="sr-Cyrl-CS"/>
        </w:rPr>
        <w:t>Пројекција инфлације, %</w:t>
      </w:r>
    </w:p>
    <w:p w14:paraId="476905C3" w14:textId="77777777" w:rsidR="006159C6" w:rsidRPr="007E770D" w:rsidRDefault="006159C6" w:rsidP="00C130D2">
      <w:pPr>
        <w:rPr>
          <w:rFonts w:cstheme="minorHAnsi"/>
          <w:color w:val="auto"/>
          <w:sz w:val="16"/>
          <w:szCs w:val="16"/>
          <w:lang w:val="sr-Cyrl-CS"/>
        </w:rPr>
      </w:pPr>
      <w:r w:rsidRPr="007E770D">
        <w:rPr>
          <w:noProof/>
          <w:color w:val="auto"/>
        </w:rPr>
        <w:drawing>
          <wp:inline distT="0" distB="0" distL="0" distR="0" wp14:anchorId="46C6DE80" wp14:editId="5652A5DF">
            <wp:extent cx="2743200" cy="1703705"/>
            <wp:effectExtent l="0" t="0" r="0" b="0"/>
            <wp:docPr id="44" name="Chart 44">
              <a:extLst xmlns:a="http://schemas.openxmlformats.org/drawingml/2006/main">
                <a:ext uri="{FF2B5EF4-FFF2-40B4-BE49-F238E27FC236}">
                  <a16:creationId xmlns:a16="http://schemas.microsoft.com/office/drawing/2014/main" id="{00000000-0008-0000-0E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p w14:paraId="230ED6F1" w14:textId="77777777" w:rsidR="006159C6" w:rsidRPr="007E770D" w:rsidRDefault="006159C6" w:rsidP="00B435B3">
      <w:pPr>
        <w:rPr>
          <w:rFonts w:cstheme="minorHAnsi"/>
          <w:bCs/>
          <w:color w:val="auto"/>
          <w:sz w:val="16"/>
          <w:szCs w:val="72"/>
          <w:lang w:val="sr-Cyrl-CS"/>
        </w:rPr>
      </w:pPr>
      <w:r w:rsidRPr="007E770D">
        <w:rPr>
          <w:rFonts w:cstheme="minorHAnsi"/>
          <w:bCs/>
          <w:color w:val="auto"/>
          <w:sz w:val="16"/>
          <w:szCs w:val="72"/>
          <w:lang w:val="sr-Cyrl-CS"/>
        </w:rPr>
        <w:t>Извор: НБС и Министарство финансија</w:t>
      </w:r>
    </w:p>
    <w:p w14:paraId="35BBB05C" w14:textId="3DEB7555" w:rsidR="006159C6" w:rsidRPr="007E770D" w:rsidRDefault="006159C6">
      <w:pPr>
        <w:jc w:val="left"/>
        <w:rPr>
          <w:color w:val="auto"/>
          <w:lang w:val="sr-Cyrl-CS"/>
        </w:rPr>
      </w:pPr>
    </w:p>
    <w:p w14:paraId="1EB18EC2" w14:textId="77777777" w:rsidR="006159C6" w:rsidRPr="007E770D" w:rsidRDefault="006159C6" w:rsidP="00B435B3">
      <w:pPr>
        <w:jc w:val="left"/>
        <w:rPr>
          <w:color w:val="auto"/>
          <w:lang w:val="sr-Cyrl-CS"/>
        </w:rPr>
      </w:pPr>
      <w:r w:rsidRPr="007E770D">
        <w:rPr>
          <w:rFonts w:cstheme="minorHAnsi"/>
          <w:b/>
          <w:color w:val="auto"/>
          <w:sz w:val="22"/>
          <w:lang w:val="sr-Cyrl-CS"/>
        </w:rPr>
        <w:t>Екстерни сектор</w:t>
      </w:r>
    </w:p>
    <w:p w14:paraId="1CBE7222" w14:textId="77777777" w:rsidR="006159C6" w:rsidRPr="007E770D" w:rsidRDefault="006159C6" w:rsidP="00B435B3">
      <w:pPr>
        <w:rPr>
          <w:rFonts w:cstheme="minorHAnsi"/>
          <w:bCs/>
          <w:color w:val="auto"/>
          <w:szCs w:val="72"/>
          <w:lang w:val="sr-Cyrl-CS"/>
        </w:rPr>
      </w:pPr>
      <w:r w:rsidRPr="007E770D">
        <w:rPr>
          <w:rFonts w:cstheme="minorHAnsi"/>
          <w:bCs/>
          <w:color w:val="auto"/>
          <w:spacing w:val="2"/>
          <w:szCs w:val="72"/>
          <w:lang w:val="sr-Cyrl-CS"/>
        </w:rPr>
        <w:t xml:space="preserve">У 2018. години обим спољнотрговинске размене забележио је раст и међугодишње посматрано већи је за 3,8 млрд евра. Експанзија у овом сегменту економске активности праћена је бржим растом робног увоза, који је увећан за 13,0%, док је извоз остварио раст од 8,2%. Оваквом динамиком извозно-увозних токова спољнотрговински дефицит је повећан за 29,7%. </w:t>
      </w:r>
      <w:r w:rsidRPr="007E770D">
        <w:rPr>
          <w:rFonts w:cstheme="minorHAnsi"/>
          <w:bCs/>
          <w:color w:val="auto"/>
          <w:szCs w:val="72"/>
          <w:lang w:val="sr-Cyrl-CS"/>
        </w:rPr>
        <w:t>Међутим, то повећање је највећим делом опредељено већим потребама привреде за репроматеријалом и опремом, којих је увезено више за 1,7 млрд евра, док је увоз потрошне робе био већи за 421,8 милиона евра. Посматрано према структури, увозна активност опредељена производним потребама привреде допринела је расту са 8,6 п. п. док је допринос потрошно орјентисане компоненте износио 2,2 п. п. Раст извоза робе у овом периоду вођен је извозом основних метала и производа од гуме и пластике. Такође, значајан допринос расту извоза дале су хемијска, машинска и нафтна индустрија. Ових пет делатности опредељује око две трећине раста извоза у овом периоду и још једна је потврда значаја СДИ за нашу привреду.</w:t>
      </w:r>
    </w:p>
    <w:p w14:paraId="512D4B08" w14:textId="77777777" w:rsidR="006159C6" w:rsidRPr="007E770D" w:rsidRDefault="006159C6" w:rsidP="00B435B3">
      <w:pPr>
        <w:pStyle w:val="NoSpacing"/>
        <w:jc w:val="center"/>
        <w:rPr>
          <w:rFonts w:cstheme="minorHAnsi"/>
          <w:color w:val="auto"/>
          <w:lang w:val="sr-Cyrl-CS"/>
        </w:rPr>
      </w:pPr>
      <w:r w:rsidRPr="007E770D">
        <w:rPr>
          <w:rFonts w:cstheme="minorHAnsi"/>
          <w:color w:val="auto"/>
          <w:lang w:val="sr-Cyrl-CS"/>
        </w:rPr>
        <w:t>Доприноси стопи раста увоза, економска намена, п. п.</w:t>
      </w:r>
    </w:p>
    <w:p w14:paraId="51A45316" w14:textId="333AAC40" w:rsidR="006159C6" w:rsidRPr="007E770D" w:rsidRDefault="006159C6" w:rsidP="00B435B3">
      <w:pPr>
        <w:spacing w:after="120"/>
        <w:rPr>
          <w:rFonts w:cstheme="minorHAnsi"/>
          <w:bCs/>
          <w:color w:val="auto"/>
          <w:szCs w:val="72"/>
          <w:lang w:val="sr-Cyrl-CS"/>
        </w:rPr>
      </w:pPr>
      <w:r w:rsidRPr="007E770D">
        <w:rPr>
          <w:noProof/>
          <w:color w:val="auto"/>
        </w:rPr>
        <w:drawing>
          <wp:inline distT="0" distB="0" distL="0" distR="0" wp14:anchorId="7F1EF1E4" wp14:editId="6132A632">
            <wp:extent cx="2743200" cy="1692000"/>
            <wp:effectExtent l="0" t="0" r="0" b="3810"/>
            <wp:docPr id="46" name="Chart 46"/>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p w14:paraId="6CEEE19F" w14:textId="0869587B" w:rsidR="00252092" w:rsidRPr="007E770D" w:rsidRDefault="00252092" w:rsidP="00B435B3">
      <w:pPr>
        <w:spacing w:after="120"/>
        <w:rPr>
          <w:rFonts w:cstheme="minorHAnsi"/>
          <w:bCs/>
          <w:color w:val="auto"/>
          <w:szCs w:val="72"/>
          <w:lang w:val="sr-Cyrl-CS"/>
        </w:rPr>
      </w:pPr>
      <w:r w:rsidRPr="007E770D">
        <w:rPr>
          <w:rFonts w:cstheme="minorHAnsi"/>
          <w:bCs/>
          <w:color w:val="auto"/>
          <w:sz w:val="16"/>
          <w:szCs w:val="52"/>
          <w:lang w:val="sr-Cyrl-CS"/>
        </w:rPr>
        <w:t>Извор: РЗС</w:t>
      </w:r>
    </w:p>
    <w:p w14:paraId="28146363" w14:textId="77777777" w:rsidR="006159C6" w:rsidRPr="007E770D" w:rsidRDefault="006159C6" w:rsidP="00B435B3">
      <w:pPr>
        <w:rPr>
          <w:rFonts w:cstheme="minorHAnsi"/>
          <w:bCs/>
          <w:color w:val="auto"/>
          <w:szCs w:val="72"/>
          <w:lang w:val="sr-Cyrl-CS"/>
        </w:rPr>
      </w:pPr>
      <w:r w:rsidRPr="007E770D">
        <w:rPr>
          <w:rFonts w:cstheme="minorHAnsi"/>
          <w:bCs/>
          <w:color w:val="auto"/>
          <w:szCs w:val="72"/>
          <w:lang w:val="sr-Cyrl-CS"/>
        </w:rPr>
        <w:t xml:space="preserve">Током првих осам месеци 2019. године, обим спољнотрговинске размене је наставио да бележи раст, при чему је међугодишње посматрано већи за 2 млрд евра. Извезено је робе (ф.о.б) за 11,5 млрд евра, а увезено за 15,4 млрд евра (ц.и.ф), што је повећање од 6,9% мг. и 8,7% мг, респективно. Прерађивачка индустрија је наставила да буде носилац раста робног извоза и током првих осам месеци 2019. године. У оквиру овог сектора </w:t>
      </w:r>
      <w:r w:rsidRPr="007E770D">
        <w:rPr>
          <w:rFonts w:cstheme="minorHAnsi"/>
          <w:bCs/>
          <w:color w:val="auto"/>
          <w:szCs w:val="72"/>
          <w:lang w:val="sr-Cyrl-CS"/>
        </w:rPr>
        <w:lastRenderedPageBreak/>
        <w:t>најзначајнији допринос обезбеђује извоз електричне опреме, машина, производа од гуме и пластике као и извоз прехрамбених производа, који чине више од две трећине раста извоза у посматраном периоду. Добра пољопривредна сезона обезбедила је позитиван допринос сектора пољопривреде расту извоза. Као и у претходном периоду, повећање увоза највећим делом последица је већих потреба привреде за репроматеријалом и опремом чији је допринос укупном расту увоза износио 5,2 п. п. У оквиру прерађивачке индустрије најзначајнији суфицит у овом периоду бележе прехрамбена индустрија, производња производа од гуме и пластике, производња моторних возила и производња намештаја. У периоду јануар–август 2019. године, покривеност робног увоза извозом изражена у еврима, износила је 74,6%.</w:t>
      </w:r>
    </w:p>
    <w:p w14:paraId="31359220" w14:textId="77777777" w:rsidR="006159C6" w:rsidRPr="007E770D" w:rsidRDefault="006159C6" w:rsidP="00B435B3">
      <w:pPr>
        <w:rPr>
          <w:rFonts w:cstheme="minorHAnsi"/>
          <w:bCs/>
          <w:color w:val="auto"/>
          <w:szCs w:val="72"/>
          <w:lang w:val="sr-Cyrl-CS"/>
        </w:rPr>
      </w:pPr>
      <w:r w:rsidRPr="007E770D">
        <w:rPr>
          <w:rFonts w:cstheme="minorHAnsi"/>
          <w:bCs/>
          <w:color w:val="auto"/>
          <w:szCs w:val="72"/>
          <w:lang w:val="sr-Cyrl-CS"/>
        </w:rPr>
        <w:t>Посматрано са становишта утицаја на реални раст БДП, очекује се да ће до краја 2019. године нето извоз имати негативан допринос од 1,5 п. п. што је мање него 2018. године када је негативан утицај износио 2,4 п. п.</w:t>
      </w:r>
    </w:p>
    <w:p w14:paraId="6F33A233" w14:textId="77777777" w:rsidR="006159C6" w:rsidRPr="007E770D" w:rsidRDefault="006159C6" w:rsidP="00B435B3">
      <w:pPr>
        <w:spacing w:after="60"/>
        <w:rPr>
          <w:rFonts w:cstheme="minorHAnsi"/>
          <w:bCs/>
          <w:color w:val="auto"/>
          <w:spacing w:val="-2"/>
          <w:szCs w:val="72"/>
          <w:lang w:val="sr-Cyrl-CS"/>
        </w:rPr>
      </w:pPr>
      <w:r w:rsidRPr="007E770D">
        <w:rPr>
          <w:rFonts w:cstheme="minorHAnsi"/>
          <w:bCs/>
          <w:color w:val="auto"/>
          <w:spacing w:val="-2"/>
          <w:szCs w:val="72"/>
          <w:lang w:val="sr-Cyrl-CS"/>
        </w:rPr>
        <w:t>Најважнији спољнотрговински партнери у периоду јануар–август 2019. године биле су земље ЕУ, на које се односило 67,1% укупног извоза и 59,4% укупног увоза. Највећи део укупног извоза (42,0%) у том периоду био је усмерен на тржиште пет земаља: Немачка, Италија, БиХ, Румунија и Руска Федерација. Увоз из Немачке, Кине, Италије, Руске Федерације и Мађарске чинио је 44% укупног увоза. Суфицит је остварен у размени са Црном Гором, БиХ, Северном Македонијом, Румунијом, Словачком, Бугарском, Великом Британијом, Хрватском, Словенијом, Шведском и Молдавијом и износио је нешто више од 1,7 млрд евра.</w:t>
      </w:r>
    </w:p>
    <w:p w14:paraId="2AE270CB" w14:textId="77777777" w:rsidR="006159C6" w:rsidRPr="007E770D" w:rsidRDefault="006159C6" w:rsidP="00C130D2">
      <w:pPr>
        <w:pStyle w:val="NoSpacing"/>
        <w:jc w:val="center"/>
        <w:rPr>
          <w:rFonts w:cstheme="minorHAnsi"/>
          <w:color w:val="auto"/>
          <w:lang w:val="sr-Cyrl-CS"/>
        </w:rPr>
      </w:pPr>
      <w:r w:rsidRPr="007E770D">
        <w:rPr>
          <w:rFonts w:cstheme="minorHAnsi"/>
          <w:color w:val="auto"/>
          <w:lang w:val="sr-Cyrl-CS"/>
        </w:rPr>
        <w:t>Робна размена, мил. ЕУР</w:t>
      </w:r>
    </w:p>
    <w:p w14:paraId="4C0DF5BC" w14:textId="77777777" w:rsidR="006159C6" w:rsidRPr="007E770D" w:rsidRDefault="006159C6" w:rsidP="00C130D2">
      <w:pPr>
        <w:pStyle w:val="NoSpacing"/>
        <w:jc w:val="center"/>
        <w:rPr>
          <w:rFonts w:cstheme="minorHAnsi"/>
          <w:color w:val="auto"/>
          <w:lang w:val="sr-Cyrl-CS"/>
        </w:rPr>
      </w:pPr>
      <w:r w:rsidRPr="007E770D">
        <w:rPr>
          <w:noProof/>
          <w:color w:val="auto"/>
        </w:rPr>
        <w:drawing>
          <wp:inline distT="0" distB="0" distL="0" distR="0" wp14:anchorId="6F1EBB6E" wp14:editId="13631C59">
            <wp:extent cx="2743200" cy="1660506"/>
            <wp:effectExtent l="0" t="0" r="0" b="0"/>
            <wp:docPr id="48" name="Chart 48">
              <a:extLst xmlns:a="http://schemas.openxmlformats.org/drawingml/2006/main">
                <a:ext uri="{FF2B5EF4-FFF2-40B4-BE49-F238E27FC236}">
                  <a16:creationId xmlns:a16="http://schemas.microsoft.com/office/drawing/2014/main" id="{00000000-0008-0000-12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p>
    <w:p w14:paraId="4E990CE8" w14:textId="77777777" w:rsidR="006159C6" w:rsidRPr="007E770D" w:rsidRDefault="006159C6" w:rsidP="0074685C">
      <w:pPr>
        <w:spacing w:before="40"/>
        <w:rPr>
          <w:rFonts w:cstheme="minorHAnsi"/>
          <w:color w:val="auto"/>
          <w:sz w:val="16"/>
          <w:lang w:val="sr-Cyrl-CS"/>
        </w:rPr>
      </w:pPr>
      <w:r w:rsidRPr="007E770D">
        <w:rPr>
          <w:rFonts w:cstheme="minorHAnsi"/>
          <w:color w:val="auto"/>
          <w:sz w:val="16"/>
          <w:lang w:val="sr-Cyrl-CS"/>
        </w:rPr>
        <w:t>Извор: РЗС</w:t>
      </w:r>
    </w:p>
    <w:p w14:paraId="6090F16D" w14:textId="77777777" w:rsidR="006159C6" w:rsidRPr="007E770D" w:rsidRDefault="006159C6" w:rsidP="00B435B3">
      <w:pPr>
        <w:rPr>
          <w:rFonts w:cstheme="minorHAnsi"/>
          <w:bCs/>
          <w:color w:val="auto"/>
          <w:szCs w:val="72"/>
          <w:lang w:val="sr-Cyrl-CS"/>
        </w:rPr>
      </w:pPr>
      <w:r w:rsidRPr="007E770D">
        <w:rPr>
          <w:rFonts w:cstheme="minorHAnsi"/>
          <w:bCs/>
          <w:color w:val="auto"/>
          <w:szCs w:val="72"/>
          <w:lang w:val="sr-Cyrl-CS"/>
        </w:rPr>
        <w:t>Према подацима НБС, учешће дефицита текућег рачуна платног биланса у 2018. години у БДП износило је 5,2% и непромењено је у односу на 2017. годину. Повећање дефицита у трговини робом од 31,2% компензовано је растом суфицита у размени услуга за 13,0% и секундарног дохотка за 17,7%, као и нижим дефицитом рачуна примарног дохотка за 12,9%. Одржању непромењеног учешћа дефицита платног биланса у БДП погодовао је и номинални раст привредне активности од 6,6%.</w:t>
      </w:r>
    </w:p>
    <w:p w14:paraId="338AD7F0" w14:textId="2602CEFA" w:rsidR="006159C6" w:rsidRPr="007E770D" w:rsidRDefault="006159C6" w:rsidP="00B435B3">
      <w:pPr>
        <w:rPr>
          <w:rFonts w:cstheme="minorHAnsi"/>
          <w:bCs/>
          <w:color w:val="auto"/>
          <w:szCs w:val="72"/>
          <w:lang w:val="sr-Cyrl-CS"/>
        </w:rPr>
      </w:pPr>
      <w:r w:rsidRPr="007E770D">
        <w:rPr>
          <w:rFonts w:cstheme="minorHAnsi"/>
          <w:bCs/>
          <w:color w:val="auto"/>
          <w:szCs w:val="72"/>
          <w:lang w:val="sr-Cyrl-CS"/>
        </w:rPr>
        <w:t xml:space="preserve">Платнобилансна кретања у првих </w:t>
      </w:r>
      <w:r w:rsidR="00A13517" w:rsidRPr="007E770D">
        <w:rPr>
          <w:rFonts w:cstheme="minorHAnsi"/>
          <w:bCs/>
          <w:color w:val="auto"/>
          <w:szCs w:val="72"/>
          <w:lang w:val="sr-Cyrl-CS"/>
        </w:rPr>
        <w:t>осам</w:t>
      </w:r>
      <w:r w:rsidRPr="007E770D">
        <w:rPr>
          <w:rFonts w:cstheme="minorHAnsi"/>
          <w:bCs/>
          <w:color w:val="auto"/>
          <w:szCs w:val="72"/>
          <w:lang w:val="sr-Cyrl-CS"/>
        </w:rPr>
        <w:t xml:space="preserve"> месеци 2019. године карактерише раст дефицита текућег рачуна. У посматраном периоду, дефицит текућег рачуна износио је </w:t>
      </w:r>
      <w:r w:rsidR="00A13517" w:rsidRPr="007E770D">
        <w:rPr>
          <w:rFonts w:cstheme="minorHAnsi"/>
          <w:bCs/>
          <w:color w:val="auto"/>
          <w:szCs w:val="72"/>
          <w:lang w:val="sr-Cyrl-CS"/>
        </w:rPr>
        <w:t>2,1 млрд евра и виши је за 47,2</w:t>
      </w:r>
      <w:r w:rsidRPr="007E770D">
        <w:rPr>
          <w:rFonts w:cstheme="minorHAnsi"/>
          <w:bCs/>
          <w:color w:val="auto"/>
          <w:szCs w:val="72"/>
          <w:lang w:val="sr-Cyrl-CS"/>
        </w:rPr>
        <w:t xml:space="preserve">% у односу на исти период претходне године. </w:t>
      </w:r>
      <w:r w:rsidRPr="007E770D">
        <w:rPr>
          <w:rFonts w:cstheme="minorHAnsi"/>
          <w:bCs/>
          <w:color w:val="auto"/>
          <w:spacing w:val="-2"/>
          <w:szCs w:val="72"/>
          <w:lang w:val="sr-Cyrl-CS"/>
        </w:rPr>
        <w:t>Виши дефицит текућег рачуна је резултат пораста дефицита на рачуну роба</w:t>
      </w:r>
      <w:r w:rsidR="00A13517" w:rsidRPr="007E770D">
        <w:rPr>
          <w:rFonts w:cstheme="minorHAnsi"/>
          <w:bCs/>
          <w:color w:val="auto"/>
          <w:spacing w:val="-2"/>
          <w:szCs w:val="72"/>
          <w:lang w:val="sr-Cyrl-CS"/>
        </w:rPr>
        <w:t xml:space="preserve"> и услуга, који је виши за 422</w:t>
      </w:r>
      <w:r w:rsidR="00CF3A3A" w:rsidRPr="007E770D">
        <w:rPr>
          <w:rFonts w:cstheme="minorHAnsi"/>
          <w:bCs/>
          <w:color w:val="auto"/>
          <w:spacing w:val="-2"/>
          <w:szCs w:val="72"/>
          <w:lang w:val="sr-Cyrl-CS"/>
        </w:rPr>
        <w:t>,</w:t>
      </w:r>
      <w:r w:rsidR="00A13517" w:rsidRPr="007E770D">
        <w:rPr>
          <w:rFonts w:cstheme="minorHAnsi"/>
          <w:bCs/>
          <w:color w:val="auto"/>
          <w:spacing w:val="-2"/>
          <w:szCs w:val="72"/>
          <w:lang w:val="sr-Cyrl-CS"/>
        </w:rPr>
        <w:t>1</w:t>
      </w:r>
      <w:r w:rsidRPr="007E770D">
        <w:rPr>
          <w:rFonts w:cstheme="minorHAnsi"/>
          <w:bCs/>
          <w:color w:val="auto"/>
          <w:spacing w:val="-2"/>
          <w:szCs w:val="72"/>
          <w:lang w:val="sr-Cyrl-CS"/>
        </w:rPr>
        <w:t xml:space="preserve"> мил. евра, али и </w:t>
      </w:r>
      <w:r w:rsidRPr="007E770D">
        <w:rPr>
          <w:color w:val="auto"/>
          <w:lang w:val="sr-Cyrl-CS"/>
        </w:rPr>
        <w:t>смањења суфицита на рач</w:t>
      </w:r>
      <w:r w:rsidR="00A13517" w:rsidRPr="007E770D">
        <w:rPr>
          <w:color w:val="auto"/>
          <w:lang w:val="sr-Cyrl-CS"/>
        </w:rPr>
        <w:t>уну секундарног дохотка за 193,5</w:t>
      </w:r>
      <w:r w:rsidRPr="007E770D">
        <w:rPr>
          <w:color w:val="auto"/>
          <w:lang w:val="sr-Cyrl-CS"/>
        </w:rPr>
        <w:t xml:space="preserve"> мил. евра</w:t>
      </w:r>
      <w:r w:rsidRPr="007E770D">
        <w:rPr>
          <w:rFonts w:cstheme="minorHAnsi"/>
          <w:bCs/>
          <w:color w:val="auto"/>
          <w:spacing w:val="-2"/>
          <w:szCs w:val="72"/>
          <w:lang w:val="sr-Cyrl-CS"/>
        </w:rPr>
        <w:t xml:space="preserve">. Истовремено, прилив СДИ стабилно расте и обезбеђује више него потпуну покривеност дефицита текућег рачуна. </w:t>
      </w:r>
      <w:r w:rsidRPr="007E770D">
        <w:rPr>
          <w:rFonts w:cstheme="minorHAnsi"/>
          <w:bCs/>
          <w:color w:val="auto"/>
          <w:szCs w:val="72"/>
          <w:lang w:val="sr-Cyrl-CS"/>
        </w:rPr>
        <w:t>Такође, дисперзијом СДИ обезбеђена је пожељна распрострањеност по секторима који продукују разменљива добра</w:t>
      </w:r>
      <w:r w:rsidR="00A13517" w:rsidRPr="007E770D">
        <w:rPr>
          <w:rFonts w:cstheme="minorHAnsi"/>
          <w:bCs/>
          <w:color w:val="auto"/>
          <w:szCs w:val="72"/>
          <w:lang w:val="sr-Cyrl-CS"/>
        </w:rPr>
        <w:t>. Нето прилив СДИ износио је 2,4</w:t>
      </w:r>
      <w:r w:rsidRPr="007E770D">
        <w:rPr>
          <w:rFonts w:cstheme="minorHAnsi"/>
          <w:bCs/>
          <w:color w:val="auto"/>
          <w:szCs w:val="72"/>
          <w:lang w:val="sr-Cyrl-CS"/>
        </w:rPr>
        <w:t xml:space="preserve"> млрд евра </w:t>
      </w:r>
      <w:r w:rsidR="00A13517" w:rsidRPr="007E770D">
        <w:rPr>
          <w:rFonts w:cstheme="minorHAnsi"/>
          <w:bCs/>
          <w:color w:val="auto"/>
          <w:szCs w:val="72"/>
          <w:lang w:val="sr-Cyrl-CS"/>
        </w:rPr>
        <w:t>и међугодишње је повећан за 34,7</w:t>
      </w:r>
      <w:r w:rsidRPr="007E770D">
        <w:rPr>
          <w:rFonts w:cstheme="minorHAnsi"/>
          <w:bCs/>
          <w:color w:val="auto"/>
          <w:szCs w:val="72"/>
          <w:lang w:val="sr-Cyrl-CS"/>
        </w:rPr>
        <w:t xml:space="preserve">%. Према структури нето СДИ у првој половини 2019. године, највећи прилив бележи прерађивачка индустрија – 35,2%. Значајни приливи регистровани су и у грађевинарству, финансијском сектору и у саобраћајним делатностима. Посматрано према географском пореклу, из ЕУ је у овом периоду стигло </w:t>
      </w:r>
      <w:r w:rsidR="003171D3" w:rsidRPr="007E770D">
        <w:rPr>
          <w:rFonts w:cstheme="minorHAnsi"/>
          <w:bCs/>
          <w:color w:val="auto"/>
          <w:szCs w:val="72"/>
          <w:lang w:val="sr-Cyrl-CS"/>
        </w:rPr>
        <w:t>60,2</w:t>
      </w:r>
      <w:r w:rsidRPr="007E770D">
        <w:rPr>
          <w:rFonts w:cstheme="minorHAnsi"/>
          <w:bCs/>
          <w:color w:val="auto"/>
          <w:szCs w:val="72"/>
          <w:lang w:val="sr-Cyrl-CS"/>
        </w:rPr>
        <w:t>% укупних инвестиција, а гледано по државама најзначајније су из Руске Федерације, Холандије, Швајцарске, Немачке и Луксембурга.</w:t>
      </w:r>
      <w:r w:rsidR="00A13517" w:rsidRPr="007E770D">
        <w:rPr>
          <w:rFonts w:cstheme="minorHAnsi"/>
          <w:bCs/>
          <w:color w:val="auto"/>
          <w:szCs w:val="72"/>
          <w:lang w:val="sr-Cyrl-CS"/>
        </w:rPr>
        <w:t xml:space="preserve"> У периоду јануар–август</w:t>
      </w:r>
      <w:r w:rsidRPr="007E770D">
        <w:rPr>
          <w:rFonts w:cstheme="minorHAnsi"/>
          <w:bCs/>
          <w:color w:val="auto"/>
          <w:szCs w:val="72"/>
          <w:lang w:val="sr-Cyrl-CS"/>
        </w:rPr>
        <w:t xml:space="preserve"> 2019. године, забележен је и </w:t>
      </w:r>
      <w:r w:rsidR="00A13517" w:rsidRPr="007E770D">
        <w:rPr>
          <w:rFonts w:cstheme="minorHAnsi"/>
          <w:bCs/>
          <w:color w:val="auto"/>
          <w:szCs w:val="72"/>
          <w:lang w:val="sr-Cyrl-CS"/>
        </w:rPr>
        <w:t xml:space="preserve">нето </w:t>
      </w:r>
      <w:r w:rsidRPr="007E770D">
        <w:rPr>
          <w:rFonts w:cstheme="minorHAnsi"/>
          <w:bCs/>
          <w:color w:val="auto"/>
          <w:szCs w:val="72"/>
          <w:lang w:val="sr-Cyrl-CS"/>
        </w:rPr>
        <w:t>прилив по основу осталих и портфол</w:t>
      </w:r>
      <w:r w:rsidR="00A13517" w:rsidRPr="007E770D">
        <w:rPr>
          <w:rFonts w:cstheme="minorHAnsi"/>
          <w:bCs/>
          <w:color w:val="auto"/>
          <w:szCs w:val="72"/>
          <w:lang w:val="sr-Cyrl-CS"/>
        </w:rPr>
        <w:t>ио инвестиција у износу од 417,9 и 193,7</w:t>
      </w:r>
      <w:r w:rsidRPr="007E770D">
        <w:rPr>
          <w:rFonts w:cstheme="minorHAnsi"/>
          <w:bCs/>
          <w:color w:val="auto"/>
          <w:szCs w:val="72"/>
          <w:lang w:val="sr-Cyrl-CS"/>
        </w:rPr>
        <w:t xml:space="preserve"> мил. евра, респективно.</w:t>
      </w:r>
    </w:p>
    <w:p w14:paraId="708AD6E5" w14:textId="77777777" w:rsidR="006159C6" w:rsidRPr="007E770D" w:rsidRDefault="006159C6" w:rsidP="00B435B3">
      <w:pPr>
        <w:rPr>
          <w:rFonts w:cstheme="minorHAnsi"/>
          <w:bCs/>
          <w:color w:val="auto"/>
          <w:szCs w:val="72"/>
          <w:lang w:val="sr-Cyrl-CS"/>
        </w:rPr>
      </w:pPr>
      <w:r w:rsidRPr="007E770D">
        <w:rPr>
          <w:rFonts w:cstheme="minorHAnsi"/>
          <w:bCs/>
          <w:color w:val="auto"/>
          <w:szCs w:val="72"/>
          <w:lang w:val="sr-Cyrl-CS"/>
        </w:rPr>
        <w:t>Очекује се да укупан дефицит текућег рачуна у 2019. години износи око 2,7 млрд евра, односно 5,9% БДП, уз потпуну покривеност СДИ. Такође, очекује се наставак стабилног прилива СДИ, које би у нето износу требало да износе око 3,6 млрд евра односно 7,8% БДП.</w:t>
      </w:r>
    </w:p>
    <w:p w14:paraId="1962FEB0" w14:textId="64949A0E" w:rsidR="006159C6" w:rsidRPr="007E770D" w:rsidRDefault="006159C6" w:rsidP="001B3294">
      <w:pPr>
        <w:spacing w:after="120"/>
        <w:rPr>
          <w:rFonts w:cstheme="minorHAnsi"/>
          <w:bCs/>
          <w:color w:val="auto"/>
          <w:szCs w:val="72"/>
          <w:lang w:val="sr-Cyrl-CS"/>
        </w:rPr>
      </w:pPr>
      <w:r w:rsidRPr="007E770D">
        <w:rPr>
          <w:rFonts w:cstheme="minorHAnsi"/>
          <w:bCs/>
          <w:color w:val="auto"/>
          <w:szCs w:val="72"/>
          <w:lang w:val="sr-Cyrl-CS"/>
        </w:rPr>
        <w:lastRenderedPageBreak/>
        <w:t xml:space="preserve">Средњорочним макроекономским оквиром за период 2020–2022. година предвиђено је побољшање спољнотрговинских токова које се заснива на модернизацији и ширењу производних капацитета у делатностима разменљивих добара, јачању конкурентности на међународном тржишту и освајању нових тржишних ниша. Очекује се да ће досадашњи интензивирани инвестициони циклус имати утицај на извозну активност и учинити је динамичнијом од увозне, компензујући смањење спољне тражње услед споријег пројектованог раста еврозоне. Раст робног извоза у еврима по просечној стопи од 9,7% и увоза за 7,8% смањиће спољнотрговински дефицит роба на 11,4% БДП, са овогодишњих 13,1%. Предвиђа се наставак повољних кретања на рачуну услуга и </w:t>
      </w:r>
      <w:r w:rsidR="0094136A" w:rsidRPr="007E770D">
        <w:rPr>
          <w:rFonts w:cstheme="minorHAnsi"/>
          <w:bCs/>
          <w:color w:val="auto"/>
          <w:szCs w:val="72"/>
          <w:lang w:val="sr-Cyrl-CS"/>
        </w:rPr>
        <w:t xml:space="preserve">даљи </w:t>
      </w:r>
      <w:r w:rsidRPr="007E770D">
        <w:rPr>
          <w:rFonts w:cstheme="minorHAnsi"/>
          <w:bCs/>
          <w:color w:val="auto"/>
          <w:szCs w:val="72"/>
          <w:lang w:val="sr-Cyrl-CS"/>
        </w:rPr>
        <w:t>раст суфиц</w:t>
      </w:r>
      <w:r w:rsidR="0094136A" w:rsidRPr="007E770D">
        <w:rPr>
          <w:rFonts w:cstheme="minorHAnsi"/>
          <w:bCs/>
          <w:color w:val="auto"/>
          <w:szCs w:val="72"/>
          <w:lang w:val="sr-Cyrl-CS"/>
        </w:rPr>
        <w:t>ита у трогодишњем периоду</w:t>
      </w:r>
      <w:r w:rsidRPr="007E770D">
        <w:rPr>
          <w:rFonts w:cstheme="minorHAnsi"/>
          <w:bCs/>
          <w:color w:val="auto"/>
          <w:szCs w:val="72"/>
          <w:lang w:val="sr-Cyrl-CS"/>
        </w:rPr>
        <w:t>. Прилив по основу текућих трансфера износиће у просеку 8,4% БДП годишње, при чему ће приходи од дознака задржати улогу доминантне компоненте. Нето ефекат текућих трансфера и нето факторских плаћања у наредном трогодишњем периоду биће позитиван и износиће око 2 млрд евра просечно годишње, што ће бити довољно да покрије скоро половину дефицита спољнотрговинског биланса роба и услуга. Оваква кретања уз пројектовану динамику економске активности имаће за резултат смањење учешћа дефицита текућег рачуна платног биланса на 4,7% БДП на крају пројекцијског периода.</w:t>
      </w:r>
    </w:p>
    <w:p w14:paraId="05D16435" w14:textId="77777777" w:rsidR="006159C6" w:rsidRPr="007E770D" w:rsidRDefault="006159C6" w:rsidP="00EE1C2C">
      <w:pPr>
        <w:spacing w:after="120"/>
        <w:jc w:val="center"/>
        <w:rPr>
          <w:rFonts w:cstheme="minorHAnsi"/>
          <w:b/>
          <w:color w:val="auto"/>
          <w:lang w:val="sr-Cyrl-CS"/>
        </w:rPr>
      </w:pPr>
      <w:r w:rsidRPr="007E770D">
        <w:rPr>
          <w:rFonts w:cstheme="minorHAnsi"/>
          <w:b/>
          <w:color w:val="auto"/>
          <w:lang w:val="sr-Cyrl-CS"/>
        </w:rPr>
        <w:t>Структура текућег рачуна, % БДП</w:t>
      </w:r>
    </w:p>
    <w:p w14:paraId="4CFDF68E" w14:textId="77777777" w:rsidR="006159C6" w:rsidRPr="007E770D" w:rsidRDefault="006159C6" w:rsidP="00EE1C2C">
      <w:pPr>
        <w:spacing w:after="60"/>
        <w:rPr>
          <w:rFonts w:cstheme="minorHAnsi"/>
          <w:bCs/>
          <w:color w:val="auto"/>
          <w:szCs w:val="72"/>
          <w:lang w:val="sr-Cyrl-CS"/>
        </w:rPr>
      </w:pPr>
      <w:r w:rsidRPr="007E770D">
        <w:rPr>
          <w:noProof/>
          <w:color w:val="auto"/>
        </w:rPr>
        <w:drawing>
          <wp:inline distT="0" distB="0" distL="0" distR="0" wp14:anchorId="47DCED63" wp14:editId="018BDB9D">
            <wp:extent cx="2743200" cy="2159635"/>
            <wp:effectExtent l="0" t="0" r="0" b="0"/>
            <wp:docPr id="55" name="Chart 55">
              <a:extLst xmlns:a="http://schemas.openxmlformats.org/drawingml/2006/main">
                <a:ext uri="{FF2B5EF4-FFF2-40B4-BE49-F238E27FC236}">
                  <a16:creationId xmlns:a16="http://schemas.microsoft.com/office/drawing/2014/main" id="{00000000-0008-0000-14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p>
    <w:p w14:paraId="45E8935B" w14:textId="77777777" w:rsidR="006159C6" w:rsidRPr="007E770D" w:rsidRDefault="006159C6" w:rsidP="0064418F">
      <w:pPr>
        <w:rPr>
          <w:rFonts w:cstheme="minorHAnsi"/>
          <w:color w:val="auto"/>
          <w:sz w:val="16"/>
          <w:lang w:val="sr-Cyrl-CS"/>
        </w:rPr>
      </w:pPr>
      <w:r w:rsidRPr="007E770D">
        <w:rPr>
          <w:rFonts w:cstheme="minorHAnsi"/>
          <w:color w:val="auto"/>
          <w:sz w:val="16"/>
          <w:lang w:val="sr-Cyrl-CS"/>
        </w:rPr>
        <w:t>Извор: Министарство финансија, НБС, РЗС</w:t>
      </w:r>
    </w:p>
    <w:p w14:paraId="0669E7DF" w14:textId="77777777" w:rsidR="006159C6" w:rsidRPr="007E770D" w:rsidRDefault="006159C6" w:rsidP="001B3294">
      <w:pPr>
        <w:rPr>
          <w:rFonts w:cstheme="minorHAnsi"/>
          <w:bCs/>
          <w:color w:val="auto"/>
          <w:szCs w:val="72"/>
          <w:lang w:val="sr-Cyrl-CS"/>
        </w:rPr>
      </w:pPr>
      <w:r w:rsidRPr="007E770D">
        <w:rPr>
          <w:rFonts w:cstheme="minorHAnsi"/>
          <w:bCs/>
          <w:color w:val="auto"/>
          <w:szCs w:val="72"/>
          <w:lang w:val="sr-Cyrl-CS"/>
        </w:rPr>
        <w:t>Битно је истаћи да ће у структури финансијског рачуна доминирати удео СДИ са учешћем у БДП од 5,8% просечно годишње. Овај прилив ће уједно бити главни извор финансирања дефицита текућег рачуна. Побољшање пословног амбијента и раст СДИ, као и њихова даља диверсификација ка сектору разменљивих добара, допринеће наставку раста извоза и јачању спољне и унутрашње макроекономске равнотеже.</w:t>
      </w:r>
    </w:p>
    <w:p w14:paraId="27F11960" w14:textId="77777777" w:rsidR="006159C6" w:rsidRPr="007E770D" w:rsidRDefault="006159C6" w:rsidP="00B0755E">
      <w:pPr>
        <w:pStyle w:val="NoSpacing"/>
        <w:spacing w:after="60"/>
        <w:jc w:val="center"/>
        <w:rPr>
          <w:rFonts w:cstheme="minorHAnsi"/>
          <w:color w:val="auto"/>
          <w:lang w:val="sr-Cyrl-CS"/>
        </w:rPr>
      </w:pPr>
      <w:r w:rsidRPr="007E770D">
        <w:rPr>
          <w:rFonts w:cstheme="minorHAnsi"/>
          <w:color w:val="auto"/>
          <w:lang w:val="sr-Cyrl-CS"/>
        </w:rPr>
        <w:t>Дефицит текућег рачуна и СДИ, % БДП</w:t>
      </w:r>
    </w:p>
    <w:p w14:paraId="676736AA" w14:textId="77777777" w:rsidR="006159C6" w:rsidRPr="007E770D" w:rsidRDefault="006159C6" w:rsidP="0074685C">
      <w:pPr>
        <w:spacing w:after="120"/>
        <w:rPr>
          <w:color w:val="auto"/>
          <w:lang w:val="sr-Cyrl-CS"/>
        </w:rPr>
      </w:pPr>
      <w:r w:rsidRPr="007E770D">
        <w:rPr>
          <w:noProof/>
          <w:color w:val="auto"/>
        </w:rPr>
        <w:drawing>
          <wp:inline distT="0" distB="0" distL="0" distR="0" wp14:anchorId="6D74D80B" wp14:editId="36911F2D">
            <wp:extent cx="2743200" cy="2015490"/>
            <wp:effectExtent l="0" t="0" r="0" b="3810"/>
            <wp:docPr id="56" name="Chart 56">
              <a:extLst xmlns:a="http://schemas.openxmlformats.org/drawingml/2006/main">
                <a:ext uri="{FF2B5EF4-FFF2-40B4-BE49-F238E27FC236}">
                  <a16:creationId xmlns:a16="http://schemas.microsoft.com/office/drawing/2014/main" id="{00000000-0008-0000-13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p>
    <w:p w14:paraId="7DA8F9D6" w14:textId="77777777" w:rsidR="006159C6" w:rsidRPr="007E770D" w:rsidRDefault="006159C6" w:rsidP="0074685C">
      <w:pPr>
        <w:spacing w:after="120"/>
        <w:rPr>
          <w:color w:val="auto"/>
          <w:lang w:val="sr-Cyrl-CS"/>
        </w:rPr>
      </w:pPr>
      <w:r w:rsidRPr="007E770D">
        <w:rPr>
          <w:rFonts w:cstheme="minorHAnsi"/>
          <w:color w:val="auto"/>
          <w:sz w:val="16"/>
          <w:lang w:val="sr-Cyrl-CS"/>
        </w:rPr>
        <w:t>Извор: НБС и Министарство финансија</w:t>
      </w:r>
    </w:p>
    <w:p w14:paraId="56857E07" w14:textId="294C624F" w:rsidR="006159C6" w:rsidRPr="007E770D" w:rsidRDefault="006159C6" w:rsidP="00C130D2">
      <w:pPr>
        <w:rPr>
          <w:rFonts w:cstheme="minorHAnsi"/>
          <w:bCs/>
          <w:color w:val="auto"/>
          <w:szCs w:val="72"/>
          <w:lang w:val="sr-Cyrl-CS"/>
        </w:rPr>
      </w:pPr>
      <w:r w:rsidRPr="007E770D">
        <w:rPr>
          <w:rFonts w:cstheme="minorHAnsi"/>
          <w:bCs/>
          <w:color w:val="auto"/>
          <w:szCs w:val="72"/>
          <w:lang w:val="sr-Cyrl-CS"/>
        </w:rPr>
        <w:t>Показатељи екстерне позиције Србије бележе наставак побољшања, чиме се повећава резистентност српске привреде на финансијске шокове из међународног окружења. Настављено је побољшање индикатора екстерне солвентности. Учешће спољног дуга у извозу роба и услуга у првој половини 2019. године ниже је у односу на исти период у 2018. години и износи 124,6%, што је значајно испод критеријума Светске банке од 220% и гарант је одрживости сервисирања. Очекује се да ће учешће у БДП укупног спољног дуга бележити силазни тренд највећим делом захваљујући стабилизацији и смањењу учешћа јавног дуга опште државе.</w:t>
      </w:r>
    </w:p>
    <w:p w14:paraId="7264272B" w14:textId="3855783A" w:rsidR="000919A1" w:rsidRPr="007E770D" w:rsidRDefault="000919A1" w:rsidP="00C130D2">
      <w:pPr>
        <w:rPr>
          <w:rFonts w:cstheme="minorHAnsi"/>
          <w:bCs/>
          <w:color w:val="auto"/>
          <w:szCs w:val="72"/>
          <w:lang w:val="sr-Cyrl-CS"/>
        </w:rPr>
      </w:pPr>
    </w:p>
    <w:p w14:paraId="41F20F81" w14:textId="49DD4199" w:rsidR="000919A1" w:rsidRPr="007E770D" w:rsidRDefault="000919A1" w:rsidP="00C130D2">
      <w:pPr>
        <w:rPr>
          <w:rFonts w:cstheme="minorHAnsi"/>
          <w:bCs/>
          <w:color w:val="auto"/>
          <w:szCs w:val="72"/>
          <w:lang w:val="sr-Cyrl-CS"/>
        </w:rPr>
      </w:pPr>
    </w:p>
    <w:p w14:paraId="482A7847" w14:textId="77777777" w:rsidR="000919A1" w:rsidRPr="007E770D" w:rsidRDefault="000919A1" w:rsidP="00C130D2">
      <w:pPr>
        <w:rPr>
          <w:rFonts w:cstheme="minorHAnsi"/>
          <w:bCs/>
          <w:color w:val="auto"/>
          <w:szCs w:val="72"/>
          <w:lang w:val="sr-Cyrl-CS"/>
        </w:rPr>
      </w:pPr>
    </w:p>
    <w:p w14:paraId="1DC2A29C" w14:textId="1FDD5005" w:rsidR="000919A1" w:rsidRPr="007E770D" w:rsidRDefault="000919A1" w:rsidP="00C130D2">
      <w:pPr>
        <w:rPr>
          <w:rFonts w:cstheme="minorHAnsi"/>
          <w:bCs/>
          <w:color w:val="auto"/>
          <w:szCs w:val="72"/>
          <w:lang w:val="sr-Cyrl-CS"/>
        </w:rPr>
      </w:pPr>
    </w:p>
    <w:p w14:paraId="748A67D7" w14:textId="5A1F686A" w:rsidR="000919A1" w:rsidRPr="007E770D" w:rsidRDefault="000919A1" w:rsidP="00C130D2">
      <w:pPr>
        <w:rPr>
          <w:rFonts w:cstheme="minorHAnsi"/>
          <w:bCs/>
          <w:color w:val="auto"/>
          <w:szCs w:val="72"/>
          <w:lang w:val="sr-Cyrl-CS"/>
        </w:rPr>
        <w:sectPr w:rsidR="000919A1" w:rsidRPr="007E770D" w:rsidSect="00506397">
          <w:headerReference w:type="even" r:id="rId95"/>
          <w:headerReference w:type="default" r:id="rId96"/>
          <w:footerReference w:type="even" r:id="rId97"/>
          <w:footerReference w:type="default" r:id="rId98"/>
          <w:headerReference w:type="first" r:id="rId99"/>
          <w:type w:val="continuous"/>
          <w:pgSz w:w="12240" w:h="15840"/>
          <w:pgMar w:top="1440" w:right="1440" w:bottom="1440" w:left="1440" w:header="720" w:footer="720" w:gutter="0"/>
          <w:cols w:num="2" w:space="720"/>
          <w:docGrid w:linePitch="360"/>
        </w:sectPr>
      </w:pPr>
    </w:p>
    <w:p w14:paraId="1C1D2BF6" w14:textId="71716DB2" w:rsidR="006159C6" w:rsidRPr="007E770D" w:rsidRDefault="006159C6" w:rsidP="001476C8">
      <w:pPr>
        <w:pStyle w:val="Heading2"/>
        <w:jc w:val="center"/>
        <w:rPr>
          <w:rFonts w:asciiTheme="minorHAnsi" w:hAnsiTheme="minorHAnsi" w:cstheme="minorHAnsi"/>
          <w:b/>
          <w:color w:val="auto"/>
          <w:sz w:val="24"/>
          <w:szCs w:val="24"/>
          <w:lang w:val="sr-Cyrl-CS"/>
        </w:rPr>
      </w:pPr>
      <w:bookmarkStart w:id="7" w:name="_Toc23342463"/>
      <w:r w:rsidRPr="007E770D">
        <w:rPr>
          <w:rFonts w:asciiTheme="minorHAnsi" w:hAnsiTheme="minorHAnsi" w:cstheme="minorHAnsi"/>
          <w:b/>
          <w:color w:val="auto"/>
          <w:sz w:val="24"/>
          <w:szCs w:val="24"/>
          <w:lang w:val="sr-Cyrl-CS"/>
        </w:rPr>
        <w:lastRenderedPageBreak/>
        <w:t>4. Ризици остваривања пројекције кретања БДП Републике Србије</w:t>
      </w:r>
      <w:r w:rsidRPr="007E770D">
        <w:rPr>
          <w:rFonts w:asciiTheme="minorHAnsi" w:hAnsiTheme="minorHAnsi" w:cstheme="minorHAnsi"/>
          <w:b/>
          <w:color w:val="auto"/>
          <w:sz w:val="24"/>
          <w:szCs w:val="24"/>
          <w:lang w:val="sr-Cyrl-CS"/>
        </w:rPr>
        <w:br w:type="textWrapping" w:clear="all"/>
        <w:t>у периоду 2020–2022. година</w:t>
      </w:r>
      <w:bookmarkEnd w:id="7"/>
    </w:p>
    <w:p w14:paraId="36E2D43E" w14:textId="77777777" w:rsidR="001476C8" w:rsidRPr="007E770D" w:rsidRDefault="001476C8" w:rsidP="001476C8">
      <w:pPr>
        <w:spacing w:after="40"/>
        <w:rPr>
          <w:color w:val="auto"/>
          <w:lang w:val="sr-Cyrl-CS"/>
        </w:rPr>
      </w:pPr>
    </w:p>
    <w:p w14:paraId="262C3145" w14:textId="77777777" w:rsidR="006159C6" w:rsidRPr="007E770D" w:rsidRDefault="006159C6" w:rsidP="001476C8">
      <w:pPr>
        <w:spacing w:after="40"/>
        <w:jc w:val="center"/>
        <w:rPr>
          <w:color w:val="auto"/>
          <w:lang w:val="sr-Cyrl-CS"/>
        </w:rPr>
        <w:sectPr w:rsidR="006159C6" w:rsidRPr="007E770D" w:rsidSect="00D91A27">
          <w:headerReference w:type="even" r:id="rId100"/>
          <w:headerReference w:type="default" r:id="rId101"/>
          <w:footerReference w:type="even" r:id="rId102"/>
          <w:footerReference w:type="default" r:id="rId103"/>
          <w:headerReference w:type="first" r:id="rId104"/>
          <w:type w:val="continuous"/>
          <w:pgSz w:w="12240" w:h="15840"/>
          <w:pgMar w:top="1440" w:right="1440" w:bottom="1440" w:left="1440" w:header="720" w:footer="720" w:gutter="0"/>
          <w:cols w:space="720"/>
          <w:docGrid w:linePitch="360"/>
        </w:sectPr>
      </w:pPr>
    </w:p>
    <w:p w14:paraId="086AE0B0" w14:textId="77777777" w:rsidR="006159C6" w:rsidRPr="007E770D" w:rsidRDefault="006159C6" w:rsidP="00163ABC">
      <w:pPr>
        <w:rPr>
          <w:rFonts w:cstheme="minorHAnsi"/>
          <w:bCs/>
          <w:color w:val="auto"/>
          <w:szCs w:val="72"/>
          <w:lang w:val="sr-Cyrl-CS"/>
        </w:rPr>
      </w:pPr>
      <w:r w:rsidRPr="007E770D">
        <w:rPr>
          <w:rFonts w:cstheme="minorHAnsi"/>
          <w:bCs/>
          <w:color w:val="auto"/>
          <w:szCs w:val="72"/>
          <w:lang w:val="sr-Cyrl-CS"/>
        </w:rPr>
        <w:t>Средњорочни сценарио кретања привредне активности Републике Србије праћен је одређеним бројем ризика, од којих један део долази из међународног окружења, док се други везује за унутрашње факторе.</w:t>
      </w:r>
    </w:p>
    <w:p w14:paraId="073A7165" w14:textId="77777777" w:rsidR="006159C6" w:rsidRPr="007E770D" w:rsidRDefault="006159C6" w:rsidP="00451DCA">
      <w:pPr>
        <w:rPr>
          <w:rFonts w:cstheme="minorHAnsi"/>
          <w:bCs/>
          <w:color w:val="auto"/>
          <w:szCs w:val="72"/>
          <w:lang w:val="sr-Cyrl-CS"/>
        </w:rPr>
      </w:pPr>
      <w:r w:rsidRPr="007E770D">
        <w:rPr>
          <w:rFonts w:cstheme="minorHAnsi"/>
          <w:bCs/>
          <w:color w:val="auto"/>
          <w:szCs w:val="72"/>
          <w:lang w:val="sr-Cyrl-CS"/>
        </w:rPr>
        <w:t xml:space="preserve">Посматрани заједно, егзогени ризици су идентификовани као израженији наниже. Трговинске тензије и с њима у вези предузете протекционистичке мере, генеришу неизвесност на међународном робном и финансијском тржишту. Колебања цена али и честе промене очекивања потрошача и поверења инвеститора потврда су отежане предвидивости глобалних околности за привредни раст. Што се тиче робног тржишта, цене примарних производа могу имати двојак утицај на привредни раст Србије. Кретање цене нафте изнад пројектованог негативно би се одразило на трошкове производње, али би и променило структуру потрошње домаћинстава повећањем удела увозних добара, што би удружено успорило привредни раст. Србија је задржала улогу нето извозника основних метала и поред смањења извоза, тако да би бржи раст њихових цена погодовао економској активности и донекле неутрализовао ефекте ЕУ мера. Идентичан утицај на привредни раст имало би и повећање цена пољопривредних производа на међународном тржишту. Кретања на међународном финансијском тржишту у највећој мери су одређена дивергентним политикама ФЕД и ЕЦБ. Непознанице у вези са будућим мерама и спорији темпо нормализације политика утиче на понашање страних инвеститора и доступност извора финансирања. Све извесније успоравање глобалног привредног раста укључено је у средњорочни сценарио, са посебним освртом на неизвесности у Италији и оштро спуштање очекивања у вези са будућим кретањем немачке привреде, као и утицај неизвесности око Брегзита на економију ЕУ. Перципирана преливања ових успоравања на српску привреду огледају се у спуштеним очекивањима у вези са динамиком спољнотрговинске размене и ревидирањем стопа раста извоза и увоза наниже за 2020. годину, као и погоршаним очекивањима у вези са утицајем нето </w:t>
      </w:r>
      <w:r w:rsidRPr="007E770D">
        <w:rPr>
          <w:rFonts w:cstheme="minorHAnsi"/>
          <w:bCs/>
          <w:color w:val="auto"/>
          <w:szCs w:val="72"/>
          <w:lang w:val="sr-Cyrl-CS"/>
        </w:rPr>
        <w:t>извоза на привредни раст. У обрачунском смислу, утицај прохибиционих такси Приштине слаби, а остаје да се види колико ће потписивање спољнотрговинског Споразума са Евроазијском економском унијом имати ефекта на биланс српске економије у међународној размени.</w:t>
      </w:r>
    </w:p>
    <w:p w14:paraId="681CDEAB" w14:textId="77777777" w:rsidR="006159C6" w:rsidRPr="007E770D" w:rsidRDefault="006159C6" w:rsidP="00451DCA">
      <w:pPr>
        <w:rPr>
          <w:rFonts w:cstheme="minorHAnsi"/>
          <w:bCs/>
          <w:color w:val="auto"/>
          <w:szCs w:val="72"/>
          <w:lang w:val="sr-Cyrl-CS"/>
        </w:rPr>
      </w:pPr>
      <w:r w:rsidRPr="007E770D">
        <w:rPr>
          <w:rFonts w:cstheme="minorHAnsi"/>
          <w:bCs/>
          <w:color w:val="auto"/>
          <w:szCs w:val="72"/>
          <w:lang w:val="sr-Cyrl-CS"/>
        </w:rPr>
        <w:t>Ризици везани за кретања на робном и финансијском тржишту процењују се као симетрични, док је ризик везан за раст глобалне економије и наших најзначајнијих спољно-трговинских партнера негативно асиметричан. Иако је неутралисањем унутрашњих и спољашњих неравнотежа повећана резистентност на екстерне шокове, не треба губити из вида да смо мала и отворена економија која им је и даље значајно изложена.</w:t>
      </w:r>
    </w:p>
    <w:p w14:paraId="3697420E" w14:textId="77777777" w:rsidR="006159C6" w:rsidRPr="007E770D" w:rsidRDefault="006159C6" w:rsidP="00163ABC">
      <w:pPr>
        <w:rPr>
          <w:rFonts w:cstheme="minorHAnsi"/>
          <w:bCs/>
          <w:color w:val="auto"/>
          <w:szCs w:val="72"/>
          <w:lang w:val="sr-Cyrl-CS"/>
        </w:rPr>
      </w:pPr>
      <w:r w:rsidRPr="007E770D">
        <w:rPr>
          <w:rFonts w:cstheme="minorHAnsi"/>
          <w:bCs/>
          <w:color w:val="auto"/>
          <w:szCs w:val="72"/>
          <w:lang w:val="sr-Cyrl-CS"/>
        </w:rPr>
        <w:t xml:space="preserve">Ендогени ризици везани су за волатилност пољопривредне производње, ефикасност у реализацији јавних пројеката и динамику спровођења започетих реформи. И поред унапређења и модернизације сектора пољопривреде, производња главних биљних култура и даље је значајно зависна од агрометеоролошких услова, што може довести до битних одступања од вишегодишње просечне пољопривредне производње на бази које се пројектује кретање овог сектора. У сценарију је задржано очекивање базирано на овом приступу, а евентуална одступања биће могуће сагледати крајем лета следеће године. Раст грађевинарства у наредном периоду базиран је на трендним кретањима ове делатности, предикцијским индикаторима и најављеним инвестиционим улагањима државе. Динамика и ефикасност у спровођењу јавних пројеката, као и активности у сегменту изградње зграда и производних капацитета носе са собом симетричне ризике. Кретање индустријске производње у највећој мери опредељено је екстерним факторима. Ипак, електро-енергетски сегмент би могао да допринесе расту изнад очекивања, уколико реформски процеси буду интензивирани, а инвестициона улагања из претходног периода ефектуирана у долазећем периоду. Такође, </w:t>
      </w:r>
      <w:r w:rsidRPr="007E770D">
        <w:rPr>
          <w:rFonts w:cstheme="minorHAnsi"/>
          <w:bCs/>
          <w:color w:val="auto"/>
          <w:szCs w:val="72"/>
          <w:lang w:val="sr-Cyrl-CS"/>
        </w:rPr>
        <w:lastRenderedPageBreak/>
        <w:t>аутомобилска индустрија носи позитивно асиметричан ризик, који би био материјализован новим моделом у ФАС. Реформа јавних предузећа основ је за подизање нивоа продуктивности и ефикасности, што би појефтинило производне процесе, подигло конкурентност и проширило инвестиционе ресурсе. Динамика спровођења ових реформи јасно се осликава на динамици укупног привредног раста утицајем у истом смеру, брже спровођење реформи носи бржи привредни раст и обратно. Идентификоване интерни ризици антиципирани су као благо позитивно симетрични.</w:t>
      </w:r>
    </w:p>
    <w:p w14:paraId="63CDD732" w14:textId="77777777" w:rsidR="006159C6" w:rsidRPr="007E770D" w:rsidRDefault="006159C6" w:rsidP="0023268B">
      <w:pPr>
        <w:pStyle w:val="Caption"/>
        <w:keepNext/>
        <w:spacing w:after="0"/>
        <w:rPr>
          <w:rFonts w:cstheme="minorHAnsi"/>
          <w:b w:val="0"/>
          <w:i/>
          <w:iCs w:val="0"/>
          <w:color w:val="auto"/>
          <w:szCs w:val="22"/>
          <w:lang w:val="sr-Cyrl-CS"/>
        </w:rPr>
      </w:pPr>
      <w:r w:rsidRPr="007E770D">
        <w:rPr>
          <w:rFonts w:cstheme="minorHAnsi"/>
          <w:iCs w:val="0"/>
          <w:color w:val="auto"/>
          <w:szCs w:val="22"/>
          <w:lang w:val="sr-Cyrl-CS"/>
        </w:rPr>
        <w:t xml:space="preserve">Пројекција кретања БДП, међугодишње </w:t>
      </w:r>
      <w:r w:rsidRPr="007E770D">
        <w:rPr>
          <w:rFonts w:cstheme="minorHAnsi"/>
          <w:iCs w:val="0"/>
          <w:color w:val="auto"/>
          <w:szCs w:val="22"/>
          <w:lang w:val="sr-Cyrl-CS"/>
        </w:rPr>
        <w:br w:type="textWrapping" w:clear="all"/>
        <w:t>стопе раста, %</w:t>
      </w:r>
    </w:p>
    <w:p w14:paraId="6AC57746" w14:textId="77777777" w:rsidR="006159C6" w:rsidRPr="007E770D" w:rsidRDefault="006159C6" w:rsidP="0023268B">
      <w:pPr>
        <w:spacing w:after="120"/>
        <w:rPr>
          <w:rFonts w:cstheme="minorHAnsi"/>
          <w:bCs/>
          <w:color w:val="auto"/>
          <w:sz w:val="16"/>
          <w:szCs w:val="72"/>
          <w:lang w:val="sr-Cyrl-CS"/>
        </w:rPr>
      </w:pPr>
      <w:r w:rsidRPr="007E770D">
        <w:rPr>
          <w:noProof/>
          <w:color w:val="auto"/>
        </w:rPr>
        <w:drawing>
          <wp:inline distT="0" distB="0" distL="0" distR="0" wp14:anchorId="3FB4FE0C" wp14:editId="1D82F771">
            <wp:extent cx="2743200" cy="1449070"/>
            <wp:effectExtent l="0" t="0" r="0" b="0"/>
            <wp:docPr id="57" name="Chart 57">
              <a:extLst xmlns:a="http://schemas.openxmlformats.org/drawingml/2006/main">
                <a:ext uri="{FF2B5EF4-FFF2-40B4-BE49-F238E27FC236}">
                  <a16:creationId xmlns:a16="http://schemas.microsoft.com/office/drawing/2014/main" id="{00000000-0008-0000-08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5"/>
              </a:graphicData>
            </a:graphic>
          </wp:inline>
        </w:drawing>
      </w:r>
    </w:p>
    <w:p w14:paraId="347D97AA" w14:textId="2D9F3894" w:rsidR="006159C6" w:rsidRPr="007E770D" w:rsidRDefault="006159C6" w:rsidP="00B435B3">
      <w:pPr>
        <w:rPr>
          <w:rFonts w:cstheme="minorHAnsi"/>
          <w:bCs/>
          <w:color w:val="auto"/>
          <w:sz w:val="16"/>
          <w:szCs w:val="72"/>
          <w:lang w:val="sr-Cyrl-CS"/>
        </w:rPr>
      </w:pPr>
      <w:r w:rsidRPr="007E770D">
        <w:rPr>
          <w:rFonts w:cstheme="minorHAnsi"/>
          <w:bCs/>
          <w:color w:val="auto"/>
          <w:sz w:val="16"/>
          <w:szCs w:val="72"/>
          <w:lang w:val="sr-Cyrl-CS"/>
        </w:rPr>
        <w:t>Извор: Министарство финансија</w:t>
      </w:r>
      <w:bookmarkStart w:id="8" w:name="_Toc530635103"/>
    </w:p>
    <w:p w14:paraId="07F420A9" w14:textId="17E42700" w:rsidR="001476C8" w:rsidRPr="007E770D" w:rsidRDefault="001476C8" w:rsidP="00B435B3">
      <w:pPr>
        <w:rPr>
          <w:rFonts w:cstheme="minorHAnsi"/>
          <w:bCs/>
          <w:color w:val="auto"/>
          <w:sz w:val="16"/>
          <w:szCs w:val="72"/>
          <w:lang w:val="sr-Cyrl-CS"/>
        </w:rPr>
      </w:pPr>
    </w:p>
    <w:p w14:paraId="4DDA8ECA" w14:textId="698B1364" w:rsidR="001476C8" w:rsidRPr="007E770D" w:rsidRDefault="001476C8" w:rsidP="00B435B3">
      <w:pPr>
        <w:rPr>
          <w:color w:val="auto"/>
          <w:lang w:val="sr-Cyrl-CS"/>
        </w:rPr>
        <w:sectPr w:rsidR="001476C8" w:rsidRPr="007E770D" w:rsidSect="00C130D2">
          <w:headerReference w:type="even" r:id="rId106"/>
          <w:headerReference w:type="default" r:id="rId107"/>
          <w:footerReference w:type="even" r:id="rId108"/>
          <w:footerReference w:type="default" r:id="rId109"/>
          <w:headerReference w:type="first" r:id="rId110"/>
          <w:type w:val="continuous"/>
          <w:pgSz w:w="12240" w:h="15840"/>
          <w:pgMar w:top="1440" w:right="1440" w:bottom="1440" w:left="1440" w:header="720" w:footer="720" w:gutter="0"/>
          <w:cols w:num="2" w:space="720"/>
          <w:docGrid w:linePitch="360"/>
          <w15:footnoteColumns w:val="1"/>
        </w:sectPr>
      </w:pPr>
    </w:p>
    <w:bookmarkEnd w:id="8"/>
    <w:p w14:paraId="5214F723" w14:textId="6193BD53" w:rsidR="004044DC" w:rsidRPr="007E770D" w:rsidRDefault="004044DC">
      <w:pPr>
        <w:jc w:val="left"/>
        <w:rPr>
          <w:color w:val="auto"/>
          <w:lang w:val="sr-Cyrl-CS"/>
        </w:rPr>
      </w:pPr>
      <w:r w:rsidRPr="007E770D">
        <w:rPr>
          <w:color w:val="auto"/>
          <w:lang w:val="sr-Cyrl-CS"/>
        </w:rPr>
        <w:br w:type="page"/>
      </w:r>
    </w:p>
    <w:p w14:paraId="43619332" w14:textId="77777777" w:rsidR="004044DC" w:rsidRPr="007E770D" w:rsidRDefault="004044DC" w:rsidP="00E4657F">
      <w:pPr>
        <w:pStyle w:val="Heading1"/>
        <w:spacing w:before="0" w:after="120"/>
        <w:jc w:val="center"/>
        <w:rPr>
          <w:rFonts w:asciiTheme="minorHAnsi" w:hAnsiTheme="minorHAnsi" w:cstheme="minorHAnsi"/>
          <w:b/>
          <w:color w:val="auto"/>
          <w:sz w:val="24"/>
          <w:szCs w:val="24"/>
          <w:lang w:val="sr-Cyrl-CS"/>
        </w:rPr>
      </w:pPr>
      <w:bookmarkStart w:id="9" w:name="_Toc23342464"/>
      <w:r w:rsidRPr="007E770D">
        <w:rPr>
          <w:rFonts w:asciiTheme="minorHAnsi" w:hAnsiTheme="minorHAnsi" w:cstheme="minorHAnsi"/>
          <w:b/>
          <w:color w:val="auto"/>
          <w:sz w:val="24"/>
          <w:szCs w:val="24"/>
          <w:lang w:val="sr-Cyrl-CS"/>
        </w:rPr>
        <w:lastRenderedPageBreak/>
        <w:t>II. ФИСКАЛНИ ОКВИР ЗА ПЕРИОД ОД 2020. ДО 2022. ГОДИНЕ</w:t>
      </w:r>
      <w:bookmarkStart w:id="10" w:name="_Toc528909823"/>
      <w:bookmarkStart w:id="11" w:name="_Toc530635104"/>
      <w:bookmarkEnd w:id="9"/>
    </w:p>
    <w:p w14:paraId="1158CF57" w14:textId="77777777" w:rsidR="004044DC" w:rsidRPr="007E770D" w:rsidRDefault="004044DC" w:rsidP="00E4657F">
      <w:pPr>
        <w:keepNext/>
        <w:keepLines/>
        <w:spacing w:before="40" w:after="120"/>
        <w:jc w:val="center"/>
        <w:outlineLvl w:val="1"/>
        <w:rPr>
          <w:b/>
          <w:color w:val="auto"/>
          <w:sz w:val="12"/>
          <w:szCs w:val="12"/>
          <w:lang w:val="sr-Cyrl-CS"/>
        </w:rPr>
      </w:pPr>
      <w:bookmarkStart w:id="12" w:name="_Toc23342465"/>
      <w:r w:rsidRPr="007E770D">
        <w:rPr>
          <w:rFonts w:eastAsiaTheme="majorEastAsia" w:cstheme="minorHAnsi"/>
          <w:b/>
          <w:color w:val="auto"/>
          <w:sz w:val="24"/>
          <w:szCs w:val="26"/>
          <w:lang w:val="sr-Cyrl-CS"/>
        </w:rPr>
        <w:t xml:space="preserve">1. </w:t>
      </w:r>
      <w:bookmarkEnd w:id="10"/>
      <w:r w:rsidRPr="007E770D">
        <w:rPr>
          <w:rFonts w:eastAsiaTheme="majorEastAsia" w:cstheme="minorHAnsi"/>
          <w:b/>
          <w:color w:val="auto"/>
          <w:sz w:val="24"/>
          <w:szCs w:val="26"/>
          <w:lang w:val="sr-Cyrl-CS"/>
        </w:rPr>
        <w:t>Средњорочни циљеви фискалне политике</w:t>
      </w:r>
      <w:bookmarkEnd w:id="11"/>
      <w:bookmarkEnd w:id="12"/>
    </w:p>
    <w:p w14:paraId="1716FED8" w14:textId="77777777" w:rsidR="004044DC" w:rsidRPr="007E770D" w:rsidRDefault="004044DC" w:rsidP="00E4657F">
      <w:pPr>
        <w:spacing w:after="0" w:line="276" w:lineRule="auto"/>
        <w:rPr>
          <w:rFonts w:eastAsia="MS PGothic" w:cstheme="minorHAnsi"/>
          <w:color w:val="auto"/>
          <w:sz w:val="14"/>
          <w:szCs w:val="20"/>
          <w:lang w:val="sr-Cyrl-CS" w:eastAsia="ja-JP"/>
        </w:rPr>
      </w:pPr>
    </w:p>
    <w:p w14:paraId="683B6DD2" w14:textId="77777777" w:rsidR="004044DC" w:rsidRPr="007E770D" w:rsidRDefault="004044DC" w:rsidP="00E4657F">
      <w:pPr>
        <w:spacing w:after="0" w:line="276" w:lineRule="auto"/>
        <w:rPr>
          <w:rFonts w:eastAsia="MS PGothic" w:cstheme="minorHAnsi"/>
          <w:color w:val="auto"/>
          <w:sz w:val="14"/>
          <w:szCs w:val="20"/>
          <w:lang w:val="sr-Cyrl-CS" w:eastAsia="ja-JP"/>
        </w:rPr>
        <w:sectPr w:rsidR="004044DC" w:rsidRPr="007E770D" w:rsidSect="004044DC">
          <w:headerReference w:type="even" r:id="rId111"/>
          <w:headerReference w:type="default" r:id="rId112"/>
          <w:footerReference w:type="even" r:id="rId113"/>
          <w:footerReference w:type="default" r:id="rId114"/>
          <w:headerReference w:type="first" r:id="rId115"/>
          <w:type w:val="continuous"/>
          <w:pgSz w:w="12240" w:h="15840"/>
          <w:pgMar w:top="1440" w:right="1440" w:bottom="1440" w:left="1440" w:header="720" w:footer="720" w:gutter="0"/>
          <w:cols w:space="720"/>
          <w:docGrid w:linePitch="360"/>
        </w:sectPr>
      </w:pPr>
    </w:p>
    <w:p w14:paraId="4AF10AD3" w14:textId="77777777" w:rsidR="004044DC" w:rsidRPr="007E770D" w:rsidRDefault="004044DC" w:rsidP="00E4657F">
      <w:pPr>
        <w:spacing w:after="120" w:line="276" w:lineRule="auto"/>
        <w:rPr>
          <w:rFonts w:eastAsia="MS PGothic" w:cstheme="minorHAnsi"/>
          <w:color w:val="auto"/>
          <w:spacing w:val="-2"/>
          <w:szCs w:val="20"/>
          <w:lang w:val="sr-Cyrl-CS" w:eastAsia="ja-JP"/>
        </w:rPr>
      </w:pPr>
      <w:r w:rsidRPr="007E770D">
        <w:rPr>
          <w:rFonts w:eastAsia="MS PGothic" w:cstheme="minorHAnsi"/>
          <w:color w:val="auto"/>
          <w:szCs w:val="20"/>
          <w:lang w:val="sr-Cyrl-CS" w:eastAsia="ja-JP"/>
        </w:rPr>
        <w:t xml:space="preserve">Циљ фискалне политике у наредном средњорочном периоду је континуитет и јачање фискалне дисциплине која обезбеђује наставак силазног тренда дуга, чиме се обезбеђује подстицај привредном расту. Након успешно окончаног Аранжмана из предострожности чију је окосницу представљао програм фискалне консолидације, склопљен је нови Аранжман са ММФ који је у први план ставио структурне реформе и њихов утицај на раст. Предвиђено је да Аранжман траје 30 месеци, до краја 2020. године. Инструмент координације политика (Policy Coordination Instrument) представља наставак спровођења програма структурних реформи са циљем одржања достигнуте макроекономске и финансијске стабилности, отварања нових радних места и убрзања привредног раста. </w:t>
      </w:r>
      <w:r w:rsidRPr="007E770D">
        <w:rPr>
          <w:rFonts w:eastAsia="MS PGothic" w:cstheme="minorHAnsi"/>
          <w:color w:val="auto"/>
          <w:spacing w:val="-2"/>
          <w:szCs w:val="20"/>
          <w:lang w:val="sr-Cyrl-CS" w:eastAsia="ja-JP"/>
        </w:rPr>
        <w:t>Побољшању фискалне позиције земље додатно је допринео програм реструктурирања и приватизације великих државних предузећа, попут РТБ Бора, што са своје стране доприноси смањењу фискалних ризика, који проистичу из овог сегмента јавних финансија.</w:t>
      </w:r>
    </w:p>
    <w:p w14:paraId="1C390BF5" w14:textId="77777777" w:rsidR="004044DC" w:rsidRPr="007E770D" w:rsidRDefault="004044DC" w:rsidP="00E4657F">
      <w:pPr>
        <w:spacing w:after="120" w:line="276" w:lineRule="auto"/>
        <w:rPr>
          <w:rFonts w:eastAsia="MS PGothic" w:cstheme="minorHAnsi"/>
          <w:color w:val="auto"/>
          <w:szCs w:val="20"/>
          <w:lang w:val="sr-Cyrl-CS" w:eastAsia="ja-JP"/>
        </w:rPr>
      </w:pPr>
      <w:r w:rsidRPr="007E770D">
        <w:rPr>
          <w:rFonts w:eastAsia="MS PGothic" w:cstheme="minorHAnsi"/>
          <w:color w:val="auto"/>
          <w:szCs w:val="20"/>
          <w:lang w:val="sr-Cyrl-CS" w:eastAsia="ja-JP"/>
        </w:rPr>
        <w:t xml:space="preserve">За разлику од периода фискалне консолидације, када је карактер фискалне политике био рестриктиван али процикличан, током 2018. године фискална политика је имала благи проциклично експанзивни карактер. У 2017. и 2018. години, на нивоу опште државе, остварен је фискални суфицит, иако је буџетом планиран дефицит. Фискални суфицит од 0,6% БДП,у 2018. години, уз ниже трошкове за отплату камата резултирао је остварењем примарног фискалног суфицита од 2,8% БДП. Бољи фискални резултат од планираног за 1,2% БДП директно је утицао на стање дуга, те је тренд пада дуга опште државе, започет крајем 2016. године, настављен и у 2018. години. У односу на крај 2017. године учешће јавног дуга у БДП је, на крају прошле године, смањено за више од 4 п. п. Одговорно вођење фискалне политике резултирало је стварањем фискалног простора у 2019. години који је омогућио релаксацију политике расхода, у домену </w:t>
      </w:r>
      <w:r w:rsidRPr="007E770D">
        <w:rPr>
          <w:rFonts w:eastAsia="MS PGothic" w:cstheme="minorHAnsi"/>
          <w:color w:val="auto"/>
          <w:szCs w:val="20"/>
          <w:lang w:val="sr-Cyrl-CS" w:eastAsia="ja-JP"/>
        </w:rPr>
        <w:t>плата, пензија и капиталних издатака са једне стране и пореске политике, кроз смањење укупног оптерећења рада и укидање односно смањење појединих парафискалних намета, са друге стране.</w:t>
      </w:r>
    </w:p>
    <w:p w14:paraId="538C7E89" w14:textId="77777777" w:rsidR="004044DC" w:rsidRPr="007E770D" w:rsidRDefault="004044DC" w:rsidP="00E4657F">
      <w:pPr>
        <w:spacing w:after="120" w:line="276" w:lineRule="auto"/>
        <w:rPr>
          <w:rFonts w:eastAsia="MS PGothic" w:cstheme="minorHAnsi"/>
          <w:color w:val="auto"/>
          <w:spacing w:val="-2"/>
          <w:szCs w:val="20"/>
          <w:lang w:val="sr-Cyrl-CS" w:eastAsia="ja-JP"/>
        </w:rPr>
        <w:sectPr w:rsidR="004044DC" w:rsidRPr="007E770D" w:rsidSect="00E4657F">
          <w:type w:val="continuous"/>
          <w:pgSz w:w="12240" w:h="15840"/>
          <w:pgMar w:top="1440" w:right="1440" w:bottom="1440" w:left="1440" w:header="720" w:footer="720" w:gutter="0"/>
          <w:cols w:num="2" w:space="720"/>
          <w:docGrid w:linePitch="360"/>
          <w15:footnoteColumns w:val="1"/>
        </w:sectPr>
      </w:pPr>
      <w:r w:rsidRPr="007E770D">
        <w:rPr>
          <w:rFonts w:eastAsia="MS PGothic" w:cstheme="minorHAnsi"/>
          <w:color w:val="auto"/>
          <w:spacing w:val="-2"/>
          <w:szCs w:val="20"/>
          <w:lang w:val="sr-Cyrl-CS" w:eastAsia="ja-JP"/>
        </w:rPr>
        <w:t>Добре фискалне перформансе забележене су и током 2019. године. У првој половини године, на нивоу опште државе, остварен је фискални суфицит од 0,7% БДП и примарни фискални суфицит од 3,4% БДП. Бољом наплатом прихода створен је простор за повећање расходне стране, те је усвојен ребаланс републичког буџета, при чему се основни циљеви нису променили. Задржан је фискални дефицит од 0,5% БДП, као и ниво дуга опште државе на крају године на 52,9% БДП. Доследност фискалне политике у примени усвојених мера током 2019. године, у комбинацији са повољним макроекономским окружењем обезбедиће фискални простор и за наредни период. Предвиђено је да у наредне три године фискални дефицит износи до 0,5% БДП годишње, а дуг остаје на стабилној и одрживој путањи, тако да на крају 2022. године износи 48,3% БДП. Као и у 2019. години, фискални простор ће у наредној години бити алоциран на мере које дају допринос расту привредне активности. Фискална политика ће бити фокусирана на наставак смањења укупног пореског оптерећења рада чиме се додатно растерећује привреда, односно повећава конкурентност приватног сектора. На расходној страни, приоритет при употреби фискалног простора имаће инфраструктурни и капитални пројекти, те повећање пензија и плата. Додатно, стабилности јавних финансија и одрживом фискалном оквиру допринеће планиране измене Закона о буџетском систему, којима ће, између осталог, бити редизајниран скуп фискалних правила, општих и посебних, те дефинисане посебне мере и консеквенце у случају њиховог непоштовања. Посебан акценат биће стављен на измену општих правила која се односе на јавни дуг и дефицит опште државе, те посебних правила везаних за одрживи ниво расхода за плате и пензије.</w:t>
      </w:r>
    </w:p>
    <w:p w14:paraId="4FDF2104" w14:textId="77777777" w:rsidR="004044DC" w:rsidRPr="007E770D" w:rsidRDefault="004044DC" w:rsidP="00D81397">
      <w:pPr>
        <w:keepNext/>
        <w:keepLines/>
        <w:spacing w:after="120"/>
        <w:jc w:val="center"/>
        <w:outlineLvl w:val="1"/>
        <w:rPr>
          <w:rFonts w:eastAsia="MS PGothic" w:cstheme="minorHAnsi"/>
          <w:b/>
          <w:color w:val="auto"/>
          <w:sz w:val="24"/>
          <w:szCs w:val="26"/>
          <w:lang w:val="sr-Cyrl-CS" w:eastAsia="ja-JP"/>
        </w:rPr>
      </w:pPr>
      <w:bookmarkStart w:id="13" w:name="_Toc530635105"/>
      <w:bookmarkStart w:id="14" w:name="_Toc23342466"/>
      <w:r w:rsidRPr="007E770D">
        <w:rPr>
          <w:rFonts w:eastAsia="MS PGothic" w:cstheme="minorHAnsi"/>
          <w:b/>
          <w:color w:val="auto"/>
          <w:sz w:val="24"/>
          <w:szCs w:val="26"/>
          <w:lang w:val="sr-Cyrl-CS" w:eastAsia="ja-JP"/>
        </w:rPr>
        <w:lastRenderedPageBreak/>
        <w:t>2. Фискална кретања у 2018. години</w:t>
      </w:r>
      <w:bookmarkEnd w:id="13"/>
      <w:bookmarkEnd w:id="14"/>
    </w:p>
    <w:p w14:paraId="3E0268BA" w14:textId="77777777" w:rsidR="004044DC" w:rsidRPr="007E770D" w:rsidRDefault="004044DC" w:rsidP="00D81397">
      <w:pPr>
        <w:spacing w:after="120"/>
        <w:rPr>
          <w:rFonts w:cstheme="minorHAnsi"/>
          <w:color w:val="auto"/>
          <w:lang w:val="sr-Cyrl-CS" w:eastAsia="ja-JP"/>
        </w:rPr>
      </w:pPr>
    </w:p>
    <w:p w14:paraId="7D786BFA" w14:textId="77777777" w:rsidR="004044DC" w:rsidRPr="007E770D" w:rsidRDefault="004044DC" w:rsidP="00E4657F">
      <w:pPr>
        <w:spacing w:line="276" w:lineRule="auto"/>
        <w:rPr>
          <w:rFonts w:cstheme="minorHAnsi"/>
          <w:bCs/>
          <w:color w:val="auto"/>
          <w:szCs w:val="72"/>
          <w:lang w:val="sr-Cyrl-CS"/>
        </w:rPr>
        <w:sectPr w:rsidR="004044DC" w:rsidRPr="007E770D" w:rsidSect="00BA4876">
          <w:headerReference w:type="even" r:id="rId116"/>
          <w:headerReference w:type="default" r:id="rId117"/>
          <w:footerReference w:type="even" r:id="rId118"/>
          <w:footerReference w:type="default" r:id="rId119"/>
          <w:headerReference w:type="first" r:id="rId120"/>
          <w:type w:val="continuous"/>
          <w:pgSz w:w="12240" w:h="15840"/>
          <w:pgMar w:top="1440" w:right="1440" w:bottom="1440" w:left="1440" w:header="720" w:footer="720" w:gutter="0"/>
          <w:cols w:space="720"/>
          <w:docGrid w:linePitch="360"/>
        </w:sectPr>
      </w:pPr>
    </w:p>
    <w:p w14:paraId="0FD34FCF" w14:textId="77777777" w:rsidR="004044DC" w:rsidRPr="007E770D" w:rsidRDefault="004044DC" w:rsidP="00E4657F">
      <w:pPr>
        <w:spacing w:line="276" w:lineRule="auto"/>
        <w:rPr>
          <w:rFonts w:cstheme="minorHAnsi"/>
          <w:bCs/>
          <w:color w:val="auto"/>
          <w:szCs w:val="72"/>
          <w:lang w:val="sr-Cyrl-CS"/>
        </w:rPr>
      </w:pPr>
      <w:r w:rsidRPr="007E770D">
        <w:rPr>
          <w:rFonts w:cstheme="minorHAnsi"/>
          <w:bCs/>
          <w:color w:val="auto"/>
          <w:szCs w:val="72"/>
          <w:lang w:val="sr-Cyrl-CS"/>
        </w:rPr>
        <w:t>На крају 2018. године, на нивоу опште државе остварен је фискални суфицит у износу од 32,2 млрд динара, односно 0,6% БДП, што је за 1,2% БДП боље од планираног, с обзиром да је буџетом планиран фискални дефицит у истом износу. У истом периоду остварен је примарни фискални суфицит од 2,7% БДП. Позитивна фискална кретања повољно су се одразила на путању дуга, те је тренд пада дуга опште државе настављен и у 2018. години. Дуг је смањен за више од 4 п. п, са 58,7% БДП, колико је износио на крају 2017. године на 54,4% БДП на крају 2018. године.</w:t>
      </w:r>
    </w:p>
    <w:p w14:paraId="38A96096" w14:textId="77777777" w:rsidR="004044DC" w:rsidRPr="007E770D" w:rsidRDefault="004044DC" w:rsidP="00E4657F">
      <w:pPr>
        <w:spacing w:line="276" w:lineRule="auto"/>
        <w:rPr>
          <w:rFonts w:cstheme="minorHAnsi"/>
          <w:bCs/>
          <w:color w:val="auto"/>
          <w:szCs w:val="72"/>
          <w:lang w:val="sr-Cyrl-CS"/>
        </w:rPr>
      </w:pPr>
      <w:r w:rsidRPr="007E770D">
        <w:rPr>
          <w:rFonts w:cstheme="minorHAnsi"/>
          <w:bCs/>
          <w:color w:val="auto"/>
          <w:szCs w:val="72"/>
          <w:lang w:val="sr-Cyrl-CS"/>
        </w:rPr>
        <w:t xml:space="preserve">Знатно бољем фискалном резултату допринело је боље остварење јавних прихода у односу на план. Приходи су остварили бољи резултат од планираног за 90,4 млрд динара, односно 4,5%. Порески приходи су већи за 46,2 млрд динара од планираног износа, односно 2,6%. Непорески приходи су премашили план за 45,1 млрд динара, односно 20,2%. У категорији пореских прихода значајно боље остварење у односу на план забележено је код социјалних доприноса, пореза на доходак и пореза на добит правних лица. Услед већег од очекиваног раста запослености и зарада приходи од доприноса и пореза на доходак грађана пребацили су план за око 0,5% БДП. Порез на добит правних лица је опрезно пројектован, с обзиром на волатилност кретања у претходним годинама и непостојање поузданог параметра за пројектовање овог прихода. Наплата пореза на добит је премашила план за 0,5% БДП. Знатно боља наплата непореских прихода у односу на план резултат је непланираних једнократних уплата. Непорески приходи су бољи у односу на план за 0,9% БДП. Приликом израде пројекције прихода за 2018. годину, из начела опрезности, у планирани износ непореских прихода су били укључени само претпостављени структурни, односно трајни износи непореских прихода. Планом нису била обухваћене једнократне уплате </w:t>
      </w:r>
      <w:r w:rsidRPr="007E770D">
        <w:rPr>
          <w:rFonts w:cstheme="minorHAnsi"/>
          <w:bCs/>
          <w:color w:val="auto"/>
          <w:szCs w:val="72"/>
          <w:lang w:val="sr-Cyrl-CS"/>
        </w:rPr>
        <w:t>као што су уплата добити ЈП ЕПС, наплаћена потраживања Агенције за осигурање депозита, уплате по основу премија за реотварање емисије хартија од вредности итд. Фискални простор у 2018. години је делом искоришћен за смањење пореског оптерећења рада. Повећањем неопорезивог дела зараде (цензус) са 11.790 динара на 15.000 динара смањено је укупно оптерећење просечне зараде (tax wedge) за 0,4 процентна поена.</w:t>
      </w:r>
    </w:p>
    <w:p w14:paraId="54EB30A9" w14:textId="77777777" w:rsidR="004044DC" w:rsidRPr="007E770D" w:rsidRDefault="004044DC" w:rsidP="00E4657F">
      <w:pPr>
        <w:spacing w:after="0"/>
        <w:rPr>
          <w:rFonts w:cstheme="minorHAnsi"/>
          <w:bCs/>
          <w:color w:val="auto"/>
          <w:szCs w:val="72"/>
          <w:lang w:val="sr-Cyrl-CS"/>
        </w:rPr>
      </w:pPr>
      <w:r w:rsidRPr="007E770D">
        <w:rPr>
          <w:rFonts w:cstheme="minorHAnsi"/>
          <w:bCs/>
          <w:color w:val="auto"/>
          <w:szCs w:val="72"/>
          <w:lang w:val="sr-Cyrl-CS"/>
        </w:rPr>
        <w:t xml:space="preserve">Укупни расходи опште државе виши су од плана за 26,1 млрд динара, односно 1,3%. Дошло је до значајне измене у самој структури расхода у односу на иницијални план с обзиром да су неке категорије расхода извршене испод плана (камате, субвенције), а друге расходне категорије су премашиле плански износ (капитални расходи и расходи за робе и услуге). Остварени фискални простор омогућио је значајнију релаксацију фискалне политике у домену плата и пензија, као и за веће капиталне инвестиције државе. </w:t>
      </w:r>
      <w:r w:rsidRPr="007E770D">
        <w:rPr>
          <w:color w:val="auto"/>
          <w:szCs w:val="20"/>
          <w:lang w:val="sr-Cyrl-CS"/>
        </w:rPr>
        <w:t xml:space="preserve">Укидањем Закона о привременом уређењу начина исплате пензија и почетком исплате новчаног износа као увећања уз пензију, а на основу измена закона о ПИО, почев од исплате октобарске пензије, пензионерима са нижим примањима увећана су укупна примања у односу на септембарску пензију за најмање 5%. У 2018. години плате запослених у јавном сектору повећане су у распону од 5% до 10%. </w:t>
      </w:r>
      <w:r w:rsidRPr="007E770D">
        <w:rPr>
          <w:rFonts w:cstheme="minorHAnsi"/>
          <w:bCs/>
          <w:color w:val="auto"/>
          <w:szCs w:val="72"/>
          <w:lang w:val="sr-Cyrl-CS"/>
        </w:rPr>
        <w:t>Повећање ефикасности у извршењу капиталних издатака, на уштрб мањих камата је позитиван помак у односу на претходни период кад су инфраструктурни пројекти били ограничени приоритетним расходима. Расходи за камате су мањи у односу на план за око 0,2% БДП, док су капитални расходи пребацили план за 0,6% БДП. Најважнији узрок бољег извршења је брже повлачење пројектних зајмова и ефикасније извршење средстава по том основу. Извршење капиталних расхода у 2018. години достигло је ниво од 3,9% БДП.</w:t>
      </w:r>
    </w:p>
    <w:p w14:paraId="5DB698E3" w14:textId="77777777" w:rsidR="004044DC" w:rsidRPr="007E770D" w:rsidRDefault="004044DC">
      <w:pPr>
        <w:jc w:val="left"/>
        <w:rPr>
          <w:rFonts w:cstheme="minorHAnsi"/>
          <w:bCs/>
          <w:color w:val="auto"/>
          <w:szCs w:val="72"/>
          <w:lang w:val="sr-Cyrl-CS"/>
        </w:rPr>
      </w:pPr>
      <w:r w:rsidRPr="007E770D">
        <w:rPr>
          <w:rFonts w:cstheme="minorHAnsi"/>
          <w:bCs/>
          <w:color w:val="auto"/>
          <w:szCs w:val="72"/>
          <w:lang w:val="sr-Cyrl-CS"/>
        </w:rPr>
        <w:br w:type="page"/>
      </w:r>
    </w:p>
    <w:p w14:paraId="41141FF8" w14:textId="77777777" w:rsidR="004044DC" w:rsidRPr="007E770D" w:rsidRDefault="004044DC" w:rsidP="00E4657F">
      <w:pPr>
        <w:spacing w:after="0"/>
        <w:rPr>
          <w:rFonts w:cstheme="minorHAnsi"/>
          <w:bCs/>
          <w:color w:val="auto"/>
          <w:szCs w:val="72"/>
          <w:lang w:val="sr-Cyrl-CS"/>
        </w:rPr>
        <w:sectPr w:rsidR="004044DC" w:rsidRPr="007E770D" w:rsidSect="00E4657F">
          <w:type w:val="continuous"/>
          <w:pgSz w:w="12240" w:h="15840"/>
          <w:pgMar w:top="1440" w:right="1440" w:bottom="1440" w:left="1440" w:header="720" w:footer="720" w:gutter="0"/>
          <w:cols w:num="2" w:space="720"/>
          <w:docGrid w:linePitch="360"/>
        </w:sectPr>
      </w:pPr>
    </w:p>
    <w:p w14:paraId="3C1B4F53" w14:textId="77777777" w:rsidR="004044DC" w:rsidRPr="007E770D" w:rsidRDefault="004044DC" w:rsidP="00E4657F">
      <w:pPr>
        <w:keepNext/>
        <w:keepLines/>
        <w:spacing w:after="120"/>
        <w:jc w:val="center"/>
        <w:outlineLvl w:val="1"/>
        <w:rPr>
          <w:rFonts w:eastAsia="MS PGothic" w:cstheme="minorHAnsi"/>
          <w:b/>
          <w:color w:val="auto"/>
          <w:sz w:val="24"/>
          <w:szCs w:val="26"/>
          <w:lang w:val="sr-Cyrl-CS" w:eastAsia="ja-JP"/>
        </w:rPr>
      </w:pPr>
      <w:bookmarkStart w:id="15" w:name="_Toc530635106"/>
      <w:bookmarkStart w:id="16" w:name="_Toc23342467"/>
      <w:r w:rsidRPr="007E770D">
        <w:rPr>
          <w:rFonts w:eastAsia="MS PGothic" w:cstheme="minorHAnsi"/>
          <w:b/>
          <w:color w:val="auto"/>
          <w:sz w:val="24"/>
          <w:szCs w:val="26"/>
          <w:lang w:val="sr-Cyrl-CS" w:eastAsia="ja-JP"/>
        </w:rPr>
        <w:lastRenderedPageBreak/>
        <w:t>3. Текућа фискална кретања и изгледи за 2019. годину</w:t>
      </w:r>
      <w:bookmarkEnd w:id="15"/>
      <w:bookmarkEnd w:id="16"/>
    </w:p>
    <w:p w14:paraId="7EBF0202" w14:textId="77777777" w:rsidR="004044DC" w:rsidRPr="007E770D" w:rsidRDefault="004044DC" w:rsidP="00E4657F">
      <w:pPr>
        <w:rPr>
          <w:color w:val="auto"/>
          <w:lang w:val="sr-Cyrl-CS" w:eastAsia="ja-JP"/>
        </w:rPr>
      </w:pPr>
    </w:p>
    <w:p w14:paraId="00BD0549" w14:textId="77777777" w:rsidR="004044DC" w:rsidRPr="007E770D" w:rsidRDefault="004044DC" w:rsidP="00D81397">
      <w:pPr>
        <w:spacing w:before="480" w:after="120" w:line="276" w:lineRule="auto"/>
        <w:rPr>
          <w:rFonts w:eastAsia="MS PGothic" w:cstheme="minorHAnsi"/>
          <w:b/>
          <w:color w:val="auto"/>
          <w:szCs w:val="20"/>
          <w:lang w:val="sr-Cyrl-CS" w:eastAsia="ja-JP"/>
        </w:rPr>
        <w:sectPr w:rsidR="004044DC" w:rsidRPr="007E770D" w:rsidSect="00BA4876">
          <w:type w:val="continuous"/>
          <w:pgSz w:w="12240" w:h="15840"/>
          <w:pgMar w:top="1440" w:right="1440" w:bottom="1440" w:left="1440" w:header="720" w:footer="720" w:gutter="0"/>
          <w:cols w:space="720"/>
          <w:docGrid w:linePitch="360"/>
        </w:sectPr>
      </w:pPr>
    </w:p>
    <w:p w14:paraId="6E806D0D" w14:textId="77777777" w:rsidR="004044DC" w:rsidRPr="007E770D" w:rsidRDefault="004044DC" w:rsidP="009877EB">
      <w:pPr>
        <w:spacing w:after="120" w:line="276" w:lineRule="auto"/>
        <w:rPr>
          <w:rFonts w:eastAsia="MS PGothic" w:cstheme="minorHAnsi"/>
          <w:color w:val="auto"/>
          <w:szCs w:val="20"/>
          <w:lang w:val="sr-Cyrl-CS" w:eastAsia="ja-JP"/>
        </w:rPr>
      </w:pPr>
      <w:r w:rsidRPr="007E770D">
        <w:rPr>
          <w:rFonts w:eastAsia="MS PGothic" w:cstheme="minorHAnsi"/>
          <w:color w:val="auto"/>
          <w:szCs w:val="20"/>
          <w:lang w:val="sr-Cyrl-CS" w:eastAsia="ja-JP"/>
        </w:rPr>
        <w:t>Фискални дефицит опште државе у 2019. години, према најновијим проценама, износиће 0,5% БДП.</w:t>
      </w:r>
      <w:r w:rsidRPr="007E770D">
        <w:rPr>
          <w:rFonts w:eastAsia="MS PGothic" w:cstheme="minorHAnsi"/>
          <w:b/>
          <w:color w:val="auto"/>
          <w:szCs w:val="20"/>
          <w:lang w:val="sr-Cyrl-CS" w:eastAsia="ja-JP"/>
        </w:rPr>
        <w:t xml:space="preserve"> </w:t>
      </w:r>
      <w:r w:rsidRPr="007E770D">
        <w:rPr>
          <w:rFonts w:eastAsia="MS PGothic" w:cstheme="minorHAnsi"/>
          <w:color w:val="auto"/>
          <w:szCs w:val="20"/>
          <w:lang w:val="sr-Cyrl-CS" w:eastAsia="ja-JP"/>
        </w:rPr>
        <w:t>Приликом израде нове процене прихода, расхода и резултата опште државе, у обзир су узета најновија макро-економска кретања и процене, фискална кретања током 2019. године, као и очекивана реализација одређених једнократних категорија прихода и расхода који нису били обухваћени планом.</w:t>
      </w:r>
    </w:p>
    <w:p w14:paraId="4FE47A05" w14:textId="77777777" w:rsidR="004044DC" w:rsidRPr="007E770D" w:rsidRDefault="004044DC" w:rsidP="00C130D2">
      <w:pPr>
        <w:spacing w:after="120" w:line="276" w:lineRule="auto"/>
        <w:rPr>
          <w:rFonts w:eastAsia="MS PGothic" w:cstheme="minorHAnsi"/>
          <w:color w:val="auto"/>
          <w:szCs w:val="20"/>
          <w:lang w:val="sr-Cyrl-CS" w:eastAsia="ja-JP"/>
        </w:rPr>
      </w:pPr>
      <w:r w:rsidRPr="007E770D">
        <w:rPr>
          <w:rFonts w:eastAsia="MS PGothic" w:cstheme="minorHAnsi"/>
          <w:color w:val="auto"/>
          <w:szCs w:val="20"/>
          <w:lang w:val="sr-Cyrl-CS" w:eastAsia="ja-JP"/>
        </w:rPr>
        <w:t>Процењени примарни фискални суфицит од скоро 1,6% БДП у 2019. години је и даље један од основних фактора који утиче на смањење учешћа јавног дуга у БДП. Овај резултат показује да су претходне мере фискалне консолидације постигле жељене ефекте и да је јавна потрошња у довољној мери редукована. Са друге стране, повољна фискална кретања обезбедила су стабилизацију нивоа издатака за камате у претходном периоду, посматрано као учешће у БДП. Тиме је био створен простор за одређену фискалну релаксацију која није угрозила основне средњорочне циљеве фискалне политике.</w:t>
      </w:r>
    </w:p>
    <w:p w14:paraId="0B29DF39" w14:textId="77777777" w:rsidR="004044DC" w:rsidRPr="007E770D" w:rsidRDefault="004044DC" w:rsidP="00C130D2">
      <w:pPr>
        <w:spacing w:after="120" w:line="276" w:lineRule="auto"/>
        <w:jc w:val="center"/>
        <w:rPr>
          <w:color w:val="auto"/>
          <w:lang w:val="sr-Cyrl-CS"/>
        </w:rPr>
      </w:pPr>
      <w:r w:rsidRPr="007E770D">
        <w:rPr>
          <w:rFonts w:cstheme="minorHAnsi"/>
          <w:b/>
          <w:color w:val="auto"/>
          <w:lang w:val="sr-Cyrl-CS"/>
        </w:rPr>
        <w:t>Фискални резултат опште државе у периоду од 2015. до 2019. године, % БДП</w:t>
      </w:r>
    </w:p>
    <w:p w14:paraId="6065332B" w14:textId="77777777" w:rsidR="004044DC" w:rsidRPr="007E770D" w:rsidRDefault="004044DC" w:rsidP="00C130D2">
      <w:pPr>
        <w:spacing w:after="120" w:line="276" w:lineRule="auto"/>
        <w:jc w:val="center"/>
        <w:rPr>
          <w:rFonts w:eastAsia="MS PGothic" w:cstheme="minorHAnsi"/>
          <w:b/>
          <w:color w:val="auto"/>
          <w:szCs w:val="20"/>
          <w:lang w:val="sr-Cyrl-CS" w:eastAsia="ja-JP"/>
        </w:rPr>
      </w:pPr>
      <w:r w:rsidRPr="007E770D">
        <w:rPr>
          <w:noProof/>
          <w:color w:val="auto"/>
        </w:rPr>
        <w:drawing>
          <wp:inline distT="0" distB="0" distL="0" distR="0" wp14:anchorId="799C4E22" wp14:editId="7C6E75E5">
            <wp:extent cx="2733675" cy="1792586"/>
            <wp:effectExtent l="0" t="0" r="0" b="0"/>
            <wp:docPr id="14" name="Chart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121"/>
              </a:graphicData>
            </a:graphic>
          </wp:inline>
        </w:drawing>
      </w:r>
    </w:p>
    <w:p w14:paraId="2568F1EF" w14:textId="77777777" w:rsidR="004044DC" w:rsidRPr="007E770D" w:rsidRDefault="004044DC" w:rsidP="009877EB">
      <w:pPr>
        <w:spacing w:after="120" w:line="276" w:lineRule="auto"/>
        <w:rPr>
          <w:rFonts w:cstheme="minorHAnsi"/>
          <w:bCs/>
          <w:color w:val="auto"/>
          <w:sz w:val="16"/>
          <w:szCs w:val="72"/>
          <w:lang w:val="sr-Cyrl-CS"/>
        </w:rPr>
      </w:pPr>
      <w:r w:rsidRPr="007E770D">
        <w:rPr>
          <w:rFonts w:cstheme="minorHAnsi"/>
          <w:bCs/>
          <w:color w:val="auto"/>
          <w:sz w:val="16"/>
          <w:szCs w:val="72"/>
          <w:lang w:val="sr-Cyrl-CS"/>
        </w:rPr>
        <w:t>Извор: Министарство финансија</w:t>
      </w:r>
    </w:p>
    <w:p w14:paraId="46161439" w14:textId="77777777" w:rsidR="004044DC" w:rsidRPr="007E770D" w:rsidRDefault="004044DC" w:rsidP="00C130D2">
      <w:pPr>
        <w:spacing w:after="120" w:line="276" w:lineRule="auto"/>
        <w:rPr>
          <w:rFonts w:eastAsia="MS PGothic" w:cstheme="minorHAnsi"/>
          <w:color w:val="auto"/>
          <w:spacing w:val="-4"/>
          <w:szCs w:val="20"/>
          <w:lang w:val="sr-Cyrl-CS" w:eastAsia="ja-JP"/>
        </w:rPr>
      </w:pPr>
      <w:r w:rsidRPr="007E770D">
        <w:rPr>
          <w:rFonts w:eastAsia="MS PGothic" w:cstheme="minorHAnsi"/>
          <w:color w:val="auto"/>
          <w:spacing w:val="-4"/>
          <w:szCs w:val="20"/>
          <w:lang w:val="sr-Cyrl-CS" w:eastAsia="ja-JP"/>
        </w:rPr>
        <w:br w:type="column"/>
      </w:r>
      <w:r w:rsidRPr="007E770D">
        <w:rPr>
          <w:rFonts w:eastAsia="MS PGothic" w:cstheme="minorHAnsi"/>
          <w:color w:val="auto"/>
          <w:spacing w:val="-4"/>
          <w:szCs w:val="20"/>
          <w:lang w:val="sr-Cyrl-CS" w:eastAsia="ja-JP"/>
        </w:rPr>
        <w:t>Након заустављања раста учешћа јавног дуга у БДП током 2015. године и почетног пада у наредној години, у 2017. и 2018. години остварена је значајна редукција</w:t>
      </w:r>
      <w:r w:rsidRPr="007E770D">
        <w:rPr>
          <w:rFonts w:eastAsia="MS PGothic" w:cstheme="minorHAnsi"/>
          <w:b/>
          <w:color w:val="auto"/>
          <w:spacing w:val="-4"/>
          <w:szCs w:val="20"/>
          <w:lang w:val="sr-Cyrl-CS" w:eastAsia="ja-JP"/>
        </w:rPr>
        <w:t xml:space="preserve"> </w:t>
      </w:r>
      <w:r w:rsidRPr="007E770D">
        <w:rPr>
          <w:rFonts w:eastAsia="MS PGothic" w:cstheme="minorHAnsi"/>
          <w:color w:val="auto"/>
          <w:spacing w:val="-4"/>
          <w:szCs w:val="20"/>
          <w:lang w:val="sr-Cyrl-CS" w:eastAsia="ja-JP"/>
        </w:rPr>
        <w:t>учешћа јавног дуга у БДП. Предвиђено је да учешће нивоа јавног дуга буде смањено са 68,8% БДП, колико је износило у 2016. години, на 52,9% БДП на крају 2019. године. Укупни и примарни суфицит у овом периоду представљају најзначајнији фактор који је утицао на смањење учешћа јавног дуга у БДП. Иако постоје ризици да у наредном периоду кретања на међународном девизном тржишту делују у супротном правцу, планирана путања фискалног резултата обезбеђује даље смањење учешћа јавног дуга у БДП.</w:t>
      </w:r>
    </w:p>
    <w:p w14:paraId="5812A39A" w14:textId="0FD4598E" w:rsidR="004044DC" w:rsidRPr="007E770D" w:rsidRDefault="004044DC" w:rsidP="00E4657F">
      <w:pPr>
        <w:spacing w:after="120" w:line="276" w:lineRule="auto"/>
        <w:rPr>
          <w:rFonts w:eastAsia="MS PGothic" w:cstheme="minorHAnsi"/>
          <w:color w:val="auto"/>
          <w:spacing w:val="-4"/>
          <w:szCs w:val="20"/>
          <w:lang w:val="sr-Cyrl-CS" w:eastAsia="ja-JP"/>
        </w:rPr>
      </w:pPr>
      <w:r w:rsidRPr="007E770D">
        <w:rPr>
          <w:rFonts w:eastAsia="MS PGothic" w:cstheme="minorHAnsi"/>
          <w:color w:val="auto"/>
          <w:spacing w:val="-4"/>
          <w:szCs w:val="20"/>
          <w:lang w:val="sr-Cyrl-CS" w:eastAsia="ja-JP"/>
        </w:rPr>
        <w:t>Фискални резултат у 2019. години, није у значајној мери ревидиран у односу на буџетски план, али је дошло до значајне промене у структури прихода и расхода. Пројекција прихода ревидирана је навише за 83 млрд динара (мајска ревизија 46,3 млрд), због значајно боље реализације већине пореских прихода и дела непореских прихода.</w:t>
      </w:r>
      <w:r w:rsidRPr="007E770D">
        <w:rPr>
          <w:rFonts w:eastAsia="MS PGothic" w:cstheme="minorHAnsi"/>
          <w:b/>
          <w:color w:val="auto"/>
          <w:spacing w:val="-4"/>
          <w:szCs w:val="20"/>
          <w:lang w:val="sr-Cyrl-CS" w:eastAsia="ja-JP"/>
        </w:rPr>
        <w:t xml:space="preserve"> </w:t>
      </w:r>
      <w:r w:rsidRPr="007E770D">
        <w:rPr>
          <w:rFonts w:eastAsia="MS PGothic" w:cstheme="minorHAnsi"/>
          <w:color w:val="auto"/>
          <w:spacing w:val="-4"/>
          <w:szCs w:val="20"/>
          <w:lang w:val="sr-Cyrl-CS" w:eastAsia="ja-JP"/>
        </w:rPr>
        <w:t xml:space="preserve">Пројекција расхода ревидирана је такође навише, у износу 81,4 млрд динара (мајска ревизија 43,8 млрд), али са значајним изменама у структури. Као позитивна промена може се истаћи повећање капиталних издатака, у односу на план, због знатно бољег извршења. Ревидирана процена капиталних издатака је већа за 21 млрд динара у односу на буџетски план и износи за ниво опште државе 236,9 млрд динара. Ова промена је појединачно највећа и утиче на продуктивност јавних расхода у функцији стварања услова за бржи економски раст. Осим издатака за пензије, код осталих категорија јавних расхода дошло је до измене пројектованих износа за 2019. годину, с тим што су одређене измене резултат методолошких промена у обухвату расхода јавног сектора. Усвојеним Законом о изменама и допунама </w:t>
      </w:r>
      <w:r w:rsidR="00F35B57" w:rsidRPr="007E770D">
        <w:rPr>
          <w:rFonts w:eastAsia="MS PGothic" w:cstheme="minorHAnsi"/>
          <w:color w:val="auto"/>
          <w:spacing w:val="-4"/>
          <w:szCs w:val="20"/>
          <w:lang w:val="sr-Cyrl-CS" w:eastAsia="ja-JP"/>
        </w:rPr>
        <w:t xml:space="preserve">Закона </w:t>
      </w:r>
      <w:r w:rsidRPr="007E770D">
        <w:rPr>
          <w:rFonts w:eastAsia="MS PGothic" w:cstheme="minorHAnsi"/>
          <w:color w:val="auto"/>
          <w:spacing w:val="-4"/>
          <w:szCs w:val="20"/>
          <w:lang w:val="sr-Cyrl-CS" w:eastAsia="ja-JP"/>
        </w:rPr>
        <w:t>о буџету</w:t>
      </w:r>
      <w:r w:rsidR="008848FE">
        <w:rPr>
          <w:rFonts w:eastAsia="MS PGothic" w:cstheme="minorHAnsi"/>
          <w:color w:val="auto"/>
          <w:spacing w:val="-4"/>
          <w:szCs w:val="20"/>
          <w:lang w:val="sr-Cyrl-RS" w:eastAsia="ja-JP"/>
        </w:rPr>
        <w:t xml:space="preserve"> Републике Србије</w:t>
      </w:r>
      <w:r w:rsidRPr="007E770D">
        <w:rPr>
          <w:rFonts w:eastAsia="MS PGothic" w:cstheme="minorHAnsi"/>
          <w:color w:val="auto"/>
          <w:spacing w:val="-4"/>
          <w:szCs w:val="20"/>
          <w:lang w:val="sr-Cyrl-CS" w:eastAsia="ja-JP"/>
        </w:rPr>
        <w:t xml:space="preserve"> за 2019. годину извршено је усклађивање са текућим кретањима јавних прихода и расхода.</w:t>
      </w:r>
    </w:p>
    <w:p w14:paraId="5E1B1D11" w14:textId="77777777" w:rsidR="004044DC" w:rsidRPr="007E770D" w:rsidRDefault="004044DC">
      <w:pPr>
        <w:jc w:val="left"/>
        <w:rPr>
          <w:rFonts w:eastAsia="MS PGothic" w:cstheme="minorHAnsi"/>
          <w:color w:val="auto"/>
          <w:spacing w:val="-4"/>
          <w:szCs w:val="20"/>
          <w:lang w:val="sr-Cyrl-CS" w:eastAsia="ja-JP"/>
        </w:rPr>
      </w:pPr>
      <w:r w:rsidRPr="007E770D">
        <w:rPr>
          <w:rFonts w:eastAsia="MS PGothic" w:cstheme="minorHAnsi"/>
          <w:color w:val="auto"/>
          <w:spacing w:val="-4"/>
          <w:szCs w:val="20"/>
          <w:lang w:val="sr-Cyrl-CS" w:eastAsia="ja-JP"/>
        </w:rPr>
        <w:br w:type="page"/>
      </w:r>
    </w:p>
    <w:p w14:paraId="5136F203" w14:textId="77777777" w:rsidR="004044DC" w:rsidRPr="007E770D" w:rsidRDefault="004044DC" w:rsidP="00E4657F">
      <w:pPr>
        <w:jc w:val="center"/>
        <w:rPr>
          <w:rFonts w:cstheme="minorHAnsi"/>
          <w:b/>
          <w:color w:val="auto"/>
          <w:lang w:val="sr-Cyrl-CS"/>
        </w:rPr>
      </w:pPr>
      <w:r w:rsidRPr="007E770D">
        <w:rPr>
          <w:rFonts w:cstheme="minorHAnsi"/>
          <w:b/>
          <w:color w:val="auto"/>
          <w:lang w:val="sr-Cyrl-CS"/>
        </w:rPr>
        <w:lastRenderedPageBreak/>
        <w:t>Допринос појединачних фактора корекцији фискалног резултата у односу на план за 2019. годину, % БДП</w:t>
      </w:r>
    </w:p>
    <w:p w14:paraId="43EF38F4" w14:textId="77777777" w:rsidR="004044DC" w:rsidRPr="007E770D" w:rsidRDefault="004044DC" w:rsidP="00E4657F">
      <w:pPr>
        <w:spacing w:after="240"/>
        <w:rPr>
          <w:rFonts w:eastAsia="MS PGothic" w:cstheme="minorHAnsi"/>
          <w:color w:val="auto"/>
          <w:szCs w:val="20"/>
          <w:lang w:val="sr-Cyrl-CS" w:eastAsia="ja-JP"/>
        </w:rPr>
      </w:pPr>
      <w:r w:rsidRPr="007E770D">
        <w:rPr>
          <w:rFonts w:eastAsia="MS PGothic" w:cstheme="minorHAnsi"/>
          <w:noProof/>
          <w:color w:val="auto"/>
          <w:szCs w:val="20"/>
        </w:rPr>
        <w:drawing>
          <wp:inline distT="0" distB="0" distL="0" distR="0" wp14:anchorId="34ADC2A9" wp14:editId="0911999A">
            <wp:extent cx="3014345" cy="2661719"/>
            <wp:effectExtent l="0" t="0" r="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3081247" cy="2720795"/>
                    </a:xfrm>
                    <a:prstGeom prst="rect">
                      <a:avLst/>
                    </a:prstGeom>
                    <a:noFill/>
                  </pic:spPr>
                </pic:pic>
              </a:graphicData>
            </a:graphic>
          </wp:inline>
        </w:drawing>
      </w:r>
    </w:p>
    <w:p w14:paraId="4B68B6A4" w14:textId="77777777" w:rsidR="004044DC" w:rsidRPr="007E770D" w:rsidRDefault="004044DC" w:rsidP="00E4657F">
      <w:pPr>
        <w:spacing w:after="120" w:line="276" w:lineRule="auto"/>
        <w:rPr>
          <w:rFonts w:eastAsia="MS PGothic" w:cstheme="minorHAnsi"/>
          <w:color w:val="auto"/>
          <w:spacing w:val="-4"/>
          <w:szCs w:val="20"/>
          <w:lang w:val="sr-Cyrl-CS" w:eastAsia="ja-JP"/>
        </w:rPr>
        <w:sectPr w:rsidR="004044DC" w:rsidRPr="007E770D" w:rsidSect="00BA4876">
          <w:type w:val="continuous"/>
          <w:pgSz w:w="12240" w:h="15840"/>
          <w:pgMar w:top="1440" w:right="1440" w:bottom="1440" w:left="1440" w:header="720" w:footer="720" w:gutter="0"/>
          <w:cols w:num="2" w:space="720"/>
          <w:docGrid w:linePitch="360"/>
        </w:sectPr>
      </w:pPr>
      <w:r w:rsidRPr="007E770D">
        <w:rPr>
          <w:rFonts w:eastAsia="MS PGothic" w:cstheme="minorHAnsi"/>
          <w:color w:val="auto"/>
          <w:spacing w:val="-4"/>
          <w:szCs w:val="20"/>
          <w:lang w:val="sr-Cyrl-CS" w:eastAsia="ja-JP"/>
        </w:rPr>
        <w:t>На крају августа текуће године остварен је суфицит на нивоу опште државе у износу од 37,2 млрд динара, што је за 50,9 млрд динара боље од иницијалног плана. У овом периоду, према буџетском плану, био је предвиђен дефицит у износу од 13,7 млрд динара. Фискална кретања у овом периоду 2019. године одражавају повољне макроекономске трендове, пре свега на тржишту рада, који су допринели бољој наплати јавних прихода (социјални доприноси, порез на доходак и порез на додату вредност).</w:t>
      </w:r>
    </w:p>
    <w:p w14:paraId="0B338ECB" w14:textId="77777777" w:rsidR="004044DC" w:rsidRPr="007E770D" w:rsidRDefault="004044DC" w:rsidP="001527EE">
      <w:pPr>
        <w:spacing w:line="240" w:lineRule="auto"/>
        <w:jc w:val="center"/>
        <w:rPr>
          <w:rFonts w:eastAsia="MS PGothic" w:cstheme="minorHAnsi"/>
          <w:b/>
          <w:color w:val="auto"/>
          <w:szCs w:val="20"/>
          <w:lang w:val="sr-Cyrl-CS" w:eastAsia="ja-JP"/>
        </w:rPr>
      </w:pPr>
      <w:r w:rsidRPr="007E770D">
        <w:rPr>
          <w:rFonts w:eastAsia="MS PGothic" w:cstheme="minorHAnsi"/>
          <w:b/>
          <w:color w:val="auto"/>
          <w:szCs w:val="20"/>
          <w:lang w:val="sr-Cyrl-CS" w:eastAsia="ja-JP"/>
        </w:rPr>
        <w:t>Табела 5. Приходи, расходи и резултат сектора државе у 2019. години, у млрд динара</w:t>
      </w:r>
    </w:p>
    <w:tbl>
      <w:tblPr>
        <w:tblW w:w="5000" w:type="pct"/>
        <w:tblLook w:val="04A0" w:firstRow="1" w:lastRow="0" w:firstColumn="1" w:lastColumn="0" w:noHBand="0" w:noVBand="1"/>
      </w:tblPr>
      <w:tblGrid>
        <w:gridCol w:w="2657"/>
        <w:gridCol w:w="1341"/>
        <w:gridCol w:w="1341"/>
        <w:gridCol w:w="1341"/>
        <w:gridCol w:w="1340"/>
        <w:gridCol w:w="1340"/>
      </w:tblGrid>
      <w:tr w:rsidR="007E770D" w:rsidRPr="007E770D" w14:paraId="377207B9" w14:textId="77777777" w:rsidTr="00E4657F">
        <w:trPr>
          <w:trHeight w:val="478"/>
          <w:tblHeader/>
        </w:trPr>
        <w:tc>
          <w:tcPr>
            <w:tcW w:w="1419" w:type="pct"/>
            <w:tcBorders>
              <w:top w:val="single" w:sz="4" w:space="0" w:color="002060"/>
            </w:tcBorders>
            <w:shd w:val="clear" w:color="auto" w:fill="auto"/>
            <w:noWrap/>
            <w:vAlign w:val="center"/>
            <w:hideMark/>
          </w:tcPr>
          <w:p w14:paraId="53F9B3B9" w14:textId="77777777" w:rsidR="004044DC" w:rsidRPr="007E770D" w:rsidRDefault="004044DC" w:rsidP="009877EB">
            <w:pPr>
              <w:spacing w:after="0" w:line="240" w:lineRule="auto"/>
              <w:jc w:val="center"/>
              <w:rPr>
                <w:rFonts w:eastAsia="Times New Roman" w:cstheme="minorHAnsi"/>
                <w:bCs/>
                <w:color w:val="auto"/>
                <w:sz w:val="18"/>
                <w:szCs w:val="18"/>
                <w:lang w:val="sr-Cyrl-CS" w:eastAsia="sr-Cyrl-RS"/>
              </w:rPr>
            </w:pPr>
            <w:r w:rsidRPr="007E770D">
              <w:rPr>
                <w:rFonts w:eastAsia="Times New Roman" w:cstheme="minorHAnsi"/>
                <w:bCs/>
                <w:color w:val="auto"/>
                <w:sz w:val="18"/>
                <w:szCs w:val="18"/>
                <w:lang w:val="sr-Cyrl-CS" w:eastAsia="sr-Cyrl-RS"/>
              </w:rPr>
              <w:t> </w:t>
            </w:r>
          </w:p>
        </w:tc>
        <w:tc>
          <w:tcPr>
            <w:tcW w:w="716" w:type="pct"/>
            <w:tcBorders>
              <w:top w:val="single" w:sz="4" w:space="0" w:color="002060"/>
              <w:bottom w:val="single" w:sz="4" w:space="0" w:color="002060"/>
            </w:tcBorders>
            <w:shd w:val="clear" w:color="auto" w:fill="auto"/>
            <w:vAlign w:val="center"/>
            <w:hideMark/>
          </w:tcPr>
          <w:p w14:paraId="2D709FF8" w14:textId="77777777" w:rsidR="004044DC" w:rsidRPr="007E770D" w:rsidRDefault="004044DC" w:rsidP="009877EB">
            <w:pPr>
              <w:spacing w:after="0" w:line="240" w:lineRule="auto"/>
              <w:jc w:val="center"/>
              <w:rPr>
                <w:rFonts w:cstheme="minorHAnsi"/>
                <w:color w:val="auto"/>
                <w:sz w:val="18"/>
                <w:szCs w:val="18"/>
                <w:lang w:val="sr-Cyrl-CS"/>
              </w:rPr>
            </w:pPr>
            <w:r w:rsidRPr="007E770D">
              <w:rPr>
                <w:rFonts w:cstheme="minorHAnsi"/>
                <w:color w:val="auto"/>
                <w:sz w:val="18"/>
                <w:szCs w:val="18"/>
                <w:lang w:val="sr-Cyrl-CS"/>
              </w:rPr>
              <w:t>план 2019.</w:t>
            </w:r>
          </w:p>
        </w:tc>
        <w:tc>
          <w:tcPr>
            <w:tcW w:w="716" w:type="pct"/>
            <w:tcBorders>
              <w:top w:val="single" w:sz="4" w:space="0" w:color="002060"/>
              <w:bottom w:val="single" w:sz="4" w:space="0" w:color="002060"/>
            </w:tcBorders>
            <w:shd w:val="clear" w:color="auto" w:fill="auto"/>
            <w:vAlign w:val="center"/>
            <w:hideMark/>
          </w:tcPr>
          <w:p w14:paraId="54B5A5D0" w14:textId="77777777" w:rsidR="004044DC" w:rsidRPr="007E770D" w:rsidRDefault="004044DC" w:rsidP="009877EB">
            <w:pPr>
              <w:spacing w:after="0" w:line="240" w:lineRule="auto"/>
              <w:jc w:val="center"/>
              <w:rPr>
                <w:rFonts w:cstheme="minorHAnsi"/>
                <w:color w:val="auto"/>
                <w:sz w:val="18"/>
                <w:szCs w:val="18"/>
                <w:lang w:val="sr-Cyrl-CS"/>
              </w:rPr>
            </w:pPr>
            <w:r w:rsidRPr="007E770D">
              <w:rPr>
                <w:rFonts w:cstheme="minorHAnsi"/>
                <w:color w:val="auto"/>
                <w:sz w:val="18"/>
                <w:szCs w:val="18"/>
                <w:lang w:val="sr-Cyrl-CS"/>
              </w:rPr>
              <w:t>нова процена 2019.</w:t>
            </w:r>
          </w:p>
        </w:tc>
        <w:tc>
          <w:tcPr>
            <w:tcW w:w="716" w:type="pct"/>
            <w:tcBorders>
              <w:top w:val="single" w:sz="4" w:space="0" w:color="002060"/>
              <w:bottom w:val="single" w:sz="4" w:space="0" w:color="002060"/>
            </w:tcBorders>
            <w:shd w:val="clear" w:color="auto" w:fill="auto"/>
            <w:vAlign w:val="center"/>
            <w:hideMark/>
          </w:tcPr>
          <w:p w14:paraId="57A709A8" w14:textId="77777777" w:rsidR="004044DC" w:rsidRPr="007E770D" w:rsidRDefault="004044DC" w:rsidP="009877EB">
            <w:pPr>
              <w:spacing w:after="0" w:line="240" w:lineRule="auto"/>
              <w:jc w:val="center"/>
              <w:rPr>
                <w:rFonts w:cstheme="minorHAnsi"/>
                <w:color w:val="auto"/>
                <w:sz w:val="18"/>
                <w:szCs w:val="18"/>
                <w:lang w:val="sr-Cyrl-CS"/>
              </w:rPr>
            </w:pPr>
            <w:r w:rsidRPr="007E770D">
              <w:rPr>
                <w:rFonts w:cstheme="minorHAnsi"/>
                <w:color w:val="auto"/>
                <w:sz w:val="18"/>
                <w:szCs w:val="18"/>
                <w:lang w:val="sr-Cyrl-CS"/>
              </w:rPr>
              <w:t>разлика</w:t>
            </w:r>
          </w:p>
        </w:tc>
        <w:tc>
          <w:tcPr>
            <w:tcW w:w="716" w:type="pct"/>
            <w:tcBorders>
              <w:top w:val="single" w:sz="4" w:space="0" w:color="002060"/>
              <w:bottom w:val="single" w:sz="4" w:space="0" w:color="002060"/>
            </w:tcBorders>
            <w:shd w:val="clear" w:color="auto" w:fill="auto"/>
            <w:vAlign w:val="center"/>
            <w:hideMark/>
          </w:tcPr>
          <w:p w14:paraId="3E2A5DDA" w14:textId="77777777" w:rsidR="004044DC" w:rsidRPr="007E770D" w:rsidRDefault="004044DC" w:rsidP="009877EB">
            <w:pPr>
              <w:spacing w:after="0" w:line="240" w:lineRule="auto"/>
              <w:jc w:val="center"/>
              <w:rPr>
                <w:rFonts w:cstheme="minorHAnsi"/>
                <w:color w:val="auto"/>
                <w:sz w:val="18"/>
                <w:szCs w:val="18"/>
                <w:lang w:val="sr-Cyrl-CS"/>
              </w:rPr>
            </w:pPr>
            <w:r w:rsidRPr="007E770D">
              <w:rPr>
                <w:rFonts w:cstheme="minorHAnsi"/>
                <w:color w:val="auto"/>
                <w:sz w:val="18"/>
                <w:szCs w:val="18"/>
                <w:lang w:val="sr-Cyrl-CS"/>
              </w:rPr>
              <w:t>% промена</w:t>
            </w:r>
          </w:p>
        </w:tc>
        <w:tc>
          <w:tcPr>
            <w:tcW w:w="716" w:type="pct"/>
            <w:tcBorders>
              <w:top w:val="single" w:sz="4" w:space="0" w:color="002060"/>
              <w:bottom w:val="single" w:sz="4" w:space="0" w:color="002060"/>
            </w:tcBorders>
            <w:shd w:val="clear" w:color="auto" w:fill="auto"/>
            <w:vAlign w:val="center"/>
            <w:hideMark/>
          </w:tcPr>
          <w:p w14:paraId="7A5F5CA4" w14:textId="77777777" w:rsidR="004044DC" w:rsidRPr="007E770D" w:rsidRDefault="004044DC" w:rsidP="009877EB">
            <w:pPr>
              <w:spacing w:after="0" w:line="240" w:lineRule="auto"/>
              <w:jc w:val="center"/>
              <w:rPr>
                <w:rFonts w:cstheme="minorHAnsi"/>
                <w:color w:val="auto"/>
                <w:sz w:val="18"/>
                <w:szCs w:val="18"/>
                <w:lang w:val="sr-Cyrl-CS"/>
              </w:rPr>
            </w:pPr>
            <w:r w:rsidRPr="007E770D">
              <w:rPr>
                <w:rFonts w:cstheme="minorHAnsi"/>
                <w:color w:val="auto"/>
                <w:sz w:val="18"/>
                <w:szCs w:val="18"/>
                <w:lang w:val="sr-Cyrl-CS"/>
              </w:rPr>
              <w:t>2019. нова процена, % БДП</w:t>
            </w:r>
          </w:p>
        </w:tc>
      </w:tr>
      <w:tr w:rsidR="007E770D" w:rsidRPr="007E770D" w14:paraId="015DF4EA" w14:textId="77777777" w:rsidTr="00E4657F">
        <w:trPr>
          <w:trHeight w:val="237"/>
        </w:trPr>
        <w:tc>
          <w:tcPr>
            <w:tcW w:w="1419" w:type="pct"/>
            <w:shd w:val="clear" w:color="auto" w:fill="E7E6E6" w:themeFill="background2"/>
            <w:noWrap/>
            <w:vAlign w:val="center"/>
            <w:hideMark/>
          </w:tcPr>
          <w:p w14:paraId="2C9F1FB2"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ЈАВНИ ПРИХОДИ</w:t>
            </w:r>
          </w:p>
        </w:tc>
        <w:tc>
          <w:tcPr>
            <w:tcW w:w="716" w:type="pct"/>
            <w:tcBorders>
              <w:top w:val="single" w:sz="4" w:space="0" w:color="002060"/>
            </w:tcBorders>
            <w:shd w:val="clear" w:color="auto" w:fill="E7E6E6" w:themeFill="background2"/>
            <w:hideMark/>
          </w:tcPr>
          <w:p w14:paraId="6F8FC12F"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2.161,7</w:t>
            </w:r>
          </w:p>
        </w:tc>
        <w:tc>
          <w:tcPr>
            <w:tcW w:w="716" w:type="pct"/>
            <w:tcBorders>
              <w:top w:val="single" w:sz="4" w:space="0" w:color="002060"/>
            </w:tcBorders>
            <w:shd w:val="clear" w:color="auto" w:fill="E7E6E6" w:themeFill="background2"/>
            <w:noWrap/>
            <w:hideMark/>
          </w:tcPr>
          <w:p w14:paraId="78F319E3"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2.244,7</w:t>
            </w:r>
          </w:p>
        </w:tc>
        <w:tc>
          <w:tcPr>
            <w:tcW w:w="716" w:type="pct"/>
            <w:tcBorders>
              <w:top w:val="single" w:sz="4" w:space="0" w:color="002060"/>
            </w:tcBorders>
            <w:shd w:val="clear" w:color="auto" w:fill="E7E6E6" w:themeFill="background2"/>
            <w:hideMark/>
          </w:tcPr>
          <w:p w14:paraId="2135165F"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83,0</w:t>
            </w:r>
          </w:p>
        </w:tc>
        <w:tc>
          <w:tcPr>
            <w:tcW w:w="716" w:type="pct"/>
            <w:tcBorders>
              <w:top w:val="single" w:sz="4" w:space="0" w:color="002060"/>
            </w:tcBorders>
            <w:shd w:val="clear" w:color="auto" w:fill="E7E6E6" w:themeFill="background2"/>
            <w:hideMark/>
          </w:tcPr>
          <w:p w14:paraId="0CA80C90"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3,8</w:t>
            </w:r>
          </w:p>
        </w:tc>
        <w:tc>
          <w:tcPr>
            <w:tcW w:w="716" w:type="pct"/>
            <w:tcBorders>
              <w:top w:val="single" w:sz="4" w:space="0" w:color="002060"/>
            </w:tcBorders>
            <w:shd w:val="clear" w:color="auto" w:fill="E7E6E6" w:themeFill="background2"/>
            <w:noWrap/>
            <w:hideMark/>
          </w:tcPr>
          <w:p w14:paraId="25F69FD2"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41,4</w:t>
            </w:r>
          </w:p>
        </w:tc>
      </w:tr>
      <w:tr w:rsidR="007E770D" w:rsidRPr="007E770D" w14:paraId="74ECFB56" w14:textId="77777777" w:rsidTr="00E4657F">
        <w:trPr>
          <w:trHeight w:val="227"/>
        </w:trPr>
        <w:tc>
          <w:tcPr>
            <w:tcW w:w="1419" w:type="pct"/>
            <w:shd w:val="clear" w:color="auto" w:fill="auto"/>
            <w:noWrap/>
            <w:vAlign w:val="center"/>
            <w:hideMark/>
          </w:tcPr>
          <w:p w14:paraId="0C895C46"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Текући приходи</w:t>
            </w:r>
          </w:p>
        </w:tc>
        <w:tc>
          <w:tcPr>
            <w:tcW w:w="716" w:type="pct"/>
            <w:shd w:val="clear" w:color="auto" w:fill="auto"/>
            <w:hideMark/>
          </w:tcPr>
          <w:p w14:paraId="0CA5A3CE"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2.146,3</w:t>
            </w:r>
          </w:p>
        </w:tc>
        <w:tc>
          <w:tcPr>
            <w:tcW w:w="716" w:type="pct"/>
            <w:shd w:val="clear" w:color="auto" w:fill="auto"/>
            <w:noWrap/>
            <w:hideMark/>
          </w:tcPr>
          <w:p w14:paraId="4989C18E"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2.228,4</w:t>
            </w:r>
          </w:p>
        </w:tc>
        <w:tc>
          <w:tcPr>
            <w:tcW w:w="716" w:type="pct"/>
            <w:shd w:val="clear" w:color="auto" w:fill="auto"/>
            <w:hideMark/>
          </w:tcPr>
          <w:p w14:paraId="44D3511F"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82,1</w:t>
            </w:r>
          </w:p>
        </w:tc>
        <w:tc>
          <w:tcPr>
            <w:tcW w:w="716" w:type="pct"/>
            <w:shd w:val="clear" w:color="auto" w:fill="auto"/>
            <w:hideMark/>
          </w:tcPr>
          <w:p w14:paraId="79DBDD09"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3,8</w:t>
            </w:r>
          </w:p>
        </w:tc>
        <w:tc>
          <w:tcPr>
            <w:tcW w:w="716" w:type="pct"/>
            <w:shd w:val="clear" w:color="auto" w:fill="auto"/>
            <w:noWrap/>
            <w:hideMark/>
          </w:tcPr>
          <w:p w14:paraId="02BBAD1E"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41,1</w:t>
            </w:r>
          </w:p>
        </w:tc>
      </w:tr>
      <w:tr w:rsidR="007E770D" w:rsidRPr="007E770D" w14:paraId="721917CF" w14:textId="77777777" w:rsidTr="00E4657F">
        <w:trPr>
          <w:trHeight w:val="227"/>
        </w:trPr>
        <w:tc>
          <w:tcPr>
            <w:tcW w:w="1419" w:type="pct"/>
            <w:shd w:val="clear" w:color="auto" w:fill="auto"/>
            <w:noWrap/>
            <w:vAlign w:val="center"/>
            <w:hideMark/>
          </w:tcPr>
          <w:p w14:paraId="42730F3A"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Порески приходи</w:t>
            </w:r>
          </w:p>
        </w:tc>
        <w:tc>
          <w:tcPr>
            <w:tcW w:w="716" w:type="pct"/>
            <w:shd w:val="clear" w:color="auto" w:fill="auto"/>
            <w:hideMark/>
          </w:tcPr>
          <w:p w14:paraId="531BEDB9"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1.915,6</w:t>
            </w:r>
          </w:p>
        </w:tc>
        <w:tc>
          <w:tcPr>
            <w:tcW w:w="716" w:type="pct"/>
            <w:shd w:val="clear" w:color="auto" w:fill="auto"/>
            <w:hideMark/>
          </w:tcPr>
          <w:p w14:paraId="717BC140"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1.978,6</w:t>
            </w:r>
          </w:p>
        </w:tc>
        <w:tc>
          <w:tcPr>
            <w:tcW w:w="716" w:type="pct"/>
            <w:shd w:val="clear" w:color="auto" w:fill="auto"/>
            <w:hideMark/>
          </w:tcPr>
          <w:p w14:paraId="33B1956F"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62,9</w:t>
            </w:r>
          </w:p>
        </w:tc>
        <w:tc>
          <w:tcPr>
            <w:tcW w:w="716" w:type="pct"/>
            <w:shd w:val="clear" w:color="auto" w:fill="auto"/>
            <w:hideMark/>
          </w:tcPr>
          <w:p w14:paraId="3EBE8D6E"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3,3</w:t>
            </w:r>
          </w:p>
        </w:tc>
        <w:tc>
          <w:tcPr>
            <w:tcW w:w="716" w:type="pct"/>
            <w:shd w:val="clear" w:color="auto" w:fill="auto"/>
            <w:noWrap/>
            <w:hideMark/>
          </w:tcPr>
          <w:p w14:paraId="2F448117"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36,5</w:t>
            </w:r>
          </w:p>
        </w:tc>
      </w:tr>
      <w:tr w:rsidR="007E770D" w:rsidRPr="007E770D" w14:paraId="1F4ECC2A" w14:textId="77777777" w:rsidTr="00E4657F">
        <w:trPr>
          <w:trHeight w:val="227"/>
        </w:trPr>
        <w:tc>
          <w:tcPr>
            <w:tcW w:w="1419" w:type="pct"/>
            <w:shd w:val="clear" w:color="auto" w:fill="auto"/>
            <w:noWrap/>
            <w:vAlign w:val="center"/>
            <w:hideMark/>
          </w:tcPr>
          <w:p w14:paraId="47B352D7"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Порез на доходак грађана</w:t>
            </w:r>
          </w:p>
        </w:tc>
        <w:tc>
          <w:tcPr>
            <w:tcW w:w="716" w:type="pct"/>
            <w:shd w:val="clear" w:color="auto" w:fill="auto"/>
            <w:hideMark/>
          </w:tcPr>
          <w:p w14:paraId="457DD8A6"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188,2</w:t>
            </w:r>
          </w:p>
        </w:tc>
        <w:tc>
          <w:tcPr>
            <w:tcW w:w="716" w:type="pct"/>
            <w:shd w:val="clear" w:color="auto" w:fill="auto"/>
            <w:noWrap/>
            <w:hideMark/>
          </w:tcPr>
          <w:p w14:paraId="07ED2A48"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201,6</w:t>
            </w:r>
          </w:p>
        </w:tc>
        <w:tc>
          <w:tcPr>
            <w:tcW w:w="716" w:type="pct"/>
            <w:shd w:val="clear" w:color="auto" w:fill="auto"/>
            <w:hideMark/>
          </w:tcPr>
          <w:p w14:paraId="307BB4B2"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13,4</w:t>
            </w:r>
          </w:p>
        </w:tc>
        <w:tc>
          <w:tcPr>
            <w:tcW w:w="716" w:type="pct"/>
            <w:shd w:val="clear" w:color="auto" w:fill="auto"/>
            <w:hideMark/>
          </w:tcPr>
          <w:p w14:paraId="14CFCE68"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7,1</w:t>
            </w:r>
          </w:p>
        </w:tc>
        <w:tc>
          <w:tcPr>
            <w:tcW w:w="716" w:type="pct"/>
            <w:shd w:val="clear" w:color="auto" w:fill="auto"/>
            <w:noWrap/>
            <w:hideMark/>
          </w:tcPr>
          <w:p w14:paraId="032E3909"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3,7</w:t>
            </w:r>
          </w:p>
        </w:tc>
      </w:tr>
      <w:tr w:rsidR="007E770D" w:rsidRPr="007E770D" w14:paraId="321B8D8E" w14:textId="77777777" w:rsidTr="00E4657F">
        <w:trPr>
          <w:trHeight w:val="227"/>
        </w:trPr>
        <w:tc>
          <w:tcPr>
            <w:tcW w:w="1419" w:type="pct"/>
            <w:shd w:val="clear" w:color="auto" w:fill="auto"/>
            <w:noWrap/>
            <w:vAlign w:val="center"/>
            <w:hideMark/>
          </w:tcPr>
          <w:p w14:paraId="2CFB1C16"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Порез на добит правних лица</w:t>
            </w:r>
          </w:p>
        </w:tc>
        <w:tc>
          <w:tcPr>
            <w:tcW w:w="716" w:type="pct"/>
            <w:shd w:val="clear" w:color="auto" w:fill="auto"/>
            <w:hideMark/>
          </w:tcPr>
          <w:p w14:paraId="387144A5"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119,5</w:t>
            </w:r>
          </w:p>
        </w:tc>
        <w:tc>
          <w:tcPr>
            <w:tcW w:w="716" w:type="pct"/>
            <w:shd w:val="clear" w:color="auto" w:fill="auto"/>
            <w:noWrap/>
            <w:hideMark/>
          </w:tcPr>
          <w:p w14:paraId="6C6340CF"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125,3</w:t>
            </w:r>
          </w:p>
        </w:tc>
        <w:tc>
          <w:tcPr>
            <w:tcW w:w="716" w:type="pct"/>
            <w:shd w:val="clear" w:color="auto" w:fill="auto"/>
            <w:hideMark/>
          </w:tcPr>
          <w:p w14:paraId="36BA415B"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5,8</w:t>
            </w:r>
          </w:p>
        </w:tc>
        <w:tc>
          <w:tcPr>
            <w:tcW w:w="716" w:type="pct"/>
            <w:shd w:val="clear" w:color="auto" w:fill="auto"/>
            <w:hideMark/>
          </w:tcPr>
          <w:p w14:paraId="226A1927"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4,8</w:t>
            </w:r>
          </w:p>
        </w:tc>
        <w:tc>
          <w:tcPr>
            <w:tcW w:w="716" w:type="pct"/>
            <w:shd w:val="clear" w:color="auto" w:fill="auto"/>
            <w:noWrap/>
            <w:hideMark/>
          </w:tcPr>
          <w:p w14:paraId="5B539F85"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2,3</w:t>
            </w:r>
          </w:p>
        </w:tc>
      </w:tr>
      <w:tr w:rsidR="007E770D" w:rsidRPr="007E770D" w14:paraId="54198D3A" w14:textId="77777777" w:rsidTr="00E4657F">
        <w:trPr>
          <w:trHeight w:val="227"/>
        </w:trPr>
        <w:tc>
          <w:tcPr>
            <w:tcW w:w="1419" w:type="pct"/>
            <w:shd w:val="clear" w:color="auto" w:fill="auto"/>
            <w:noWrap/>
            <w:vAlign w:val="center"/>
            <w:hideMark/>
          </w:tcPr>
          <w:p w14:paraId="66124B10"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Порез на додату вредност</w:t>
            </w:r>
          </w:p>
        </w:tc>
        <w:tc>
          <w:tcPr>
            <w:tcW w:w="716" w:type="pct"/>
            <w:shd w:val="clear" w:color="auto" w:fill="auto"/>
            <w:hideMark/>
          </w:tcPr>
          <w:p w14:paraId="66D693C7"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539,1</w:t>
            </w:r>
          </w:p>
        </w:tc>
        <w:tc>
          <w:tcPr>
            <w:tcW w:w="716" w:type="pct"/>
            <w:shd w:val="clear" w:color="auto" w:fill="auto"/>
            <w:noWrap/>
            <w:hideMark/>
          </w:tcPr>
          <w:p w14:paraId="50F039DF"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543,9</w:t>
            </w:r>
          </w:p>
        </w:tc>
        <w:tc>
          <w:tcPr>
            <w:tcW w:w="716" w:type="pct"/>
            <w:shd w:val="clear" w:color="auto" w:fill="auto"/>
            <w:hideMark/>
          </w:tcPr>
          <w:p w14:paraId="2AE8EE2A"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4,8</w:t>
            </w:r>
          </w:p>
        </w:tc>
        <w:tc>
          <w:tcPr>
            <w:tcW w:w="716" w:type="pct"/>
            <w:shd w:val="clear" w:color="auto" w:fill="auto"/>
            <w:hideMark/>
          </w:tcPr>
          <w:p w14:paraId="4505860B"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0,9</w:t>
            </w:r>
          </w:p>
        </w:tc>
        <w:tc>
          <w:tcPr>
            <w:tcW w:w="716" w:type="pct"/>
            <w:shd w:val="clear" w:color="auto" w:fill="auto"/>
            <w:noWrap/>
            <w:hideMark/>
          </w:tcPr>
          <w:p w14:paraId="7FF42417"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10,0</w:t>
            </w:r>
          </w:p>
        </w:tc>
      </w:tr>
      <w:tr w:rsidR="007E770D" w:rsidRPr="007E770D" w14:paraId="74C32507" w14:textId="77777777" w:rsidTr="00E4657F">
        <w:trPr>
          <w:trHeight w:val="227"/>
        </w:trPr>
        <w:tc>
          <w:tcPr>
            <w:tcW w:w="1419" w:type="pct"/>
            <w:shd w:val="clear" w:color="auto" w:fill="auto"/>
            <w:noWrap/>
            <w:vAlign w:val="center"/>
            <w:hideMark/>
          </w:tcPr>
          <w:p w14:paraId="734BC21C"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Акцизе</w:t>
            </w:r>
          </w:p>
        </w:tc>
        <w:tc>
          <w:tcPr>
            <w:tcW w:w="716" w:type="pct"/>
            <w:shd w:val="clear" w:color="auto" w:fill="auto"/>
            <w:hideMark/>
          </w:tcPr>
          <w:p w14:paraId="3C62966C"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291,4</w:t>
            </w:r>
          </w:p>
        </w:tc>
        <w:tc>
          <w:tcPr>
            <w:tcW w:w="716" w:type="pct"/>
            <w:shd w:val="clear" w:color="auto" w:fill="auto"/>
            <w:noWrap/>
            <w:hideMark/>
          </w:tcPr>
          <w:p w14:paraId="2D317697"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304,2</w:t>
            </w:r>
          </w:p>
        </w:tc>
        <w:tc>
          <w:tcPr>
            <w:tcW w:w="716" w:type="pct"/>
            <w:shd w:val="clear" w:color="auto" w:fill="auto"/>
            <w:hideMark/>
          </w:tcPr>
          <w:p w14:paraId="5D9F5206"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12,8</w:t>
            </w:r>
          </w:p>
        </w:tc>
        <w:tc>
          <w:tcPr>
            <w:tcW w:w="716" w:type="pct"/>
            <w:shd w:val="clear" w:color="auto" w:fill="auto"/>
            <w:hideMark/>
          </w:tcPr>
          <w:p w14:paraId="441AA1D9"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4,4</w:t>
            </w:r>
          </w:p>
        </w:tc>
        <w:tc>
          <w:tcPr>
            <w:tcW w:w="716" w:type="pct"/>
            <w:shd w:val="clear" w:color="auto" w:fill="auto"/>
            <w:noWrap/>
            <w:hideMark/>
          </w:tcPr>
          <w:p w14:paraId="4CBFCA5D"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5,6</w:t>
            </w:r>
          </w:p>
        </w:tc>
      </w:tr>
      <w:tr w:rsidR="007E770D" w:rsidRPr="007E770D" w14:paraId="62730D7A" w14:textId="77777777" w:rsidTr="00E4657F">
        <w:trPr>
          <w:trHeight w:val="227"/>
        </w:trPr>
        <w:tc>
          <w:tcPr>
            <w:tcW w:w="1419" w:type="pct"/>
            <w:shd w:val="clear" w:color="auto" w:fill="auto"/>
            <w:noWrap/>
            <w:vAlign w:val="center"/>
            <w:hideMark/>
          </w:tcPr>
          <w:p w14:paraId="7D70762D"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Царине</w:t>
            </w:r>
          </w:p>
        </w:tc>
        <w:tc>
          <w:tcPr>
            <w:tcW w:w="716" w:type="pct"/>
            <w:shd w:val="clear" w:color="auto" w:fill="auto"/>
            <w:hideMark/>
          </w:tcPr>
          <w:p w14:paraId="5E728745"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47,1</w:t>
            </w:r>
          </w:p>
        </w:tc>
        <w:tc>
          <w:tcPr>
            <w:tcW w:w="716" w:type="pct"/>
            <w:shd w:val="clear" w:color="auto" w:fill="auto"/>
            <w:noWrap/>
            <w:hideMark/>
          </w:tcPr>
          <w:p w14:paraId="6ABC43B2"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46,9</w:t>
            </w:r>
          </w:p>
        </w:tc>
        <w:tc>
          <w:tcPr>
            <w:tcW w:w="716" w:type="pct"/>
            <w:shd w:val="clear" w:color="auto" w:fill="auto"/>
            <w:hideMark/>
          </w:tcPr>
          <w:p w14:paraId="537DF781"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-0,2</w:t>
            </w:r>
          </w:p>
        </w:tc>
        <w:tc>
          <w:tcPr>
            <w:tcW w:w="716" w:type="pct"/>
            <w:shd w:val="clear" w:color="auto" w:fill="auto"/>
            <w:hideMark/>
          </w:tcPr>
          <w:p w14:paraId="228CE2A9"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-0,4</w:t>
            </w:r>
          </w:p>
        </w:tc>
        <w:tc>
          <w:tcPr>
            <w:tcW w:w="716" w:type="pct"/>
            <w:shd w:val="clear" w:color="auto" w:fill="auto"/>
            <w:noWrap/>
            <w:hideMark/>
          </w:tcPr>
          <w:p w14:paraId="11E03C39"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0,9</w:t>
            </w:r>
          </w:p>
        </w:tc>
      </w:tr>
      <w:tr w:rsidR="007E770D" w:rsidRPr="007E770D" w14:paraId="7957143E" w14:textId="77777777" w:rsidTr="00E4657F">
        <w:trPr>
          <w:trHeight w:val="227"/>
        </w:trPr>
        <w:tc>
          <w:tcPr>
            <w:tcW w:w="1419" w:type="pct"/>
            <w:shd w:val="clear" w:color="auto" w:fill="auto"/>
            <w:noWrap/>
            <w:vAlign w:val="center"/>
            <w:hideMark/>
          </w:tcPr>
          <w:p w14:paraId="72D8F90E"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Остали порески приходи</w:t>
            </w:r>
          </w:p>
        </w:tc>
        <w:tc>
          <w:tcPr>
            <w:tcW w:w="716" w:type="pct"/>
            <w:shd w:val="clear" w:color="auto" w:fill="auto"/>
            <w:hideMark/>
          </w:tcPr>
          <w:p w14:paraId="08D771F8"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77,3</w:t>
            </w:r>
          </w:p>
        </w:tc>
        <w:tc>
          <w:tcPr>
            <w:tcW w:w="716" w:type="pct"/>
            <w:shd w:val="clear" w:color="auto" w:fill="auto"/>
            <w:noWrap/>
            <w:hideMark/>
          </w:tcPr>
          <w:p w14:paraId="4C3BEF84"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83,5</w:t>
            </w:r>
          </w:p>
        </w:tc>
        <w:tc>
          <w:tcPr>
            <w:tcW w:w="716" w:type="pct"/>
            <w:shd w:val="clear" w:color="auto" w:fill="auto"/>
            <w:hideMark/>
          </w:tcPr>
          <w:p w14:paraId="32606C2D"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6,2</w:t>
            </w:r>
          </w:p>
        </w:tc>
        <w:tc>
          <w:tcPr>
            <w:tcW w:w="716" w:type="pct"/>
            <w:shd w:val="clear" w:color="auto" w:fill="auto"/>
            <w:hideMark/>
          </w:tcPr>
          <w:p w14:paraId="3822D04B"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8,0</w:t>
            </w:r>
          </w:p>
        </w:tc>
        <w:tc>
          <w:tcPr>
            <w:tcW w:w="716" w:type="pct"/>
            <w:shd w:val="clear" w:color="auto" w:fill="auto"/>
            <w:noWrap/>
            <w:hideMark/>
          </w:tcPr>
          <w:p w14:paraId="2A9D8DD6"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1,5</w:t>
            </w:r>
          </w:p>
        </w:tc>
      </w:tr>
      <w:tr w:rsidR="007E770D" w:rsidRPr="007E770D" w14:paraId="6E86E764" w14:textId="77777777" w:rsidTr="00E4657F">
        <w:trPr>
          <w:trHeight w:val="227"/>
        </w:trPr>
        <w:tc>
          <w:tcPr>
            <w:tcW w:w="1419" w:type="pct"/>
            <w:shd w:val="clear" w:color="auto" w:fill="auto"/>
            <w:noWrap/>
            <w:vAlign w:val="center"/>
            <w:hideMark/>
          </w:tcPr>
          <w:p w14:paraId="1CB095FF"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Доприноси</w:t>
            </w:r>
          </w:p>
        </w:tc>
        <w:tc>
          <w:tcPr>
            <w:tcW w:w="716" w:type="pct"/>
            <w:shd w:val="clear" w:color="auto" w:fill="auto"/>
            <w:hideMark/>
          </w:tcPr>
          <w:p w14:paraId="3D771AB3"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653,0</w:t>
            </w:r>
          </w:p>
        </w:tc>
        <w:tc>
          <w:tcPr>
            <w:tcW w:w="716" w:type="pct"/>
            <w:shd w:val="clear" w:color="auto" w:fill="auto"/>
            <w:noWrap/>
            <w:hideMark/>
          </w:tcPr>
          <w:p w14:paraId="1D480E4F"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673,1</w:t>
            </w:r>
          </w:p>
        </w:tc>
        <w:tc>
          <w:tcPr>
            <w:tcW w:w="716" w:type="pct"/>
            <w:shd w:val="clear" w:color="auto" w:fill="auto"/>
            <w:hideMark/>
          </w:tcPr>
          <w:p w14:paraId="7059B8E6"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20,1</w:t>
            </w:r>
          </w:p>
        </w:tc>
        <w:tc>
          <w:tcPr>
            <w:tcW w:w="716" w:type="pct"/>
            <w:shd w:val="clear" w:color="auto" w:fill="auto"/>
            <w:hideMark/>
          </w:tcPr>
          <w:p w14:paraId="3D174558"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3,1</w:t>
            </w:r>
          </w:p>
        </w:tc>
        <w:tc>
          <w:tcPr>
            <w:tcW w:w="716" w:type="pct"/>
            <w:shd w:val="clear" w:color="auto" w:fill="auto"/>
            <w:noWrap/>
            <w:hideMark/>
          </w:tcPr>
          <w:p w14:paraId="40CC0920"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12,4</w:t>
            </w:r>
          </w:p>
        </w:tc>
      </w:tr>
      <w:tr w:rsidR="007E770D" w:rsidRPr="007E770D" w14:paraId="1ABFB33B" w14:textId="77777777" w:rsidTr="00E4657F">
        <w:trPr>
          <w:trHeight w:val="227"/>
        </w:trPr>
        <w:tc>
          <w:tcPr>
            <w:tcW w:w="1419" w:type="pct"/>
            <w:shd w:val="clear" w:color="auto" w:fill="auto"/>
            <w:noWrap/>
            <w:vAlign w:val="center"/>
            <w:hideMark/>
          </w:tcPr>
          <w:p w14:paraId="4867CE34"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Непорески приходи</w:t>
            </w:r>
          </w:p>
        </w:tc>
        <w:tc>
          <w:tcPr>
            <w:tcW w:w="716" w:type="pct"/>
            <w:shd w:val="clear" w:color="auto" w:fill="auto"/>
            <w:hideMark/>
          </w:tcPr>
          <w:p w14:paraId="515E89DD"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230,6</w:t>
            </w:r>
          </w:p>
        </w:tc>
        <w:tc>
          <w:tcPr>
            <w:tcW w:w="716" w:type="pct"/>
            <w:shd w:val="clear" w:color="auto" w:fill="auto"/>
            <w:noWrap/>
            <w:hideMark/>
          </w:tcPr>
          <w:p w14:paraId="32DBCF7C"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249,8</w:t>
            </w:r>
          </w:p>
        </w:tc>
        <w:tc>
          <w:tcPr>
            <w:tcW w:w="716" w:type="pct"/>
            <w:shd w:val="clear" w:color="auto" w:fill="auto"/>
            <w:hideMark/>
          </w:tcPr>
          <w:p w14:paraId="35B3869D"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19,2</w:t>
            </w:r>
          </w:p>
        </w:tc>
        <w:tc>
          <w:tcPr>
            <w:tcW w:w="716" w:type="pct"/>
            <w:shd w:val="clear" w:color="auto" w:fill="auto"/>
            <w:hideMark/>
          </w:tcPr>
          <w:p w14:paraId="43400236"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8,3</w:t>
            </w:r>
          </w:p>
        </w:tc>
        <w:tc>
          <w:tcPr>
            <w:tcW w:w="716" w:type="pct"/>
            <w:shd w:val="clear" w:color="auto" w:fill="auto"/>
            <w:noWrap/>
            <w:hideMark/>
          </w:tcPr>
          <w:p w14:paraId="09A1AEE8"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4,6</w:t>
            </w:r>
          </w:p>
        </w:tc>
      </w:tr>
      <w:tr w:rsidR="007E770D" w:rsidRPr="007E770D" w14:paraId="0CC09BB6" w14:textId="77777777" w:rsidTr="00E4657F">
        <w:trPr>
          <w:trHeight w:val="227"/>
        </w:trPr>
        <w:tc>
          <w:tcPr>
            <w:tcW w:w="1419" w:type="pct"/>
            <w:shd w:val="clear" w:color="auto" w:fill="auto"/>
            <w:noWrap/>
            <w:vAlign w:val="center"/>
            <w:hideMark/>
          </w:tcPr>
          <w:p w14:paraId="474B93B5"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Донације</w:t>
            </w:r>
          </w:p>
        </w:tc>
        <w:tc>
          <w:tcPr>
            <w:tcW w:w="716" w:type="pct"/>
            <w:shd w:val="clear" w:color="auto" w:fill="auto"/>
            <w:hideMark/>
          </w:tcPr>
          <w:p w14:paraId="396E6637"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15,4</w:t>
            </w:r>
          </w:p>
        </w:tc>
        <w:tc>
          <w:tcPr>
            <w:tcW w:w="716" w:type="pct"/>
            <w:shd w:val="clear" w:color="auto" w:fill="auto"/>
            <w:noWrap/>
            <w:hideMark/>
          </w:tcPr>
          <w:p w14:paraId="5B540F31"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16,3</w:t>
            </w:r>
          </w:p>
        </w:tc>
        <w:tc>
          <w:tcPr>
            <w:tcW w:w="716" w:type="pct"/>
            <w:shd w:val="clear" w:color="auto" w:fill="auto"/>
            <w:hideMark/>
          </w:tcPr>
          <w:p w14:paraId="42D7A204"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0,9</w:t>
            </w:r>
          </w:p>
        </w:tc>
        <w:tc>
          <w:tcPr>
            <w:tcW w:w="716" w:type="pct"/>
            <w:shd w:val="clear" w:color="auto" w:fill="auto"/>
            <w:hideMark/>
          </w:tcPr>
          <w:p w14:paraId="656F5DC6"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5,8</w:t>
            </w:r>
          </w:p>
        </w:tc>
        <w:tc>
          <w:tcPr>
            <w:tcW w:w="716" w:type="pct"/>
            <w:shd w:val="clear" w:color="auto" w:fill="auto"/>
            <w:noWrap/>
            <w:hideMark/>
          </w:tcPr>
          <w:p w14:paraId="7C6D6B76"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0,3</w:t>
            </w:r>
          </w:p>
        </w:tc>
      </w:tr>
      <w:tr w:rsidR="007E770D" w:rsidRPr="007E770D" w14:paraId="14CD130B" w14:textId="77777777" w:rsidTr="00E4657F">
        <w:trPr>
          <w:trHeight w:val="227"/>
        </w:trPr>
        <w:tc>
          <w:tcPr>
            <w:tcW w:w="1419" w:type="pct"/>
            <w:shd w:val="clear" w:color="auto" w:fill="E7E6E6" w:themeFill="background2"/>
            <w:noWrap/>
            <w:vAlign w:val="center"/>
            <w:hideMark/>
          </w:tcPr>
          <w:p w14:paraId="542242BF"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ЈАВНИ РАСХОДИ</w:t>
            </w:r>
          </w:p>
        </w:tc>
        <w:tc>
          <w:tcPr>
            <w:tcW w:w="716" w:type="pct"/>
            <w:shd w:val="clear" w:color="auto" w:fill="E7E6E6" w:themeFill="background2"/>
            <w:hideMark/>
          </w:tcPr>
          <w:p w14:paraId="41678AFA"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2.190,4</w:t>
            </w:r>
          </w:p>
        </w:tc>
        <w:tc>
          <w:tcPr>
            <w:tcW w:w="716" w:type="pct"/>
            <w:shd w:val="clear" w:color="auto" w:fill="E7E6E6" w:themeFill="background2"/>
            <w:noWrap/>
            <w:hideMark/>
          </w:tcPr>
          <w:p w14:paraId="3C4B80BF"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2.271,8</w:t>
            </w:r>
          </w:p>
        </w:tc>
        <w:tc>
          <w:tcPr>
            <w:tcW w:w="716" w:type="pct"/>
            <w:shd w:val="clear" w:color="auto" w:fill="E7E6E6" w:themeFill="background2"/>
            <w:hideMark/>
          </w:tcPr>
          <w:p w14:paraId="3796F6C1"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81,4</w:t>
            </w:r>
          </w:p>
        </w:tc>
        <w:tc>
          <w:tcPr>
            <w:tcW w:w="716" w:type="pct"/>
            <w:shd w:val="clear" w:color="auto" w:fill="E7E6E6" w:themeFill="background2"/>
            <w:hideMark/>
          </w:tcPr>
          <w:p w14:paraId="35851C03"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3,7</w:t>
            </w:r>
          </w:p>
        </w:tc>
        <w:tc>
          <w:tcPr>
            <w:tcW w:w="716" w:type="pct"/>
            <w:shd w:val="clear" w:color="auto" w:fill="E7E6E6" w:themeFill="background2"/>
            <w:noWrap/>
            <w:hideMark/>
          </w:tcPr>
          <w:p w14:paraId="4E906705"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41,9</w:t>
            </w:r>
          </w:p>
        </w:tc>
      </w:tr>
      <w:tr w:rsidR="007E770D" w:rsidRPr="007E770D" w14:paraId="5AF3186C" w14:textId="77777777" w:rsidTr="00E4657F">
        <w:trPr>
          <w:trHeight w:val="227"/>
        </w:trPr>
        <w:tc>
          <w:tcPr>
            <w:tcW w:w="1419" w:type="pct"/>
            <w:shd w:val="clear" w:color="auto" w:fill="auto"/>
            <w:noWrap/>
            <w:vAlign w:val="center"/>
            <w:hideMark/>
          </w:tcPr>
          <w:p w14:paraId="1A6059E0"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Текући расходи</w:t>
            </w:r>
          </w:p>
        </w:tc>
        <w:tc>
          <w:tcPr>
            <w:tcW w:w="716" w:type="pct"/>
            <w:shd w:val="clear" w:color="auto" w:fill="auto"/>
            <w:hideMark/>
          </w:tcPr>
          <w:p w14:paraId="7D64A7C9"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1.954,6</w:t>
            </w:r>
          </w:p>
        </w:tc>
        <w:tc>
          <w:tcPr>
            <w:tcW w:w="716" w:type="pct"/>
            <w:shd w:val="clear" w:color="auto" w:fill="auto"/>
            <w:noWrap/>
            <w:hideMark/>
          </w:tcPr>
          <w:p w14:paraId="1985B9D1"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2.014,6</w:t>
            </w:r>
          </w:p>
        </w:tc>
        <w:tc>
          <w:tcPr>
            <w:tcW w:w="716" w:type="pct"/>
            <w:shd w:val="clear" w:color="auto" w:fill="auto"/>
            <w:hideMark/>
          </w:tcPr>
          <w:p w14:paraId="3A363AB4"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60,0</w:t>
            </w:r>
          </w:p>
        </w:tc>
        <w:tc>
          <w:tcPr>
            <w:tcW w:w="716" w:type="pct"/>
            <w:shd w:val="clear" w:color="auto" w:fill="auto"/>
            <w:hideMark/>
          </w:tcPr>
          <w:p w14:paraId="4D76D292"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3,1</w:t>
            </w:r>
          </w:p>
        </w:tc>
        <w:tc>
          <w:tcPr>
            <w:tcW w:w="716" w:type="pct"/>
            <w:shd w:val="clear" w:color="auto" w:fill="auto"/>
            <w:noWrap/>
            <w:hideMark/>
          </w:tcPr>
          <w:p w14:paraId="62791A4E"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37,2</w:t>
            </w:r>
          </w:p>
        </w:tc>
      </w:tr>
      <w:tr w:rsidR="007E770D" w:rsidRPr="007E770D" w14:paraId="21466842" w14:textId="77777777" w:rsidTr="00E4657F">
        <w:trPr>
          <w:trHeight w:val="227"/>
        </w:trPr>
        <w:tc>
          <w:tcPr>
            <w:tcW w:w="1419" w:type="pct"/>
            <w:shd w:val="clear" w:color="auto" w:fill="auto"/>
            <w:noWrap/>
            <w:vAlign w:val="center"/>
            <w:hideMark/>
          </w:tcPr>
          <w:p w14:paraId="3AFCCB44"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Расходи за запослене</w:t>
            </w:r>
          </w:p>
        </w:tc>
        <w:tc>
          <w:tcPr>
            <w:tcW w:w="716" w:type="pct"/>
            <w:shd w:val="clear" w:color="auto" w:fill="auto"/>
            <w:hideMark/>
          </w:tcPr>
          <w:p w14:paraId="0F0EB5FD"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501,6</w:t>
            </w:r>
          </w:p>
        </w:tc>
        <w:tc>
          <w:tcPr>
            <w:tcW w:w="716" w:type="pct"/>
            <w:shd w:val="clear" w:color="auto" w:fill="auto"/>
            <w:noWrap/>
            <w:hideMark/>
          </w:tcPr>
          <w:p w14:paraId="42686CEC"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514,4</w:t>
            </w:r>
          </w:p>
        </w:tc>
        <w:tc>
          <w:tcPr>
            <w:tcW w:w="716" w:type="pct"/>
            <w:shd w:val="clear" w:color="auto" w:fill="auto"/>
            <w:hideMark/>
          </w:tcPr>
          <w:p w14:paraId="3B27748C"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12,8</w:t>
            </w:r>
          </w:p>
        </w:tc>
        <w:tc>
          <w:tcPr>
            <w:tcW w:w="716" w:type="pct"/>
            <w:shd w:val="clear" w:color="auto" w:fill="auto"/>
            <w:hideMark/>
          </w:tcPr>
          <w:p w14:paraId="73AEFE64"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2,5</w:t>
            </w:r>
          </w:p>
        </w:tc>
        <w:tc>
          <w:tcPr>
            <w:tcW w:w="716" w:type="pct"/>
            <w:shd w:val="clear" w:color="auto" w:fill="auto"/>
            <w:noWrap/>
            <w:hideMark/>
          </w:tcPr>
          <w:p w14:paraId="1B6232DF"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9,5</w:t>
            </w:r>
          </w:p>
        </w:tc>
      </w:tr>
      <w:tr w:rsidR="007E770D" w:rsidRPr="007E770D" w14:paraId="48CF83F2" w14:textId="77777777" w:rsidTr="00E4657F">
        <w:trPr>
          <w:trHeight w:val="227"/>
        </w:trPr>
        <w:tc>
          <w:tcPr>
            <w:tcW w:w="1419" w:type="pct"/>
            <w:shd w:val="clear" w:color="auto" w:fill="auto"/>
            <w:noWrap/>
            <w:vAlign w:val="center"/>
            <w:hideMark/>
          </w:tcPr>
          <w:p w14:paraId="251A7E40"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Куповина робе и услуга</w:t>
            </w:r>
          </w:p>
        </w:tc>
        <w:tc>
          <w:tcPr>
            <w:tcW w:w="716" w:type="pct"/>
            <w:shd w:val="clear" w:color="auto" w:fill="auto"/>
            <w:hideMark/>
          </w:tcPr>
          <w:p w14:paraId="046A21AA"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365,4</w:t>
            </w:r>
          </w:p>
        </w:tc>
        <w:tc>
          <w:tcPr>
            <w:tcW w:w="716" w:type="pct"/>
            <w:shd w:val="clear" w:color="auto" w:fill="auto"/>
            <w:noWrap/>
            <w:hideMark/>
          </w:tcPr>
          <w:p w14:paraId="769A2403"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382,0</w:t>
            </w:r>
          </w:p>
        </w:tc>
        <w:tc>
          <w:tcPr>
            <w:tcW w:w="716" w:type="pct"/>
            <w:shd w:val="clear" w:color="auto" w:fill="auto"/>
            <w:hideMark/>
          </w:tcPr>
          <w:p w14:paraId="12647C35"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16,6</w:t>
            </w:r>
          </w:p>
        </w:tc>
        <w:tc>
          <w:tcPr>
            <w:tcW w:w="716" w:type="pct"/>
            <w:shd w:val="clear" w:color="auto" w:fill="auto"/>
            <w:hideMark/>
          </w:tcPr>
          <w:p w14:paraId="33FDAD22"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4,5</w:t>
            </w:r>
          </w:p>
        </w:tc>
        <w:tc>
          <w:tcPr>
            <w:tcW w:w="716" w:type="pct"/>
            <w:shd w:val="clear" w:color="auto" w:fill="auto"/>
            <w:noWrap/>
            <w:hideMark/>
          </w:tcPr>
          <w:p w14:paraId="25E7CDD1"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7,1</w:t>
            </w:r>
          </w:p>
        </w:tc>
      </w:tr>
      <w:tr w:rsidR="007E770D" w:rsidRPr="007E770D" w14:paraId="3FFF512A" w14:textId="77777777" w:rsidTr="00E4657F">
        <w:trPr>
          <w:trHeight w:val="227"/>
        </w:trPr>
        <w:tc>
          <w:tcPr>
            <w:tcW w:w="1419" w:type="pct"/>
            <w:shd w:val="clear" w:color="auto" w:fill="auto"/>
            <w:noWrap/>
            <w:vAlign w:val="center"/>
            <w:hideMark/>
          </w:tcPr>
          <w:p w14:paraId="5C05BD85"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Отплата камата</w:t>
            </w:r>
          </w:p>
        </w:tc>
        <w:tc>
          <w:tcPr>
            <w:tcW w:w="716" w:type="pct"/>
            <w:shd w:val="clear" w:color="auto" w:fill="auto"/>
            <w:hideMark/>
          </w:tcPr>
          <w:p w14:paraId="634472A7"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106,4</w:t>
            </w:r>
          </w:p>
        </w:tc>
        <w:tc>
          <w:tcPr>
            <w:tcW w:w="716" w:type="pct"/>
            <w:shd w:val="clear" w:color="auto" w:fill="auto"/>
            <w:noWrap/>
            <w:hideMark/>
          </w:tcPr>
          <w:p w14:paraId="53EF5A9E"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112,9</w:t>
            </w:r>
          </w:p>
        </w:tc>
        <w:tc>
          <w:tcPr>
            <w:tcW w:w="716" w:type="pct"/>
            <w:shd w:val="clear" w:color="auto" w:fill="auto"/>
            <w:hideMark/>
          </w:tcPr>
          <w:p w14:paraId="20743318"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6,5</w:t>
            </w:r>
          </w:p>
        </w:tc>
        <w:tc>
          <w:tcPr>
            <w:tcW w:w="716" w:type="pct"/>
            <w:shd w:val="clear" w:color="auto" w:fill="auto"/>
            <w:hideMark/>
          </w:tcPr>
          <w:p w14:paraId="24D8F570"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6,1</w:t>
            </w:r>
          </w:p>
        </w:tc>
        <w:tc>
          <w:tcPr>
            <w:tcW w:w="716" w:type="pct"/>
            <w:shd w:val="clear" w:color="auto" w:fill="auto"/>
            <w:noWrap/>
            <w:hideMark/>
          </w:tcPr>
          <w:p w14:paraId="324C9BBC"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2,1</w:t>
            </w:r>
          </w:p>
        </w:tc>
      </w:tr>
      <w:tr w:rsidR="007E770D" w:rsidRPr="007E770D" w14:paraId="0AB5798F" w14:textId="77777777" w:rsidTr="00E4657F">
        <w:trPr>
          <w:trHeight w:val="227"/>
        </w:trPr>
        <w:tc>
          <w:tcPr>
            <w:tcW w:w="1419" w:type="pct"/>
            <w:shd w:val="clear" w:color="auto" w:fill="auto"/>
            <w:noWrap/>
            <w:vAlign w:val="center"/>
            <w:hideMark/>
          </w:tcPr>
          <w:p w14:paraId="40D9983E"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Субвенције</w:t>
            </w:r>
          </w:p>
        </w:tc>
        <w:tc>
          <w:tcPr>
            <w:tcW w:w="716" w:type="pct"/>
            <w:shd w:val="clear" w:color="auto" w:fill="auto"/>
            <w:hideMark/>
          </w:tcPr>
          <w:p w14:paraId="76B25025"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124,8</w:t>
            </w:r>
          </w:p>
        </w:tc>
        <w:tc>
          <w:tcPr>
            <w:tcW w:w="716" w:type="pct"/>
            <w:shd w:val="clear" w:color="auto" w:fill="auto"/>
            <w:noWrap/>
            <w:hideMark/>
          </w:tcPr>
          <w:p w14:paraId="31B9A28A"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128,0</w:t>
            </w:r>
          </w:p>
        </w:tc>
        <w:tc>
          <w:tcPr>
            <w:tcW w:w="716" w:type="pct"/>
            <w:shd w:val="clear" w:color="auto" w:fill="auto"/>
            <w:hideMark/>
          </w:tcPr>
          <w:p w14:paraId="399D4ECA"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3,2</w:t>
            </w:r>
          </w:p>
        </w:tc>
        <w:tc>
          <w:tcPr>
            <w:tcW w:w="716" w:type="pct"/>
            <w:shd w:val="clear" w:color="auto" w:fill="auto"/>
            <w:hideMark/>
          </w:tcPr>
          <w:p w14:paraId="62E4803C"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2,6</w:t>
            </w:r>
          </w:p>
        </w:tc>
        <w:tc>
          <w:tcPr>
            <w:tcW w:w="716" w:type="pct"/>
            <w:shd w:val="clear" w:color="auto" w:fill="auto"/>
            <w:noWrap/>
            <w:hideMark/>
          </w:tcPr>
          <w:p w14:paraId="73186A5D"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2,4</w:t>
            </w:r>
          </w:p>
        </w:tc>
      </w:tr>
      <w:tr w:rsidR="007E770D" w:rsidRPr="007E770D" w14:paraId="66F36200" w14:textId="77777777" w:rsidTr="00E4657F">
        <w:trPr>
          <w:trHeight w:val="227"/>
        </w:trPr>
        <w:tc>
          <w:tcPr>
            <w:tcW w:w="1419" w:type="pct"/>
            <w:shd w:val="clear" w:color="auto" w:fill="auto"/>
            <w:noWrap/>
            <w:vAlign w:val="center"/>
            <w:hideMark/>
          </w:tcPr>
          <w:p w14:paraId="6F051B84"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Социјална помоћ и трансфери</w:t>
            </w:r>
          </w:p>
        </w:tc>
        <w:tc>
          <w:tcPr>
            <w:tcW w:w="716" w:type="pct"/>
            <w:shd w:val="clear" w:color="auto" w:fill="auto"/>
            <w:hideMark/>
          </w:tcPr>
          <w:p w14:paraId="31FD9C7A"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783,8</w:t>
            </w:r>
          </w:p>
        </w:tc>
        <w:tc>
          <w:tcPr>
            <w:tcW w:w="716" w:type="pct"/>
            <w:shd w:val="clear" w:color="auto" w:fill="auto"/>
            <w:noWrap/>
            <w:hideMark/>
          </w:tcPr>
          <w:p w14:paraId="6968C22B"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794,9</w:t>
            </w:r>
          </w:p>
        </w:tc>
        <w:tc>
          <w:tcPr>
            <w:tcW w:w="716" w:type="pct"/>
            <w:shd w:val="clear" w:color="auto" w:fill="auto"/>
            <w:hideMark/>
          </w:tcPr>
          <w:p w14:paraId="72EDE141"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11,1</w:t>
            </w:r>
          </w:p>
        </w:tc>
        <w:tc>
          <w:tcPr>
            <w:tcW w:w="716" w:type="pct"/>
            <w:shd w:val="clear" w:color="auto" w:fill="auto"/>
            <w:hideMark/>
          </w:tcPr>
          <w:p w14:paraId="2AE78190"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1,4</w:t>
            </w:r>
          </w:p>
        </w:tc>
        <w:tc>
          <w:tcPr>
            <w:tcW w:w="716" w:type="pct"/>
            <w:shd w:val="clear" w:color="auto" w:fill="auto"/>
            <w:noWrap/>
            <w:hideMark/>
          </w:tcPr>
          <w:p w14:paraId="0E622A09"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14,7</w:t>
            </w:r>
          </w:p>
        </w:tc>
      </w:tr>
      <w:tr w:rsidR="007E770D" w:rsidRPr="007E770D" w14:paraId="35BB7D84" w14:textId="77777777" w:rsidTr="00E4657F">
        <w:trPr>
          <w:trHeight w:val="227"/>
        </w:trPr>
        <w:tc>
          <w:tcPr>
            <w:tcW w:w="1419" w:type="pct"/>
            <w:shd w:val="clear" w:color="auto" w:fill="auto"/>
            <w:noWrap/>
            <w:vAlign w:val="center"/>
            <w:hideMark/>
          </w:tcPr>
          <w:p w14:paraId="220385D3"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од чега пензије</w:t>
            </w:r>
          </w:p>
        </w:tc>
        <w:tc>
          <w:tcPr>
            <w:tcW w:w="716" w:type="pct"/>
            <w:shd w:val="clear" w:color="auto" w:fill="auto"/>
            <w:hideMark/>
          </w:tcPr>
          <w:p w14:paraId="7C31B1BC"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563,2</w:t>
            </w:r>
          </w:p>
        </w:tc>
        <w:tc>
          <w:tcPr>
            <w:tcW w:w="716" w:type="pct"/>
            <w:shd w:val="clear" w:color="auto" w:fill="auto"/>
            <w:noWrap/>
            <w:hideMark/>
          </w:tcPr>
          <w:p w14:paraId="197C8172"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563,2</w:t>
            </w:r>
          </w:p>
        </w:tc>
        <w:tc>
          <w:tcPr>
            <w:tcW w:w="716" w:type="pct"/>
            <w:shd w:val="clear" w:color="auto" w:fill="auto"/>
            <w:hideMark/>
          </w:tcPr>
          <w:p w14:paraId="587EA789"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0,0</w:t>
            </w:r>
          </w:p>
        </w:tc>
        <w:tc>
          <w:tcPr>
            <w:tcW w:w="716" w:type="pct"/>
            <w:shd w:val="clear" w:color="auto" w:fill="auto"/>
            <w:hideMark/>
          </w:tcPr>
          <w:p w14:paraId="0DEE2AA8"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0,0</w:t>
            </w:r>
          </w:p>
        </w:tc>
        <w:tc>
          <w:tcPr>
            <w:tcW w:w="716" w:type="pct"/>
            <w:shd w:val="clear" w:color="auto" w:fill="auto"/>
            <w:noWrap/>
            <w:hideMark/>
          </w:tcPr>
          <w:p w14:paraId="04E73A7D"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10,4</w:t>
            </w:r>
          </w:p>
        </w:tc>
      </w:tr>
      <w:tr w:rsidR="007E770D" w:rsidRPr="007E770D" w14:paraId="39D6677D" w14:textId="77777777" w:rsidTr="00E4657F">
        <w:trPr>
          <w:trHeight w:val="227"/>
        </w:trPr>
        <w:tc>
          <w:tcPr>
            <w:tcW w:w="1419" w:type="pct"/>
            <w:shd w:val="clear" w:color="auto" w:fill="auto"/>
            <w:noWrap/>
            <w:vAlign w:val="center"/>
            <w:hideMark/>
          </w:tcPr>
          <w:p w14:paraId="74CAFBF4"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Остали текући расходи</w:t>
            </w:r>
          </w:p>
        </w:tc>
        <w:tc>
          <w:tcPr>
            <w:tcW w:w="716" w:type="pct"/>
            <w:shd w:val="clear" w:color="auto" w:fill="auto"/>
            <w:hideMark/>
          </w:tcPr>
          <w:p w14:paraId="2A30B907"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72,7</w:t>
            </w:r>
          </w:p>
        </w:tc>
        <w:tc>
          <w:tcPr>
            <w:tcW w:w="716" w:type="pct"/>
            <w:shd w:val="clear" w:color="auto" w:fill="auto"/>
            <w:noWrap/>
            <w:hideMark/>
          </w:tcPr>
          <w:p w14:paraId="2A36FEE9"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82,5</w:t>
            </w:r>
          </w:p>
        </w:tc>
        <w:tc>
          <w:tcPr>
            <w:tcW w:w="716" w:type="pct"/>
            <w:shd w:val="clear" w:color="auto" w:fill="auto"/>
            <w:hideMark/>
          </w:tcPr>
          <w:p w14:paraId="1ADE016B"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9,9</w:t>
            </w:r>
          </w:p>
        </w:tc>
        <w:tc>
          <w:tcPr>
            <w:tcW w:w="716" w:type="pct"/>
            <w:shd w:val="clear" w:color="auto" w:fill="auto"/>
            <w:hideMark/>
          </w:tcPr>
          <w:p w14:paraId="51E9385E"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13,6</w:t>
            </w:r>
          </w:p>
        </w:tc>
        <w:tc>
          <w:tcPr>
            <w:tcW w:w="716" w:type="pct"/>
            <w:shd w:val="clear" w:color="auto" w:fill="auto"/>
            <w:noWrap/>
            <w:hideMark/>
          </w:tcPr>
          <w:p w14:paraId="7B244776"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1,5</w:t>
            </w:r>
          </w:p>
        </w:tc>
      </w:tr>
      <w:tr w:rsidR="007E770D" w:rsidRPr="007E770D" w14:paraId="045AA8D9" w14:textId="77777777" w:rsidTr="00E4657F">
        <w:trPr>
          <w:trHeight w:val="227"/>
        </w:trPr>
        <w:tc>
          <w:tcPr>
            <w:tcW w:w="1419" w:type="pct"/>
            <w:shd w:val="clear" w:color="auto" w:fill="auto"/>
            <w:noWrap/>
            <w:vAlign w:val="center"/>
            <w:hideMark/>
          </w:tcPr>
          <w:p w14:paraId="714CF65B"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Капитални расходи</w:t>
            </w:r>
          </w:p>
        </w:tc>
        <w:tc>
          <w:tcPr>
            <w:tcW w:w="716" w:type="pct"/>
            <w:shd w:val="clear" w:color="auto" w:fill="auto"/>
            <w:hideMark/>
          </w:tcPr>
          <w:p w14:paraId="3093F9FE"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215,9</w:t>
            </w:r>
          </w:p>
        </w:tc>
        <w:tc>
          <w:tcPr>
            <w:tcW w:w="716" w:type="pct"/>
            <w:shd w:val="clear" w:color="auto" w:fill="auto"/>
            <w:noWrap/>
            <w:hideMark/>
          </w:tcPr>
          <w:p w14:paraId="37EA65B5"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236,9</w:t>
            </w:r>
          </w:p>
        </w:tc>
        <w:tc>
          <w:tcPr>
            <w:tcW w:w="716" w:type="pct"/>
            <w:shd w:val="clear" w:color="auto" w:fill="auto"/>
            <w:hideMark/>
          </w:tcPr>
          <w:p w14:paraId="364CA1D4"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21,0</w:t>
            </w:r>
          </w:p>
        </w:tc>
        <w:tc>
          <w:tcPr>
            <w:tcW w:w="716" w:type="pct"/>
            <w:shd w:val="clear" w:color="auto" w:fill="auto"/>
            <w:hideMark/>
          </w:tcPr>
          <w:p w14:paraId="34E90A06"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9,7</w:t>
            </w:r>
          </w:p>
        </w:tc>
        <w:tc>
          <w:tcPr>
            <w:tcW w:w="716" w:type="pct"/>
            <w:shd w:val="clear" w:color="auto" w:fill="auto"/>
            <w:noWrap/>
            <w:hideMark/>
          </w:tcPr>
          <w:p w14:paraId="6B325102"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4,4</w:t>
            </w:r>
          </w:p>
        </w:tc>
      </w:tr>
      <w:tr w:rsidR="007E770D" w:rsidRPr="007E770D" w14:paraId="6AE09D9D" w14:textId="77777777" w:rsidTr="00E4657F">
        <w:trPr>
          <w:trHeight w:val="227"/>
        </w:trPr>
        <w:tc>
          <w:tcPr>
            <w:tcW w:w="1419" w:type="pct"/>
            <w:shd w:val="clear" w:color="auto" w:fill="auto"/>
            <w:noWrap/>
            <w:vAlign w:val="center"/>
            <w:hideMark/>
          </w:tcPr>
          <w:p w14:paraId="250C4EB2"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Нето буџетске позајмице</w:t>
            </w:r>
          </w:p>
        </w:tc>
        <w:tc>
          <w:tcPr>
            <w:tcW w:w="716" w:type="pct"/>
            <w:shd w:val="clear" w:color="auto" w:fill="auto"/>
            <w:hideMark/>
          </w:tcPr>
          <w:p w14:paraId="6433CF8A"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6,9</w:t>
            </w:r>
          </w:p>
        </w:tc>
        <w:tc>
          <w:tcPr>
            <w:tcW w:w="716" w:type="pct"/>
            <w:shd w:val="clear" w:color="auto" w:fill="auto"/>
            <w:noWrap/>
            <w:hideMark/>
          </w:tcPr>
          <w:p w14:paraId="32ADC8E9"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8,8</w:t>
            </w:r>
          </w:p>
        </w:tc>
        <w:tc>
          <w:tcPr>
            <w:tcW w:w="716" w:type="pct"/>
            <w:shd w:val="clear" w:color="auto" w:fill="auto"/>
            <w:hideMark/>
          </w:tcPr>
          <w:p w14:paraId="50015C13"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1,9</w:t>
            </w:r>
          </w:p>
        </w:tc>
        <w:tc>
          <w:tcPr>
            <w:tcW w:w="716" w:type="pct"/>
            <w:shd w:val="clear" w:color="auto" w:fill="auto"/>
            <w:hideMark/>
          </w:tcPr>
          <w:p w14:paraId="5F361F0A"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27,5</w:t>
            </w:r>
          </w:p>
        </w:tc>
        <w:tc>
          <w:tcPr>
            <w:tcW w:w="716" w:type="pct"/>
            <w:shd w:val="clear" w:color="auto" w:fill="auto"/>
            <w:noWrap/>
            <w:hideMark/>
          </w:tcPr>
          <w:p w14:paraId="3A51B02E"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0,2</w:t>
            </w:r>
          </w:p>
        </w:tc>
      </w:tr>
      <w:tr w:rsidR="007E770D" w:rsidRPr="007E770D" w14:paraId="0BE5595B" w14:textId="77777777" w:rsidTr="00E4657F">
        <w:trPr>
          <w:trHeight w:val="227"/>
        </w:trPr>
        <w:tc>
          <w:tcPr>
            <w:tcW w:w="1419" w:type="pct"/>
            <w:shd w:val="clear" w:color="auto" w:fill="auto"/>
            <w:noWrap/>
            <w:vAlign w:val="center"/>
            <w:hideMark/>
          </w:tcPr>
          <w:p w14:paraId="460B861F"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Активиране гаранције</w:t>
            </w:r>
          </w:p>
        </w:tc>
        <w:tc>
          <w:tcPr>
            <w:tcW w:w="716" w:type="pct"/>
            <w:shd w:val="clear" w:color="auto" w:fill="auto"/>
            <w:hideMark/>
          </w:tcPr>
          <w:p w14:paraId="4325374B"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13,0</w:t>
            </w:r>
          </w:p>
        </w:tc>
        <w:tc>
          <w:tcPr>
            <w:tcW w:w="716" w:type="pct"/>
            <w:shd w:val="clear" w:color="auto" w:fill="auto"/>
            <w:noWrap/>
            <w:hideMark/>
          </w:tcPr>
          <w:p w14:paraId="05C6FE88"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11,5</w:t>
            </w:r>
          </w:p>
        </w:tc>
        <w:tc>
          <w:tcPr>
            <w:tcW w:w="716" w:type="pct"/>
            <w:shd w:val="clear" w:color="auto" w:fill="auto"/>
            <w:hideMark/>
          </w:tcPr>
          <w:p w14:paraId="3E1F696B"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-1,5</w:t>
            </w:r>
          </w:p>
        </w:tc>
        <w:tc>
          <w:tcPr>
            <w:tcW w:w="716" w:type="pct"/>
            <w:shd w:val="clear" w:color="auto" w:fill="auto"/>
            <w:hideMark/>
          </w:tcPr>
          <w:p w14:paraId="561C08AF"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-11,8</w:t>
            </w:r>
          </w:p>
        </w:tc>
        <w:tc>
          <w:tcPr>
            <w:tcW w:w="716" w:type="pct"/>
            <w:shd w:val="clear" w:color="auto" w:fill="auto"/>
            <w:noWrap/>
            <w:hideMark/>
          </w:tcPr>
          <w:p w14:paraId="0C86011C"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0,2</w:t>
            </w:r>
          </w:p>
        </w:tc>
      </w:tr>
      <w:tr w:rsidR="007E770D" w:rsidRPr="007E770D" w14:paraId="5729DAED" w14:textId="77777777" w:rsidTr="00E4657F">
        <w:trPr>
          <w:trHeight w:val="227"/>
        </w:trPr>
        <w:tc>
          <w:tcPr>
            <w:tcW w:w="1419" w:type="pct"/>
            <w:shd w:val="clear" w:color="auto" w:fill="E7E6E6" w:themeFill="background2"/>
            <w:noWrap/>
            <w:vAlign w:val="center"/>
            <w:hideMark/>
          </w:tcPr>
          <w:p w14:paraId="78A1A4CA"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Резултат</w:t>
            </w:r>
          </w:p>
        </w:tc>
        <w:tc>
          <w:tcPr>
            <w:tcW w:w="716" w:type="pct"/>
            <w:shd w:val="clear" w:color="auto" w:fill="E7E6E6" w:themeFill="background2"/>
            <w:hideMark/>
          </w:tcPr>
          <w:p w14:paraId="6C3BC414"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-28,7</w:t>
            </w:r>
          </w:p>
        </w:tc>
        <w:tc>
          <w:tcPr>
            <w:tcW w:w="716" w:type="pct"/>
            <w:shd w:val="clear" w:color="auto" w:fill="E7E6E6" w:themeFill="background2"/>
            <w:noWrap/>
            <w:hideMark/>
          </w:tcPr>
          <w:p w14:paraId="4BDE2648"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-27,1</w:t>
            </w:r>
          </w:p>
        </w:tc>
        <w:tc>
          <w:tcPr>
            <w:tcW w:w="716" w:type="pct"/>
            <w:shd w:val="clear" w:color="auto" w:fill="E7E6E6" w:themeFill="background2"/>
            <w:hideMark/>
          </w:tcPr>
          <w:p w14:paraId="246F6B1B"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1,6</w:t>
            </w:r>
          </w:p>
        </w:tc>
        <w:tc>
          <w:tcPr>
            <w:tcW w:w="716" w:type="pct"/>
            <w:shd w:val="clear" w:color="auto" w:fill="E7E6E6" w:themeFill="background2"/>
            <w:hideMark/>
          </w:tcPr>
          <w:p w14:paraId="616CA134" w14:textId="77777777" w:rsidR="004044DC" w:rsidRPr="007E770D" w:rsidRDefault="004044DC" w:rsidP="00E4657F">
            <w:pPr>
              <w:spacing w:after="0" w:line="240" w:lineRule="auto"/>
              <w:ind w:right="340"/>
              <w:jc w:val="right"/>
              <w:rPr>
                <w:rFonts w:cstheme="minorHAnsi"/>
                <w:color w:val="auto"/>
                <w:sz w:val="18"/>
                <w:szCs w:val="18"/>
                <w:lang w:val="sr-Cyrl-CS"/>
              </w:rPr>
            </w:pPr>
          </w:p>
        </w:tc>
        <w:tc>
          <w:tcPr>
            <w:tcW w:w="716" w:type="pct"/>
            <w:shd w:val="clear" w:color="auto" w:fill="E7E6E6" w:themeFill="background2"/>
            <w:noWrap/>
            <w:hideMark/>
          </w:tcPr>
          <w:p w14:paraId="1F714326"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-0,5</w:t>
            </w:r>
          </w:p>
        </w:tc>
      </w:tr>
      <w:tr w:rsidR="007E770D" w:rsidRPr="007E770D" w14:paraId="63509F87" w14:textId="77777777" w:rsidTr="00E4657F">
        <w:trPr>
          <w:trHeight w:val="227"/>
        </w:trPr>
        <w:tc>
          <w:tcPr>
            <w:tcW w:w="1419" w:type="pct"/>
            <w:tcBorders>
              <w:bottom w:val="single" w:sz="4" w:space="0" w:color="002060"/>
            </w:tcBorders>
            <w:shd w:val="clear" w:color="auto" w:fill="auto"/>
            <w:noWrap/>
            <w:vAlign w:val="center"/>
            <w:hideMark/>
          </w:tcPr>
          <w:p w14:paraId="7BC092EE"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Резултат у % БДП</w:t>
            </w:r>
          </w:p>
        </w:tc>
        <w:tc>
          <w:tcPr>
            <w:tcW w:w="716" w:type="pct"/>
            <w:tcBorders>
              <w:bottom w:val="single" w:sz="4" w:space="0" w:color="002060"/>
            </w:tcBorders>
            <w:shd w:val="clear" w:color="auto" w:fill="auto"/>
            <w:hideMark/>
          </w:tcPr>
          <w:p w14:paraId="25D1B6B0"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-0,53</w:t>
            </w:r>
          </w:p>
        </w:tc>
        <w:tc>
          <w:tcPr>
            <w:tcW w:w="716" w:type="pct"/>
            <w:tcBorders>
              <w:bottom w:val="single" w:sz="4" w:space="0" w:color="002060"/>
            </w:tcBorders>
            <w:shd w:val="clear" w:color="auto" w:fill="auto"/>
            <w:hideMark/>
          </w:tcPr>
          <w:p w14:paraId="795A4C16"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-0,50</w:t>
            </w:r>
          </w:p>
        </w:tc>
        <w:tc>
          <w:tcPr>
            <w:tcW w:w="716" w:type="pct"/>
            <w:tcBorders>
              <w:bottom w:val="single" w:sz="4" w:space="0" w:color="002060"/>
            </w:tcBorders>
            <w:shd w:val="clear" w:color="auto" w:fill="auto"/>
            <w:hideMark/>
          </w:tcPr>
          <w:p w14:paraId="1825D324" w14:textId="77777777" w:rsidR="004044DC" w:rsidRPr="007E770D" w:rsidRDefault="004044DC" w:rsidP="00E4657F">
            <w:pPr>
              <w:spacing w:after="0" w:line="240" w:lineRule="auto"/>
              <w:ind w:right="340"/>
              <w:jc w:val="right"/>
              <w:rPr>
                <w:rFonts w:cstheme="minorHAnsi"/>
                <w:color w:val="auto"/>
                <w:sz w:val="18"/>
                <w:szCs w:val="18"/>
                <w:lang w:val="sr-Cyrl-CS"/>
              </w:rPr>
            </w:pPr>
            <w:r w:rsidRPr="007E770D">
              <w:rPr>
                <w:rFonts w:cstheme="minorHAnsi"/>
                <w:color w:val="auto"/>
                <w:sz w:val="18"/>
                <w:szCs w:val="18"/>
                <w:lang w:val="sr-Cyrl-CS"/>
              </w:rPr>
              <w:t>0,0</w:t>
            </w:r>
          </w:p>
        </w:tc>
        <w:tc>
          <w:tcPr>
            <w:tcW w:w="716" w:type="pct"/>
            <w:tcBorders>
              <w:bottom w:val="single" w:sz="4" w:space="0" w:color="002060"/>
            </w:tcBorders>
            <w:shd w:val="clear" w:color="auto" w:fill="auto"/>
            <w:hideMark/>
          </w:tcPr>
          <w:p w14:paraId="7E21DC53" w14:textId="77777777" w:rsidR="004044DC" w:rsidRPr="007E770D" w:rsidRDefault="004044DC" w:rsidP="00E4657F">
            <w:pPr>
              <w:spacing w:after="0" w:line="240" w:lineRule="auto"/>
              <w:ind w:right="340"/>
              <w:jc w:val="right"/>
              <w:rPr>
                <w:rFonts w:cstheme="minorHAnsi"/>
                <w:color w:val="auto"/>
                <w:sz w:val="18"/>
                <w:szCs w:val="18"/>
                <w:lang w:val="sr-Cyrl-CS"/>
              </w:rPr>
            </w:pPr>
          </w:p>
        </w:tc>
        <w:tc>
          <w:tcPr>
            <w:tcW w:w="716" w:type="pct"/>
            <w:tcBorders>
              <w:bottom w:val="single" w:sz="4" w:space="0" w:color="002060"/>
            </w:tcBorders>
            <w:shd w:val="clear" w:color="auto" w:fill="auto"/>
            <w:hideMark/>
          </w:tcPr>
          <w:p w14:paraId="740E4A98" w14:textId="77777777" w:rsidR="004044DC" w:rsidRPr="007E770D" w:rsidRDefault="004044DC" w:rsidP="00E4657F">
            <w:pPr>
              <w:spacing w:after="0" w:line="240" w:lineRule="auto"/>
              <w:ind w:right="340"/>
              <w:jc w:val="right"/>
              <w:rPr>
                <w:rFonts w:cstheme="minorHAnsi"/>
                <w:color w:val="auto"/>
                <w:sz w:val="18"/>
                <w:szCs w:val="18"/>
                <w:lang w:val="sr-Cyrl-CS"/>
              </w:rPr>
            </w:pPr>
          </w:p>
        </w:tc>
      </w:tr>
    </w:tbl>
    <w:p w14:paraId="2704F70E" w14:textId="51EDBAEC" w:rsidR="004044DC" w:rsidRPr="007E770D" w:rsidRDefault="004044DC" w:rsidP="009E4B86">
      <w:pPr>
        <w:spacing w:before="40" w:after="120" w:line="240" w:lineRule="auto"/>
        <w:rPr>
          <w:rFonts w:eastAsia="MS PGothic" w:cstheme="minorHAnsi"/>
          <w:color w:val="auto"/>
          <w:sz w:val="16"/>
          <w:szCs w:val="16"/>
          <w:lang w:val="sr-Cyrl-CS" w:eastAsia="ja-JP"/>
        </w:rPr>
        <w:sectPr w:rsidR="004044DC" w:rsidRPr="007E770D" w:rsidSect="00BA4876">
          <w:type w:val="continuous"/>
          <w:pgSz w:w="12240" w:h="15840"/>
          <w:pgMar w:top="1440" w:right="1440" w:bottom="1440" w:left="1440" w:header="720" w:footer="720" w:gutter="0"/>
          <w:cols w:space="720"/>
          <w:docGrid w:linePitch="360"/>
        </w:sectPr>
      </w:pPr>
      <w:r w:rsidRPr="007E770D">
        <w:rPr>
          <w:rFonts w:eastAsia="Calibri" w:cstheme="minorHAnsi"/>
          <w:bCs/>
          <w:color w:val="auto"/>
          <w:sz w:val="16"/>
          <w:szCs w:val="16"/>
          <w:lang w:val="sr-Cyrl-CS" w:eastAsia="ja-JP"/>
        </w:rPr>
        <w:t xml:space="preserve">Извор: </w:t>
      </w:r>
      <w:r w:rsidRPr="007E770D">
        <w:rPr>
          <w:rFonts w:cstheme="minorHAnsi"/>
          <w:color w:val="auto"/>
          <w:sz w:val="16"/>
          <w:szCs w:val="16"/>
          <w:lang w:val="sr-Cyrl-CS"/>
        </w:rPr>
        <w:t>Министарство финансиј</w:t>
      </w:r>
      <w:r w:rsidR="007E770D">
        <w:rPr>
          <w:rFonts w:cstheme="minorHAnsi"/>
          <w:color w:val="auto"/>
          <w:sz w:val="16"/>
          <w:szCs w:val="16"/>
          <w:lang w:val="sr-Cyrl-CS"/>
        </w:rPr>
        <w:t>а</w:t>
      </w:r>
    </w:p>
    <w:p w14:paraId="048694FA" w14:textId="77777777" w:rsidR="004044DC" w:rsidRPr="007E770D" w:rsidRDefault="004044DC" w:rsidP="00E4657F">
      <w:pPr>
        <w:spacing w:after="120" w:line="276" w:lineRule="auto"/>
        <w:rPr>
          <w:rFonts w:eastAsia="MS PGothic" w:cstheme="minorHAnsi"/>
          <w:color w:val="auto"/>
          <w:szCs w:val="20"/>
          <w:lang w:val="sr-Cyrl-CS" w:eastAsia="ja-JP"/>
        </w:rPr>
      </w:pPr>
      <w:bookmarkStart w:id="17" w:name="_Hlk529657292"/>
      <w:r w:rsidRPr="007E770D">
        <w:rPr>
          <w:rFonts w:eastAsia="MS PGothic" w:cstheme="minorHAnsi"/>
          <w:color w:val="auto"/>
          <w:szCs w:val="20"/>
          <w:lang w:val="sr-Cyrl-CS" w:eastAsia="ja-JP"/>
        </w:rPr>
        <w:lastRenderedPageBreak/>
        <w:t>Кретања на тржишту рада током 2019. године, раст просечних зарада, запослености, и последично раст потрошње, утицали су позитивно на приходе по основу пореза на доходак и доприноса за обавезно социјално осигурање. Раст обрачунате масе зарада током периода јануар–јул 2019. године од око 12,8%, у складу је са оствареним растом прихода од опорезивања рада, у периоду њихове исплате. До краја 2019. године процењује се да ће укупна наплата пореза на рад (укључујући и социјалне доприносе) бити на нивоу вишем од првобитног плана за преко 27 млрд РСД, уз одређени позитиван ризик да се остваре и бољи резултати. Процена прихода од осталих облика пореза на доходак такође је повећана у односу на план за преко 6 млрд динара, првенствено због појединачних уплата за које је оцењено да су једнократне природе</w:t>
      </w:r>
      <w:r w:rsidRPr="007E770D">
        <w:rPr>
          <w:rStyle w:val="FootnoteReference"/>
          <w:rFonts w:eastAsia="MS PGothic" w:cstheme="minorHAnsi"/>
          <w:color w:val="auto"/>
          <w:szCs w:val="20"/>
          <w:lang w:val="sr-Cyrl-CS" w:eastAsia="ja-JP"/>
        </w:rPr>
        <w:footnoteReference w:id="5"/>
      </w:r>
      <w:r w:rsidRPr="007E770D">
        <w:rPr>
          <w:rFonts w:eastAsia="MS PGothic" w:cstheme="minorHAnsi"/>
          <w:color w:val="auto"/>
          <w:sz w:val="18"/>
          <w:szCs w:val="20"/>
          <w:lang w:val="sr-Cyrl-CS" w:eastAsia="ja-JP"/>
        </w:rPr>
        <w:t>,</w:t>
      </w:r>
      <w:r w:rsidRPr="007E770D">
        <w:rPr>
          <w:rFonts w:eastAsia="MS PGothic" w:cstheme="minorHAnsi"/>
          <w:color w:val="auto"/>
          <w:szCs w:val="20"/>
          <w:lang w:val="sr-Cyrl-CS" w:eastAsia="ja-JP"/>
        </w:rPr>
        <w:t xml:space="preserve"> а делом и због бољег извршења на крају претходне године.</w:t>
      </w:r>
    </w:p>
    <w:p w14:paraId="3A0DF9D6" w14:textId="77777777" w:rsidR="004044DC" w:rsidRPr="007E770D" w:rsidRDefault="004044DC" w:rsidP="009877EB">
      <w:pPr>
        <w:widowControl w:val="0"/>
        <w:spacing w:after="120" w:line="276" w:lineRule="auto"/>
        <w:rPr>
          <w:rFonts w:eastAsia="MS PGothic" w:cstheme="minorHAnsi"/>
          <w:color w:val="auto"/>
          <w:szCs w:val="20"/>
          <w:lang w:val="sr-Cyrl-CS" w:eastAsia="ja-JP"/>
        </w:rPr>
      </w:pPr>
      <w:r w:rsidRPr="007E770D">
        <w:rPr>
          <w:rFonts w:eastAsia="MS PGothic" w:cstheme="minorHAnsi"/>
          <w:color w:val="auto"/>
          <w:szCs w:val="20"/>
          <w:lang w:val="sr-Cyrl-CS" w:eastAsia="ja-JP"/>
        </w:rPr>
        <w:t>Главне детерминанте наплате ПДВ су укупна висина потрошње (C), ефективна пореска стопа и ефикасност наплате (C-</w:t>
      </w:r>
      <w:r w:rsidRPr="007E770D">
        <w:rPr>
          <w:rFonts w:eastAsia="MS PGothic" w:cstheme="minorHAnsi"/>
          <w:i/>
          <w:color w:val="auto"/>
          <w:szCs w:val="20"/>
          <w:lang w:val="sr-Cyrl-CS" w:eastAsia="ja-JP"/>
        </w:rPr>
        <w:t>efficiency</w:t>
      </w:r>
      <w:r w:rsidRPr="007E770D">
        <w:rPr>
          <w:rFonts w:eastAsia="MS PGothic" w:cstheme="minorHAnsi"/>
          <w:color w:val="auto"/>
          <w:szCs w:val="20"/>
          <w:lang w:val="sr-Cyrl-CS" w:eastAsia="ja-JP"/>
        </w:rPr>
        <w:t>). ПДВ је по величини други порески облик у укупним јавним приходима, а на његово кретање утичу и кредитна активност, кретање осталих извора дохотка, ефикасност наплате и обим сиве економије, структура личне потрошње и спољнотрговинске размене. У домену контроле и побољшања ефикасности наплате ПДВ постигнути су одлични резултати, током 2015. и 2016. године, док је након тога ефикасност наплате стабилизована на достигнутом нивоу.</w:t>
      </w:r>
    </w:p>
    <w:p w14:paraId="4536575D" w14:textId="77777777" w:rsidR="004044DC" w:rsidRPr="007E770D" w:rsidRDefault="004044DC" w:rsidP="00C130D2">
      <w:pPr>
        <w:widowControl w:val="0"/>
        <w:spacing w:after="120" w:line="276" w:lineRule="auto"/>
        <w:rPr>
          <w:rFonts w:eastAsia="MS PGothic" w:cstheme="minorHAnsi"/>
          <w:color w:val="auto"/>
          <w:szCs w:val="20"/>
          <w:lang w:val="sr-Cyrl-CS" w:eastAsia="ja-JP"/>
        </w:rPr>
      </w:pPr>
      <w:r w:rsidRPr="007E770D">
        <w:rPr>
          <w:rFonts w:eastAsia="MS PGothic" w:cstheme="minorHAnsi"/>
          <w:color w:val="auto"/>
          <w:szCs w:val="20"/>
          <w:lang w:val="sr-Cyrl-CS" w:eastAsia="ja-JP"/>
        </w:rPr>
        <w:t xml:space="preserve">Процена ПДВ коригована је навише за 4,8 млрд динара услед позитивног кретања наведених фактора. Према тренутној пројекцији бруто наплата ПДВ забележиће у 2019. години раст од oкo 9%, што је у оквирима стопе раста расположивог дохотка. Кретање бруто наплате ПДВ корисно је у сврхе праћења остварења током године и израду краткорочних пројекција, јер није под утицајем промена у динамици исплате ПДВ повраћаја. Крајем 2018. године дошло је до </w:t>
      </w:r>
      <w:r w:rsidRPr="007E770D">
        <w:rPr>
          <w:rFonts w:eastAsia="MS PGothic" w:cstheme="minorHAnsi"/>
          <w:color w:val="auto"/>
          <w:szCs w:val="20"/>
          <w:lang w:val="sr-Cyrl-CS" w:eastAsia="ja-JP"/>
        </w:rPr>
        <w:t xml:space="preserve">значајног убрзања у исплати ПДВ повраћаја привреди. У 2019. годину ушло се са мањим обавезама државе по овом основу. </w:t>
      </w:r>
      <w:r w:rsidRPr="007E770D">
        <w:rPr>
          <w:rFonts w:eastAsia="MS PGothic" w:cstheme="minorHAnsi"/>
          <w:bCs/>
          <w:color w:val="auto"/>
          <w:szCs w:val="20"/>
          <w:lang w:val="sr-Cyrl-CS" w:eastAsia="ja-JP"/>
        </w:rPr>
        <w:t xml:space="preserve">Динамика исплате ПДВ повраћаја током 2019. је додатно убрзана, у односу на претходни период, због скраћених рокова за исплату ПДВ (у односу на максимално прописане законске рокове). </w:t>
      </w:r>
      <w:r w:rsidRPr="007E770D">
        <w:rPr>
          <w:rFonts w:eastAsia="MS PGothic" w:cstheme="minorHAnsi"/>
          <w:color w:val="auto"/>
          <w:szCs w:val="20"/>
          <w:lang w:val="sr-Cyrl-CS" w:eastAsia="ja-JP"/>
        </w:rPr>
        <w:t>Убрзање исплате резултат је повећане ефикасности и боље организоване контроле у овом домену.</w:t>
      </w:r>
    </w:p>
    <w:p w14:paraId="50C275B5" w14:textId="77777777" w:rsidR="004044DC" w:rsidRPr="007E770D" w:rsidRDefault="004044DC" w:rsidP="00C130D2">
      <w:pPr>
        <w:widowControl w:val="0"/>
        <w:spacing w:after="120" w:line="276" w:lineRule="auto"/>
        <w:rPr>
          <w:rFonts w:eastAsia="MS PGothic" w:cstheme="minorHAnsi"/>
          <w:color w:val="auto"/>
          <w:szCs w:val="20"/>
          <w:lang w:val="sr-Cyrl-CS" w:eastAsia="ja-JP"/>
        </w:rPr>
      </w:pPr>
      <w:r w:rsidRPr="007E770D">
        <w:rPr>
          <w:rFonts w:eastAsia="MS PGothic" w:cstheme="minorHAnsi"/>
          <w:color w:val="auto"/>
          <w:szCs w:val="20"/>
          <w:lang w:val="sr-Cyrl-CS" w:eastAsia="ja-JP"/>
        </w:rPr>
        <w:t>Наплата прихода од акциза је значајније повећана у односу на износ који је био планиран буџетом за 2019. годину. Приходи од акциза обухватају четири главне категорије, и то: акцизе на нафтне деривате, дуванске производе, електричну енергију за крајњу потрошњу и остале (алкохол и кафа). Буџетска пројекција прихода за 2019. годину углавном није претпостављала промену потрошње акцизних производа, већ се заснивала на редовном усклађивању акцизног оптерећења. У случају дуванских производа као и сваке године планира се одређени пад потрошње који је годинама присутан као тренд.</w:t>
      </w:r>
    </w:p>
    <w:p w14:paraId="4F2A824F" w14:textId="1842E304" w:rsidR="004044DC" w:rsidRPr="007E770D" w:rsidRDefault="004044DC" w:rsidP="009877EB">
      <w:pPr>
        <w:widowControl w:val="0"/>
        <w:spacing w:after="120" w:line="276" w:lineRule="auto"/>
        <w:rPr>
          <w:rFonts w:eastAsia="MS PGothic" w:cstheme="minorHAnsi"/>
          <w:color w:val="auto"/>
          <w:szCs w:val="20"/>
          <w:lang w:val="sr-Cyrl-CS" w:eastAsia="ja-JP"/>
        </w:rPr>
      </w:pPr>
      <w:r w:rsidRPr="007E770D">
        <w:rPr>
          <w:rFonts w:eastAsia="MS PGothic" w:cstheme="minorHAnsi"/>
          <w:color w:val="auto"/>
          <w:szCs w:val="20"/>
          <w:lang w:val="sr-Cyrl-CS" w:eastAsia="ja-JP"/>
        </w:rPr>
        <w:t>Процена прихода од акциза на деривате нафте је повећана због нешто бољег остварења на крају 2018. године али и због присутног повећања крајње потрошње током 2019. Приходи од акциза на дуванске производе, кориговани су благо навише, у складу са досадашњим остварењем у 2019. години. Подаци о потрошњи дуванских производа указују да је током 2018. године дошло до нешто већег пада легалног тржишта него што је био дугорочни тренд. Током 2019. године наплата акциза на дув</w:t>
      </w:r>
      <w:r w:rsidR="007E770D">
        <w:rPr>
          <w:rFonts w:eastAsia="MS PGothic" w:cstheme="minorHAnsi"/>
          <w:color w:val="auto"/>
          <w:szCs w:val="20"/>
          <w:lang w:val="sr-Cyrl-CS" w:eastAsia="ja-JP"/>
        </w:rPr>
        <w:t>а</w:t>
      </w:r>
      <w:r w:rsidRPr="007E770D">
        <w:rPr>
          <w:rFonts w:eastAsia="MS PGothic" w:cstheme="minorHAnsi"/>
          <w:color w:val="auto"/>
          <w:szCs w:val="20"/>
          <w:lang w:val="sr-Cyrl-CS" w:eastAsia="ja-JP"/>
        </w:rPr>
        <w:t>нске прерађевине сугерише да је дошло до стабилизације или благог опоравка у овом домену.</w:t>
      </w:r>
    </w:p>
    <w:p w14:paraId="2CD5FD92" w14:textId="77777777" w:rsidR="004044DC" w:rsidRPr="007E770D" w:rsidRDefault="004044DC" w:rsidP="009877EB">
      <w:pPr>
        <w:widowControl w:val="0"/>
        <w:spacing w:after="120" w:line="276" w:lineRule="auto"/>
        <w:rPr>
          <w:rFonts w:eastAsia="MS PGothic" w:cstheme="minorHAnsi"/>
          <w:color w:val="auto"/>
          <w:spacing w:val="-2"/>
          <w:szCs w:val="20"/>
          <w:lang w:val="sr-Cyrl-CS" w:eastAsia="ja-JP"/>
        </w:rPr>
      </w:pPr>
      <w:r w:rsidRPr="007E770D">
        <w:rPr>
          <w:rFonts w:eastAsia="MS PGothic" w:cstheme="minorHAnsi"/>
          <w:color w:val="auto"/>
          <w:spacing w:val="-2"/>
          <w:szCs w:val="20"/>
          <w:lang w:val="sr-Cyrl-CS" w:eastAsia="ja-JP"/>
        </w:rPr>
        <w:t xml:space="preserve">Приходи од царина крећу се у складу са планом. Њихова динамика међутим, не прати у потпуности кретање увозног ПДВ. Приходи од царина, у случају да нема измена у царинским стопама, прате кретање увоза и промене девизног курса. Током </w:t>
      </w:r>
      <w:r w:rsidRPr="007E770D">
        <w:rPr>
          <w:rFonts w:eastAsia="MS PGothic" w:cstheme="minorHAnsi"/>
          <w:color w:val="auto"/>
          <w:spacing w:val="-2"/>
          <w:szCs w:val="20"/>
          <w:lang w:val="sr-Cyrl-CS" w:eastAsia="ja-JP"/>
        </w:rPr>
        <w:lastRenderedPageBreak/>
        <w:t>2017, 2018. и у протеклом периоду 2019. године, стопа раста прихода од царина нижа је од стопе раста увозног ПДВ. Различити трговински уговори, режими бесцаринског увоза одређених категорија роба, измене царинске тарифе и сл., као и промена у структури увоза, делују на наплату прихода од царина. У претходном периоду дошло је до раста увоза робе на коју се не наплаћују царинске дажбине, па је стога одступање од укупне стопе раста увоза и стопе раста увозног ПДВ веће.</w:t>
      </w:r>
    </w:p>
    <w:p w14:paraId="286DA0F5" w14:textId="77777777" w:rsidR="004044DC" w:rsidRPr="007E770D" w:rsidRDefault="004044DC" w:rsidP="009877EB">
      <w:pPr>
        <w:widowControl w:val="0"/>
        <w:spacing w:after="120" w:line="276" w:lineRule="auto"/>
        <w:rPr>
          <w:rFonts w:eastAsia="MS PGothic" w:cstheme="minorHAnsi"/>
          <w:color w:val="auto"/>
          <w:spacing w:val="-2"/>
          <w:szCs w:val="20"/>
          <w:lang w:val="sr-Cyrl-CS" w:eastAsia="ja-JP"/>
        </w:rPr>
      </w:pPr>
      <w:r w:rsidRPr="007E770D">
        <w:rPr>
          <w:rFonts w:eastAsia="MS PGothic" w:cstheme="minorHAnsi"/>
          <w:color w:val="auto"/>
          <w:spacing w:val="-2"/>
          <w:szCs w:val="20"/>
          <w:lang w:val="sr-Cyrl-CS" w:eastAsia="ja-JP"/>
        </w:rPr>
        <w:t xml:space="preserve">Процена прихода од пореза на добит повећана је за 5,8 млрд динара у односу на износ планиран буџетом за 2019. годину. Ревизија прихода од пореза на добит највећим делом проузрокована је једнократним факторима. Приликом израде буџета коришћена је претпоставка о умереном расту профитабилности привреде у Републици Србији, јер у том моменту нису били познати коначни резултати пословања. Током 2019. године Агенција за привредне регистре објавила је податке о расту укупне профитабилности привреде у 2018. години од око 12%. </w:t>
      </w:r>
      <w:r w:rsidRPr="007E770D">
        <w:rPr>
          <w:rFonts w:eastAsia="MS PGothic" w:cstheme="minorHAnsi"/>
          <w:color w:val="auto"/>
          <w:szCs w:val="20"/>
          <w:lang w:val="sr-Cyrl-CS" w:eastAsia="ja-JP"/>
        </w:rPr>
        <w:t xml:space="preserve">Различит третман појединих билансних ставки у рачуноводствене сврхе у односу на пореске, динамика аконтационих уплата, порески кредити, пореске олакшице, повраћаји пореза итд. могу да доведу до одступања у кретању наплате пореза у односу на кретање профитабилности. </w:t>
      </w:r>
      <w:r w:rsidRPr="007E770D">
        <w:rPr>
          <w:rFonts w:eastAsia="MS PGothic" w:cstheme="minorHAnsi"/>
          <w:color w:val="auto"/>
          <w:spacing w:val="-2"/>
          <w:szCs w:val="20"/>
          <w:lang w:val="sr-Cyrl-CS" w:eastAsia="ja-JP"/>
        </w:rPr>
        <w:t xml:space="preserve">Међутим, на повећање прихода по основу пореза на добит у 2019. години у односу на буџетску пројекцију, значајнији утицај има догађај једнократног карактера (давање у концесију Аеродрома „Никола Теслаˮ а.д.) Аеродром је остварио ванредно високу добит услед уплате концесионе накнаде од стране концесионара који је преузео управљање аеродромом у 2018. години. На основу тако </w:t>
      </w:r>
      <w:r w:rsidRPr="007E770D">
        <w:rPr>
          <w:rFonts w:eastAsia="MS PGothic" w:cstheme="minorHAnsi"/>
          <w:color w:val="auto"/>
          <w:spacing w:val="-2"/>
          <w:szCs w:val="20"/>
          <w:lang w:val="sr-Cyrl-CS" w:eastAsia="ja-JP"/>
        </w:rPr>
        <w:t>обрачунате добити уплаћен је одговарајући износ пореза на добит од 8,8 млрд динара.</w:t>
      </w:r>
    </w:p>
    <w:p w14:paraId="10C4A575" w14:textId="77777777" w:rsidR="004044DC" w:rsidRPr="007E770D" w:rsidRDefault="004044DC" w:rsidP="009877EB">
      <w:pPr>
        <w:widowControl w:val="0"/>
        <w:spacing w:after="120" w:line="276" w:lineRule="auto"/>
        <w:rPr>
          <w:rFonts w:eastAsia="MS PGothic" w:cstheme="minorHAnsi"/>
          <w:color w:val="auto"/>
          <w:szCs w:val="20"/>
          <w:lang w:val="sr-Cyrl-CS" w:eastAsia="ja-JP"/>
        </w:rPr>
      </w:pPr>
      <w:r w:rsidRPr="007E770D">
        <w:rPr>
          <w:rFonts w:eastAsia="MS PGothic" w:cstheme="minorHAnsi"/>
          <w:color w:val="auto"/>
          <w:szCs w:val="20"/>
          <w:lang w:val="sr-Cyrl-CS" w:eastAsia="ja-JP"/>
        </w:rPr>
        <w:t>Остали порески приходи повећани су односу на оригиналну пројекцију за 6,2 млрд динара. Разлози повећања су: боље остварење на крају претходне године, једнократне уплате по различитим основама и, у највећој мери, боља наплата пореза на имовину на локалном нивоу.</w:t>
      </w:r>
    </w:p>
    <w:p w14:paraId="630C33CC" w14:textId="77777777" w:rsidR="004044DC" w:rsidRPr="007E770D" w:rsidRDefault="004044DC" w:rsidP="009877EB">
      <w:pPr>
        <w:widowControl w:val="0"/>
        <w:spacing w:after="120" w:line="276" w:lineRule="auto"/>
        <w:rPr>
          <w:rFonts w:eastAsia="MS PGothic" w:cstheme="minorHAnsi"/>
          <w:color w:val="auto"/>
          <w:szCs w:val="20"/>
          <w:lang w:val="sr-Cyrl-CS" w:eastAsia="ja-JP"/>
        </w:rPr>
      </w:pPr>
      <w:r w:rsidRPr="007E770D">
        <w:rPr>
          <w:rFonts w:eastAsia="MS PGothic" w:cstheme="minorHAnsi"/>
          <w:color w:val="auto"/>
          <w:szCs w:val="20"/>
          <w:lang w:val="sr-Cyrl-CS" w:eastAsia="ja-JP"/>
        </w:rPr>
        <w:t>Непорески приходи су ревидирани навише у износу од 17,4 млрд динара. Првобитна годишња пројекција непореских прихода за 2019. годину садржала је структурни, тј. трајни део непореских прихода који се односио на дивиденде буџета и добит јавних предузећа у износу од 19,2 млрд динара.</w:t>
      </w:r>
    </w:p>
    <w:p w14:paraId="662BFF16" w14:textId="77777777" w:rsidR="004044DC" w:rsidRPr="007E770D" w:rsidRDefault="004044DC" w:rsidP="00E4657F">
      <w:pPr>
        <w:widowControl w:val="0"/>
        <w:spacing w:after="120" w:line="276" w:lineRule="auto"/>
        <w:rPr>
          <w:rFonts w:eastAsia="MS PGothic" w:cstheme="minorHAnsi"/>
          <w:color w:val="auto"/>
          <w:szCs w:val="20"/>
          <w:lang w:val="sr-Cyrl-CS" w:eastAsia="ja-JP"/>
        </w:rPr>
      </w:pPr>
      <w:r w:rsidRPr="007E770D">
        <w:rPr>
          <w:rFonts w:eastAsia="MS PGothic" w:cstheme="minorHAnsi"/>
          <w:color w:val="auto"/>
          <w:szCs w:val="20"/>
          <w:lang w:val="sr-Cyrl-CS" w:eastAsia="ja-JP"/>
        </w:rPr>
        <w:t>Ревидирана процена непореских прихода резултат је уплате непланираних једнократних прихода, а делом и ефеката методолошке природе. Процена редовних непореских прихода (таксе, казне и накнаде) благо је повећана у односу на буџетски план. Непланирани приходи чија реализација је укључена у нову процену непореских прихода су: уплата добити НБС у износу од 9,3 млрд динара, уплата Агенције за осигурање депозита од 1,8 млрд динара, премије за реотварање емисије ХОВ и др. Уплата дивиденди Аеродрома била је планирана у оквиру непореских прихода али у знатно мањем износу (не прејудицирајући третман концесионе накнаде). Разлози за повећање процене непореских прихода, услед методолошких промена, су укључивање прихода и расхода установа социјалне заштите у систем извршења буџета.</w:t>
      </w:r>
    </w:p>
    <w:p w14:paraId="40E5D100" w14:textId="77777777" w:rsidR="004044DC" w:rsidRPr="007E770D" w:rsidRDefault="004044DC">
      <w:pPr>
        <w:jc w:val="left"/>
        <w:rPr>
          <w:color w:val="auto"/>
          <w:lang w:val="sr-Cyrl-CS"/>
        </w:rPr>
      </w:pPr>
      <w:r w:rsidRPr="007E770D">
        <w:rPr>
          <w:color w:val="auto"/>
          <w:lang w:val="sr-Cyrl-CS"/>
        </w:rPr>
        <w:br w:type="page"/>
      </w:r>
    </w:p>
    <w:p w14:paraId="4B8FB6F4" w14:textId="77777777" w:rsidR="004044DC" w:rsidRPr="007E770D" w:rsidRDefault="004044DC" w:rsidP="00F25390">
      <w:pPr>
        <w:pBdr>
          <w:top w:val="single" w:sz="4" w:space="1" w:color="auto"/>
          <w:left w:val="single" w:sz="4" w:space="4" w:color="auto"/>
          <w:bottom w:val="single" w:sz="4" w:space="1" w:color="auto"/>
          <w:right w:val="single" w:sz="4" w:space="4" w:color="auto"/>
        </w:pBdr>
        <w:spacing w:after="360"/>
        <w:rPr>
          <w:color w:val="auto"/>
          <w:lang w:val="sr-Cyrl-CS"/>
        </w:rPr>
        <w:sectPr w:rsidR="004044DC" w:rsidRPr="007E770D" w:rsidSect="00BA4876">
          <w:type w:val="continuous"/>
          <w:pgSz w:w="12240" w:h="15840"/>
          <w:pgMar w:top="1440" w:right="1440" w:bottom="1440" w:left="1440" w:header="720" w:footer="720" w:gutter="0"/>
          <w:cols w:num="2" w:space="720"/>
          <w:docGrid w:linePitch="360"/>
          <w15:footnoteColumns w:val="1"/>
        </w:sectPr>
      </w:pPr>
    </w:p>
    <w:p w14:paraId="636A9331" w14:textId="77777777" w:rsidR="004044DC" w:rsidRPr="007E770D" w:rsidRDefault="004044DC" w:rsidP="00A37C16">
      <w:pPr>
        <w:pBdr>
          <w:top w:val="single" w:sz="4" w:space="1" w:color="002060"/>
          <w:left w:val="single" w:sz="4" w:space="4" w:color="002060"/>
          <w:bottom w:val="single" w:sz="4" w:space="1" w:color="002060"/>
          <w:right w:val="single" w:sz="4" w:space="4" w:color="002060"/>
        </w:pBdr>
        <w:spacing w:after="120" w:line="240" w:lineRule="auto"/>
        <w:rPr>
          <w:rFonts w:eastAsia="MS PGothic" w:cstheme="minorHAnsi"/>
          <w:b/>
          <w:color w:val="auto"/>
          <w:szCs w:val="20"/>
          <w:lang w:val="sr-Cyrl-CS" w:eastAsia="ja-JP"/>
        </w:rPr>
      </w:pPr>
      <w:r w:rsidRPr="007E770D">
        <w:rPr>
          <w:rFonts w:eastAsia="MS PGothic" w:cstheme="minorHAnsi"/>
          <w:b/>
          <w:color w:val="auto"/>
          <w:szCs w:val="20"/>
          <w:lang w:val="sr-Cyrl-CS" w:eastAsia="ja-JP"/>
        </w:rPr>
        <w:lastRenderedPageBreak/>
        <w:t>Уплата АНТ – третман супердивиденде</w:t>
      </w:r>
    </w:p>
    <w:p w14:paraId="0A9DB5DE" w14:textId="77777777" w:rsidR="004044DC" w:rsidRPr="007E770D" w:rsidRDefault="004044DC" w:rsidP="00F44EDB">
      <w:pPr>
        <w:pBdr>
          <w:top w:val="single" w:sz="4" w:space="1" w:color="002060"/>
          <w:left w:val="single" w:sz="4" w:space="4" w:color="002060"/>
          <w:bottom w:val="single" w:sz="4" w:space="1" w:color="002060"/>
          <w:right w:val="single" w:sz="4" w:space="4" w:color="002060"/>
        </w:pBdr>
        <w:spacing w:after="0" w:line="240" w:lineRule="auto"/>
        <w:rPr>
          <w:rFonts w:eastAsia="MS PGothic" w:cstheme="minorHAnsi"/>
          <w:color w:val="auto"/>
          <w:sz w:val="18"/>
          <w:szCs w:val="18"/>
          <w:lang w:val="sr-Cyrl-CS" w:eastAsia="ja-JP"/>
        </w:rPr>
      </w:pPr>
      <w:r w:rsidRPr="007E770D">
        <w:rPr>
          <w:rFonts w:eastAsia="MS PGothic" w:cstheme="minorHAnsi"/>
          <w:color w:val="auto"/>
          <w:sz w:val="18"/>
          <w:szCs w:val="18"/>
          <w:lang w:val="sr-Cyrl-CS" w:eastAsia="ja-JP"/>
        </w:rPr>
        <w:t>Приход од концесије је у 2018. години уплаћен у целини Аеродрому Никола Тесла а.д. као даваоцу концесије. Према завршном рачуну АНТ, добит овог предузећа пре опорезивања износила је у 2018. години 62,6 млрд динара а нето добитак 53,2 млрд динара.</w:t>
      </w:r>
    </w:p>
    <w:p w14:paraId="5F56AAD0" w14:textId="77777777" w:rsidR="004044DC" w:rsidRPr="007E770D" w:rsidRDefault="004044DC" w:rsidP="00C130D2">
      <w:pPr>
        <w:pBdr>
          <w:top w:val="single" w:sz="4" w:space="1" w:color="002060"/>
          <w:left w:val="single" w:sz="4" w:space="4" w:color="002060"/>
          <w:bottom w:val="single" w:sz="4" w:space="1" w:color="002060"/>
          <w:right w:val="single" w:sz="4" w:space="4" w:color="002060"/>
        </w:pBdr>
        <w:spacing w:after="120" w:line="240" w:lineRule="auto"/>
        <w:rPr>
          <w:rFonts w:eastAsia="MS PGothic" w:cstheme="minorHAnsi"/>
          <w:color w:val="auto"/>
          <w:sz w:val="18"/>
          <w:szCs w:val="18"/>
          <w:lang w:val="sr-Cyrl-CS" w:eastAsia="ja-JP"/>
        </w:rPr>
      </w:pPr>
      <w:r w:rsidRPr="007E770D">
        <w:rPr>
          <w:rFonts w:eastAsia="MS PGothic" w:cstheme="minorHAnsi"/>
          <w:color w:val="auto"/>
          <w:sz w:val="18"/>
          <w:szCs w:val="18"/>
          <w:lang w:val="sr-Cyrl-CS" w:eastAsia="ja-JP"/>
        </w:rPr>
        <w:t>АНТ је уплатио у буџет Републике порез на добит у износу од 8,8 млрд динара. Према Одлуци Скупштине акционара за бруто дивиденду опредељен је износ од 52,9 млрд динара.</w:t>
      </w:r>
    </w:p>
    <w:p w14:paraId="1AE3CB00" w14:textId="77777777" w:rsidR="004044DC" w:rsidRPr="007E770D" w:rsidRDefault="004044DC" w:rsidP="00C130D2">
      <w:pPr>
        <w:pBdr>
          <w:top w:val="single" w:sz="4" w:space="1" w:color="002060"/>
          <w:left w:val="single" w:sz="4" w:space="4" w:color="002060"/>
          <w:bottom w:val="single" w:sz="4" w:space="1" w:color="002060"/>
          <w:right w:val="single" w:sz="4" w:space="4" w:color="002060"/>
        </w:pBdr>
        <w:spacing w:after="120" w:line="240" w:lineRule="auto"/>
        <w:rPr>
          <w:rFonts w:eastAsia="MS PGothic" w:cstheme="minorHAnsi"/>
          <w:color w:val="auto"/>
          <w:sz w:val="18"/>
          <w:szCs w:val="18"/>
          <w:lang w:val="sr-Cyrl-CS" w:eastAsia="ja-JP"/>
        </w:rPr>
      </w:pPr>
      <w:r w:rsidRPr="007E770D">
        <w:rPr>
          <w:rFonts w:eastAsia="MS PGothic" w:cstheme="minorHAnsi"/>
          <w:color w:val="auto"/>
          <w:sz w:val="18"/>
          <w:szCs w:val="18"/>
          <w:lang w:val="sr-Cyrl-CS" w:eastAsia="ja-JP"/>
        </w:rPr>
        <w:t>Републици Србији која има учешће од 83,5% у укупном броју издатих акција по основу дивиденде припало је 44,8 млрд динара.</w:t>
      </w:r>
    </w:p>
    <w:p w14:paraId="2FEF85E2" w14:textId="77777777" w:rsidR="004044DC" w:rsidRPr="007E770D" w:rsidRDefault="004044DC" w:rsidP="00C130D2">
      <w:pPr>
        <w:pBdr>
          <w:top w:val="single" w:sz="4" w:space="1" w:color="002060"/>
          <w:left w:val="single" w:sz="4" w:space="4" w:color="002060"/>
          <w:bottom w:val="single" w:sz="4" w:space="1" w:color="002060"/>
          <w:right w:val="single" w:sz="4" w:space="4" w:color="002060"/>
        </w:pBdr>
        <w:spacing w:after="120" w:line="240" w:lineRule="auto"/>
        <w:rPr>
          <w:rFonts w:eastAsia="MS PGothic" w:cstheme="minorHAnsi"/>
          <w:color w:val="auto"/>
          <w:sz w:val="18"/>
          <w:szCs w:val="18"/>
          <w:lang w:val="sr-Cyrl-CS" w:eastAsia="ja-JP"/>
        </w:rPr>
      </w:pPr>
      <w:r w:rsidRPr="007E770D">
        <w:rPr>
          <w:rFonts w:eastAsia="MS PGothic" w:cstheme="minorHAnsi"/>
          <w:color w:val="auto"/>
          <w:sz w:val="18"/>
          <w:szCs w:val="18"/>
          <w:lang w:val="sr-Cyrl-CS" w:eastAsia="ja-JP"/>
        </w:rPr>
        <w:t xml:space="preserve">Међународни стандарди у фискалном извештавању разликују уплату редовне дивиденде и супердивиденде која се третира као финансијска трансакција, евидентира се као примање (испод црте), и има карактер „повлачења капиталаˮ – </w:t>
      </w:r>
      <w:r w:rsidRPr="007E770D">
        <w:rPr>
          <w:rFonts w:eastAsia="MS PGothic" w:cstheme="minorHAnsi"/>
          <w:i/>
          <w:color w:val="auto"/>
          <w:sz w:val="18"/>
          <w:szCs w:val="18"/>
          <w:lang w:val="sr-Cyrl-CS" w:eastAsia="ja-JP"/>
        </w:rPr>
        <w:t>withdrawal of equity</w:t>
      </w:r>
      <w:r w:rsidRPr="007E770D">
        <w:rPr>
          <w:rFonts w:eastAsia="MS PGothic" w:cstheme="minorHAnsi"/>
          <w:color w:val="auto"/>
          <w:sz w:val="18"/>
          <w:szCs w:val="18"/>
          <w:lang w:val="sr-Cyrl-CS" w:eastAsia="ja-JP"/>
        </w:rPr>
        <w:t>. Када уплата дивиденде у једној години превазилази значајније уобичајене (просечне) уплате дивиденди од истог предузећа у претходних неколико година, таква уплата има карактер супердивиденде и на њено евидентирање примењује се тест супердивиденде. Укупна уплата дели се на редовну дивиденду (највише до износа просечне оперативне добити у претходним годинама) и на супердивиденду.</w:t>
      </w:r>
    </w:p>
    <w:p w14:paraId="12F00280" w14:textId="77777777" w:rsidR="004044DC" w:rsidRPr="007E770D" w:rsidRDefault="004044DC" w:rsidP="00C130D2">
      <w:pPr>
        <w:pBdr>
          <w:top w:val="single" w:sz="4" w:space="1" w:color="002060"/>
          <w:left w:val="single" w:sz="4" w:space="4" w:color="002060"/>
          <w:bottom w:val="single" w:sz="4" w:space="1" w:color="002060"/>
          <w:right w:val="single" w:sz="4" w:space="4" w:color="002060"/>
        </w:pBdr>
        <w:spacing w:after="120" w:line="240" w:lineRule="auto"/>
        <w:rPr>
          <w:rFonts w:eastAsia="MS PGothic" w:cstheme="minorHAnsi"/>
          <w:color w:val="auto"/>
          <w:sz w:val="18"/>
          <w:szCs w:val="18"/>
          <w:lang w:val="sr-Cyrl-CS" w:eastAsia="ja-JP"/>
        </w:rPr>
      </w:pPr>
      <w:r w:rsidRPr="007E770D">
        <w:rPr>
          <w:rFonts w:eastAsia="MS PGothic" w:cstheme="minorHAnsi"/>
          <w:color w:val="auto"/>
          <w:sz w:val="18"/>
          <w:szCs w:val="18"/>
          <w:lang w:val="sr-Cyrl-CS" w:eastAsia="ja-JP"/>
        </w:rPr>
        <w:t>Од укупног износа дивиденде који је уплаћен у буџет Републике у износу од 44,8 млрд динара, 2,5 млрд динара евидентирано је као редовна дивиденда, у оквиру непореских прихода, док је преостали, већи, део у износу од 42,2 млрд динара евидентиран као финансијска трансакција односно уплата која има третман супердивиденде.</w:t>
      </w:r>
    </w:p>
    <w:p w14:paraId="1C9CA259" w14:textId="77777777" w:rsidR="004044DC" w:rsidRPr="007E770D" w:rsidRDefault="004044DC" w:rsidP="00E4657F">
      <w:pPr>
        <w:pBdr>
          <w:top w:val="single" w:sz="4" w:space="1" w:color="002060"/>
          <w:left w:val="single" w:sz="4" w:space="4" w:color="002060"/>
          <w:bottom w:val="single" w:sz="4" w:space="1" w:color="002060"/>
          <w:right w:val="single" w:sz="4" w:space="4" w:color="002060"/>
        </w:pBdr>
        <w:spacing w:after="120" w:line="240" w:lineRule="auto"/>
        <w:rPr>
          <w:rFonts w:eastAsia="MS PGothic" w:cstheme="minorHAnsi"/>
          <w:color w:val="auto"/>
          <w:szCs w:val="20"/>
          <w:lang w:val="sr-Cyrl-CS" w:eastAsia="ja-JP"/>
        </w:rPr>
        <w:sectPr w:rsidR="004044DC" w:rsidRPr="007E770D" w:rsidSect="00C130D2">
          <w:type w:val="continuous"/>
          <w:pgSz w:w="12240" w:h="15840"/>
          <w:pgMar w:top="1440" w:right="1440" w:bottom="1440" w:left="1440" w:header="720" w:footer="720" w:gutter="0"/>
          <w:cols w:space="720"/>
          <w:docGrid w:linePitch="360"/>
        </w:sectPr>
      </w:pPr>
      <w:r w:rsidRPr="007E770D">
        <w:rPr>
          <w:rFonts w:eastAsia="MS PGothic" w:cstheme="minorHAnsi"/>
          <w:color w:val="auto"/>
          <w:sz w:val="18"/>
          <w:szCs w:val="18"/>
          <w:lang w:val="sr-Cyrl-CS" w:eastAsia="ja-JP"/>
        </w:rPr>
        <w:t>Оваквим евидентирањем у потпуности су примењени међународни стандарди у фискалном извештавању</w:t>
      </w:r>
      <w:r w:rsidRPr="007E770D">
        <w:rPr>
          <w:rFonts w:eastAsia="MS PGothic" w:cstheme="minorHAnsi"/>
          <w:color w:val="auto"/>
          <w:szCs w:val="20"/>
          <w:lang w:val="sr-Cyrl-CS" w:eastAsia="ja-JP"/>
        </w:rPr>
        <w:t>.</w:t>
      </w:r>
    </w:p>
    <w:p w14:paraId="400CEC80" w14:textId="77777777" w:rsidR="004044DC" w:rsidRPr="007E770D" w:rsidRDefault="004044DC" w:rsidP="00E4657F">
      <w:pPr>
        <w:widowControl w:val="0"/>
        <w:spacing w:after="120" w:line="276" w:lineRule="auto"/>
        <w:rPr>
          <w:rFonts w:eastAsia="MS PGothic" w:cstheme="minorHAnsi"/>
          <w:color w:val="auto"/>
          <w:szCs w:val="20"/>
          <w:lang w:val="sr-Cyrl-CS" w:eastAsia="ja-JP"/>
        </w:rPr>
      </w:pPr>
      <w:r w:rsidRPr="007E770D">
        <w:rPr>
          <w:rFonts w:eastAsia="MS PGothic" w:cstheme="minorHAnsi"/>
          <w:color w:val="auto"/>
          <w:szCs w:val="20"/>
          <w:lang w:val="sr-Cyrl-CS" w:eastAsia="ja-JP"/>
        </w:rPr>
        <w:t>Почетком 2019. године проширен је обухват извештавања о приходима и расходима индиректних корисника буџета Републике. Установе социјалне заштите су по први пут укључене у систем извршења буџета</w:t>
      </w:r>
      <w:r w:rsidRPr="007E770D">
        <w:rPr>
          <w:rStyle w:val="FootnoteReference"/>
          <w:rFonts w:eastAsia="MS PGothic" w:cstheme="minorHAnsi"/>
          <w:color w:val="auto"/>
          <w:szCs w:val="20"/>
          <w:lang w:val="sr-Cyrl-CS" w:eastAsia="ja-JP"/>
        </w:rPr>
        <w:footnoteReference w:id="6"/>
      </w:r>
      <w:r w:rsidRPr="007E770D">
        <w:rPr>
          <w:rFonts w:eastAsia="MS PGothic" w:cstheme="minorHAnsi"/>
          <w:color w:val="auto"/>
          <w:szCs w:val="20"/>
          <w:lang w:val="sr-Cyrl-CS" w:eastAsia="ja-JP"/>
        </w:rPr>
        <w:t>. Процена је да ће ниво прихода и расхода установа социјалне заштите по овом основу, достићи око 11 млрд динара.</w:t>
      </w:r>
    </w:p>
    <w:p w14:paraId="4AD9BEDE" w14:textId="69E3808B" w:rsidR="004044DC" w:rsidRPr="007E770D" w:rsidRDefault="004044DC" w:rsidP="009877EB">
      <w:pPr>
        <w:widowControl w:val="0"/>
        <w:spacing w:after="120" w:line="276" w:lineRule="auto"/>
        <w:rPr>
          <w:rFonts w:eastAsia="MS PGothic" w:cstheme="minorHAnsi"/>
          <w:color w:val="auto"/>
          <w:szCs w:val="20"/>
          <w:lang w:val="sr-Cyrl-CS" w:eastAsia="ja-JP"/>
        </w:rPr>
      </w:pPr>
      <w:r w:rsidRPr="007E770D">
        <w:rPr>
          <w:rFonts w:eastAsia="MS PGothic" w:cstheme="minorHAnsi"/>
          <w:color w:val="auto"/>
          <w:szCs w:val="20"/>
          <w:lang w:val="sr-Cyrl-CS" w:eastAsia="ja-JP"/>
        </w:rPr>
        <w:t xml:space="preserve">Процена наплате редовних непореских прихода </w:t>
      </w:r>
      <w:r w:rsidR="00785ED4" w:rsidRPr="007E770D">
        <w:rPr>
          <w:rFonts w:eastAsia="MS PGothic" w:cstheme="minorHAnsi"/>
          <w:color w:val="auto"/>
          <w:szCs w:val="20"/>
          <w:lang w:val="sr-Cyrl-CS" w:eastAsia="ja-JP"/>
        </w:rPr>
        <w:t>јединица локалне самоуправе</w:t>
      </w:r>
      <w:r w:rsidR="00F35B57">
        <w:rPr>
          <w:rFonts w:eastAsia="MS PGothic" w:cstheme="minorHAnsi"/>
          <w:color w:val="auto"/>
          <w:szCs w:val="20"/>
          <w:lang w:val="sr-Cyrl-CS" w:eastAsia="ja-JP"/>
        </w:rPr>
        <w:t xml:space="preserve"> (ЈЛС)</w:t>
      </w:r>
      <w:r w:rsidRPr="007E770D">
        <w:rPr>
          <w:rFonts w:eastAsia="MS PGothic" w:cstheme="minorHAnsi"/>
          <w:color w:val="auto"/>
          <w:szCs w:val="20"/>
          <w:lang w:val="sr-Cyrl-CS" w:eastAsia="ja-JP"/>
        </w:rPr>
        <w:t xml:space="preserve"> остала је на приближном истом нивоу.</w:t>
      </w:r>
    </w:p>
    <w:p w14:paraId="1E7C38B8" w14:textId="06F974D9" w:rsidR="004044DC" w:rsidRPr="007E770D" w:rsidRDefault="004044DC" w:rsidP="009877EB">
      <w:pPr>
        <w:widowControl w:val="0"/>
        <w:spacing w:after="120" w:line="276" w:lineRule="auto"/>
        <w:rPr>
          <w:rFonts w:eastAsia="MS PGothic" w:cstheme="minorHAnsi"/>
          <w:color w:val="auto"/>
          <w:szCs w:val="20"/>
          <w:lang w:val="sr-Cyrl-CS" w:eastAsia="ja-JP"/>
        </w:rPr>
      </w:pPr>
      <w:r w:rsidRPr="007E770D">
        <w:rPr>
          <w:rFonts w:eastAsia="MS PGothic" w:cstheme="minorHAnsi"/>
          <w:color w:val="auto"/>
          <w:szCs w:val="20"/>
          <w:lang w:val="sr-Cyrl-CS" w:eastAsia="ja-JP"/>
        </w:rPr>
        <w:t xml:space="preserve">У складу са новом проценом фискалног оквира за 2019. годину, укупни расходи већи су за 81,4 млрд динара или 3,7% у односу на буџетски план. Поред висине, промењена је и структура расхода у односу на буџетски план за 2019. годину. Кључне промене на расходима у 2019. години односе се на: знатно бољу реализацију капиталних издатака у односу на план, евидентирање буџетског расхода по основу решавања проблема грађана који су се задуживали у швајцарским францима, промена висине издатака за камате услед оптимизације структуре јавног дуга, те укључивање велике групе индиректних корисника </w:t>
      </w:r>
      <w:r w:rsidRPr="007E770D">
        <w:rPr>
          <w:rFonts w:eastAsia="MS PGothic" w:cstheme="minorHAnsi"/>
          <w:color w:val="auto"/>
          <w:szCs w:val="20"/>
          <w:lang w:val="sr-Cyrl-CS" w:eastAsia="ja-JP"/>
        </w:rPr>
        <w:t>(установа социјалне заштите) у систем извршења буџета.</w:t>
      </w:r>
    </w:p>
    <w:p w14:paraId="1E98BE2B" w14:textId="77777777" w:rsidR="004044DC" w:rsidRPr="007E770D" w:rsidRDefault="004044DC" w:rsidP="009877EB">
      <w:pPr>
        <w:widowControl w:val="0"/>
        <w:spacing w:after="120" w:line="276" w:lineRule="auto"/>
        <w:rPr>
          <w:rFonts w:eastAsia="MS PGothic" w:cstheme="minorHAnsi"/>
          <w:color w:val="auto"/>
          <w:szCs w:val="20"/>
          <w:lang w:val="sr-Cyrl-CS" w:eastAsia="ja-JP"/>
        </w:rPr>
      </w:pPr>
      <w:r w:rsidRPr="007E770D">
        <w:rPr>
          <w:rFonts w:eastAsia="MS PGothic" w:cstheme="minorHAnsi"/>
          <w:color w:val="auto"/>
          <w:szCs w:val="20"/>
          <w:lang w:val="sr-Cyrl-CS" w:eastAsia="ja-JP"/>
        </w:rPr>
        <w:t>У периоду јануар–август, јавни расходи расту по стопи 7,9% у односу на исти период 2018. године, а до краја године очекује се да ће укупан раст до краја године бити убрзан након усвајања Закона о изменама и допунама закона о буџету за 2019. годину.</w:t>
      </w:r>
    </w:p>
    <w:p w14:paraId="64C42A7F" w14:textId="77777777" w:rsidR="004044DC" w:rsidRPr="007E770D" w:rsidRDefault="004044DC" w:rsidP="009877EB">
      <w:pPr>
        <w:widowControl w:val="0"/>
        <w:spacing w:after="120" w:line="276" w:lineRule="auto"/>
        <w:rPr>
          <w:rFonts w:eastAsia="MS PGothic" w:cstheme="minorHAnsi"/>
          <w:color w:val="auto"/>
          <w:szCs w:val="20"/>
          <w:lang w:val="sr-Cyrl-CS" w:eastAsia="ja-JP"/>
        </w:rPr>
      </w:pPr>
      <w:r w:rsidRPr="007E770D">
        <w:rPr>
          <w:rFonts w:eastAsia="MS PGothic" w:cstheme="minorHAnsi"/>
          <w:color w:val="auto"/>
          <w:szCs w:val="20"/>
          <w:lang w:val="sr-Cyrl-CS" w:eastAsia="ja-JP"/>
        </w:rPr>
        <w:t xml:space="preserve">Реализација расхода за запослене до краја 2019. године биће за 12,8 млрд динара виша у односу на износ планиран буџетом. Ова промена је резултат више фактора. Укључивањем установа социјалне заштите сада су обухваћене у потпуности и зараде запослених код ових индиректних корисника. Ефекат ове методолошке измене је 4,5 млрд динара. Други фактор који је допринео повећању расхода за запослене у односу на првобитни износ је усвојено повећање зарада у јавном сектору које се креће у распону од 8% до 15%. Наведено повећање се односи на зараду за месец новембар са исплатом у децембру 2019. године. Расходи за запослене, у складу са наведеним променама, на крају 2019. године достижу 9,5% БДП. У наредном периоду, у склопу реформе фискалних правила </w:t>
      </w:r>
      <w:r w:rsidRPr="007E770D">
        <w:rPr>
          <w:rFonts w:eastAsia="MS PGothic" w:cstheme="minorHAnsi"/>
          <w:color w:val="auto"/>
          <w:szCs w:val="20"/>
          <w:lang w:val="sr-Cyrl-CS" w:eastAsia="ja-JP"/>
        </w:rPr>
        <w:lastRenderedPageBreak/>
        <w:t>биће постављени нови одрживи лимити ових расхода у БДП.</w:t>
      </w:r>
    </w:p>
    <w:p w14:paraId="549F30CA" w14:textId="77777777" w:rsidR="004044DC" w:rsidRPr="007E770D" w:rsidRDefault="004044DC" w:rsidP="00E4657F">
      <w:pPr>
        <w:spacing w:line="276" w:lineRule="auto"/>
        <w:rPr>
          <w:rFonts w:eastAsia="MS PGothic" w:cstheme="minorHAnsi"/>
          <w:color w:val="auto"/>
          <w:szCs w:val="20"/>
          <w:lang w:val="sr-Cyrl-CS" w:eastAsia="ja-JP"/>
        </w:rPr>
      </w:pPr>
      <w:r w:rsidRPr="007E770D">
        <w:rPr>
          <w:rFonts w:eastAsia="MS PGothic" w:cstheme="minorHAnsi"/>
          <w:color w:val="auto"/>
          <w:szCs w:val="20"/>
          <w:lang w:val="sr-Cyrl-CS" w:eastAsia="ja-JP"/>
        </w:rPr>
        <w:t>Расходи за куповину роба и услуга, у складу са ребаласном републичког буџета и пројекцијама за остале нивое власти, биће за 16,6 млрд динара већи у односу на буџетски план за 2019. годину. Од овог износа око 2 млрд динара односи се на установе социјалне заштите. Остатак повећања је резултат снажније потрошње на локалном нивоу, а значајније повећање бележи се и код ЈП „Путеви Србијеˮ. Одржавање постојеће путне мреже за коју је задужено ово јавно предузеће третира се као расход за куповину роба и услуга.</w:t>
      </w:r>
    </w:p>
    <w:p w14:paraId="7A1F8960" w14:textId="77777777" w:rsidR="004044DC" w:rsidRPr="007E770D" w:rsidRDefault="004044DC" w:rsidP="009877EB">
      <w:pPr>
        <w:widowControl w:val="0"/>
        <w:spacing w:after="120" w:line="276" w:lineRule="auto"/>
        <w:rPr>
          <w:rFonts w:eastAsia="MS PGothic" w:cstheme="minorHAnsi"/>
          <w:color w:val="auto"/>
          <w:szCs w:val="20"/>
          <w:lang w:val="sr-Cyrl-CS" w:eastAsia="ja-JP"/>
        </w:rPr>
      </w:pPr>
      <w:r w:rsidRPr="007E770D">
        <w:rPr>
          <w:rFonts w:eastAsia="MS PGothic" w:cstheme="minorHAnsi"/>
          <w:color w:val="auto"/>
          <w:szCs w:val="20"/>
          <w:lang w:val="sr-Cyrl-CS" w:eastAsia="ja-JP"/>
        </w:rPr>
        <w:t>Расходи за камате повећани су у односу на буџетски план за 6,5 млрд динара. Током 2019. године донета је одлука о превременом откупу еврообвезница у износу од 1,1 млрд долара које доспевају у фебруару 2020. године и септембру 2021. године. То ће утицати на раст издатака за камате од 6,5 млрд динара у односу на план у 2019. години, али ће, такође, утицати на смањење будућих обавеза за камате по основу ових зајмова. Истовремено, извршена је нова емисија еврообвезница по знатно повољнијим каматним стопама, чиме се побољшава каматна структура дуга.</w:t>
      </w:r>
    </w:p>
    <w:p w14:paraId="26E61978" w14:textId="7A4BF88D" w:rsidR="004044DC" w:rsidRPr="007E770D" w:rsidRDefault="004044DC" w:rsidP="009877EB">
      <w:pPr>
        <w:widowControl w:val="0"/>
        <w:spacing w:after="120" w:line="276" w:lineRule="auto"/>
        <w:rPr>
          <w:rFonts w:eastAsia="MS PGothic" w:cstheme="minorHAnsi"/>
          <w:color w:val="auto"/>
          <w:szCs w:val="20"/>
          <w:lang w:val="sr-Cyrl-CS" w:eastAsia="ja-JP"/>
        </w:rPr>
      </w:pPr>
      <w:r w:rsidRPr="007E770D">
        <w:rPr>
          <w:rFonts w:eastAsia="MS PGothic" w:cstheme="minorHAnsi"/>
          <w:color w:val="auto"/>
          <w:szCs w:val="20"/>
          <w:lang w:val="sr-Cyrl-CS" w:eastAsia="ja-JP"/>
        </w:rPr>
        <w:t>Издаци за пензије нису ревидирани у овом фискалном оквиру, будући да је њихово извршење у складу са планираном динамиком. Учешће расхода за пензије у БДП тренутно се налази на нивоу од 10,4%, а до краја 2019. године биће утврђена нова правила за индексацију појединачне пензије и лимит унутар којег ће се кретати учешће овог облика расхода у БДП. Остали расходи за социјалну заштиту биће већи за 11,1 млрд динара у односу на план. Ова разлика је највећим делом последица једнократне испл</w:t>
      </w:r>
      <w:r w:rsidR="00227CB2" w:rsidRPr="007E770D">
        <w:rPr>
          <w:rFonts w:eastAsia="MS PGothic" w:cstheme="minorHAnsi"/>
          <w:color w:val="auto"/>
          <w:szCs w:val="20"/>
          <w:lang w:val="sr-Cyrl-CS" w:eastAsia="ja-JP"/>
        </w:rPr>
        <w:t xml:space="preserve">ате </w:t>
      </w:r>
      <w:r w:rsidR="00227CB2" w:rsidRPr="007E770D">
        <w:rPr>
          <w:rFonts w:eastAsia="MS PGothic" w:cstheme="minorHAnsi"/>
          <w:color w:val="auto"/>
          <w:szCs w:val="20"/>
          <w:lang w:val="sr-Cyrl-CS" w:eastAsia="ja-JP"/>
        </w:rPr>
        <w:t>пензионерима у износу од 8,7</w:t>
      </w:r>
      <w:r w:rsidRPr="007E770D">
        <w:rPr>
          <w:rFonts w:eastAsia="MS PGothic" w:cstheme="minorHAnsi"/>
          <w:color w:val="auto"/>
          <w:szCs w:val="20"/>
          <w:lang w:val="sr-Cyrl-CS" w:eastAsia="ja-JP"/>
        </w:rPr>
        <w:t xml:space="preserve"> млрд динара уз комбинацију кретања различитих облика социјалних давања при чему је веће извршење расхода за „родитељски додатакˮ, него што је планирано, а мање је извршење код неколико других облика социјалне заштите.</w:t>
      </w:r>
    </w:p>
    <w:p w14:paraId="646BD227" w14:textId="77777777" w:rsidR="004044DC" w:rsidRPr="007E770D" w:rsidRDefault="004044DC" w:rsidP="00C130D2">
      <w:pPr>
        <w:widowControl w:val="0"/>
        <w:spacing w:after="120" w:line="276" w:lineRule="auto"/>
        <w:rPr>
          <w:rFonts w:eastAsia="MS PGothic" w:cstheme="minorHAnsi"/>
          <w:color w:val="auto"/>
          <w:szCs w:val="20"/>
          <w:lang w:val="sr-Cyrl-CS" w:eastAsia="ja-JP"/>
        </w:rPr>
      </w:pPr>
      <w:r w:rsidRPr="007E770D">
        <w:rPr>
          <w:rFonts w:eastAsia="MS PGothic" w:cstheme="minorHAnsi"/>
          <w:color w:val="auto"/>
          <w:szCs w:val="20"/>
          <w:lang w:val="sr-Cyrl-CS" w:eastAsia="ja-JP"/>
        </w:rPr>
        <w:t xml:space="preserve">Расходи за субвенције ће бити виши у односу на планирани износ за 3,2 млрд динара, пре свега због начина евидентирања износа предвиђеног за решавање проблема кредита грађана који су се задуживали у швајцарским францима. Усвојени Закон о конверзији стамбених кредита индексираних у швајцарским францима регулисао је ово питање, при чему фискални ефекат Закона износи 8,9 млрд динара. У овом случају предвиђено је издавање петогодишње обвезнице од стране државе у корист пословних банака. У складу са међународним рачуноводственим и статистичким стандардима ова операција се у целости приказује као расход периода у ком су обвезнице емитоване. Са друге стране, на мањи прираст расхода за субвенције у односу на износ предвиђен за решавање кредита у швајцарским францима, највише је утицало смањење износа за субвенције на локалном нивоу. Ова ревизија је методолошке природе изазвана променама у начину на који се приказује финансирање јавног превоза у Београду. </w:t>
      </w:r>
    </w:p>
    <w:p w14:paraId="176A1FE7" w14:textId="77777777" w:rsidR="004044DC" w:rsidRPr="007E770D" w:rsidRDefault="004044DC" w:rsidP="00C130D2">
      <w:pPr>
        <w:widowControl w:val="0"/>
        <w:spacing w:after="120" w:line="276" w:lineRule="auto"/>
        <w:rPr>
          <w:rFonts w:eastAsia="MS PGothic" w:cstheme="minorHAnsi"/>
          <w:color w:val="auto"/>
          <w:szCs w:val="20"/>
          <w:lang w:val="sr-Cyrl-CS" w:eastAsia="ja-JP"/>
        </w:rPr>
      </w:pPr>
      <w:r w:rsidRPr="007E770D">
        <w:rPr>
          <w:rFonts w:eastAsia="MS PGothic" w:cstheme="minorHAnsi"/>
          <w:color w:val="auto"/>
          <w:szCs w:val="20"/>
          <w:lang w:val="sr-Cyrl-CS" w:eastAsia="ja-JP"/>
        </w:rPr>
        <w:t>Расходи по основу гаранција и расходи за буџетске позајмице у 2019. години у збирном износу нису значајно мењани у новом фискалном оквиру.</w:t>
      </w:r>
    </w:p>
    <w:p w14:paraId="5D568C73" w14:textId="77777777" w:rsidR="004044DC" w:rsidRPr="007E770D" w:rsidRDefault="004044DC" w:rsidP="00C130D2">
      <w:pPr>
        <w:widowControl w:val="0"/>
        <w:spacing w:after="120" w:line="276" w:lineRule="auto"/>
        <w:rPr>
          <w:rFonts w:eastAsia="MS PGothic" w:cstheme="minorHAnsi"/>
          <w:color w:val="auto"/>
          <w:szCs w:val="20"/>
          <w:lang w:val="sr-Cyrl-CS" w:eastAsia="ja-JP"/>
        </w:rPr>
      </w:pPr>
      <w:r w:rsidRPr="007E770D">
        <w:rPr>
          <w:rFonts w:eastAsia="MS PGothic" w:cstheme="minorHAnsi"/>
          <w:color w:val="auto"/>
          <w:szCs w:val="20"/>
          <w:lang w:val="sr-Cyrl-CS" w:eastAsia="ja-JP"/>
        </w:rPr>
        <w:t xml:space="preserve">Остали текући расходи су повећани у односу на буџетски план за 9,9 млрд динара </w:t>
      </w:r>
      <w:bookmarkEnd w:id="17"/>
      <w:r w:rsidRPr="007E770D">
        <w:rPr>
          <w:rFonts w:eastAsia="MS PGothic" w:cstheme="minorHAnsi"/>
          <w:color w:val="auto"/>
          <w:szCs w:val="20"/>
          <w:lang w:val="sr-Cyrl-CS" w:eastAsia="ja-JP"/>
        </w:rPr>
        <w:t>једним делом због повећаног извршења код ЈП „Путеви Србијеˮ, а другим делом због плаћања обавеза по основу судске пресуде у вези са компанијом „Енерго-зеленаˮ.</w:t>
      </w:r>
    </w:p>
    <w:p w14:paraId="5C570612" w14:textId="77777777" w:rsidR="004044DC" w:rsidRPr="007E770D" w:rsidRDefault="004044DC" w:rsidP="00C130D2">
      <w:pPr>
        <w:widowControl w:val="0"/>
        <w:spacing w:after="120" w:line="276" w:lineRule="auto"/>
        <w:rPr>
          <w:rFonts w:eastAsia="MS PGothic" w:cstheme="minorHAnsi"/>
          <w:color w:val="auto"/>
          <w:szCs w:val="20"/>
          <w:lang w:val="sr-Cyrl-CS" w:eastAsia="ja-JP"/>
        </w:rPr>
        <w:sectPr w:rsidR="004044DC" w:rsidRPr="007E770D" w:rsidSect="00BA4876">
          <w:type w:val="continuous"/>
          <w:pgSz w:w="12240" w:h="15840"/>
          <w:pgMar w:top="1440" w:right="1440" w:bottom="1440" w:left="1440" w:header="720" w:footer="720" w:gutter="0"/>
          <w:cols w:num="2" w:space="720"/>
          <w:docGrid w:linePitch="360"/>
          <w15:footnoteColumns w:val="1"/>
        </w:sectPr>
      </w:pPr>
    </w:p>
    <w:p w14:paraId="1190C8C4" w14:textId="77777777" w:rsidR="004044DC" w:rsidRPr="007E770D" w:rsidRDefault="004044DC" w:rsidP="00E4657F">
      <w:pPr>
        <w:tabs>
          <w:tab w:val="left" w:pos="2520"/>
        </w:tabs>
        <w:rPr>
          <w:rFonts w:eastAsia="MS PGothic" w:cstheme="minorHAnsi"/>
          <w:color w:val="auto"/>
          <w:szCs w:val="20"/>
          <w:highlight w:val="yellow"/>
          <w:lang w:val="sr-Cyrl-CS" w:eastAsia="ja-JP"/>
        </w:rPr>
      </w:pPr>
    </w:p>
    <w:p w14:paraId="7A72D414" w14:textId="77777777" w:rsidR="004044DC" w:rsidRPr="007E770D" w:rsidRDefault="004044DC" w:rsidP="00E4657F">
      <w:pPr>
        <w:jc w:val="center"/>
        <w:rPr>
          <w:rFonts w:eastAsia="MS PGothic" w:cstheme="minorHAnsi"/>
          <w:b/>
          <w:color w:val="auto"/>
          <w:szCs w:val="20"/>
          <w:lang w:val="sr-Cyrl-CS" w:eastAsia="ja-JP"/>
        </w:rPr>
      </w:pPr>
      <w:r w:rsidRPr="007E770D">
        <w:rPr>
          <w:rFonts w:eastAsia="MS PGothic" w:cstheme="minorHAnsi"/>
          <w:color w:val="auto"/>
          <w:szCs w:val="20"/>
          <w:highlight w:val="yellow"/>
          <w:lang w:val="sr-Cyrl-CS" w:eastAsia="ja-JP"/>
        </w:rPr>
        <w:br w:type="page"/>
      </w:r>
      <w:r w:rsidRPr="007E770D">
        <w:rPr>
          <w:rFonts w:eastAsia="MS PGothic" w:cstheme="minorHAnsi"/>
          <w:b/>
          <w:color w:val="auto"/>
          <w:szCs w:val="20"/>
          <w:lang w:val="sr-Cyrl-CS" w:eastAsia="ja-JP"/>
        </w:rPr>
        <w:lastRenderedPageBreak/>
        <w:t>Табела 6. Приходи, расходи и резултат сектора државе, јануар–август, у млрд динара</w:t>
      </w:r>
    </w:p>
    <w:tbl>
      <w:tblPr>
        <w:tblW w:w="5140" w:type="pct"/>
        <w:tblLook w:val="04A0" w:firstRow="1" w:lastRow="0" w:firstColumn="1" w:lastColumn="0" w:noHBand="0" w:noVBand="1"/>
      </w:tblPr>
      <w:tblGrid>
        <w:gridCol w:w="4126"/>
        <w:gridCol w:w="1834"/>
        <w:gridCol w:w="1834"/>
        <w:gridCol w:w="1828"/>
      </w:tblGrid>
      <w:tr w:rsidR="007E770D" w:rsidRPr="007E770D" w14:paraId="6DA57993" w14:textId="77777777" w:rsidTr="00C130D2">
        <w:trPr>
          <w:trHeight w:val="272"/>
          <w:tblHeader/>
        </w:trPr>
        <w:tc>
          <w:tcPr>
            <w:tcW w:w="2144" w:type="pct"/>
            <w:tcBorders>
              <w:top w:val="single" w:sz="4" w:space="0" w:color="002060"/>
            </w:tcBorders>
            <w:shd w:val="clear" w:color="auto" w:fill="auto"/>
            <w:noWrap/>
            <w:vAlign w:val="center"/>
            <w:hideMark/>
          </w:tcPr>
          <w:p w14:paraId="223EEB0B" w14:textId="77777777" w:rsidR="004044DC" w:rsidRPr="007E770D" w:rsidRDefault="004044DC" w:rsidP="009877EB">
            <w:pPr>
              <w:spacing w:after="0" w:line="240" w:lineRule="auto"/>
              <w:rPr>
                <w:rFonts w:cstheme="minorHAnsi"/>
                <w:color w:val="auto"/>
                <w:sz w:val="18"/>
                <w:szCs w:val="18"/>
                <w:lang w:val="sr-Cyrl-CS"/>
              </w:rPr>
            </w:pPr>
          </w:p>
        </w:tc>
        <w:tc>
          <w:tcPr>
            <w:tcW w:w="953" w:type="pct"/>
            <w:tcBorders>
              <w:top w:val="single" w:sz="4" w:space="0" w:color="002060"/>
              <w:bottom w:val="single" w:sz="4" w:space="0" w:color="002060"/>
            </w:tcBorders>
            <w:shd w:val="clear" w:color="auto" w:fill="auto"/>
            <w:vAlign w:val="center"/>
            <w:hideMark/>
          </w:tcPr>
          <w:p w14:paraId="62CBCE80" w14:textId="77777777" w:rsidR="004044DC" w:rsidRPr="007E770D" w:rsidRDefault="004044DC" w:rsidP="00C130D2">
            <w:pPr>
              <w:spacing w:after="0" w:line="240" w:lineRule="auto"/>
              <w:jc w:val="center"/>
              <w:rPr>
                <w:rFonts w:cstheme="minorHAnsi"/>
                <w:color w:val="auto"/>
                <w:sz w:val="18"/>
                <w:szCs w:val="18"/>
                <w:lang w:val="sr-Cyrl-CS"/>
              </w:rPr>
            </w:pPr>
            <w:r w:rsidRPr="007E770D">
              <w:rPr>
                <w:rFonts w:cstheme="minorHAnsi"/>
                <w:color w:val="auto"/>
                <w:sz w:val="18"/>
                <w:szCs w:val="18"/>
                <w:lang w:val="sr-Cyrl-CS"/>
              </w:rPr>
              <w:t>I–VIII 2018</w:t>
            </w:r>
          </w:p>
        </w:tc>
        <w:tc>
          <w:tcPr>
            <w:tcW w:w="953" w:type="pct"/>
            <w:tcBorders>
              <w:top w:val="single" w:sz="4" w:space="0" w:color="002060"/>
              <w:bottom w:val="single" w:sz="4" w:space="0" w:color="002060"/>
            </w:tcBorders>
            <w:shd w:val="clear" w:color="auto" w:fill="auto"/>
            <w:vAlign w:val="center"/>
            <w:hideMark/>
          </w:tcPr>
          <w:p w14:paraId="3FBDE59B" w14:textId="77777777" w:rsidR="004044DC" w:rsidRPr="007E770D" w:rsidRDefault="004044DC" w:rsidP="00C130D2">
            <w:pPr>
              <w:spacing w:after="0" w:line="240" w:lineRule="auto"/>
              <w:jc w:val="center"/>
              <w:rPr>
                <w:rFonts w:cstheme="minorHAnsi"/>
                <w:color w:val="auto"/>
                <w:sz w:val="18"/>
                <w:szCs w:val="18"/>
                <w:lang w:val="sr-Cyrl-CS"/>
              </w:rPr>
            </w:pPr>
            <w:r w:rsidRPr="007E770D">
              <w:rPr>
                <w:rFonts w:cstheme="minorHAnsi"/>
                <w:color w:val="auto"/>
                <w:sz w:val="18"/>
                <w:szCs w:val="18"/>
                <w:lang w:val="sr-Cyrl-CS"/>
              </w:rPr>
              <w:t>I–VIII 2019</w:t>
            </w:r>
          </w:p>
        </w:tc>
        <w:tc>
          <w:tcPr>
            <w:tcW w:w="950" w:type="pct"/>
            <w:tcBorders>
              <w:top w:val="single" w:sz="4" w:space="0" w:color="002060"/>
              <w:bottom w:val="single" w:sz="4" w:space="0" w:color="002060"/>
            </w:tcBorders>
            <w:shd w:val="clear" w:color="auto" w:fill="auto"/>
            <w:vAlign w:val="center"/>
            <w:hideMark/>
          </w:tcPr>
          <w:p w14:paraId="731E54BB" w14:textId="77777777" w:rsidR="004044DC" w:rsidRPr="007E770D" w:rsidRDefault="004044DC" w:rsidP="00C130D2">
            <w:pPr>
              <w:spacing w:after="0" w:line="240" w:lineRule="auto"/>
              <w:jc w:val="center"/>
              <w:rPr>
                <w:rFonts w:cstheme="minorHAnsi"/>
                <w:color w:val="auto"/>
                <w:sz w:val="18"/>
                <w:szCs w:val="18"/>
                <w:lang w:val="sr-Cyrl-CS"/>
              </w:rPr>
            </w:pPr>
            <w:r w:rsidRPr="007E770D">
              <w:rPr>
                <w:rFonts w:cstheme="minorHAnsi"/>
                <w:color w:val="auto"/>
                <w:sz w:val="18"/>
                <w:szCs w:val="18"/>
                <w:lang w:val="sr-Cyrl-CS"/>
              </w:rPr>
              <w:t>I–VIII стопа у %</w:t>
            </w:r>
          </w:p>
        </w:tc>
      </w:tr>
      <w:tr w:rsidR="007E770D" w:rsidRPr="007E770D" w14:paraId="4A46AF32" w14:textId="77777777" w:rsidTr="00E4657F">
        <w:trPr>
          <w:trHeight w:val="272"/>
          <w:tblHeader/>
        </w:trPr>
        <w:tc>
          <w:tcPr>
            <w:tcW w:w="2144" w:type="pct"/>
            <w:shd w:val="clear" w:color="auto" w:fill="E7E6E6" w:themeFill="background2"/>
            <w:noWrap/>
            <w:vAlign w:val="center"/>
            <w:hideMark/>
          </w:tcPr>
          <w:p w14:paraId="0035EF1F"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ЈАВНИ ПРИХОДИ</w:t>
            </w:r>
          </w:p>
        </w:tc>
        <w:tc>
          <w:tcPr>
            <w:tcW w:w="953" w:type="pct"/>
            <w:tcBorders>
              <w:top w:val="single" w:sz="4" w:space="0" w:color="002060"/>
            </w:tcBorders>
            <w:shd w:val="clear" w:color="auto" w:fill="E7E6E6" w:themeFill="background2"/>
            <w:hideMark/>
          </w:tcPr>
          <w:p w14:paraId="30232F56"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1.362,1</w:t>
            </w:r>
          </w:p>
        </w:tc>
        <w:tc>
          <w:tcPr>
            <w:tcW w:w="953" w:type="pct"/>
            <w:tcBorders>
              <w:top w:val="single" w:sz="4" w:space="0" w:color="002060"/>
            </w:tcBorders>
            <w:shd w:val="clear" w:color="auto" w:fill="E7E6E6" w:themeFill="background2"/>
            <w:hideMark/>
          </w:tcPr>
          <w:p w14:paraId="50DBBD20"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1.462,0</w:t>
            </w:r>
          </w:p>
        </w:tc>
        <w:tc>
          <w:tcPr>
            <w:tcW w:w="950" w:type="pct"/>
            <w:tcBorders>
              <w:top w:val="single" w:sz="4" w:space="0" w:color="002060"/>
            </w:tcBorders>
            <w:shd w:val="clear" w:color="auto" w:fill="E7E6E6" w:themeFill="background2"/>
            <w:hideMark/>
          </w:tcPr>
          <w:p w14:paraId="18F35669" w14:textId="77777777" w:rsidR="004044DC" w:rsidRPr="007E770D" w:rsidRDefault="004044DC" w:rsidP="00E4657F">
            <w:pPr>
              <w:spacing w:after="0" w:line="240" w:lineRule="auto"/>
              <w:ind w:right="737"/>
              <w:jc w:val="right"/>
              <w:rPr>
                <w:rFonts w:cstheme="minorHAnsi"/>
                <w:color w:val="auto"/>
                <w:sz w:val="18"/>
                <w:szCs w:val="18"/>
                <w:lang w:val="sr-Cyrl-CS"/>
              </w:rPr>
            </w:pPr>
            <w:r w:rsidRPr="007E770D">
              <w:rPr>
                <w:rFonts w:cstheme="minorHAnsi"/>
                <w:color w:val="auto"/>
                <w:sz w:val="18"/>
                <w:szCs w:val="18"/>
                <w:lang w:val="sr-Cyrl-CS"/>
              </w:rPr>
              <w:t>7,3</w:t>
            </w:r>
          </w:p>
        </w:tc>
      </w:tr>
      <w:tr w:rsidR="007E770D" w:rsidRPr="007E770D" w14:paraId="59C0F23D" w14:textId="77777777" w:rsidTr="00E4657F">
        <w:trPr>
          <w:trHeight w:val="272"/>
          <w:tblHeader/>
        </w:trPr>
        <w:tc>
          <w:tcPr>
            <w:tcW w:w="2144" w:type="pct"/>
            <w:shd w:val="clear" w:color="auto" w:fill="auto"/>
            <w:noWrap/>
            <w:vAlign w:val="center"/>
            <w:hideMark/>
          </w:tcPr>
          <w:p w14:paraId="14BBDBB8"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Текући приходи</w:t>
            </w:r>
          </w:p>
        </w:tc>
        <w:tc>
          <w:tcPr>
            <w:tcW w:w="953" w:type="pct"/>
            <w:shd w:val="clear" w:color="auto" w:fill="auto"/>
            <w:hideMark/>
          </w:tcPr>
          <w:p w14:paraId="05E8F16C"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1.356,7</w:t>
            </w:r>
          </w:p>
        </w:tc>
        <w:tc>
          <w:tcPr>
            <w:tcW w:w="953" w:type="pct"/>
            <w:shd w:val="clear" w:color="auto" w:fill="auto"/>
            <w:noWrap/>
            <w:hideMark/>
          </w:tcPr>
          <w:p w14:paraId="54826BF6"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1.455,7</w:t>
            </w:r>
          </w:p>
        </w:tc>
        <w:tc>
          <w:tcPr>
            <w:tcW w:w="950" w:type="pct"/>
            <w:shd w:val="clear" w:color="auto" w:fill="auto"/>
            <w:hideMark/>
          </w:tcPr>
          <w:p w14:paraId="2A74B142" w14:textId="77777777" w:rsidR="004044DC" w:rsidRPr="007E770D" w:rsidRDefault="004044DC" w:rsidP="00E4657F">
            <w:pPr>
              <w:spacing w:after="0" w:line="240" w:lineRule="auto"/>
              <w:ind w:right="737"/>
              <w:jc w:val="right"/>
              <w:rPr>
                <w:rFonts w:cstheme="minorHAnsi"/>
                <w:color w:val="auto"/>
                <w:sz w:val="18"/>
                <w:szCs w:val="18"/>
                <w:lang w:val="sr-Cyrl-CS"/>
              </w:rPr>
            </w:pPr>
            <w:r w:rsidRPr="007E770D">
              <w:rPr>
                <w:rFonts w:cstheme="minorHAnsi"/>
                <w:color w:val="auto"/>
                <w:sz w:val="18"/>
                <w:szCs w:val="18"/>
                <w:lang w:val="sr-Cyrl-CS"/>
              </w:rPr>
              <w:t>7,3</w:t>
            </w:r>
          </w:p>
        </w:tc>
      </w:tr>
      <w:tr w:rsidR="007E770D" w:rsidRPr="007E770D" w14:paraId="610CBB2E" w14:textId="77777777" w:rsidTr="00E4657F">
        <w:trPr>
          <w:trHeight w:val="272"/>
          <w:tblHeader/>
        </w:trPr>
        <w:tc>
          <w:tcPr>
            <w:tcW w:w="2144" w:type="pct"/>
            <w:shd w:val="clear" w:color="auto" w:fill="auto"/>
            <w:noWrap/>
            <w:vAlign w:val="center"/>
            <w:hideMark/>
          </w:tcPr>
          <w:p w14:paraId="5A19F004"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Порески приходи</w:t>
            </w:r>
          </w:p>
        </w:tc>
        <w:tc>
          <w:tcPr>
            <w:tcW w:w="953" w:type="pct"/>
            <w:shd w:val="clear" w:color="auto" w:fill="auto"/>
            <w:hideMark/>
          </w:tcPr>
          <w:p w14:paraId="3019ABD6"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1.184,0</w:t>
            </w:r>
          </w:p>
        </w:tc>
        <w:tc>
          <w:tcPr>
            <w:tcW w:w="953" w:type="pct"/>
            <w:shd w:val="clear" w:color="auto" w:fill="auto"/>
            <w:hideMark/>
          </w:tcPr>
          <w:p w14:paraId="63E1F72C"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1.296,8</w:t>
            </w:r>
          </w:p>
        </w:tc>
        <w:tc>
          <w:tcPr>
            <w:tcW w:w="950" w:type="pct"/>
            <w:shd w:val="clear" w:color="auto" w:fill="auto"/>
            <w:hideMark/>
          </w:tcPr>
          <w:p w14:paraId="6ED4494B" w14:textId="77777777" w:rsidR="004044DC" w:rsidRPr="007E770D" w:rsidRDefault="004044DC" w:rsidP="00E4657F">
            <w:pPr>
              <w:spacing w:after="0" w:line="240" w:lineRule="auto"/>
              <w:ind w:right="737"/>
              <w:jc w:val="right"/>
              <w:rPr>
                <w:rFonts w:cstheme="minorHAnsi"/>
                <w:color w:val="auto"/>
                <w:sz w:val="18"/>
                <w:szCs w:val="18"/>
                <w:lang w:val="sr-Cyrl-CS"/>
              </w:rPr>
            </w:pPr>
            <w:r w:rsidRPr="007E770D">
              <w:rPr>
                <w:rFonts w:cstheme="minorHAnsi"/>
                <w:color w:val="auto"/>
                <w:sz w:val="18"/>
                <w:szCs w:val="18"/>
                <w:lang w:val="sr-Cyrl-CS"/>
              </w:rPr>
              <w:t>9,5</w:t>
            </w:r>
          </w:p>
        </w:tc>
      </w:tr>
      <w:tr w:rsidR="007E770D" w:rsidRPr="007E770D" w14:paraId="10A7A23B" w14:textId="77777777" w:rsidTr="00E4657F">
        <w:trPr>
          <w:trHeight w:val="272"/>
          <w:tblHeader/>
        </w:trPr>
        <w:tc>
          <w:tcPr>
            <w:tcW w:w="2144" w:type="pct"/>
            <w:shd w:val="clear" w:color="auto" w:fill="auto"/>
            <w:noWrap/>
            <w:vAlign w:val="center"/>
            <w:hideMark/>
          </w:tcPr>
          <w:p w14:paraId="4075B425"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Порез на доходак грађана</w:t>
            </w:r>
          </w:p>
        </w:tc>
        <w:tc>
          <w:tcPr>
            <w:tcW w:w="953" w:type="pct"/>
            <w:shd w:val="clear" w:color="auto" w:fill="auto"/>
            <w:hideMark/>
          </w:tcPr>
          <w:p w14:paraId="7E8CC083"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112,3</w:t>
            </w:r>
          </w:p>
        </w:tc>
        <w:tc>
          <w:tcPr>
            <w:tcW w:w="953" w:type="pct"/>
            <w:shd w:val="clear" w:color="auto" w:fill="auto"/>
            <w:hideMark/>
          </w:tcPr>
          <w:p w14:paraId="78C24FF5"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129,5</w:t>
            </w:r>
          </w:p>
        </w:tc>
        <w:tc>
          <w:tcPr>
            <w:tcW w:w="950" w:type="pct"/>
            <w:shd w:val="clear" w:color="auto" w:fill="auto"/>
            <w:hideMark/>
          </w:tcPr>
          <w:p w14:paraId="51825946" w14:textId="77777777" w:rsidR="004044DC" w:rsidRPr="007E770D" w:rsidRDefault="004044DC" w:rsidP="00E4657F">
            <w:pPr>
              <w:spacing w:after="0" w:line="240" w:lineRule="auto"/>
              <w:ind w:right="737"/>
              <w:jc w:val="right"/>
              <w:rPr>
                <w:rFonts w:cstheme="minorHAnsi"/>
                <w:color w:val="auto"/>
                <w:sz w:val="18"/>
                <w:szCs w:val="18"/>
                <w:lang w:val="sr-Cyrl-CS"/>
              </w:rPr>
            </w:pPr>
            <w:r w:rsidRPr="007E770D">
              <w:rPr>
                <w:rFonts w:cstheme="minorHAnsi"/>
                <w:color w:val="auto"/>
                <w:sz w:val="18"/>
                <w:szCs w:val="18"/>
                <w:lang w:val="sr-Cyrl-CS"/>
              </w:rPr>
              <w:t>15,2</w:t>
            </w:r>
          </w:p>
        </w:tc>
      </w:tr>
      <w:tr w:rsidR="007E770D" w:rsidRPr="007E770D" w14:paraId="2178176C" w14:textId="77777777" w:rsidTr="00E4657F">
        <w:trPr>
          <w:trHeight w:val="272"/>
          <w:tblHeader/>
        </w:trPr>
        <w:tc>
          <w:tcPr>
            <w:tcW w:w="2144" w:type="pct"/>
            <w:shd w:val="clear" w:color="auto" w:fill="auto"/>
            <w:noWrap/>
            <w:vAlign w:val="center"/>
            <w:hideMark/>
          </w:tcPr>
          <w:p w14:paraId="0A077612"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Порез на добит правних лица</w:t>
            </w:r>
          </w:p>
        </w:tc>
        <w:tc>
          <w:tcPr>
            <w:tcW w:w="953" w:type="pct"/>
            <w:shd w:val="clear" w:color="auto" w:fill="auto"/>
            <w:hideMark/>
          </w:tcPr>
          <w:p w14:paraId="5B4952B3"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83,6</w:t>
            </w:r>
          </w:p>
        </w:tc>
        <w:tc>
          <w:tcPr>
            <w:tcW w:w="953" w:type="pct"/>
            <w:shd w:val="clear" w:color="auto" w:fill="auto"/>
            <w:hideMark/>
          </w:tcPr>
          <w:p w14:paraId="26F685C7"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95,6</w:t>
            </w:r>
          </w:p>
        </w:tc>
        <w:tc>
          <w:tcPr>
            <w:tcW w:w="950" w:type="pct"/>
            <w:shd w:val="clear" w:color="auto" w:fill="auto"/>
            <w:hideMark/>
          </w:tcPr>
          <w:p w14:paraId="5A76FA95" w14:textId="77777777" w:rsidR="004044DC" w:rsidRPr="007E770D" w:rsidRDefault="004044DC" w:rsidP="00E4657F">
            <w:pPr>
              <w:spacing w:after="0" w:line="240" w:lineRule="auto"/>
              <w:ind w:right="737"/>
              <w:jc w:val="right"/>
              <w:rPr>
                <w:rFonts w:cstheme="minorHAnsi"/>
                <w:color w:val="auto"/>
                <w:sz w:val="18"/>
                <w:szCs w:val="18"/>
                <w:lang w:val="sr-Cyrl-CS"/>
              </w:rPr>
            </w:pPr>
            <w:r w:rsidRPr="007E770D">
              <w:rPr>
                <w:rFonts w:cstheme="minorHAnsi"/>
                <w:color w:val="auto"/>
                <w:sz w:val="18"/>
                <w:szCs w:val="18"/>
                <w:lang w:val="sr-Cyrl-CS"/>
              </w:rPr>
              <w:t>14,4</w:t>
            </w:r>
          </w:p>
        </w:tc>
      </w:tr>
      <w:tr w:rsidR="007E770D" w:rsidRPr="007E770D" w14:paraId="7105DB50" w14:textId="77777777" w:rsidTr="00E4657F">
        <w:trPr>
          <w:trHeight w:val="272"/>
          <w:tblHeader/>
        </w:trPr>
        <w:tc>
          <w:tcPr>
            <w:tcW w:w="2144" w:type="pct"/>
            <w:shd w:val="clear" w:color="auto" w:fill="auto"/>
            <w:noWrap/>
            <w:vAlign w:val="center"/>
            <w:hideMark/>
          </w:tcPr>
          <w:p w14:paraId="1727564A"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Порез на додату вредност</w:t>
            </w:r>
          </w:p>
        </w:tc>
        <w:tc>
          <w:tcPr>
            <w:tcW w:w="953" w:type="pct"/>
            <w:shd w:val="clear" w:color="auto" w:fill="auto"/>
            <w:hideMark/>
          </w:tcPr>
          <w:p w14:paraId="5B26165E"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321,3</w:t>
            </w:r>
          </w:p>
        </w:tc>
        <w:tc>
          <w:tcPr>
            <w:tcW w:w="953" w:type="pct"/>
            <w:shd w:val="clear" w:color="auto" w:fill="auto"/>
            <w:hideMark/>
          </w:tcPr>
          <w:p w14:paraId="5F350AE8"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352,1</w:t>
            </w:r>
          </w:p>
        </w:tc>
        <w:tc>
          <w:tcPr>
            <w:tcW w:w="950" w:type="pct"/>
            <w:shd w:val="clear" w:color="auto" w:fill="auto"/>
            <w:hideMark/>
          </w:tcPr>
          <w:p w14:paraId="10F062AA" w14:textId="77777777" w:rsidR="004044DC" w:rsidRPr="007E770D" w:rsidRDefault="004044DC" w:rsidP="00E4657F">
            <w:pPr>
              <w:spacing w:after="0" w:line="240" w:lineRule="auto"/>
              <w:ind w:right="737"/>
              <w:jc w:val="right"/>
              <w:rPr>
                <w:rFonts w:cstheme="minorHAnsi"/>
                <w:color w:val="auto"/>
                <w:sz w:val="18"/>
                <w:szCs w:val="18"/>
                <w:lang w:val="sr-Cyrl-CS"/>
              </w:rPr>
            </w:pPr>
            <w:r w:rsidRPr="007E770D">
              <w:rPr>
                <w:rFonts w:cstheme="minorHAnsi"/>
                <w:color w:val="auto"/>
                <w:sz w:val="18"/>
                <w:szCs w:val="18"/>
                <w:lang w:val="sr-Cyrl-CS"/>
              </w:rPr>
              <w:t>9,6</w:t>
            </w:r>
          </w:p>
        </w:tc>
      </w:tr>
      <w:tr w:rsidR="007E770D" w:rsidRPr="007E770D" w14:paraId="367422E2" w14:textId="77777777" w:rsidTr="00E4657F">
        <w:trPr>
          <w:trHeight w:val="272"/>
          <w:tblHeader/>
        </w:trPr>
        <w:tc>
          <w:tcPr>
            <w:tcW w:w="2144" w:type="pct"/>
            <w:shd w:val="clear" w:color="auto" w:fill="auto"/>
            <w:noWrap/>
            <w:vAlign w:val="center"/>
            <w:hideMark/>
          </w:tcPr>
          <w:p w14:paraId="08BB77D0"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Акцизе</w:t>
            </w:r>
          </w:p>
        </w:tc>
        <w:tc>
          <w:tcPr>
            <w:tcW w:w="953" w:type="pct"/>
            <w:shd w:val="clear" w:color="auto" w:fill="auto"/>
            <w:hideMark/>
          </w:tcPr>
          <w:p w14:paraId="1AF021D5"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187,9</w:t>
            </w:r>
          </w:p>
        </w:tc>
        <w:tc>
          <w:tcPr>
            <w:tcW w:w="953" w:type="pct"/>
            <w:shd w:val="clear" w:color="auto" w:fill="auto"/>
            <w:hideMark/>
          </w:tcPr>
          <w:p w14:paraId="094EB5DC"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199,8</w:t>
            </w:r>
          </w:p>
        </w:tc>
        <w:tc>
          <w:tcPr>
            <w:tcW w:w="950" w:type="pct"/>
            <w:shd w:val="clear" w:color="auto" w:fill="auto"/>
            <w:hideMark/>
          </w:tcPr>
          <w:p w14:paraId="2BA3655B" w14:textId="77777777" w:rsidR="004044DC" w:rsidRPr="007E770D" w:rsidRDefault="004044DC" w:rsidP="00E4657F">
            <w:pPr>
              <w:spacing w:after="0" w:line="240" w:lineRule="auto"/>
              <w:ind w:right="737"/>
              <w:jc w:val="right"/>
              <w:rPr>
                <w:rFonts w:cstheme="minorHAnsi"/>
                <w:color w:val="auto"/>
                <w:sz w:val="18"/>
                <w:szCs w:val="18"/>
                <w:lang w:val="sr-Cyrl-CS"/>
              </w:rPr>
            </w:pPr>
            <w:r w:rsidRPr="007E770D">
              <w:rPr>
                <w:rFonts w:cstheme="minorHAnsi"/>
                <w:color w:val="auto"/>
                <w:sz w:val="18"/>
                <w:szCs w:val="18"/>
                <w:lang w:val="sr-Cyrl-CS"/>
              </w:rPr>
              <w:t>6,3</w:t>
            </w:r>
          </w:p>
        </w:tc>
      </w:tr>
      <w:tr w:rsidR="007E770D" w:rsidRPr="007E770D" w14:paraId="1E3AEFB1" w14:textId="77777777" w:rsidTr="00E4657F">
        <w:trPr>
          <w:trHeight w:val="272"/>
          <w:tblHeader/>
        </w:trPr>
        <w:tc>
          <w:tcPr>
            <w:tcW w:w="2144" w:type="pct"/>
            <w:shd w:val="clear" w:color="auto" w:fill="auto"/>
            <w:noWrap/>
            <w:vAlign w:val="center"/>
            <w:hideMark/>
          </w:tcPr>
          <w:p w14:paraId="206B153D"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Царине</w:t>
            </w:r>
          </w:p>
        </w:tc>
        <w:tc>
          <w:tcPr>
            <w:tcW w:w="953" w:type="pct"/>
            <w:shd w:val="clear" w:color="auto" w:fill="auto"/>
            <w:hideMark/>
          </w:tcPr>
          <w:p w14:paraId="471A9688"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27,7</w:t>
            </w:r>
          </w:p>
        </w:tc>
        <w:tc>
          <w:tcPr>
            <w:tcW w:w="953" w:type="pct"/>
            <w:shd w:val="clear" w:color="auto" w:fill="auto"/>
            <w:hideMark/>
          </w:tcPr>
          <w:p w14:paraId="620DC349"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30,3</w:t>
            </w:r>
          </w:p>
        </w:tc>
        <w:tc>
          <w:tcPr>
            <w:tcW w:w="950" w:type="pct"/>
            <w:shd w:val="clear" w:color="auto" w:fill="auto"/>
            <w:hideMark/>
          </w:tcPr>
          <w:p w14:paraId="4509A63B" w14:textId="77777777" w:rsidR="004044DC" w:rsidRPr="007E770D" w:rsidRDefault="004044DC" w:rsidP="00E4657F">
            <w:pPr>
              <w:spacing w:after="0" w:line="240" w:lineRule="auto"/>
              <w:ind w:right="737"/>
              <w:jc w:val="right"/>
              <w:rPr>
                <w:rFonts w:cstheme="minorHAnsi"/>
                <w:color w:val="auto"/>
                <w:sz w:val="18"/>
                <w:szCs w:val="18"/>
                <w:lang w:val="sr-Cyrl-CS"/>
              </w:rPr>
            </w:pPr>
            <w:r w:rsidRPr="007E770D">
              <w:rPr>
                <w:rFonts w:cstheme="minorHAnsi"/>
                <w:color w:val="auto"/>
                <w:sz w:val="18"/>
                <w:szCs w:val="18"/>
                <w:lang w:val="sr-Cyrl-CS"/>
              </w:rPr>
              <w:t>9,1</w:t>
            </w:r>
          </w:p>
        </w:tc>
      </w:tr>
      <w:tr w:rsidR="007E770D" w:rsidRPr="007E770D" w14:paraId="21EF5446" w14:textId="77777777" w:rsidTr="00E4657F">
        <w:trPr>
          <w:trHeight w:val="272"/>
          <w:tblHeader/>
        </w:trPr>
        <w:tc>
          <w:tcPr>
            <w:tcW w:w="2144" w:type="pct"/>
            <w:shd w:val="clear" w:color="auto" w:fill="auto"/>
            <w:noWrap/>
            <w:vAlign w:val="center"/>
            <w:hideMark/>
          </w:tcPr>
          <w:p w14:paraId="560A0D00"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Остали порески приходи</w:t>
            </w:r>
          </w:p>
        </w:tc>
        <w:tc>
          <w:tcPr>
            <w:tcW w:w="953" w:type="pct"/>
            <w:shd w:val="clear" w:color="auto" w:fill="auto"/>
            <w:hideMark/>
          </w:tcPr>
          <w:p w14:paraId="5AA19F93"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50,9</w:t>
            </w:r>
          </w:p>
        </w:tc>
        <w:tc>
          <w:tcPr>
            <w:tcW w:w="953" w:type="pct"/>
            <w:shd w:val="clear" w:color="auto" w:fill="auto"/>
            <w:hideMark/>
          </w:tcPr>
          <w:p w14:paraId="0573BDCC"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56,1</w:t>
            </w:r>
          </w:p>
        </w:tc>
        <w:tc>
          <w:tcPr>
            <w:tcW w:w="950" w:type="pct"/>
            <w:shd w:val="clear" w:color="auto" w:fill="auto"/>
            <w:hideMark/>
          </w:tcPr>
          <w:p w14:paraId="4444E418" w14:textId="77777777" w:rsidR="004044DC" w:rsidRPr="007E770D" w:rsidRDefault="004044DC" w:rsidP="00E4657F">
            <w:pPr>
              <w:spacing w:after="0" w:line="240" w:lineRule="auto"/>
              <w:ind w:right="737"/>
              <w:jc w:val="right"/>
              <w:rPr>
                <w:rFonts w:cstheme="minorHAnsi"/>
                <w:color w:val="auto"/>
                <w:sz w:val="18"/>
                <w:szCs w:val="18"/>
                <w:lang w:val="sr-Cyrl-CS"/>
              </w:rPr>
            </w:pPr>
            <w:r w:rsidRPr="007E770D">
              <w:rPr>
                <w:rFonts w:cstheme="minorHAnsi"/>
                <w:color w:val="auto"/>
                <w:sz w:val="18"/>
                <w:szCs w:val="18"/>
                <w:lang w:val="sr-Cyrl-CS"/>
              </w:rPr>
              <w:t>10,3</w:t>
            </w:r>
          </w:p>
        </w:tc>
      </w:tr>
      <w:tr w:rsidR="007E770D" w:rsidRPr="007E770D" w14:paraId="04FD1F46" w14:textId="77777777" w:rsidTr="00E4657F">
        <w:trPr>
          <w:trHeight w:val="272"/>
          <w:tblHeader/>
        </w:trPr>
        <w:tc>
          <w:tcPr>
            <w:tcW w:w="2144" w:type="pct"/>
            <w:shd w:val="clear" w:color="auto" w:fill="auto"/>
            <w:noWrap/>
            <w:vAlign w:val="center"/>
            <w:hideMark/>
          </w:tcPr>
          <w:p w14:paraId="7580B5F4"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Доприноси</w:t>
            </w:r>
          </w:p>
        </w:tc>
        <w:tc>
          <w:tcPr>
            <w:tcW w:w="953" w:type="pct"/>
            <w:shd w:val="clear" w:color="auto" w:fill="auto"/>
            <w:hideMark/>
          </w:tcPr>
          <w:p w14:paraId="65D13824"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400,2</w:t>
            </w:r>
          </w:p>
        </w:tc>
        <w:tc>
          <w:tcPr>
            <w:tcW w:w="953" w:type="pct"/>
            <w:shd w:val="clear" w:color="auto" w:fill="auto"/>
            <w:hideMark/>
          </w:tcPr>
          <w:p w14:paraId="2663A980"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433,4</w:t>
            </w:r>
          </w:p>
        </w:tc>
        <w:tc>
          <w:tcPr>
            <w:tcW w:w="950" w:type="pct"/>
            <w:shd w:val="clear" w:color="auto" w:fill="auto"/>
            <w:hideMark/>
          </w:tcPr>
          <w:p w14:paraId="586A66F8" w14:textId="77777777" w:rsidR="004044DC" w:rsidRPr="007E770D" w:rsidRDefault="004044DC" w:rsidP="00E4657F">
            <w:pPr>
              <w:spacing w:after="0" w:line="240" w:lineRule="auto"/>
              <w:ind w:right="737"/>
              <w:jc w:val="right"/>
              <w:rPr>
                <w:rFonts w:cstheme="minorHAnsi"/>
                <w:color w:val="auto"/>
                <w:sz w:val="18"/>
                <w:szCs w:val="18"/>
                <w:lang w:val="sr-Cyrl-CS"/>
              </w:rPr>
            </w:pPr>
            <w:r w:rsidRPr="007E770D">
              <w:rPr>
                <w:rFonts w:cstheme="minorHAnsi"/>
                <w:color w:val="auto"/>
                <w:sz w:val="18"/>
                <w:szCs w:val="18"/>
                <w:lang w:val="sr-Cyrl-CS"/>
              </w:rPr>
              <w:t>8,3</w:t>
            </w:r>
          </w:p>
        </w:tc>
      </w:tr>
      <w:tr w:rsidR="007E770D" w:rsidRPr="007E770D" w14:paraId="79A402A6" w14:textId="77777777" w:rsidTr="00E4657F">
        <w:trPr>
          <w:trHeight w:val="272"/>
          <w:tblHeader/>
        </w:trPr>
        <w:tc>
          <w:tcPr>
            <w:tcW w:w="2144" w:type="pct"/>
            <w:shd w:val="clear" w:color="auto" w:fill="auto"/>
            <w:noWrap/>
            <w:vAlign w:val="center"/>
            <w:hideMark/>
          </w:tcPr>
          <w:p w14:paraId="7DA57879"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Непорески приходи</w:t>
            </w:r>
          </w:p>
        </w:tc>
        <w:tc>
          <w:tcPr>
            <w:tcW w:w="953" w:type="pct"/>
            <w:shd w:val="clear" w:color="auto" w:fill="auto"/>
            <w:hideMark/>
          </w:tcPr>
          <w:p w14:paraId="500BB510"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172,7</w:t>
            </w:r>
          </w:p>
        </w:tc>
        <w:tc>
          <w:tcPr>
            <w:tcW w:w="953" w:type="pct"/>
            <w:shd w:val="clear" w:color="auto" w:fill="auto"/>
            <w:hideMark/>
          </w:tcPr>
          <w:p w14:paraId="6C2E116F"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158,9</w:t>
            </w:r>
          </w:p>
        </w:tc>
        <w:tc>
          <w:tcPr>
            <w:tcW w:w="950" w:type="pct"/>
            <w:shd w:val="clear" w:color="auto" w:fill="auto"/>
            <w:hideMark/>
          </w:tcPr>
          <w:p w14:paraId="3E5FBB5F" w14:textId="77777777" w:rsidR="004044DC" w:rsidRPr="007E770D" w:rsidRDefault="004044DC" w:rsidP="00E4657F">
            <w:pPr>
              <w:spacing w:after="0" w:line="240" w:lineRule="auto"/>
              <w:ind w:right="737"/>
              <w:jc w:val="right"/>
              <w:rPr>
                <w:rFonts w:cstheme="minorHAnsi"/>
                <w:color w:val="auto"/>
                <w:sz w:val="18"/>
                <w:szCs w:val="18"/>
                <w:lang w:val="sr-Cyrl-CS"/>
              </w:rPr>
            </w:pPr>
            <w:r w:rsidRPr="007E770D">
              <w:rPr>
                <w:rFonts w:cstheme="minorHAnsi"/>
                <w:color w:val="auto"/>
                <w:sz w:val="18"/>
                <w:szCs w:val="18"/>
                <w:lang w:val="sr-Cyrl-CS"/>
              </w:rPr>
              <w:t>-8,0</w:t>
            </w:r>
          </w:p>
        </w:tc>
      </w:tr>
      <w:tr w:rsidR="007E770D" w:rsidRPr="007E770D" w14:paraId="43863919" w14:textId="77777777" w:rsidTr="00E4657F">
        <w:trPr>
          <w:trHeight w:val="272"/>
          <w:tblHeader/>
        </w:trPr>
        <w:tc>
          <w:tcPr>
            <w:tcW w:w="2144" w:type="pct"/>
            <w:shd w:val="clear" w:color="auto" w:fill="auto"/>
            <w:noWrap/>
            <w:vAlign w:val="center"/>
            <w:hideMark/>
          </w:tcPr>
          <w:p w14:paraId="2406A406"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Донације</w:t>
            </w:r>
          </w:p>
        </w:tc>
        <w:tc>
          <w:tcPr>
            <w:tcW w:w="953" w:type="pct"/>
            <w:shd w:val="clear" w:color="auto" w:fill="auto"/>
            <w:hideMark/>
          </w:tcPr>
          <w:p w14:paraId="2DCF4EA0"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5,4</w:t>
            </w:r>
          </w:p>
        </w:tc>
        <w:tc>
          <w:tcPr>
            <w:tcW w:w="953" w:type="pct"/>
            <w:shd w:val="clear" w:color="auto" w:fill="auto"/>
            <w:hideMark/>
          </w:tcPr>
          <w:p w14:paraId="05081ECE"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6,2</w:t>
            </w:r>
          </w:p>
        </w:tc>
        <w:tc>
          <w:tcPr>
            <w:tcW w:w="950" w:type="pct"/>
            <w:shd w:val="clear" w:color="auto" w:fill="auto"/>
            <w:hideMark/>
          </w:tcPr>
          <w:p w14:paraId="23926DAD" w14:textId="77777777" w:rsidR="004044DC" w:rsidRPr="007E770D" w:rsidRDefault="004044DC" w:rsidP="00E4657F">
            <w:pPr>
              <w:spacing w:after="0" w:line="240" w:lineRule="auto"/>
              <w:ind w:right="737"/>
              <w:jc w:val="right"/>
              <w:rPr>
                <w:rFonts w:cstheme="minorHAnsi"/>
                <w:color w:val="auto"/>
                <w:sz w:val="18"/>
                <w:szCs w:val="18"/>
                <w:lang w:val="sr-Cyrl-CS"/>
              </w:rPr>
            </w:pPr>
            <w:r w:rsidRPr="007E770D">
              <w:rPr>
                <w:rFonts w:cstheme="minorHAnsi"/>
                <w:color w:val="auto"/>
                <w:sz w:val="18"/>
                <w:szCs w:val="18"/>
                <w:lang w:val="sr-Cyrl-CS"/>
              </w:rPr>
              <w:t>16,1</w:t>
            </w:r>
          </w:p>
        </w:tc>
      </w:tr>
      <w:tr w:rsidR="007E770D" w:rsidRPr="007E770D" w14:paraId="22EF3221" w14:textId="77777777" w:rsidTr="00E4657F">
        <w:trPr>
          <w:trHeight w:val="272"/>
          <w:tblHeader/>
        </w:trPr>
        <w:tc>
          <w:tcPr>
            <w:tcW w:w="2144" w:type="pct"/>
            <w:shd w:val="clear" w:color="auto" w:fill="E7E6E6" w:themeFill="background2"/>
            <w:noWrap/>
            <w:vAlign w:val="center"/>
            <w:hideMark/>
          </w:tcPr>
          <w:p w14:paraId="0F495737"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ЈАВНИ РАСХОДИ</w:t>
            </w:r>
          </w:p>
        </w:tc>
        <w:tc>
          <w:tcPr>
            <w:tcW w:w="953" w:type="pct"/>
            <w:shd w:val="clear" w:color="auto" w:fill="E7E6E6" w:themeFill="background2"/>
            <w:hideMark/>
          </w:tcPr>
          <w:p w14:paraId="0BA39860"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1.320,0</w:t>
            </w:r>
          </w:p>
        </w:tc>
        <w:tc>
          <w:tcPr>
            <w:tcW w:w="953" w:type="pct"/>
            <w:shd w:val="clear" w:color="auto" w:fill="E7E6E6" w:themeFill="background2"/>
            <w:noWrap/>
            <w:hideMark/>
          </w:tcPr>
          <w:p w14:paraId="1E19419E"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1.424,8</w:t>
            </w:r>
          </w:p>
        </w:tc>
        <w:tc>
          <w:tcPr>
            <w:tcW w:w="950" w:type="pct"/>
            <w:shd w:val="clear" w:color="auto" w:fill="E7E6E6" w:themeFill="background2"/>
            <w:hideMark/>
          </w:tcPr>
          <w:p w14:paraId="49F6FA5A" w14:textId="77777777" w:rsidR="004044DC" w:rsidRPr="007E770D" w:rsidRDefault="004044DC" w:rsidP="00E4657F">
            <w:pPr>
              <w:spacing w:after="0" w:line="240" w:lineRule="auto"/>
              <w:ind w:right="737"/>
              <w:jc w:val="right"/>
              <w:rPr>
                <w:rFonts w:cstheme="minorHAnsi"/>
                <w:color w:val="auto"/>
                <w:sz w:val="18"/>
                <w:szCs w:val="18"/>
                <w:lang w:val="sr-Cyrl-CS"/>
              </w:rPr>
            </w:pPr>
            <w:r w:rsidRPr="007E770D">
              <w:rPr>
                <w:rFonts w:cstheme="minorHAnsi"/>
                <w:color w:val="auto"/>
                <w:sz w:val="18"/>
                <w:szCs w:val="18"/>
                <w:lang w:val="sr-Cyrl-CS"/>
              </w:rPr>
              <w:t>7,9</w:t>
            </w:r>
          </w:p>
        </w:tc>
      </w:tr>
      <w:tr w:rsidR="007E770D" w:rsidRPr="007E770D" w14:paraId="5FC88BDC" w14:textId="77777777" w:rsidTr="00E4657F">
        <w:trPr>
          <w:trHeight w:val="272"/>
          <w:tblHeader/>
        </w:trPr>
        <w:tc>
          <w:tcPr>
            <w:tcW w:w="2144" w:type="pct"/>
            <w:shd w:val="clear" w:color="auto" w:fill="auto"/>
            <w:noWrap/>
            <w:vAlign w:val="center"/>
            <w:hideMark/>
          </w:tcPr>
          <w:p w14:paraId="4D62D0E3"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Текући расходи</w:t>
            </w:r>
          </w:p>
        </w:tc>
        <w:tc>
          <w:tcPr>
            <w:tcW w:w="953" w:type="pct"/>
            <w:shd w:val="clear" w:color="auto" w:fill="auto"/>
            <w:hideMark/>
          </w:tcPr>
          <w:p w14:paraId="62F47771"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1.188,7</w:t>
            </w:r>
          </w:p>
        </w:tc>
        <w:tc>
          <w:tcPr>
            <w:tcW w:w="953" w:type="pct"/>
            <w:shd w:val="clear" w:color="auto" w:fill="auto"/>
            <w:noWrap/>
            <w:hideMark/>
          </w:tcPr>
          <w:p w14:paraId="5797283B"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1.283,0</w:t>
            </w:r>
          </w:p>
        </w:tc>
        <w:tc>
          <w:tcPr>
            <w:tcW w:w="950" w:type="pct"/>
            <w:shd w:val="clear" w:color="auto" w:fill="auto"/>
            <w:hideMark/>
          </w:tcPr>
          <w:p w14:paraId="5CEF34C7" w14:textId="77777777" w:rsidR="004044DC" w:rsidRPr="007E770D" w:rsidRDefault="004044DC" w:rsidP="00E4657F">
            <w:pPr>
              <w:spacing w:after="0" w:line="240" w:lineRule="auto"/>
              <w:ind w:right="737"/>
              <w:jc w:val="right"/>
              <w:rPr>
                <w:rFonts w:cstheme="minorHAnsi"/>
                <w:color w:val="auto"/>
                <w:sz w:val="18"/>
                <w:szCs w:val="18"/>
                <w:lang w:val="sr-Cyrl-CS"/>
              </w:rPr>
            </w:pPr>
            <w:r w:rsidRPr="007E770D">
              <w:rPr>
                <w:rFonts w:cstheme="minorHAnsi"/>
                <w:color w:val="auto"/>
                <w:sz w:val="18"/>
                <w:szCs w:val="18"/>
                <w:lang w:val="sr-Cyrl-CS"/>
              </w:rPr>
              <w:t>7,9</w:t>
            </w:r>
          </w:p>
        </w:tc>
      </w:tr>
      <w:tr w:rsidR="007E770D" w:rsidRPr="007E770D" w14:paraId="4E3976D0" w14:textId="77777777" w:rsidTr="00E4657F">
        <w:trPr>
          <w:trHeight w:val="272"/>
          <w:tblHeader/>
        </w:trPr>
        <w:tc>
          <w:tcPr>
            <w:tcW w:w="2144" w:type="pct"/>
            <w:shd w:val="clear" w:color="auto" w:fill="auto"/>
            <w:noWrap/>
            <w:vAlign w:val="center"/>
            <w:hideMark/>
          </w:tcPr>
          <w:p w14:paraId="2BAA6166"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Расходи за запослене</w:t>
            </w:r>
          </w:p>
        </w:tc>
        <w:tc>
          <w:tcPr>
            <w:tcW w:w="953" w:type="pct"/>
            <w:shd w:val="clear" w:color="auto" w:fill="auto"/>
            <w:hideMark/>
          </w:tcPr>
          <w:p w14:paraId="42673DCD"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310,5</w:t>
            </w:r>
          </w:p>
        </w:tc>
        <w:tc>
          <w:tcPr>
            <w:tcW w:w="953" w:type="pct"/>
            <w:shd w:val="clear" w:color="auto" w:fill="auto"/>
            <w:hideMark/>
          </w:tcPr>
          <w:p w14:paraId="0DBAC0B6"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334,9</w:t>
            </w:r>
          </w:p>
        </w:tc>
        <w:tc>
          <w:tcPr>
            <w:tcW w:w="950" w:type="pct"/>
            <w:shd w:val="clear" w:color="auto" w:fill="auto"/>
            <w:hideMark/>
          </w:tcPr>
          <w:p w14:paraId="507FB46C" w14:textId="77777777" w:rsidR="004044DC" w:rsidRPr="007E770D" w:rsidRDefault="004044DC" w:rsidP="00E4657F">
            <w:pPr>
              <w:spacing w:after="0" w:line="240" w:lineRule="auto"/>
              <w:ind w:right="737"/>
              <w:jc w:val="right"/>
              <w:rPr>
                <w:rFonts w:cstheme="minorHAnsi"/>
                <w:color w:val="auto"/>
                <w:sz w:val="18"/>
                <w:szCs w:val="18"/>
                <w:lang w:val="sr-Cyrl-CS"/>
              </w:rPr>
            </w:pPr>
            <w:r w:rsidRPr="007E770D">
              <w:rPr>
                <w:rFonts w:cstheme="minorHAnsi"/>
                <w:color w:val="auto"/>
                <w:sz w:val="18"/>
                <w:szCs w:val="18"/>
                <w:lang w:val="sr-Cyrl-CS"/>
              </w:rPr>
              <w:t>7,9</w:t>
            </w:r>
          </w:p>
        </w:tc>
      </w:tr>
      <w:tr w:rsidR="007E770D" w:rsidRPr="007E770D" w14:paraId="2E77DD6F" w14:textId="77777777" w:rsidTr="00E4657F">
        <w:trPr>
          <w:trHeight w:val="272"/>
          <w:tblHeader/>
        </w:trPr>
        <w:tc>
          <w:tcPr>
            <w:tcW w:w="2144" w:type="pct"/>
            <w:shd w:val="clear" w:color="auto" w:fill="auto"/>
            <w:noWrap/>
            <w:vAlign w:val="center"/>
            <w:hideMark/>
          </w:tcPr>
          <w:p w14:paraId="0D8FF2C4"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Куповина робе и услуга</w:t>
            </w:r>
          </w:p>
        </w:tc>
        <w:tc>
          <w:tcPr>
            <w:tcW w:w="953" w:type="pct"/>
            <w:shd w:val="clear" w:color="auto" w:fill="auto"/>
            <w:hideMark/>
          </w:tcPr>
          <w:p w14:paraId="6660FD93"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208,5</w:t>
            </w:r>
          </w:p>
        </w:tc>
        <w:tc>
          <w:tcPr>
            <w:tcW w:w="953" w:type="pct"/>
            <w:shd w:val="clear" w:color="auto" w:fill="auto"/>
            <w:hideMark/>
          </w:tcPr>
          <w:p w14:paraId="31ECEF55"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230,0</w:t>
            </w:r>
          </w:p>
        </w:tc>
        <w:tc>
          <w:tcPr>
            <w:tcW w:w="950" w:type="pct"/>
            <w:shd w:val="clear" w:color="auto" w:fill="auto"/>
            <w:hideMark/>
          </w:tcPr>
          <w:p w14:paraId="69A65E2D" w14:textId="77777777" w:rsidR="004044DC" w:rsidRPr="007E770D" w:rsidRDefault="004044DC" w:rsidP="00E4657F">
            <w:pPr>
              <w:spacing w:after="0" w:line="240" w:lineRule="auto"/>
              <w:ind w:right="737"/>
              <w:jc w:val="right"/>
              <w:rPr>
                <w:rFonts w:cstheme="minorHAnsi"/>
                <w:color w:val="auto"/>
                <w:sz w:val="18"/>
                <w:szCs w:val="18"/>
                <w:lang w:val="sr-Cyrl-CS"/>
              </w:rPr>
            </w:pPr>
            <w:r w:rsidRPr="007E770D">
              <w:rPr>
                <w:rFonts w:cstheme="minorHAnsi"/>
                <w:color w:val="auto"/>
                <w:sz w:val="18"/>
                <w:szCs w:val="18"/>
                <w:lang w:val="sr-Cyrl-CS"/>
              </w:rPr>
              <w:t>10,3</w:t>
            </w:r>
          </w:p>
        </w:tc>
      </w:tr>
      <w:tr w:rsidR="007E770D" w:rsidRPr="007E770D" w14:paraId="3515436E" w14:textId="77777777" w:rsidTr="00E4657F">
        <w:trPr>
          <w:trHeight w:val="272"/>
          <w:tblHeader/>
        </w:trPr>
        <w:tc>
          <w:tcPr>
            <w:tcW w:w="2144" w:type="pct"/>
            <w:shd w:val="clear" w:color="auto" w:fill="auto"/>
            <w:noWrap/>
            <w:vAlign w:val="center"/>
            <w:hideMark/>
          </w:tcPr>
          <w:p w14:paraId="4776B32E"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Отплата камата</w:t>
            </w:r>
          </w:p>
        </w:tc>
        <w:tc>
          <w:tcPr>
            <w:tcW w:w="953" w:type="pct"/>
            <w:shd w:val="clear" w:color="auto" w:fill="auto"/>
            <w:hideMark/>
          </w:tcPr>
          <w:p w14:paraId="2FC4CCF8"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82,1</w:t>
            </w:r>
          </w:p>
        </w:tc>
        <w:tc>
          <w:tcPr>
            <w:tcW w:w="953" w:type="pct"/>
            <w:shd w:val="clear" w:color="auto" w:fill="auto"/>
            <w:hideMark/>
          </w:tcPr>
          <w:p w14:paraId="2BF81718"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85,6</w:t>
            </w:r>
          </w:p>
        </w:tc>
        <w:tc>
          <w:tcPr>
            <w:tcW w:w="950" w:type="pct"/>
            <w:shd w:val="clear" w:color="auto" w:fill="auto"/>
            <w:hideMark/>
          </w:tcPr>
          <w:p w14:paraId="679AB4C1" w14:textId="77777777" w:rsidR="004044DC" w:rsidRPr="007E770D" w:rsidRDefault="004044DC" w:rsidP="00E4657F">
            <w:pPr>
              <w:spacing w:after="0" w:line="240" w:lineRule="auto"/>
              <w:ind w:right="737"/>
              <w:jc w:val="right"/>
              <w:rPr>
                <w:rFonts w:cstheme="minorHAnsi"/>
                <w:color w:val="auto"/>
                <w:sz w:val="18"/>
                <w:szCs w:val="18"/>
                <w:lang w:val="sr-Cyrl-CS"/>
              </w:rPr>
            </w:pPr>
            <w:r w:rsidRPr="007E770D">
              <w:rPr>
                <w:rFonts w:cstheme="minorHAnsi"/>
                <w:color w:val="auto"/>
                <w:sz w:val="18"/>
                <w:szCs w:val="18"/>
                <w:lang w:val="sr-Cyrl-CS"/>
              </w:rPr>
              <w:t>4,2</w:t>
            </w:r>
          </w:p>
        </w:tc>
      </w:tr>
      <w:tr w:rsidR="007E770D" w:rsidRPr="007E770D" w14:paraId="2C6BD816" w14:textId="77777777" w:rsidTr="00E4657F">
        <w:trPr>
          <w:trHeight w:val="272"/>
          <w:tblHeader/>
        </w:trPr>
        <w:tc>
          <w:tcPr>
            <w:tcW w:w="2144" w:type="pct"/>
            <w:shd w:val="clear" w:color="auto" w:fill="auto"/>
            <w:noWrap/>
            <w:vAlign w:val="center"/>
            <w:hideMark/>
          </w:tcPr>
          <w:p w14:paraId="0BC89B58"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Субвенције</w:t>
            </w:r>
          </w:p>
        </w:tc>
        <w:tc>
          <w:tcPr>
            <w:tcW w:w="953" w:type="pct"/>
            <w:shd w:val="clear" w:color="auto" w:fill="auto"/>
            <w:hideMark/>
          </w:tcPr>
          <w:p w14:paraId="29FC4447"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62,0</w:t>
            </w:r>
          </w:p>
        </w:tc>
        <w:tc>
          <w:tcPr>
            <w:tcW w:w="953" w:type="pct"/>
            <w:shd w:val="clear" w:color="auto" w:fill="auto"/>
            <w:hideMark/>
          </w:tcPr>
          <w:p w14:paraId="4DD4324E"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63,1</w:t>
            </w:r>
          </w:p>
        </w:tc>
        <w:tc>
          <w:tcPr>
            <w:tcW w:w="950" w:type="pct"/>
            <w:shd w:val="clear" w:color="auto" w:fill="auto"/>
            <w:hideMark/>
          </w:tcPr>
          <w:p w14:paraId="609AC45C" w14:textId="77777777" w:rsidR="004044DC" w:rsidRPr="007E770D" w:rsidRDefault="004044DC" w:rsidP="00E4657F">
            <w:pPr>
              <w:spacing w:after="0" w:line="240" w:lineRule="auto"/>
              <w:ind w:right="737"/>
              <w:jc w:val="right"/>
              <w:rPr>
                <w:rFonts w:cstheme="minorHAnsi"/>
                <w:color w:val="auto"/>
                <w:sz w:val="18"/>
                <w:szCs w:val="18"/>
                <w:lang w:val="sr-Cyrl-CS"/>
              </w:rPr>
            </w:pPr>
            <w:r w:rsidRPr="007E770D">
              <w:rPr>
                <w:rFonts w:cstheme="minorHAnsi"/>
                <w:color w:val="auto"/>
                <w:sz w:val="18"/>
                <w:szCs w:val="18"/>
                <w:lang w:val="sr-Cyrl-CS"/>
              </w:rPr>
              <w:t>1,7</w:t>
            </w:r>
          </w:p>
        </w:tc>
      </w:tr>
      <w:tr w:rsidR="007E770D" w:rsidRPr="007E770D" w14:paraId="1E3931E0" w14:textId="77777777" w:rsidTr="00E4657F">
        <w:trPr>
          <w:trHeight w:val="272"/>
          <w:tblHeader/>
        </w:trPr>
        <w:tc>
          <w:tcPr>
            <w:tcW w:w="2144" w:type="pct"/>
            <w:shd w:val="clear" w:color="auto" w:fill="auto"/>
            <w:noWrap/>
            <w:vAlign w:val="center"/>
            <w:hideMark/>
          </w:tcPr>
          <w:p w14:paraId="404D9597"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Социјална помоћ и трансфери</w:t>
            </w:r>
          </w:p>
        </w:tc>
        <w:tc>
          <w:tcPr>
            <w:tcW w:w="953" w:type="pct"/>
            <w:shd w:val="clear" w:color="auto" w:fill="auto"/>
            <w:hideMark/>
          </w:tcPr>
          <w:p w14:paraId="7B709446"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485,3</w:t>
            </w:r>
          </w:p>
        </w:tc>
        <w:tc>
          <w:tcPr>
            <w:tcW w:w="953" w:type="pct"/>
            <w:shd w:val="clear" w:color="auto" w:fill="auto"/>
            <w:hideMark/>
          </w:tcPr>
          <w:p w14:paraId="28F53A24"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514,6</w:t>
            </w:r>
          </w:p>
        </w:tc>
        <w:tc>
          <w:tcPr>
            <w:tcW w:w="950" w:type="pct"/>
            <w:shd w:val="clear" w:color="auto" w:fill="auto"/>
            <w:hideMark/>
          </w:tcPr>
          <w:p w14:paraId="62C44287" w14:textId="77777777" w:rsidR="004044DC" w:rsidRPr="007E770D" w:rsidRDefault="004044DC" w:rsidP="00E4657F">
            <w:pPr>
              <w:spacing w:after="0" w:line="240" w:lineRule="auto"/>
              <w:ind w:right="737"/>
              <w:jc w:val="right"/>
              <w:rPr>
                <w:rFonts w:cstheme="minorHAnsi"/>
                <w:color w:val="auto"/>
                <w:sz w:val="18"/>
                <w:szCs w:val="18"/>
                <w:lang w:val="sr-Cyrl-CS"/>
              </w:rPr>
            </w:pPr>
            <w:r w:rsidRPr="007E770D">
              <w:rPr>
                <w:rFonts w:cstheme="minorHAnsi"/>
                <w:color w:val="auto"/>
                <w:sz w:val="18"/>
                <w:szCs w:val="18"/>
                <w:lang w:val="sr-Cyrl-CS"/>
              </w:rPr>
              <w:t>6,0</w:t>
            </w:r>
          </w:p>
        </w:tc>
      </w:tr>
      <w:tr w:rsidR="007E770D" w:rsidRPr="007E770D" w14:paraId="5144C18A" w14:textId="77777777" w:rsidTr="00E4657F">
        <w:trPr>
          <w:trHeight w:val="272"/>
          <w:tblHeader/>
        </w:trPr>
        <w:tc>
          <w:tcPr>
            <w:tcW w:w="2144" w:type="pct"/>
            <w:shd w:val="clear" w:color="auto" w:fill="auto"/>
            <w:noWrap/>
            <w:vAlign w:val="center"/>
            <w:hideMark/>
          </w:tcPr>
          <w:p w14:paraId="133B2962"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од чега пензије</w:t>
            </w:r>
          </w:p>
        </w:tc>
        <w:tc>
          <w:tcPr>
            <w:tcW w:w="953" w:type="pct"/>
            <w:shd w:val="clear" w:color="auto" w:fill="auto"/>
            <w:hideMark/>
          </w:tcPr>
          <w:p w14:paraId="5FAF4142"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345,4</w:t>
            </w:r>
          </w:p>
        </w:tc>
        <w:tc>
          <w:tcPr>
            <w:tcW w:w="953" w:type="pct"/>
            <w:shd w:val="clear" w:color="auto" w:fill="auto"/>
            <w:hideMark/>
          </w:tcPr>
          <w:p w14:paraId="616764B4"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373,5</w:t>
            </w:r>
          </w:p>
        </w:tc>
        <w:tc>
          <w:tcPr>
            <w:tcW w:w="950" w:type="pct"/>
            <w:shd w:val="clear" w:color="auto" w:fill="auto"/>
            <w:hideMark/>
          </w:tcPr>
          <w:p w14:paraId="568F4487" w14:textId="77777777" w:rsidR="004044DC" w:rsidRPr="007E770D" w:rsidRDefault="004044DC" w:rsidP="00E4657F">
            <w:pPr>
              <w:spacing w:after="0" w:line="240" w:lineRule="auto"/>
              <w:ind w:right="737"/>
              <w:jc w:val="right"/>
              <w:rPr>
                <w:rFonts w:cstheme="minorHAnsi"/>
                <w:color w:val="auto"/>
                <w:sz w:val="18"/>
                <w:szCs w:val="18"/>
                <w:lang w:val="sr-Cyrl-CS"/>
              </w:rPr>
            </w:pPr>
            <w:r w:rsidRPr="007E770D">
              <w:rPr>
                <w:rFonts w:cstheme="minorHAnsi"/>
                <w:color w:val="auto"/>
                <w:sz w:val="18"/>
                <w:szCs w:val="18"/>
                <w:lang w:val="sr-Cyrl-CS"/>
              </w:rPr>
              <w:t>8,1</w:t>
            </w:r>
          </w:p>
        </w:tc>
      </w:tr>
      <w:tr w:rsidR="007E770D" w:rsidRPr="007E770D" w14:paraId="520654E7" w14:textId="77777777" w:rsidTr="00E4657F">
        <w:trPr>
          <w:trHeight w:val="272"/>
          <w:tblHeader/>
        </w:trPr>
        <w:tc>
          <w:tcPr>
            <w:tcW w:w="2144" w:type="pct"/>
            <w:shd w:val="clear" w:color="auto" w:fill="auto"/>
            <w:noWrap/>
            <w:vAlign w:val="center"/>
            <w:hideMark/>
          </w:tcPr>
          <w:p w14:paraId="55C1A472"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Остали текући расходи</w:t>
            </w:r>
          </w:p>
        </w:tc>
        <w:tc>
          <w:tcPr>
            <w:tcW w:w="953" w:type="pct"/>
            <w:shd w:val="clear" w:color="auto" w:fill="auto"/>
            <w:hideMark/>
          </w:tcPr>
          <w:p w14:paraId="00CE970A"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40,3</w:t>
            </w:r>
          </w:p>
        </w:tc>
        <w:tc>
          <w:tcPr>
            <w:tcW w:w="953" w:type="pct"/>
            <w:shd w:val="clear" w:color="auto" w:fill="auto"/>
            <w:hideMark/>
          </w:tcPr>
          <w:p w14:paraId="10850425"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54,8</w:t>
            </w:r>
          </w:p>
        </w:tc>
        <w:tc>
          <w:tcPr>
            <w:tcW w:w="950" w:type="pct"/>
            <w:shd w:val="clear" w:color="auto" w:fill="auto"/>
            <w:hideMark/>
          </w:tcPr>
          <w:p w14:paraId="59FCCB0B" w14:textId="77777777" w:rsidR="004044DC" w:rsidRPr="007E770D" w:rsidRDefault="004044DC" w:rsidP="00E4657F">
            <w:pPr>
              <w:spacing w:after="0" w:line="240" w:lineRule="auto"/>
              <w:ind w:right="737"/>
              <w:jc w:val="right"/>
              <w:rPr>
                <w:rFonts w:cstheme="minorHAnsi"/>
                <w:color w:val="auto"/>
                <w:sz w:val="18"/>
                <w:szCs w:val="18"/>
                <w:lang w:val="sr-Cyrl-CS"/>
              </w:rPr>
            </w:pPr>
            <w:r w:rsidRPr="007E770D">
              <w:rPr>
                <w:rFonts w:cstheme="minorHAnsi"/>
                <w:color w:val="auto"/>
                <w:sz w:val="18"/>
                <w:szCs w:val="18"/>
                <w:lang w:val="sr-Cyrl-CS"/>
              </w:rPr>
              <w:t>36,0</w:t>
            </w:r>
          </w:p>
        </w:tc>
      </w:tr>
      <w:tr w:rsidR="007E770D" w:rsidRPr="007E770D" w14:paraId="3510D576" w14:textId="77777777" w:rsidTr="00E4657F">
        <w:trPr>
          <w:trHeight w:val="272"/>
          <w:tblHeader/>
        </w:trPr>
        <w:tc>
          <w:tcPr>
            <w:tcW w:w="2144" w:type="pct"/>
            <w:shd w:val="clear" w:color="auto" w:fill="auto"/>
            <w:noWrap/>
            <w:vAlign w:val="center"/>
            <w:hideMark/>
          </w:tcPr>
          <w:p w14:paraId="57F3F34A"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Капитални расходи</w:t>
            </w:r>
          </w:p>
        </w:tc>
        <w:tc>
          <w:tcPr>
            <w:tcW w:w="953" w:type="pct"/>
            <w:shd w:val="clear" w:color="auto" w:fill="auto"/>
            <w:hideMark/>
          </w:tcPr>
          <w:p w14:paraId="44C941C3"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113,9</w:t>
            </w:r>
          </w:p>
        </w:tc>
        <w:tc>
          <w:tcPr>
            <w:tcW w:w="953" w:type="pct"/>
            <w:shd w:val="clear" w:color="auto" w:fill="auto"/>
            <w:hideMark/>
          </w:tcPr>
          <w:p w14:paraId="77ECB48C"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131,4</w:t>
            </w:r>
          </w:p>
        </w:tc>
        <w:tc>
          <w:tcPr>
            <w:tcW w:w="950" w:type="pct"/>
            <w:shd w:val="clear" w:color="auto" w:fill="auto"/>
            <w:hideMark/>
          </w:tcPr>
          <w:p w14:paraId="4ED74F7A" w14:textId="77777777" w:rsidR="004044DC" w:rsidRPr="007E770D" w:rsidRDefault="004044DC" w:rsidP="00E4657F">
            <w:pPr>
              <w:spacing w:after="0" w:line="240" w:lineRule="auto"/>
              <w:ind w:right="737"/>
              <w:jc w:val="right"/>
              <w:rPr>
                <w:rFonts w:cstheme="minorHAnsi"/>
                <w:color w:val="auto"/>
                <w:sz w:val="18"/>
                <w:szCs w:val="18"/>
                <w:lang w:val="sr-Cyrl-CS"/>
              </w:rPr>
            </w:pPr>
            <w:r w:rsidRPr="007E770D">
              <w:rPr>
                <w:rFonts w:cstheme="minorHAnsi"/>
                <w:color w:val="auto"/>
                <w:sz w:val="18"/>
                <w:szCs w:val="18"/>
                <w:lang w:val="sr-Cyrl-CS"/>
              </w:rPr>
              <w:t>15,4</w:t>
            </w:r>
          </w:p>
        </w:tc>
      </w:tr>
      <w:tr w:rsidR="007E770D" w:rsidRPr="007E770D" w14:paraId="46F27396" w14:textId="77777777" w:rsidTr="00E4657F">
        <w:trPr>
          <w:trHeight w:val="272"/>
          <w:tblHeader/>
        </w:trPr>
        <w:tc>
          <w:tcPr>
            <w:tcW w:w="2144" w:type="pct"/>
            <w:shd w:val="clear" w:color="auto" w:fill="auto"/>
            <w:noWrap/>
            <w:vAlign w:val="center"/>
            <w:hideMark/>
          </w:tcPr>
          <w:p w14:paraId="61D9D70C"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Нето буџетске позајмице</w:t>
            </w:r>
          </w:p>
        </w:tc>
        <w:tc>
          <w:tcPr>
            <w:tcW w:w="953" w:type="pct"/>
            <w:shd w:val="clear" w:color="auto" w:fill="auto"/>
            <w:hideMark/>
          </w:tcPr>
          <w:p w14:paraId="7D1BD6A0"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3,9</w:t>
            </w:r>
          </w:p>
        </w:tc>
        <w:tc>
          <w:tcPr>
            <w:tcW w:w="953" w:type="pct"/>
            <w:shd w:val="clear" w:color="auto" w:fill="auto"/>
            <w:hideMark/>
          </w:tcPr>
          <w:p w14:paraId="3005AE37"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3,3</w:t>
            </w:r>
          </w:p>
        </w:tc>
        <w:tc>
          <w:tcPr>
            <w:tcW w:w="950" w:type="pct"/>
            <w:shd w:val="clear" w:color="auto" w:fill="auto"/>
            <w:hideMark/>
          </w:tcPr>
          <w:p w14:paraId="64F931A5" w14:textId="77777777" w:rsidR="004044DC" w:rsidRPr="007E770D" w:rsidRDefault="004044DC" w:rsidP="00E4657F">
            <w:pPr>
              <w:spacing w:after="0" w:line="240" w:lineRule="auto"/>
              <w:ind w:right="737"/>
              <w:jc w:val="right"/>
              <w:rPr>
                <w:rFonts w:cstheme="minorHAnsi"/>
                <w:color w:val="auto"/>
                <w:sz w:val="18"/>
                <w:szCs w:val="18"/>
                <w:lang w:val="sr-Cyrl-CS"/>
              </w:rPr>
            </w:pPr>
            <w:r w:rsidRPr="007E770D">
              <w:rPr>
                <w:rFonts w:cstheme="minorHAnsi"/>
                <w:color w:val="auto"/>
                <w:sz w:val="18"/>
                <w:szCs w:val="18"/>
                <w:lang w:val="sr-Cyrl-CS"/>
              </w:rPr>
              <w:t>-15,1</w:t>
            </w:r>
          </w:p>
        </w:tc>
      </w:tr>
      <w:tr w:rsidR="007E770D" w:rsidRPr="007E770D" w14:paraId="170607D5" w14:textId="77777777" w:rsidTr="00E4657F">
        <w:trPr>
          <w:trHeight w:val="272"/>
          <w:tblHeader/>
        </w:trPr>
        <w:tc>
          <w:tcPr>
            <w:tcW w:w="2144" w:type="pct"/>
            <w:shd w:val="clear" w:color="auto" w:fill="auto"/>
            <w:noWrap/>
            <w:vAlign w:val="center"/>
            <w:hideMark/>
          </w:tcPr>
          <w:p w14:paraId="5E4929DE"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Активиране гаранције</w:t>
            </w:r>
          </w:p>
        </w:tc>
        <w:tc>
          <w:tcPr>
            <w:tcW w:w="953" w:type="pct"/>
            <w:shd w:val="clear" w:color="auto" w:fill="auto"/>
            <w:hideMark/>
          </w:tcPr>
          <w:p w14:paraId="37D80476"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13,6</w:t>
            </w:r>
          </w:p>
        </w:tc>
        <w:tc>
          <w:tcPr>
            <w:tcW w:w="953" w:type="pct"/>
            <w:shd w:val="clear" w:color="auto" w:fill="auto"/>
            <w:hideMark/>
          </w:tcPr>
          <w:p w14:paraId="75300266"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7,1</w:t>
            </w:r>
          </w:p>
        </w:tc>
        <w:tc>
          <w:tcPr>
            <w:tcW w:w="950" w:type="pct"/>
            <w:shd w:val="clear" w:color="auto" w:fill="auto"/>
            <w:hideMark/>
          </w:tcPr>
          <w:p w14:paraId="4DD8F399" w14:textId="77777777" w:rsidR="004044DC" w:rsidRPr="007E770D" w:rsidRDefault="004044DC" w:rsidP="00E4657F">
            <w:pPr>
              <w:spacing w:after="0" w:line="240" w:lineRule="auto"/>
              <w:ind w:right="737"/>
              <w:jc w:val="right"/>
              <w:rPr>
                <w:rFonts w:cstheme="minorHAnsi"/>
                <w:color w:val="auto"/>
                <w:sz w:val="18"/>
                <w:szCs w:val="18"/>
                <w:lang w:val="sr-Cyrl-CS"/>
              </w:rPr>
            </w:pPr>
            <w:r w:rsidRPr="007E770D">
              <w:rPr>
                <w:rFonts w:cstheme="minorHAnsi"/>
                <w:color w:val="auto"/>
                <w:sz w:val="18"/>
                <w:szCs w:val="18"/>
                <w:lang w:val="sr-Cyrl-CS"/>
              </w:rPr>
              <w:t>-47,4</w:t>
            </w:r>
          </w:p>
        </w:tc>
      </w:tr>
      <w:tr w:rsidR="007E770D" w:rsidRPr="007E770D" w14:paraId="76CF9F38" w14:textId="77777777" w:rsidTr="00E4657F">
        <w:trPr>
          <w:trHeight w:val="77"/>
          <w:tblHeader/>
        </w:trPr>
        <w:tc>
          <w:tcPr>
            <w:tcW w:w="2144" w:type="pct"/>
            <w:tcBorders>
              <w:bottom w:val="single" w:sz="4" w:space="0" w:color="002060"/>
            </w:tcBorders>
            <w:shd w:val="clear" w:color="auto" w:fill="E7E6E6" w:themeFill="background2"/>
            <w:noWrap/>
            <w:vAlign w:val="center"/>
            <w:hideMark/>
          </w:tcPr>
          <w:p w14:paraId="5D672249" w14:textId="77777777" w:rsidR="004044DC" w:rsidRPr="007E770D" w:rsidRDefault="004044DC" w:rsidP="00E4657F">
            <w:pPr>
              <w:spacing w:after="0" w:line="240" w:lineRule="auto"/>
              <w:jc w:val="left"/>
              <w:rPr>
                <w:rFonts w:cstheme="minorHAnsi"/>
                <w:color w:val="auto"/>
                <w:sz w:val="18"/>
                <w:szCs w:val="18"/>
                <w:lang w:val="sr-Cyrl-CS"/>
              </w:rPr>
            </w:pPr>
            <w:r w:rsidRPr="007E770D">
              <w:rPr>
                <w:rFonts w:cstheme="minorHAnsi"/>
                <w:color w:val="auto"/>
                <w:sz w:val="18"/>
                <w:szCs w:val="18"/>
                <w:lang w:val="sr-Cyrl-CS"/>
              </w:rPr>
              <w:t>Фискални резултат</w:t>
            </w:r>
          </w:p>
        </w:tc>
        <w:tc>
          <w:tcPr>
            <w:tcW w:w="953" w:type="pct"/>
            <w:tcBorders>
              <w:bottom w:val="single" w:sz="4" w:space="0" w:color="002060"/>
            </w:tcBorders>
            <w:shd w:val="clear" w:color="auto" w:fill="E7E6E6" w:themeFill="background2"/>
            <w:hideMark/>
          </w:tcPr>
          <w:p w14:paraId="589B354B"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42,0</w:t>
            </w:r>
          </w:p>
        </w:tc>
        <w:tc>
          <w:tcPr>
            <w:tcW w:w="953" w:type="pct"/>
            <w:tcBorders>
              <w:bottom w:val="single" w:sz="4" w:space="0" w:color="002060"/>
            </w:tcBorders>
            <w:shd w:val="clear" w:color="auto" w:fill="E7E6E6" w:themeFill="background2"/>
            <w:hideMark/>
          </w:tcPr>
          <w:p w14:paraId="555851DD" w14:textId="77777777" w:rsidR="004044DC" w:rsidRPr="007E770D" w:rsidRDefault="004044DC" w:rsidP="00E4657F">
            <w:pPr>
              <w:spacing w:after="0" w:line="240" w:lineRule="auto"/>
              <w:ind w:right="454"/>
              <w:jc w:val="right"/>
              <w:rPr>
                <w:rFonts w:cstheme="minorHAnsi"/>
                <w:color w:val="auto"/>
                <w:sz w:val="18"/>
                <w:szCs w:val="18"/>
                <w:lang w:val="sr-Cyrl-CS"/>
              </w:rPr>
            </w:pPr>
            <w:r w:rsidRPr="007E770D">
              <w:rPr>
                <w:rFonts w:cstheme="minorHAnsi"/>
                <w:color w:val="auto"/>
                <w:sz w:val="18"/>
                <w:szCs w:val="18"/>
                <w:lang w:val="sr-Cyrl-CS"/>
              </w:rPr>
              <w:t>37,2</w:t>
            </w:r>
          </w:p>
        </w:tc>
        <w:tc>
          <w:tcPr>
            <w:tcW w:w="950" w:type="pct"/>
            <w:tcBorders>
              <w:bottom w:val="single" w:sz="4" w:space="0" w:color="002060"/>
            </w:tcBorders>
            <w:shd w:val="clear" w:color="auto" w:fill="E7E6E6" w:themeFill="background2"/>
            <w:hideMark/>
          </w:tcPr>
          <w:p w14:paraId="38498066" w14:textId="77777777" w:rsidR="004044DC" w:rsidRPr="007E770D" w:rsidRDefault="004044DC" w:rsidP="00E4657F">
            <w:pPr>
              <w:spacing w:after="0" w:line="240" w:lineRule="auto"/>
              <w:ind w:right="737"/>
              <w:jc w:val="right"/>
              <w:rPr>
                <w:rFonts w:cstheme="minorHAnsi"/>
                <w:color w:val="auto"/>
                <w:sz w:val="18"/>
                <w:szCs w:val="18"/>
                <w:lang w:val="sr-Cyrl-CS"/>
              </w:rPr>
            </w:pPr>
          </w:p>
        </w:tc>
      </w:tr>
    </w:tbl>
    <w:p w14:paraId="161C2334" w14:textId="77777777" w:rsidR="004044DC" w:rsidRPr="007E770D" w:rsidRDefault="004044DC" w:rsidP="009E4B86">
      <w:pPr>
        <w:spacing w:before="40" w:after="120" w:line="240" w:lineRule="auto"/>
        <w:rPr>
          <w:rFonts w:eastAsia="MS PGothic" w:cstheme="minorHAnsi"/>
          <w:color w:val="auto"/>
          <w:sz w:val="16"/>
          <w:szCs w:val="16"/>
          <w:lang w:val="sr-Cyrl-CS" w:eastAsia="ja-JP"/>
        </w:rPr>
        <w:sectPr w:rsidR="004044DC" w:rsidRPr="007E770D" w:rsidSect="00BA4876">
          <w:type w:val="continuous"/>
          <w:pgSz w:w="12240" w:h="15840"/>
          <w:pgMar w:top="1440" w:right="1440" w:bottom="1440" w:left="1440" w:header="720" w:footer="720" w:gutter="0"/>
          <w:cols w:space="720"/>
          <w:docGrid w:linePitch="360"/>
        </w:sectPr>
      </w:pPr>
      <w:r w:rsidRPr="007E770D">
        <w:rPr>
          <w:rFonts w:eastAsia="Calibri" w:cstheme="minorHAnsi"/>
          <w:bCs/>
          <w:color w:val="auto"/>
          <w:sz w:val="16"/>
          <w:szCs w:val="16"/>
          <w:lang w:val="sr-Cyrl-CS" w:eastAsia="ja-JP"/>
        </w:rPr>
        <w:t xml:space="preserve">Извор: </w:t>
      </w:r>
      <w:r w:rsidRPr="007E770D">
        <w:rPr>
          <w:rFonts w:cstheme="minorHAnsi"/>
          <w:color w:val="auto"/>
          <w:sz w:val="16"/>
          <w:szCs w:val="16"/>
          <w:lang w:val="sr-Cyrl-CS"/>
        </w:rPr>
        <w:t>Министарство финансија</w:t>
      </w:r>
    </w:p>
    <w:p w14:paraId="507F3F1B" w14:textId="77777777" w:rsidR="004044DC" w:rsidRPr="007E770D" w:rsidRDefault="004044DC" w:rsidP="00E4657F">
      <w:pPr>
        <w:spacing w:line="276" w:lineRule="auto"/>
        <w:rPr>
          <w:rFonts w:eastAsia="MS PGothic" w:cstheme="minorHAnsi"/>
          <w:b/>
          <w:color w:val="auto"/>
          <w:szCs w:val="20"/>
          <w:lang w:val="sr-Cyrl-CS" w:eastAsia="ja-JP"/>
        </w:rPr>
      </w:pPr>
      <w:r w:rsidRPr="007E770D">
        <w:rPr>
          <w:rFonts w:eastAsia="MS PGothic" w:cstheme="minorHAnsi"/>
          <w:color w:val="auto"/>
          <w:szCs w:val="20"/>
          <w:lang w:val="sr-Cyrl-CS" w:eastAsia="ja-JP"/>
        </w:rPr>
        <w:t xml:space="preserve">Очекује се реализација јавних инвестиција у већем обиму од планираног. Ово је категорија расхода код које је појединачно дошло до највеће корекције навише. Извршење капиталних расхода у периоду јануар–август 2019. године у односу на исти период претходне године веће је за 15,4%. Капитални расходи достижу ниво од 4,4% БДП у 2019. години, што указује на знатно ефикасније извршење овог облика расхода. </w:t>
      </w:r>
    </w:p>
    <w:p w14:paraId="3CA4D802" w14:textId="77777777" w:rsidR="004044DC" w:rsidRPr="007E770D" w:rsidRDefault="004044DC" w:rsidP="00C130D2">
      <w:pPr>
        <w:widowControl w:val="0"/>
        <w:spacing w:after="240" w:line="276" w:lineRule="auto"/>
        <w:rPr>
          <w:rFonts w:eastAsia="MS PGothic" w:cstheme="minorHAnsi"/>
          <w:color w:val="auto"/>
          <w:szCs w:val="20"/>
          <w:lang w:val="sr-Cyrl-CS" w:eastAsia="ja-JP"/>
        </w:rPr>
      </w:pPr>
      <w:r w:rsidRPr="007E770D">
        <w:rPr>
          <w:rFonts w:eastAsia="MS PGothic" w:cstheme="minorHAnsi"/>
          <w:color w:val="auto"/>
          <w:szCs w:val="20"/>
          <w:lang w:val="sr-Cyrl-CS" w:eastAsia="ja-JP"/>
        </w:rPr>
        <w:t>Стање доцњи (преко 60 дана кашњења)* буџетских корисника и организација обавезног социјалног осигурања последњег дана јуна 2019. године износило је 2,5 млрд динара (око 0,05% БДП), и смањено је у односу на крај 2018. године. Корисници буџета и ЈП „Путеви Србије” креирали су доцње у плаћању од 1,2 млрд динара, док је стање доцњи организација обавезног социјалног осигурања 1,3 млрд динара.</w:t>
      </w:r>
    </w:p>
    <w:p w14:paraId="1AFF9F78" w14:textId="77777777" w:rsidR="004044DC" w:rsidRPr="007E770D" w:rsidRDefault="004044DC" w:rsidP="00C130D2">
      <w:pPr>
        <w:widowControl w:val="0"/>
        <w:spacing w:after="240" w:line="276" w:lineRule="auto"/>
        <w:rPr>
          <w:rFonts w:eastAsia="MS PGothic" w:cstheme="minorHAnsi"/>
          <w:color w:val="auto"/>
          <w:szCs w:val="20"/>
          <w:lang w:val="sr-Cyrl-CS" w:eastAsia="ja-JP"/>
        </w:rPr>
        <w:sectPr w:rsidR="004044DC" w:rsidRPr="007E770D" w:rsidSect="00BA4876">
          <w:type w:val="continuous"/>
          <w:pgSz w:w="12240" w:h="15840"/>
          <w:pgMar w:top="1440" w:right="1440" w:bottom="1440" w:left="1440" w:header="720" w:footer="720" w:gutter="0"/>
          <w:cols w:num="2" w:space="720"/>
          <w:docGrid w:linePitch="360"/>
        </w:sectPr>
      </w:pPr>
    </w:p>
    <w:tbl>
      <w:tblPr>
        <w:tblStyle w:val="LightShading-Accent335"/>
        <w:tblpPr w:leftFromText="180" w:rightFromText="180" w:vertAnchor="text" w:horzAnchor="margin" w:tblpY="274"/>
        <w:tblW w:w="5000" w:type="pct"/>
        <w:tblBorders>
          <w:top w:val="none" w:sz="0" w:space="0" w:color="auto"/>
          <w:bottom w:val="none" w:sz="0" w:space="0" w:color="auto"/>
        </w:tblBorders>
        <w:tblLook w:val="04A0" w:firstRow="1" w:lastRow="0" w:firstColumn="1" w:lastColumn="0" w:noHBand="0" w:noVBand="1"/>
      </w:tblPr>
      <w:tblGrid>
        <w:gridCol w:w="5248"/>
        <w:gridCol w:w="2057"/>
        <w:gridCol w:w="2055"/>
      </w:tblGrid>
      <w:tr w:rsidR="007E770D" w:rsidRPr="007E770D" w14:paraId="05FB3282" w14:textId="77777777" w:rsidTr="003B0E3D">
        <w:trPr>
          <w:cnfStyle w:val="100000000000" w:firstRow="1" w:lastRow="0" w:firstColumn="0" w:lastColumn="0" w:oddVBand="0" w:evenVBand="0" w:oddHBand="0" w:evenHBand="0" w:firstRowFirstColumn="0" w:firstRowLastColumn="0" w:lastRowFirstColumn="0" w:lastRowLastColumn="0"/>
          <w:trHeight w:val="42"/>
        </w:trPr>
        <w:tc>
          <w:tcPr>
            <w:cnfStyle w:val="001000000000" w:firstRow="0" w:lastRow="0" w:firstColumn="1" w:lastColumn="0" w:oddVBand="0" w:evenVBand="0" w:oddHBand="0" w:evenHBand="0" w:firstRowFirstColumn="0" w:firstRowLastColumn="0" w:lastRowFirstColumn="0" w:lastRowLastColumn="0"/>
            <w:tcW w:w="2803" w:type="pct"/>
            <w:tcBorders>
              <w:top w:val="single" w:sz="4" w:space="0" w:color="002060"/>
            </w:tcBorders>
            <w:shd w:val="clear" w:color="auto" w:fill="auto"/>
            <w:noWrap/>
            <w:hideMark/>
          </w:tcPr>
          <w:p w14:paraId="5B9570CB" w14:textId="77777777" w:rsidR="004044DC" w:rsidRPr="007E770D" w:rsidRDefault="004044DC" w:rsidP="009877EB">
            <w:pPr>
              <w:rPr>
                <w:rFonts w:asciiTheme="minorHAnsi" w:hAnsiTheme="minorHAnsi" w:cstheme="minorHAnsi"/>
                <w:b w:val="0"/>
                <w:color w:val="auto"/>
                <w:sz w:val="18"/>
                <w:lang w:val="sr-Cyrl-CS"/>
              </w:rPr>
            </w:pPr>
            <w:r w:rsidRPr="007E770D">
              <w:rPr>
                <w:rFonts w:asciiTheme="minorHAnsi" w:hAnsiTheme="minorHAnsi" w:cstheme="minorHAnsi"/>
                <w:b w:val="0"/>
                <w:color w:val="auto"/>
                <w:sz w:val="18"/>
                <w:lang w:val="sr-Cyrl-CS"/>
              </w:rPr>
              <w:t> </w:t>
            </w:r>
          </w:p>
        </w:tc>
        <w:tc>
          <w:tcPr>
            <w:tcW w:w="1099" w:type="pct"/>
            <w:tcBorders>
              <w:top w:val="single" w:sz="4" w:space="0" w:color="002060"/>
              <w:bottom w:val="single" w:sz="4" w:space="0" w:color="002060"/>
            </w:tcBorders>
            <w:shd w:val="clear" w:color="auto" w:fill="auto"/>
          </w:tcPr>
          <w:p w14:paraId="0F15106A" w14:textId="77777777" w:rsidR="004044DC" w:rsidRPr="007E770D" w:rsidRDefault="004044DC" w:rsidP="009877EB">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18"/>
                <w:lang w:val="sr-Cyrl-CS"/>
              </w:rPr>
            </w:pPr>
            <w:r w:rsidRPr="007E770D">
              <w:rPr>
                <w:rFonts w:asciiTheme="minorHAnsi" w:hAnsiTheme="minorHAnsi" w:cstheme="minorHAnsi"/>
                <w:b w:val="0"/>
                <w:color w:val="auto"/>
                <w:sz w:val="18"/>
                <w:lang w:val="sr-Cyrl-CS"/>
              </w:rPr>
              <w:t>31.12.2018</w:t>
            </w:r>
          </w:p>
        </w:tc>
        <w:tc>
          <w:tcPr>
            <w:tcW w:w="1098" w:type="pct"/>
            <w:tcBorders>
              <w:top w:val="single" w:sz="4" w:space="0" w:color="002060"/>
              <w:bottom w:val="single" w:sz="4" w:space="0" w:color="002060"/>
            </w:tcBorders>
            <w:shd w:val="clear" w:color="auto" w:fill="auto"/>
          </w:tcPr>
          <w:p w14:paraId="36235EDE" w14:textId="77777777" w:rsidR="004044DC" w:rsidRPr="007E770D" w:rsidRDefault="004044DC" w:rsidP="009877EB">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18"/>
                <w:lang w:val="sr-Cyrl-CS"/>
              </w:rPr>
            </w:pPr>
            <w:r w:rsidRPr="007E770D">
              <w:rPr>
                <w:rFonts w:asciiTheme="minorHAnsi" w:hAnsiTheme="minorHAnsi" w:cstheme="minorHAnsi"/>
                <w:b w:val="0"/>
                <w:color w:val="auto"/>
                <w:sz w:val="18"/>
                <w:lang w:val="sr-Cyrl-CS"/>
              </w:rPr>
              <w:t>30.6.2019.</w:t>
            </w:r>
          </w:p>
        </w:tc>
      </w:tr>
      <w:tr w:rsidR="007E770D" w:rsidRPr="007E770D" w14:paraId="6A5B9B30" w14:textId="77777777" w:rsidTr="003B0E3D">
        <w:trPr>
          <w:cnfStyle w:val="000000100000" w:firstRow="0" w:lastRow="0" w:firstColumn="0" w:lastColumn="0" w:oddVBand="0" w:evenVBand="0" w:oddHBand="1" w:evenHBand="0" w:firstRowFirstColumn="0" w:firstRowLastColumn="0" w:lastRowFirstColumn="0" w:lastRowLastColumn="0"/>
          <w:trHeight w:val="42"/>
        </w:trPr>
        <w:tc>
          <w:tcPr>
            <w:cnfStyle w:val="001000000000" w:firstRow="0" w:lastRow="0" w:firstColumn="1" w:lastColumn="0" w:oddVBand="0" w:evenVBand="0" w:oddHBand="0" w:evenHBand="0" w:firstRowFirstColumn="0" w:firstRowLastColumn="0" w:lastRowFirstColumn="0" w:lastRowLastColumn="0"/>
            <w:tcW w:w="2803" w:type="pct"/>
            <w:shd w:val="clear" w:color="auto" w:fill="auto"/>
            <w:noWrap/>
            <w:hideMark/>
          </w:tcPr>
          <w:p w14:paraId="10CD6020" w14:textId="77777777" w:rsidR="004044DC" w:rsidRPr="007E770D" w:rsidRDefault="004044DC" w:rsidP="009877EB">
            <w:pPr>
              <w:rPr>
                <w:rFonts w:asciiTheme="minorHAnsi" w:hAnsiTheme="minorHAnsi" w:cstheme="minorHAnsi"/>
                <w:b w:val="0"/>
                <w:color w:val="auto"/>
                <w:sz w:val="18"/>
                <w:lang w:val="sr-Cyrl-CS"/>
              </w:rPr>
            </w:pPr>
            <w:r w:rsidRPr="007E770D">
              <w:rPr>
                <w:rFonts w:asciiTheme="minorHAnsi" w:hAnsiTheme="minorHAnsi" w:cstheme="minorHAnsi"/>
                <w:b w:val="0"/>
                <w:color w:val="auto"/>
                <w:sz w:val="18"/>
                <w:lang w:val="sr-Cyrl-CS"/>
              </w:rPr>
              <w:t xml:space="preserve">Буџетски корисници и ЈП „Путеви Србијеˮ </w:t>
            </w:r>
          </w:p>
        </w:tc>
        <w:tc>
          <w:tcPr>
            <w:tcW w:w="1099" w:type="pct"/>
            <w:tcBorders>
              <w:top w:val="single" w:sz="4" w:space="0" w:color="002060"/>
            </w:tcBorders>
            <w:shd w:val="clear" w:color="auto" w:fill="auto"/>
          </w:tcPr>
          <w:p w14:paraId="31ED5643" w14:textId="77777777" w:rsidR="004044DC" w:rsidRPr="007E770D" w:rsidRDefault="004044DC" w:rsidP="009877EB">
            <w:pPr>
              <w:ind w:firstLine="709"/>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lang w:val="sr-Cyrl-CS"/>
              </w:rPr>
            </w:pPr>
            <w:r w:rsidRPr="007E770D">
              <w:rPr>
                <w:rFonts w:asciiTheme="minorHAnsi" w:hAnsiTheme="minorHAnsi" w:cstheme="minorHAnsi"/>
                <w:color w:val="auto"/>
                <w:sz w:val="18"/>
                <w:lang w:val="sr-Cyrl-CS"/>
              </w:rPr>
              <w:t>2,1</w:t>
            </w:r>
          </w:p>
        </w:tc>
        <w:tc>
          <w:tcPr>
            <w:tcW w:w="1098" w:type="pct"/>
            <w:tcBorders>
              <w:top w:val="single" w:sz="4" w:space="0" w:color="002060"/>
            </w:tcBorders>
            <w:shd w:val="clear" w:color="auto" w:fill="auto"/>
          </w:tcPr>
          <w:p w14:paraId="79130960" w14:textId="77777777" w:rsidR="004044DC" w:rsidRPr="007E770D" w:rsidRDefault="004044DC" w:rsidP="009877EB">
            <w:pPr>
              <w:ind w:firstLine="709"/>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lang w:val="sr-Cyrl-CS"/>
              </w:rPr>
            </w:pPr>
            <w:r w:rsidRPr="007E770D">
              <w:rPr>
                <w:rFonts w:asciiTheme="minorHAnsi" w:hAnsiTheme="minorHAnsi" w:cstheme="minorHAnsi"/>
                <w:color w:val="auto"/>
                <w:sz w:val="18"/>
                <w:lang w:val="sr-Cyrl-CS"/>
              </w:rPr>
              <w:t>1,2</w:t>
            </w:r>
          </w:p>
        </w:tc>
      </w:tr>
      <w:tr w:rsidR="007E770D" w:rsidRPr="007E770D" w14:paraId="51842FC3" w14:textId="77777777" w:rsidTr="003B0E3D">
        <w:trPr>
          <w:trHeight w:val="42"/>
        </w:trPr>
        <w:tc>
          <w:tcPr>
            <w:cnfStyle w:val="001000000000" w:firstRow="0" w:lastRow="0" w:firstColumn="1" w:lastColumn="0" w:oddVBand="0" w:evenVBand="0" w:oddHBand="0" w:evenHBand="0" w:firstRowFirstColumn="0" w:firstRowLastColumn="0" w:lastRowFirstColumn="0" w:lastRowLastColumn="0"/>
            <w:tcW w:w="2803" w:type="pct"/>
            <w:shd w:val="clear" w:color="auto" w:fill="auto"/>
            <w:noWrap/>
            <w:hideMark/>
          </w:tcPr>
          <w:p w14:paraId="575D6F41" w14:textId="77777777" w:rsidR="004044DC" w:rsidRPr="007E770D" w:rsidRDefault="004044DC" w:rsidP="009877EB">
            <w:pPr>
              <w:rPr>
                <w:rFonts w:asciiTheme="minorHAnsi" w:hAnsiTheme="minorHAnsi" w:cstheme="minorHAnsi"/>
                <w:b w:val="0"/>
                <w:color w:val="auto"/>
                <w:sz w:val="18"/>
                <w:lang w:val="sr-Cyrl-CS"/>
              </w:rPr>
            </w:pPr>
            <w:r w:rsidRPr="007E770D">
              <w:rPr>
                <w:rFonts w:asciiTheme="minorHAnsi" w:hAnsiTheme="minorHAnsi" w:cstheme="minorHAnsi"/>
                <w:b w:val="0"/>
                <w:color w:val="auto"/>
                <w:sz w:val="18"/>
                <w:lang w:val="sr-Cyrl-CS"/>
              </w:rPr>
              <w:t>ООСО</w:t>
            </w:r>
          </w:p>
        </w:tc>
        <w:tc>
          <w:tcPr>
            <w:tcW w:w="1099" w:type="pct"/>
            <w:shd w:val="clear" w:color="auto" w:fill="auto"/>
          </w:tcPr>
          <w:p w14:paraId="36820341" w14:textId="77777777" w:rsidR="004044DC" w:rsidRPr="007E770D" w:rsidRDefault="004044DC" w:rsidP="009877EB">
            <w:pPr>
              <w:ind w:firstLine="709"/>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lang w:val="sr-Cyrl-CS"/>
              </w:rPr>
            </w:pPr>
            <w:r w:rsidRPr="007E770D">
              <w:rPr>
                <w:rFonts w:asciiTheme="minorHAnsi" w:hAnsiTheme="minorHAnsi" w:cstheme="minorHAnsi"/>
                <w:color w:val="auto"/>
                <w:sz w:val="18"/>
                <w:lang w:val="sr-Cyrl-CS"/>
              </w:rPr>
              <w:t>1,3</w:t>
            </w:r>
          </w:p>
        </w:tc>
        <w:tc>
          <w:tcPr>
            <w:tcW w:w="1098" w:type="pct"/>
            <w:shd w:val="clear" w:color="auto" w:fill="auto"/>
          </w:tcPr>
          <w:p w14:paraId="34C3AB02" w14:textId="77777777" w:rsidR="004044DC" w:rsidRPr="007E770D" w:rsidRDefault="004044DC" w:rsidP="009877EB">
            <w:pPr>
              <w:ind w:firstLine="709"/>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lang w:val="sr-Cyrl-CS"/>
              </w:rPr>
            </w:pPr>
            <w:r w:rsidRPr="007E770D">
              <w:rPr>
                <w:rFonts w:asciiTheme="minorHAnsi" w:hAnsiTheme="minorHAnsi" w:cstheme="minorHAnsi"/>
                <w:color w:val="auto"/>
                <w:sz w:val="18"/>
                <w:lang w:val="sr-Cyrl-CS"/>
              </w:rPr>
              <w:t>1,3</w:t>
            </w:r>
          </w:p>
        </w:tc>
      </w:tr>
      <w:tr w:rsidR="007E770D" w:rsidRPr="007E770D" w14:paraId="6F19A0B2" w14:textId="77777777" w:rsidTr="003B0E3D">
        <w:trPr>
          <w:cnfStyle w:val="000000100000" w:firstRow="0" w:lastRow="0" w:firstColumn="0" w:lastColumn="0" w:oddVBand="0" w:evenVBand="0" w:oddHBand="1" w:evenHBand="0" w:firstRowFirstColumn="0" w:firstRowLastColumn="0" w:lastRowFirstColumn="0" w:lastRowLastColumn="0"/>
          <w:trHeight w:val="80"/>
        </w:trPr>
        <w:tc>
          <w:tcPr>
            <w:cnfStyle w:val="001000000000" w:firstRow="0" w:lastRow="0" w:firstColumn="1" w:lastColumn="0" w:oddVBand="0" w:evenVBand="0" w:oddHBand="0" w:evenHBand="0" w:firstRowFirstColumn="0" w:firstRowLastColumn="0" w:lastRowFirstColumn="0" w:lastRowLastColumn="0"/>
            <w:tcW w:w="2803" w:type="pct"/>
            <w:tcBorders>
              <w:bottom w:val="single" w:sz="4" w:space="0" w:color="002060"/>
            </w:tcBorders>
            <w:shd w:val="clear" w:color="auto" w:fill="auto"/>
            <w:noWrap/>
            <w:hideMark/>
          </w:tcPr>
          <w:p w14:paraId="572922FB" w14:textId="77777777" w:rsidR="004044DC" w:rsidRPr="007E770D" w:rsidRDefault="004044DC" w:rsidP="009877EB">
            <w:pPr>
              <w:rPr>
                <w:rFonts w:asciiTheme="minorHAnsi" w:hAnsiTheme="minorHAnsi" w:cstheme="minorHAnsi"/>
                <w:b w:val="0"/>
                <w:color w:val="auto"/>
                <w:sz w:val="18"/>
                <w:lang w:val="sr-Cyrl-CS"/>
              </w:rPr>
            </w:pPr>
            <w:r w:rsidRPr="007E770D">
              <w:rPr>
                <w:rFonts w:asciiTheme="minorHAnsi" w:hAnsiTheme="minorHAnsi" w:cstheme="minorHAnsi"/>
                <w:b w:val="0"/>
                <w:color w:val="auto"/>
                <w:sz w:val="18"/>
                <w:lang w:val="sr-Cyrl-CS"/>
              </w:rPr>
              <w:t>УКУПНО</w:t>
            </w:r>
          </w:p>
        </w:tc>
        <w:tc>
          <w:tcPr>
            <w:tcW w:w="1099" w:type="pct"/>
            <w:tcBorders>
              <w:bottom w:val="single" w:sz="4" w:space="0" w:color="002060"/>
            </w:tcBorders>
            <w:shd w:val="clear" w:color="auto" w:fill="auto"/>
          </w:tcPr>
          <w:p w14:paraId="602FDA89" w14:textId="77777777" w:rsidR="004044DC" w:rsidRPr="007E770D" w:rsidRDefault="004044DC" w:rsidP="009877EB">
            <w:pPr>
              <w:ind w:firstLine="709"/>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lang w:val="sr-Cyrl-CS"/>
              </w:rPr>
            </w:pPr>
            <w:r w:rsidRPr="007E770D">
              <w:rPr>
                <w:rFonts w:asciiTheme="minorHAnsi" w:hAnsiTheme="minorHAnsi" w:cstheme="minorHAnsi"/>
                <w:color w:val="auto"/>
                <w:sz w:val="18"/>
                <w:lang w:val="sr-Cyrl-CS"/>
              </w:rPr>
              <w:t>3,4</w:t>
            </w:r>
          </w:p>
        </w:tc>
        <w:tc>
          <w:tcPr>
            <w:tcW w:w="1098" w:type="pct"/>
            <w:tcBorders>
              <w:bottom w:val="single" w:sz="4" w:space="0" w:color="002060"/>
            </w:tcBorders>
            <w:shd w:val="clear" w:color="auto" w:fill="auto"/>
          </w:tcPr>
          <w:p w14:paraId="26DFB46E" w14:textId="77777777" w:rsidR="004044DC" w:rsidRPr="007E770D" w:rsidRDefault="004044DC" w:rsidP="009877EB">
            <w:pPr>
              <w:ind w:firstLine="709"/>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lang w:val="sr-Cyrl-CS"/>
              </w:rPr>
            </w:pPr>
            <w:r w:rsidRPr="007E770D">
              <w:rPr>
                <w:rFonts w:asciiTheme="minorHAnsi" w:hAnsiTheme="minorHAnsi" w:cstheme="minorHAnsi"/>
                <w:color w:val="auto"/>
                <w:sz w:val="18"/>
                <w:lang w:val="sr-Cyrl-CS"/>
              </w:rPr>
              <w:t>2,5</w:t>
            </w:r>
          </w:p>
        </w:tc>
      </w:tr>
    </w:tbl>
    <w:p w14:paraId="4536CA78" w14:textId="77777777" w:rsidR="004044DC" w:rsidRPr="007E770D" w:rsidRDefault="004044DC" w:rsidP="00A37C16">
      <w:pPr>
        <w:spacing w:after="0" w:line="240" w:lineRule="auto"/>
        <w:jc w:val="center"/>
        <w:rPr>
          <w:rFonts w:eastAsia="MS PGothic" w:cstheme="minorHAnsi"/>
          <w:b/>
          <w:color w:val="auto"/>
          <w:szCs w:val="20"/>
          <w:lang w:val="sr-Cyrl-CS" w:eastAsia="ja-JP"/>
        </w:rPr>
      </w:pPr>
      <w:r w:rsidRPr="007E770D">
        <w:rPr>
          <w:rFonts w:eastAsia="MS PGothic" w:cstheme="minorHAnsi"/>
          <w:b/>
          <w:color w:val="auto"/>
          <w:szCs w:val="20"/>
          <w:lang w:val="sr-Cyrl-CS" w:eastAsia="ja-JP"/>
        </w:rPr>
        <w:t>Табела 7. Стање доцњи у плаћању буџетских корисника и ООСО, преко 60 дана, у млрд динара</w:t>
      </w:r>
    </w:p>
    <w:p w14:paraId="62023688" w14:textId="77777777" w:rsidR="004044DC" w:rsidRPr="007E770D" w:rsidRDefault="004044DC" w:rsidP="00A251B9">
      <w:pPr>
        <w:spacing w:before="40" w:after="0" w:line="240" w:lineRule="auto"/>
        <w:rPr>
          <w:rFonts w:cstheme="minorHAnsi"/>
          <w:color w:val="auto"/>
          <w:sz w:val="16"/>
          <w:szCs w:val="20"/>
          <w:lang w:val="sr-Cyrl-CS"/>
        </w:rPr>
      </w:pPr>
      <w:r w:rsidRPr="007E770D">
        <w:rPr>
          <w:rFonts w:eastAsia="Calibri" w:cstheme="minorHAnsi"/>
          <w:bCs/>
          <w:color w:val="auto"/>
          <w:sz w:val="16"/>
          <w:szCs w:val="20"/>
          <w:lang w:val="sr-Cyrl-CS" w:eastAsia="ja-JP"/>
        </w:rPr>
        <w:t xml:space="preserve">Извор: </w:t>
      </w:r>
      <w:r w:rsidRPr="007E770D">
        <w:rPr>
          <w:rFonts w:cstheme="minorHAnsi"/>
          <w:color w:val="auto"/>
          <w:sz w:val="16"/>
          <w:szCs w:val="20"/>
          <w:lang w:val="sr-Cyrl-CS"/>
        </w:rPr>
        <w:t>Министарство финансија</w:t>
      </w:r>
    </w:p>
    <w:p w14:paraId="09F2F08D" w14:textId="77777777" w:rsidR="004044DC" w:rsidRPr="007E770D" w:rsidRDefault="004044DC" w:rsidP="009E4B86">
      <w:pPr>
        <w:pStyle w:val="ListParagraph"/>
        <w:spacing w:after="240" w:line="240" w:lineRule="auto"/>
        <w:ind w:left="0"/>
        <w:rPr>
          <w:rFonts w:eastAsia="MS PGothic" w:cstheme="minorHAnsi"/>
          <w:color w:val="auto"/>
          <w:sz w:val="16"/>
          <w:szCs w:val="16"/>
          <w:lang w:val="sr-Cyrl-CS" w:eastAsia="ja-JP"/>
        </w:rPr>
      </w:pPr>
      <w:r w:rsidRPr="007E770D">
        <w:rPr>
          <w:rFonts w:eastAsia="MS PGothic" w:cstheme="minorHAnsi"/>
          <w:color w:val="auto"/>
          <w:sz w:val="16"/>
          <w:szCs w:val="16"/>
          <w:lang w:val="sr-Cyrl-CS" w:eastAsia="ja-JP"/>
        </w:rPr>
        <w:t>* У складу са дефиницијом која се користи у за потребе праћења спровођења аранжмана са ММФ.</w:t>
      </w:r>
    </w:p>
    <w:p w14:paraId="48030F57" w14:textId="77777777" w:rsidR="004044DC" w:rsidRPr="007E770D" w:rsidRDefault="004044DC" w:rsidP="009E4B86">
      <w:pPr>
        <w:pStyle w:val="ListParagraph"/>
        <w:spacing w:after="240" w:line="240" w:lineRule="auto"/>
        <w:ind w:left="0"/>
        <w:rPr>
          <w:rFonts w:eastAsia="MS PGothic" w:cstheme="minorHAnsi"/>
          <w:color w:val="auto"/>
          <w:sz w:val="16"/>
          <w:szCs w:val="16"/>
          <w:lang w:val="sr-Cyrl-CS" w:eastAsia="ja-JP"/>
        </w:rPr>
      </w:pPr>
    </w:p>
    <w:p w14:paraId="38704656" w14:textId="77777777" w:rsidR="004044DC" w:rsidRPr="007E770D" w:rsidRDefault="004044DC" w:rsidP="009E4B86">
      <w:pPr>
        <w:pStyle w:val="ListParagraph"/>
        <w:spacing w:after="240" w:line="240" w:lineRule="auto"/>
        <w:ind w:left="0"/>
        <w:rPr>
          <w:rFonts w:eastAsia="MS PGothic" w:cstheme="minorHAnsi"/>
          <w:color w:val="auto"/>
          <w:sz w:val="16"/>
          <w:szCs w:val="16"/>
          <w:lang w:val="sr-Cyrl-CS" w:eastAsia="ja-JP"/>
        </w:rPr>
      </w:pPr>
    </w:p>
    <w:p w14:paraId="464720E4" w14:textId="77777777" w:rsidR="004044DC" w:rsidRPr="007E770D" w:rsidRDefault="004044DC" w:rsidP="009E4B86">
      <w:pPr>
        <w:pStyle w:val="ListParagraph"/>
        <w:spacing w:after="240" w:line="240" w:lineRule="auto"/>
        <w:ind w:left="0"/>
        <w:rPr>
          <w:rFonts w:eastAsia="MS PGothic" w:cstheme="minorHAnsi"/>
          <w:color w:val="auto"/>
          <w:sz w:val="16"/>
          <w:szCs w:val="16"/>
          <w:lang w:val="sr-Cyrl-CS" w:eastAsia="ja-JP"/>
        </w:rPr>
      </w:pPr>
    </w:p>
    <w:p w14:paraId="31C5A7E4" w14:textId="77777777" w:rsidR="004044DC" w:rsidRPr="007E770D" w:rsidRDefault="004044DC" w:rsidP="00E4657F">
      <w:pPr>
        <w:spacing w:after="0" w:line="240" w:lineRule="auto"/>
        <w:jc w:val="center"/>
        <w:rPr>
          <w:rFonts w:cstheme="minorHAnsi"/>
          <w:b/>
          <w:color w:val="auto"/>
          <w:sz w:val="24"/>
          <w:szCs w:val="24"/>
          <w:lang w:val="sr-Cyrl-CS"/>
        </w:rPr>
      </w:pPr>
      <w:r w:rsidRPr="007E770D">
        <w:rPr>
          <w:rFonts w:cstheme="minorHAnsi"/>
          <w:noProof/>
          <w:color w:val="auto"/>
        </w:rPr>
        <w:lastRenderedPageBreak/>
        <mc:AlternateContent>
          <mc:Choice Requires="wps">
            <w:drawing>
              <wp:anchor distT="0" distB="0" distL="114300" distR="114300" simplePos="0" relativeHeight="251724800" behindDoc="1" locked="0" layoutInCell="1" allowOverlap="1" wp14:anchorId="033E5203" wp14:editId="08DCDEE3">
                <wp:simplePos x="0" y="0"/>
                <wp:positionH relativeFrom="margin">
                  <wp:posOffset>-191135</wp:posOffset>
                </wp:positionH>
                <wp:positionV relativeFrom="paragraph">
                  <wp:posOffset>-72228</wp:posOffset>
                </wp:positionV>
                <wp:extent cx="6276975" cy="5762846"/>
                <wp:effectExtent l="0" t="0" r="9525" b="9525"/>
                <wp:wrapNone/>
                <wp:docPr id="2" name="Rectangle 2"/>
                <wp:cNvGraphicFramePr/>
                <a:graphic xmlns:a="http://schemas.openxmlformats.org/drawingml/2006/main">
                  <a:graphicData uri="http://schemas.microsoft.com/office/word/2010/wordprocessingShape">
                    <wps:wsp>
                      <wps:cNvSpPr/>
                      <wps:spPr>
                        <a:xfrm>
                          <a:off x="0" y="0"/>
                          <a:ext cx="6276975" cy="5762846"/>
                        </a:xfrm>
                        <a:prstGeom prst="rect">
                          <a:avLst/>
                        </a:prstGeom>
                        <a:pattFill prst="pct25">
                          <a:fgClr>
                            <a:schemeClr val="bg1">
                              <a:lumMod val="85000"/>
                            </a:schemeClr>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9C1832" id="Rectangle 2" o:spid="_x0000_s1026" style="position:absolute;margin-left:-15.05pt;margin-top:-5.7pt;width:494.25pt;height:453.75pt;z-index:-2515916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" fillcolor="#d8d8d8 [2732]" stroked="f" strokeweight="1pt">
                <v:fill r:id="rId123" o:title="" color2="white [3212]" type="pattern"/>
                <w10:wrap anchorx="margin"/>
              </v:rect>
            </w:pict>
          </mc:Fallback>
        </mc:AlternateContent>
      </w:r>
      <w:r w:rsidRPr="007E770D">
        <w:rPr>
          <w:rFonts w:cstheme="minorHAnsi"/>
          <w:b/>
          <w:color w:val="auto"/>
          <w:sz w:val="24"/>
          <w:szCs w:val="24"/>
          <w:lang w:val="sr-Cyrl-CS"/>
        </w:rPr>
        <w:t>S0 индикатор краткорочне фискалне одрживости</w:t>
      </w:r>
    </w:p>
    <w:p w14:paraId="06C6A03C" w14:textId="77777777" w:rsidR="004044DC" w:rsidRPr="007E770D" w:rsidRDefault="004044DC" w:rsidP="009E4B86">
      <w:pPr>
        <w:spacing w:after="60"/>
        <w:rPr>
          <w:rFonts w:cstheme="minorHAnsi"/>
          <w:color w:val="auto"/>
          <w:szCs w:val="20"/>
          <w:lang w:val="sr-Cyrl-CS"/>
        </w:rPr>
      </w:pPr>
    </w:p>
    <w:p w14:paraId="0CFDDF70" w14:textId="77777777" w:rsidR="004044DC" w:rsidRPr="007E770D" w:rsidRDefault="004044DC" w:rsidP="009E4B86">
      <w:pPr>
        <w:spacing w:after="60"/>
        <w:rPr>
          <w:rFonts w:cstheme="minorHAnsi"/>
          <w:color w:val="auto"/>
          <w:szCs w:val="20"/>
          <w:lang w:val="sr-Cyrl-CS"/>
        </w:rPr>
        <w:sectPr w:rsidR="004044DC" w:rsidRPr="007E770D" w:rsidSect="00BA4876">
          <w:headerReference w:type="even" r:id="rId124"/>
          <w:headerReference w:type="default" r:id="rId125"/>
          <w:footerReference w:type="even" r:id="rId126"/>
          <w:footerReference w:type="default" r:id="rId127"/>
          <w:headerReference w:type="first" r:id="rId128"/>
          <w:type w:val="continuous"/>
          <w:pgSz w:w="12240" w:h="15840"/>
          <w:pgMar w:top="1440" w:right="1440" w:bottom="1440" w:left="1440" w:header="720" w:footer="720" w:gutter="0"/>
          <w:cols w:space="720"/>
          <w:docGrid w:linePitch="360"/>
        </w:sectPr>
      </w:pPr>
    </w:p>
    <w:p w14:paraId="027183AA" w14:textId="77777777" w:rsidR="004044DC" w:rsidRPr="007E770D" w:rsidRDefault="004044DC" w:rsidP="00C030A9">
      <w:pPr>
        <w:rPr>
          <w:rFonts w:cstheme="minorHAnsi"/>
          <w:color w:val="auto"/>
          <w:szCs w:val="20"/>
          <w:lang w:val="sr-Cyrl-CS"/>
        </w:rPr>
      </w:pPr>
      <w:r w:rsidRPr="007E770D">
        <w:rPr>
          <w:rFonts w:cstheme="minorHAnsi"/>
          <w:color w:val="auto"/>
          <w:szCs w:val="20"/>
          <w:lang w:val="sr-Cyrl-CS"/>
        </w:rPr>
        <w:t>Европска комисија је за оцену краткорочне фискалне одрживости дизајнирала композитни индикатор S0 којим се кроз идентификацију потенцијалних краткорочних ризика у текућој години настоји антиципирати фискални стрес у наредној години. Уколико вредност S0 индикатора прелази дефинисани праг сматра се да је земља у краткорочном ризику од фискалног стреса. Поред вредности за целокупан индикатор, ради лоцирања извора из ког ризик потиче, разматрају се и вредности подиндекса и њихових компоненти. S0 композитни индикатор се састоји од два подиндекса, који у себи садрже низ варијабли фискалне и макро-финансијске одрживости. Вредност ових подиндекса испод дефинисаног прага указују на одсуство краткорочног фискалног ризика.</w:t>
      </w:r>
    </w:p>
    <w:p w14:paraId="57D4B82B" w14:textId="77777777" w:rsidR="004044DC" w:rsidRPr="007E770D" w:rsidRDefault="004044DC" w:rsidP="00C130D2">
      <w:pPr>
        <w:rPr>
          <w:rFonts w:cstheme="minorHAnsi"/>
          <w:color w:val="auto"/>
          <w:szCs w:val="20"/>
          <w:lang w:val="sr-Cyrl-CS"/>
        </w:rPr>
      </w:pPr>
      <w:r w:rsidRPr="007E770D">
        <w:rPr>
          <w:rFonts w:cstheme="minorHAnsi"/>
          <w:color w:val="auto"/>
          <w:szCs w:val="20"/>
          <w:lang w:val="sr-Cyrl-CS"/>
        </w:rPr>
        <w:t>У 2018. години се вредности S0 индикатора као и оба подиндекса за Републику Србију налазе испод дефинисаних прагова што начелно указује да не постоји краткорочна опасност од појаве било какве макроекономске нестабилности, као и да нема изражених ризика који потичу из сфера које покривају подиндекси.</w:t>
      </w:r>
    </w:p>
    <w:p w14:paraId="16AA384C" w14:textId="77777777" w:rsidR="004044DC" w:rsidRPr="007E770D" w:rsidRDefault="004044DC" w:rsidP="00C130D2">
      <w:pPr>
        <w:rPr>
          <w:rFonts w:cstheme="minorHAnsi"/>
          <w:color w:val="auto"/>
          <w:szCs w:val="20"/>
          <w:lang w:val="sr-Cyrl-CS"/>
        </w:rPr>
      </w:pPr>
      <w:r w:rsidRPr="007E770D">
        <w:rPr>
          <w:rFonts w:cstheme="minorHAnsi"/>
          <w:color w:val="auto"/>
          <w:szCs w:val="20"/>
          <w:lang w:val="sr-Cyrl-CS"/>
        </w:rPr>
        <w:t xml:space="preserve">Фискална стабилност постигнута спроведеном фискалном консолидацијом задржана је и током 2018. године што је резултирало потпуним елиминисањем ризика из сфере фискалног </w:t>
      </w:r>
      <w:r w:rsidRPr="007E770D">
        <w:rPr>
          <w:rFonts w:cstheme="minorHAnsi"/>
          <w:color w:val="auto"/>
          <w:szCs w:val="20"/>
          <w:lang w:val="sr-Cyrl-CS"/>
        </w:rPr>
        <w:t>подиндекса будући да ниједна од компоненти овог подиндекса не премашује дефинисани праг. Вредност макро-финансијског подиндекса је у посматраној години такође непромењена, па кажемо да и у овој сфери начелно не постоје изазови који би довели до активације фискалних ризика.</w:t>
      </w:r>
    </w:p>
    <w:p w14:paraId="1B3E6A98" w14:textId="4714E5D0" w:rsidR="004044DC" w:rsidRPr="007E770D" w:rsidRDefault="004044DC" w:rsidP="00C130D2">
      <w:pPr>
        <w:rPr>
          <w:rFonts w:cstheme="minorHAnsi"/>
          <w:color w:val="auto"/>
          <w:szCs w:val="20"/>
          <w:lang w:val="sr-Cyrl-CS"/>
        </w:rPr>
      </w:pPr>
      <w:r w:rsidRPr="007E770D">
        <w:rPr>
          <w:rFonts w:cstheme="minorHAnsi"/>
          <w:color w:val="auto"/>
          <w:szCs w:val="20"/>
          <w:lang w:val="sr-Cyrl-CS"/>
        </w:rPr>
        <w:t>Успешно очувана макроекономска и фискална стабилност успостављена у претходном периоду обезбеђује простор за даљу релаксацију фискалне политике и у наредном пери</w:t>
      </w:r>
      <w:r w:rsidR="007E770D">
        <w:rPr>
          <w:rFonts w:cstheme="minorHAnsi"/>
          <w:color w:val="auto"/>
          <w:szCs w:val="20"/>
          <w:lang w:val="sr-Cyrl-CS"/>
        </w:rPr>
        <w:t>о</w:t>
      </w:r>
      <w:r w:rsidRPr="007E770D">
        <w:rPr>
          <w:rFonts w:cstheme="minorHAnsi"/>
          <w:color w:val="auto"/>
          <w:szCs w:val="20"/>
          <w:lang w:val="sr-Cyrl-CS"/>
        </w:rPr>
        <w:t>ду.</w:t>
      </w:r>
    </w:p>
    <w:p w14:paraId="448BF86C" w14:textId="77777777" w:rsidR="004044DC" w:rsidRPr="007E770D" w:rsidRDefault="004044DC">
      <w:pPr>
        <w:rPr>
          <w:rFonts w:cstheme="minorHAnsi"/>
          <w:color w:val="auto"/>
          <w:szCs w:val="20"/>
          <w:lang w:val="sr-Cyrl-CS"/>
        </w:rPr>
      </w:pPr>
      <w:r w:rsidRPr="007E770D">
        <w:rPr>
          <w:rFonts w:cstheme="minorHAnsi"/>
          <w:color w:val="auto"/>
          <w:szCs w:val="20"/>
          <w:lang w:val="sr-Cyrl-CS"/>
        </w:rPr>
        <w:t xml:space="preserve"> </w:t>
      </w:r>
      <w:r w:rsidRPr="007E770D">
        <w:rPr>
          <w:rFonts w:cstheme="minorHAnsi"/>
          <w:noProof/>
          <w:color w:val="auto"/>
          <w:szCs w:val="20"/>
        </w:rPr>
        <w:drawing>
          <wp:inline distT="0" distB="0" distL="0" distR="0" wp14:anchorId="1C5F5AE0" wp14:editId="112DF486">
            <wp:extent cx="2628900" cy="2971800"/>
            <wp:effectExtent l="0" t="0" r="0" b="0"/>
            <wp:docPr id="35" name="Chart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129"/>
              </a:graphicData>
            </a:graphic>
          </wp:inline>
        </w:drawing>
      </w:r>
    </w:p>
    <w:p w14:paraId="48C631B5" w14:textId="77777777" w:rsidR="004044DC" w:rsidRPr="007E770D" w:rsidRDefault="004044DC" w:rsidP="00C130D2">
      <w:pPr>
        <w:rPr>
          <w:rFonts w:eastAsia="Calibri" w:cstheme="minorHAnsi"/>
          <w:b/>
          <w:color w:val="auto"/>
          <w:sz w:val="24"/>
          <w:szCs w:val="26"/>
          <w:lang w:val="sr-Cyrl-CS"/>
        </w:rPr>
        <w:sectPr w:rsidR="004044DC" w:rsidRPr="007E770D" w:rsidSect="00C030A9">
          <w:type w:val="continuous"/>
          <w:pgSz w:w="12240" w:h="15840"/>
          <w:pgMar w:top="1440" w:right="1440" w:bottom="1440" w:left="1440" w:header="720" w:footer="720" w:gutter="0"/>
          <w:cols w:num="2" w:space="720"/>
          <w:docGrid w:linePitch="360"/>
          <w15:footnoteColumns w:val="1"/>
        </w:sectPr>
      </w:pPr>
    </w:p>
    <w:tbl>
      <w:tblPr>
        <w:tblpPr w:leftFromText="180" w:rightFromText="180" w:vertAnchor="page" w:horzAnchor="margin" w:tblpY="1546"/>
        <w:tblW w:w="9459" w:type="dxa"/>
        <w:tblLook w:val="04A0" w:firstRow="1" w:lastRow="0" w:firstColumn="1" w:lastColumn="0" w:noHBand="0" w:noVBand="1"/>
      </w:tblPr>
      <w:tblGrid>
        <w:gridCol w:w="4844"/>
        <w:gridCol w:w="789"/>
        <w:gridCol w:w="592"/>
        <w:gridCol w:w="634"/>
        <w:gridCol w:w="656"/>
        <w:gridCol w:w="656"/>
        <w:gridCol w:w="656"/>
        <w:gridCol w:w="632"/>
      </w:tblGrid>
      <w:tr w:rsidR="007E770D" w:rsidRPr="007E770D" w14:paraId="427C0FA2" w14:textId="77777777" w:rsidTr="00E4657F">
        <w:trPr>
          <w:trHeight w:val="44"/>
        </w:trPr>
        <w:tc>
          <w:tcPr>
            <w:tcW w:w="0" w:type="auto"/>
            <w:vMerge w:val="restart"/>
            <w:tcBorders>
              <w:top w:val="single" w:sz="4" w:space="0" w:color="002060"/>
            </w:tcBorders>
            <w:shd w:val="clear" w:color="auto" w:fill="auto"/>
            <w:noWrap/>
            <w:vAlign w:val="center"/>
            <w:hideMark/>
          </w:tcPr>
          <w:p w14:paraId="766DCADC" w14:textId="77777777" w:rsidR="004044DC" w:rsidRPr="007E770D" w:rsidRDefault="004044DC" w:rsidP="00C130D2">
            <w:pPr>
              <w:spacing w:after="0" w:line="240" w:lineRule="auto"/>
              <w:jc w:val="center"/>
              <w:rPr>
                <w:rFonts w:eastAsia="Times New Roman" w:cstheme="minorHAnsi"/>
                <w:color w:val="auto"/>
                <w:sz w:val="16"/>
                <w:szCs w:val="18"/>
                <w:lang w:val="sr-Cyrl-CS" w:eastAsia="sr-Cyrl-RS"/>
              </w:rPr>
            </w:pPr>
            <w:r w:rsidRPr="007E770D">
              <w:rPr>
                <w:rFonts w:eastAsia="Times New Roman" w:cstheme="minorHAnsi"/>
                <w:color w:val="auto"/>
                <w:sz w:val="16"/>
                <w:szCs w:val="18"/>
                <w:lang w:val="sr-Cyrl-CS" w:eastAsia="sr-Cyrl-RS"/>
              </w:rPr>
              <w:lastRenderedPageBreak/>
              <w:t>Назив варијабле</w:t>
            </w:r>
          </w:p>
        </w:tc>
        <w:tc>
          <w:tcPr>
            <w:tcW w:w="0" w:type="auto"/>
            <w:vMerge w:val="restart"/>
            <w:tcBorders>
              <w:top w:val="single" w:sz="4" w:space="0" w:color="002060"/>
            </w:tcBorders>
            <w:shd w:val="clear" w:color="auto" w:fill="auto"/>
            <w:noWrap/>
            <w:tcMar>
              <w:left w:w="0" w:type="dxa"/>
              <w:right w:w="0" w:type="dxa"/>
            </w:tcMar>
            <w:vAlign w:val="center"/>
            <w:hideMark/>
          </w:tcPr>
          <w:p w14:paraId="6D0C5F84" w14:textId="77777777" w:rsidR="004044DC" w:rsidRPr="007E770D" w:rsidRDefault="004044DC" w:rsidP="00C130D2">
            <w:pPr>
              <w:spacing w:after="0" w:line="240" w:lineRule="auto"/>
              <w:jc w:val="center"/>
              <w:rPr>
                <w:rFonts w:eastAsia="Times New Roman" w:cstheme="minorHAnsi"/>
                <w:color w:val="auto"/>
                <w:sz w:val="16"/>
                <w:szCs w:val="18"/>
                <w:lang w:val="sr-Cyrl-CS" w:eastAsia="sr-Cyrl-RS"/>
              </w:rPr>
            </w:pPr>
            <w:r w:rsidRPr="007E770D">
              <w:rPr>
                <w:rFonts w:eastAsia="Times New Roman" w:cstheme="minorHAnsi"/>
                <w:color w:val="auto"/>
                <w:sz w:val="16"/>
                <w:szCs w:val="18"/>
                <w:lang w:val="sr-Cyrl-CS" w:eastAsia="sr-Cyrl-RS"/>
              </w:rPr>
              <w:t>Критеријум</w:t>
            </w:r>
          </w:p>
        </w:tc>
        <w:tc>
          <w:tcPr>
            <w:tcW w:w="0" w:type="auto"/>
            <w:vMerge w:val="restart"/>
            <w:tcBorders>
              <w:top w:val="single" w:sz="4" w:space="0" w:color="002060"/>
            </w:tcBorders>
            <w:shd w:val="clear" w:color="auto" w:fill="auto"/>
            <w:noWrap/>
            <w:vAlign w:val="center"/>
            <w:hideMark/>
          </w:tcPr>
          <w:p w14:paraId="0EB94610" w14:textId="77777777" w:rsidR="004044DC" w:rsidRPr="007E770D" w:rsidRDefault="004044DC" w:rsidP="00C130D2">
            <w:pPr>
              <w:spacing w:after="0" w:line="240" w:lineRule="auto"/>
              <w:ind w:left="-14" w:hanging="29"/>
              <w:jc w:val="center"/>
              <w:rPr>
                <w:rFonts w:eastAsia="Times New Roman" w:cstheme="minorHAnsi"/>
                <w:color w:val="auto"/>
                <w:sz w:val="16"/>
                <w:szCs w:val="18"/>
                <w:lang w:val="sr-Cyrl-CS" w:eastAsia="sr-Cyrl-RS"/>
              </w:rPr>
            </w:pPr>
            <w:r w:rsidRPr="007E770D">
              <w:rPr>
                <w:rFonts w:eastAsia="Times New Roman" w:cstheme="minorHAnsi"/>
                <w:color w:val="auto"/>
                <w:sz w:val="16"/>
                <w:szCs w:val="18"/>
                <w:lang w:val="sr-Cyrl-CS" w:eastAsia="sr-Cyrl-RS"/>
              </w:rPr>
              <w:t>Праг</w:t>
            </w:r>
          </w:p>
        </w:tc>
        <w:tc>
          <w:tcPr>
            <w:tcW w:w="0" w:type="auto"/>
            <w:vMerge w:val="restart"/>
            <w:tcBorders>
              <w:top w:val="single" w:sz="4" w:space="0" w:color="002060"/>
            </w:tcBorders>
            <w:shd w:val="clear" w:color="auto" w:fill="auto"/>
            <w:tcMar>
              <w:left w:w="0" w:type="dxa"/>
              <w:right w:w="0" w:type="dxa"/>
            </w:tcMar>
            <w:vAlign w:val="center"/>
            <w:hideMark/>
          </w:tcPr>
          <w:p w14:paraId="74C19812" w14:textId="77777777" w:rsidR="004044DC" w:rsidRPr="007E770D" w:rsidRDefault="004044DC" w:rsidP="00C130D2">
            <w:pPr>
              <w:spacing w:after="0" w:line="240" w:lineRule="auto"/>
              <w:jc w:val="center"/>
              <w:rPr>
                <w:rFonts w:eastAsia="Times New Roman" w:cstheme="minorHAnsi"/>
                <w:color w:val="auto"/>
                <w:sz w:val="16"/>
                <w:szCs w:val="18"/>
                <w:lang w:val="sr-Cyrl-CS" w:eastAsia="sr-Cyrl-RS"/>
              </w:rPr>
            </w:pPr>
            <w:r w:rsidRPr="007E770D">
              <w:rPr>
                <w:rFonts w:eastAsia="Times New Roman" w:cstheme="minorHAnsi"/>
                <w:color w:val="auto"/>
                <w:sz w:val="16"/>
                <w:szCs w:val="18"/>
                <w:lang w:val="sr-Cyrl-CS" w:eastAsia="sr-Cyrl-RS"/>
              </w:rPr>
              <w:t>Сигнална моћ</w:t>
            </w:r>
          </w:p>
        </w:tc>
        <w:tc>
          <w:tcPr>
            <w:tcW w:w="2576" w:type="dxa"/>
            <w:gridSpan w:val="4"/>
            <w:tcBorders>
              <w:top w:val="single" w:sz="4" w:space="0" w:color="002060"/>
              <w:bottom w:val="single" w:sz="4" w:space="0" w:color="002060"/>
            </w:tcBorders>
            <w:shd w:val="clear" w:color="auto" w:fill="auto"/>
            <w:noWrap/>
            <w:tcMar>
              <w:left w:w="0" w:type="dxa"/>
              <w:right w:w="0" w:type="dxa"/>
            </w:tcMar>
            <w:vAlign w:val="center"/>
            <w:hideMark/>
          </w:tcPr>
          <w:p w14:paraId="41F3D696" w14:textId="77777777" w:rsidR="004044DC" w:rsidRPr="007E770D" w:rsidRDefault="004044DC" w:rsidP="00C130D2">
            <w:pPr>
              <w:spacing w:after="0" w:line="240" w:lineRule="auto"/>
              <w:jc w:val="center"/>
              <w:rPr>
                <w:rFonts w:eastAsia="Times New Roman" w:cstheme="minorHAnsi"/>
                <w:color w:val="auto"/>
                <w:sz w:val="16"/>
                <w:szCs w:val="18"/>
                <w:lang w:val="sr-Cyrl-CS" w:eastAsia="sr-Cyrl-RS"/>
              </w:rPr>
            </w:pPr>
            <w:r w:rsidRPr="007E770D">
              <w:rPr>
                <w:rFonts w:eastAsia="Times New Roman" w:cstheme="minorHAnsi"/>
                <w:color w:val="auto"/>
                <w:sz w:val="16"/>
                <w:szCs w:val="18"/>
                <w:lang w:val="sr-Cyrl-CS" w:eastAsia="sr-Cyrl-RS"/>
              </w:rPr>
              <w:t>Вредности за Републику Србију, %</w:t>
            </w:r>
          </w:p>
        </w:tc>
      </w:tr>
      <w:tr w:rsidR="007E770D" w:rsidRPr="007E770D" w14:paraId="3B13FF11" w14:textId="77777777" w:rsidTr="00E4657F">
        <w:trPr>
          <w:trHeight w:val="44"/>
        </w:trPr>
        <w:tc>
          <w:tcPr>
            <w:tcW w:w="0" w:type="auto"/>
            <w:vMerge/>
            <w:tcBorders>
              <w:bottom w:val="single" w:sz="4" w:space="0" w:color="002060"/>
            </w:tcBorders>
            <w:shd w:val="clear" w:color="auto" w:fill="auto"/>
            <w:vAlign w:val="center"/>
            <w:hideMark/>
          </w:tcPr>
          <w:p w14:paraId="2C709D35" w14:textId="77777777" w:rsidR="004044DC" w:rsidRPr="007E770D" w:rsidRDefault="004044DC" w:rsidP="00E4657F">
            <w:pPr>
              <w:spacing w:after="0" w:line="240" w:lineRule="auto"/>
              <w:rPr>
                <w:rFonts w:eastAsia="Times New Roman" w:cstheme="minorHAnsi"/>
                <w:color w:val="auto"/>
                <w:sz w:val="16"/>
                <w:szCs w:val="18"/>
                <w:lang w:val="sr-Cyrl-CS" w:eastAsia="sr-Cyrl-RS"/>
              </w:rPr>
            </w:pPr>
          </w:p>
        </w:tc>
        <w:tc>
          <w:tcPr>
            <w:tcW w:w="0" w:type="auto"/>
            <w:vMerge/>
            <w:tcBorders>
              <w:bottom w:val="single" w:sz="4" w:space="0" w:color="002060"/>
            </w:tcBorders>
            <w:shd w:val="clear" w:color="auto" w:fill="auto"/>
            <w:vAlign w:val="center"/>
            <w:hideMark/>
          </w:tcPr>
          <w:p w14:paraId="774BCE8C" w14:textId="77777777" w:rsidR="004044DC" w:rsidRPr="007E770D" w:rsidRDefault="004044DC" w:rsidP="00E4657F">
            <w:pPr>
              <w:spacing w:after="0" w:line="240" w:lineRule="auto"/>
              <w:rPr>
                <w:rFonts w:eastAsia="Times New Roman" w:cstheme="minorHAnsi"/>
                <w:color w:val="auto"/>
                <w:sz w:val="16"/>
                <w:szCs w:val="18"/>
                <w:lang w:val="sr-Cyrl-CS" w:eastAsia="sr-Cyrl-RS"/>
              </w:rPr>
            </w:pPr>
          </w:p>
        </w:tc>
        <w:tc>
          <w:tcPr>
            <w:tcW w:w="0" w:type="auto"/>
            <w:vMerge/>
            <w:tcBorders>
              <w:bottom w:val="single" w:sz="4" w:space="0" w:color="002060"/>
            </w:tcBorders>
            <w:shd w:val="clear" w:color="auto" w:fill="auto"/>
            <w:vAlign w:val="center"/>
            <w:hideMark/>
          </w:tcPr>
          <w:p w14:paraId="323FB7F6" w14:textId="77777777" w:rsidR="004044DC" w:rsidRPr="007E770D" w:rsidRDefault="004044DC" w:rsidP="00E4657F">
            <w:pPr>
              <w:spacing w:after="0" w:line="240" w:lineRule="auto"/>
              <w:rPr>
                <w:rFonts w:eastAsia="Times New Roman" w:cstheme="minorHAnsi"/>
                <w:color w:val="auto"/>
                <w:sz w:val="16"/>
                <w:szCs w:val="18"/>
                <w:lang w:val="sr-Cyrl-CS" w:eastAsia="sr-Cyrl-RS"/>
              </w:rPr>
            </w:pPr>
          </w:p>
        </w:tc>
        <w:tc>
          <w:tcPr>
            <w:tcW w:w="0" w:type="auto"/>
            <w:vMerge/>
            <w:tcBorders>
              <w:bottom w:val="single" w:sz="4" w:space="0" w:color="002060"/>
            </w:tcBorders>
            <w:shd w:val="clear" w:color="auto" w:fill="auto"/>
            <w:vAlign w:val="center"/>
            <w:hideMark/>
          </w:tcPr>
          <w:p w14:paraId="51812FCF" w14:textId="77777777" w:rsidR="004044DC" w:rsidRPr="007E770D" w:rsidRDefault="004044DC" w:rsidP="00E4657F">
            <w:pPr>
              <w:spacing w:after="0" w:line="240" w:lineRule="auto"/>
              <w:rPr>
                <w:rFonts w:eastAsia="Times New Roman" w:cstheme="minorHAnsi"/>
                <w:color w:val="auto"/>
                <w:sz w:val="16"/>
                <w:szCs w:val="18"/>
                <w:lang w:val="sr-Cyrl-CS" w:eastAsia="sr-Cyrl-RS"/>
              </w:rPr>
            </w:pPr>
          </w:p>
        </w:tc>
        <w:tc>
          <w:tcPr>
            <w:tcW w:w="0" w:type="auto"/>
            <w:tcBorders>
              <w:top w:val="single" w:sz="4" w:space="0" w:color="002060"/>
              <w:bottom w:val="single" w:sz="4" w:space="0" w:color="002060"/>
            </w:tcBorders>
            <w:shd w:val="clear" w:color="auto" w:fill="auto"/>
            <w:noWrap/>
            <w:vAlign w:val="bottom"/>
            <w:hideMark/>
          </w:tcPr>
          <w:p w14:paraId="6413F110" w14:textId="77777777" w:rsidR="004044DC" w:rsidRPr="007E770D" w:rsidRDefault="004044DC" w:rsidP="00E4657F">
            <w:pPr>
              <w:spacing w:after="0" w:line="240" w:lineRule="auto"/>
              <w:jc w:val="right"/>
              <w:rPr>
                <w:rFonts w:eastAsia="Times New Roman" w:cstheme="minorHAnsi"/>
                <w:b/>
                <w:bCs/>
                <w:color w:val="auto"/>
                <w:sz w:val="16"/>
                <w:szCs w:val="18"/>
                <w:lang w:val="sr-Cyrl-CS" w:eastAsia="sr-Cyrl-RS"/>
              </w:rPr>
            </w:pPr>
            <w:r w:rsidRPr="007E770D">
              <w:rPr>
                <w:rFonts w:eastAsia="Times New Roman" w:cstheme="minorHAnsi"/>
                <w:b/>
                <w:bCs/>
                <w:color w:val="auto"/>
                <w:sz w:val="16"/>
                <w:szCs w:val="18"/>
                <w:lang w:val="sr-Cyrl-CS" w:eastAsia="sr-Cyrl-RS"/>
              </w:rPr>
              <w:t>2015</w:t>
            </w:r>
          </w:p>
        </w:tc>
        <w:tc>
          <w:tcPr>
            <w:tcW w:w="0" w:type="auto"/>
            <w:tcBorders>
              <w:top w:val="single" w:sz="4" w:space="0" w:color="002060"/>
              <w:bottom w:val="single" w:sz="4" w:space="0" w:color="002060"/>
            </w:tcBorders>
            <w:shd w:val="clear" w:color="auto" w:fill="auto"/>
            <w:noWrap/>
            <w:vAlign w:val="bottom"/>
            <w:hideMark/>
          </w:tcPr>
          <w:p w14:paraId="6C13DCFC" w14:textId="77777777" w:rsidR="004044DC" w:rsidRPr="007E770D" w:rsidRDefault="004044DC" w:rsidP="00E4657F">
            <w:pPr>
              <w:spacing w:after="0" w:line="240" w:lineRule="auto"/>
              <w:jc w:val="right"/>
              <w:rPr>
                <w:rFonts w:eastAsia="Times New Roman" w:cstheme="minorHAnsi"/>
                <w:b/>
                <w:bCs/>
                <w:color w:val="auto"/>
                <w:sz w:val="16"/>
                <w:szCs w:val="18"/>
                <w:lang w:val="sr-Cyrl-CS" w:eastAsia="sr-Cyrl-RS"/>
              </w:rPr>
            </w:pPr>
            <w:r w:rsidRPr="007E770D">
              <w:rPr>
                <w:rFonts w:eastAsia="Times New Roman" w:cstheme="minorHAnsi"/>
                <w:b/>
                <w:bCs/>
                <w:color w:val="auto"/>
                <w:sz w:val="16"/>
                <w:szCs w:val="18"/>
                <w:lang w:val="sr-Cyrl-CS" w:eastAsia="sr-Cyrl-RS"/>
              </w:rPr>
              <w:t>2016</w:t>
            </w:r>
          </w:p>
        </w:tc>
        <w:tc>
          <w:tcPr>
            <w:tcW w:w="0" w:type="auto"/>
            <w:tcBorders>
              <w:top w:val="single" w:sz="4" w:space="0" w:color="002060"/>
              <w:bottom w:val="single" w:sz="4" w:space="0" w:color="002060"/>
            </w:tcBorders>
            <w:shd w:val="clear" w:color="auto" w:fill="auto"/>
            <w:noWrap/>
            <w:vAlign w:val="bottom"/>
            <w:hideMark/>
          </w:tcPr>
          <w:p w14:paraId="51119825" w14:textId="77777777" w:rsidR="004044DC" w:rsidRPr="007E770D" w:rsidRDefault="004044DC" w:rsidP="00E4657F">
            <w:pPr>
              <w:spacing w:after="0" w:line="240" w:lineRule="auto"/>
              <w:jc w:val="right"/>
              <w:rPr>
                <w:rFonts w:eastAsia="Times New Roman" w:cstheme="minorHAnsi"/>
                <w:b/>
                <w:bCs/>
                <w:color w:val="auto"/>
                <w:sz w:val="16"/>
                <w:szCs w:val="18"/>
                <w:lang w:val="sr-Cyrl-CS" w:eastAsia="sr-Cyrl-RS"/>
              </w:rPr>
            </w:pPr>
            <w:r w:rsidRPr="007E770D">
              <w:rPr>
                <w:rFonts w:eastAsia="Times New Roman" w:cstheme="minorHAnsi"/>
                <w:b/>
                <w:bCs/>
                <w:color w:val="auto"/>
                <w:sz w:val="16"/>
                <w:szCs w:val="18"/>
                <w:lang w:val="sr-Cyrl-CS" w:eastAsia="sr-Cyrl-RS"/>
              </w:rPr>
              <w:t>2017</w:t>
            </w:r>
          </w:p>
        </w:tc>
        <w:tc>
          <w:tcPr>
            <w:tcW w:w="668" w:type="dxa"/>
            <w:tcBorders>
              <w:bottom w:val="single" w:sz="4" w:space="0" w:color="002060"/>
            </w:tcBorders>
            <w:shd w:val="clear" w:color="auto" w:fill="auto"/>
            <w:vAlign w:val="center"/>
          </w:tcPr>
          <w:p w14:paraId="2B06B329" w14:textId="77777777" w:rsidR="004044DC" w:rsidRPr="007E770D" w:rsidRDefault="004044DC" w:rsidP="00E4657F">
            <w:pPr>
              <w:spacing w:after="0" w:line="240" w:lineRule="auto"/>
              <w:jc w:val="right"/>
              <w:rPr>
                <w:rFonts w:eastAsia="Times New Roman" w:cstheme="minorHAnsi"/>
                <w:b/>
                <w:bCs/>
                <w:color w:val="auto"/>
                <w:sz w:val="16"/>
                <w:szCs w:val="18"/>
                <w:lang w:val="sr-Cyrl-CS" w:eastAsia="sr-Cyrl-RS"/>
              </w:rPr>
            </w:pPr>
            <w:r w:rsidRPr="007E770D">
              <w:rPr>
                <w:rFonts w:eastAsia="Times New Roman" w:cstheme="minorHAnsi"/>
                <w:b/>
                <w:bCs/>
                <w:color w:val="auto"/>
                <w:sz w:val="16"/>
                <w:szCs w:val="18"/>
                <w:lang w:val="sr-Cyrl-CS" w:eastAsia="sr-Cyrl-RS"/>
              </w:rPr>
              <w:t>2018</w:t>
            </w:r>
          </w:p>
        </w:tc>
      </w:tr>
      <w:tr w:rsidR="007E770D" w:rsidRPr="007E770D" w14:paraId="5AF6AB29" w14:textId="77777777" w:rsidTr="00E4657F">
        <w:trPr>
          <w:trHeight w:val="44"/>
        </w:trPr>
        <w:tc>
          <w:tcPr>
            <w:tcW w:w="0" w:type="auto"/>
            <w:tcBorders>
              <w:top w:val="single" w:sz="4" w:space="0" w:color="002060"/>
            </w:tcBorders>
            <w:shd w:val="clear" w:color="auto" w:fill="E7E6E6" w:themeFill="background2"/>
            <w:noWrap/>
            <w:vAlign w:val="bottom"/>
            <w:hideMark/>
          </w:tcPr>
          <w:p w14:paraId="092CFA7B" w14:textId="77777777" w:rsidR="004044DC" w:rsidRPr="007E770D" w:rsidRDefault="004044DC" w:rsidP="00E4657F">
            <w:pPr>
              <w:spacing w:after="0" w:line="240" w:lineRule="auto"/>
              <w:rPr>
                <w:rFonts w:eastAsia="Times New Roman" w:cstheme="minorHAnsi"/>
                <w:bCs/>
                <w:color w:val="auto"/>
                <w:sz w:val="16"/>
                <w:szCs w:val="18"/>
                <w:lang w:val="sr-Cyrl-CS" w:eastAsia="sr-Cyrl-RS"/>
              </w:rPr>
            </w:pPr>
            <w:r w:rsidRPr="007E770D">
              <w:rPr>
                <w:rFonts w:eastAsia="Times New Roman" w:cstheme="minorHAnsi"/>
                <w:bCs/>
                <w:color w:val="auto"/>
                <w:sz w:val="16"/>
                <w:szCs w:val="18"/>
                <w:lang w:val="sr-Cyrl-CS" w:eastAsia="sr-Cyrl-RS"/>
              </w:rPr>
              <w:t>Фискални подиндекс</w:t>
            </w:r>
          </w:p>
        </w:tc>
        <w:tc>
          <w:tcPr>
            <w:tcW w:w="0" w:type="auto"/>
            <w:tcBorders>
              <w:top w:val="single" w:sz="4" w:space="0" w:color="002060"/>
            </w:tcBorders>
            <w:shd w:val="clear" w:color="auto" w:fill="E7E6E6" w:themeFill="background2"/>
            <w:noWrap/>
            <w:vAlign w:val="bottom"/>
            <w:hideMark/>
          </w:tcPr>
          <w:p w14:paraId="1D920937" w14:textId="77777777" w:rsidR="004044DC" w:rsidRPr="007E770D" w:rsidRDefault="004044DC" w:rsidP="00E4657F">
            <w:pPr>
              <w:spacing w:after="0" w:line="240" w:lineRule="auto"/>
              <w:jc w:val="center"/>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&lt;</w:t>
            </w:r>
          </w:p>
        </w:tc>
        <w:tc>
          <w:tcPr>
            <w:tcW w:w="0" w:type="auto"/>
            <w:tcBorders>
              <w:top w:val="single" w:sz="4" w:space="0" w:color="002060"/>
            </w:tcBorders>
            <w:shd w:val="clear" w:color="auto" w:fill="E7E6E6"/>
            <w:noWrap/>
            <w:vAlign w:val="bottom"/>
          </w:tcPr>
          <w:p w14:paraId="0678563B"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0,36</w:t>
            </w:r>
          </w:p>
        </w:tc>
        <w:tc>
          <w:tcPr>
            <w:tcW w:w="0" w:type="auto"/>
            <w:tcBorders>
              <w:top w:val="single" w:sz="4" w:space="0" w:color="002060"/>
            </w:tcBorders>
            <w:shd w:val="clear" w:color="auto" w:fill="E7E6E6"/>
            <w:noWrap/>
            <w:vAlign w:val="bottom"/>
          </w:tcPr>
          <w:p w14:paraId="5190C157"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0,28</w:t>
            </w:r>
          </w:p>
        </w:tc>
        <w:tc>
          <w:tcPr>
            <w:tcW w:w="0" w:type="auto"/>
            <w:tcBorders>
              <w:top w:val="single" w:sz="4" w:space="0" w:color="002060"/>
              <w:left w:val="nil"/>
            </w:tcBorders>
            <w:shd w:val="clear" w:color="auto" w:fill="E7E6E6"/>
            <w:noWrap/>
            <w:vAlign w:val="bottom"/>
          </w:tcPr>
          <w:p w14:paraId="39561161"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0,41</w:t>
            </w:r>
          </w:p>
        </w:tc>
        <w:tc>
          <w:tcPr>
            <w:tcW w:w="0" w:type="auto"/>
            <w:tcBorders>
              <w:top w:val="single" w:sz="4" w:space="0" w:color="002060"/>
            </w:tcBorders>
            <w:shd w:val="clear" w:color="auto" w:fill="E7E6E6"/>
            <w:noWrap/>
            <w:vAlign w:val="bottom"/>
          </w:tcPr>
          <w:p w14:paraId="35E589DC"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0,19</w:t>
            </w:r>
          </w:p>
        </w:tc>
        <w:tc>
          <w:tcPr>
            <w:tcW w:w="0" w:type="auto"/>
            <w:tcBorders>
              <w:top w:val="single" w:sz="4" w:space="0" w:color="002060"/>
            </w:tcBorders>
            <w:shd w:val="clear" w:color="auto" w:fill="E7E6E6"/>
            <w:noWrap/>
            <w:vAlign w:val="bottom"/>
          </w:tcPr>
          <w:p w14:paraId="41E68BAC"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0,00</w:t>
            </w:r>
          </w:p>
        </w:tc>
        <w:tc>
          <w:tcPr>
            <w:tcW w:w="668" w:type="dxa"/>
            <w:tcBorders>
              <w:top w:val="single" w:sz="4" w:space="0" w:color="002060"/>
              <w:left w:val="nil"/>
            </w:tcBorders>
            <w:shd w:val="clear" w:color="auto" w:fill="E7E6E6"/>
            <w:vAlign w:val="bottom"/>
          </w:tcPr>
          <w:p w14:paraId="44891BA7" w14:textId="77777777" w:rsidR="004044DC" w:rsidRPr="007E770D" w:rsidRDefault="004044DC" w:rsidP="00E4657F">
            <w:pPr>
              <w:spacing w:after="0" w:line="240" w:lineRule="auto"/>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0,00</w:t>
            </w:r>
          </w:p>
        </w:tc>
      </w:tr>
      <w:tr w:rsidR="007E770D" w:rsidRPr="007E770D" w14:paraId="0F10E396" w14:textId="77777777" w:rsidTr="00E4657F">
        <w:trPr>
          <w:trHeight w:val="44"/>
        </w:trPr>
        <w:tc>
          <w:tcPr>
            <w:tcW w:w="0" w:type="auto"/>
            <w:shd w:val="clear" w:color="auto" w:fill="auto"/>
            <w:noWrap/>
            <w:vAlign w:val="bottom"/>
            <w:hideMark/>
          </w:tcPr>
          <w:p w14:paraId="44112766" w14:textId="77777777" w:rsidR="004044DC" w:rsidRPr="007E770D" w:rsidRDefault="004044DC" w:rsidP="00E4657F">
            <w:pPr>
              <w:spacing w:after="0" w:line="240" w:lineRule="auto"/>
              <w:rPr>
                <w:rFonts w:eastAsia="Times New Roman" w:cstheme="minorHAnsi"/>
                <w:color w:val="auto"/>
                <w:sz w:val="16"/>
                <w:szCs w:val="18"/>
                <w:lang w:val="sr-Cyrl-CS" w:eastAsia="sr-Cyrl-RS"/>
              </w:rPr>
            </w:pPr>
            <w:r w:rsidRPr="007E770D">
              <w:rPr>
                <w:rFonts w:eastAsia="Times New Roman" w:cstheme="minorHAnsi"/>
                <w:color w:val="auto"/>
                <w:sz w:val="16"/>
                <w:szCs w:val="18"/>
                <w:lang w:val="sr-Cyrl-CS" w:eastAsia="sr-Cyrl-RS"/>
              </w:rPr>
              <w:t>1. Фискални баланс, % БДП</w:t>
            </w:r>
          </w:p>
        </w:tc>
        <w:tc>
          <w:tcPr>
            <w:tcW w:w="0" w:type="auto"/>
            <w:shd w:val="clear" w:color="auto" w:fill="auto"/>
            <w:noWrap/>
            <w:vAlign w:val="bottom"/>
            <w:hideMark/>
          </w:tcPr>
          <w:p w14:paraId="61215649" w14:textId="77777777" w:rsidR="004044DC" w:rsidRPr="007E770D" w:rsidRDefault="004044DC" w:rsidP="00E4657F">
            <w:pPr>
              <w:spacing w:after="0" w:line="240" w:lineRule="auto"/>
              <w:jc w:val="center"/>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&gt;</w:t>
            </w:r>
          </w:p>
        </w:tc>
        <w:tc>
          <w:tcPr>
            <w:tcW w:w="0" w:type="auto"/>
            <w:shd w:val="clear" w:color="auto" w:fill="auto"/>
            <w:noWrap/>
            <w:vAlign w:val="bottom"/>
          </w:tcPr>
          <w:p w14:paraId="56F80D61"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-9,61</w:t>
            </w:r>
          </w:p>
        </w:tc>
        <w:tc>
          <w:tcPr>
            <w:tcW w:w="0" w:type="auto"/>
            <w:shd w:val="clear" w:color="auto" w:fill="auto"/>
            <w:noWrap/>
            <w:vAlign w:val="bottom"/>
          </w:tcPr>
          <w:p w14:paraId="05261A6F"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0,07</w:t>
            </w:r>
          </w:p>
        </w:tc>
        <w:tc>
          <w:tcPr>
            <w:tcW w:w="0" w:type="auto"/>
            <w:tcBorders>
              <w:left w:val="nil"/>
            </w:tcBorders>
            <w:shd w:val="clear" w:color="auto" w:fill="auto"/>
            <w:noWrap/>
            <w:vAlign w:val="bottom"/>
          </w:tcPr>
          <w:p w14:paraId="21D0BFC9"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-3,46</w:t>
            </w:r>
          </w:p>
        </w:tc>
        <w:tc>
          <w:tcPr>
            <w:tcW w:w="0" w:type="auto"/>
            <w:shd w:val="clear" w:color="auto" w:fill="auto"/>
            <w:noWrap/>
            <w:vAlign w:val="bottom"/>
          </w:tcPr>
          <w:p w14:paraId="605A42FB"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-1,19</w:t>
            </w:r>
          </w:p>
        </w:tc>
        <w:tc>
          <w:tcPr>
            <w:tcW w:w="0" w:type="auto"/>
            <w:shd w:val="clear" w:color="auto" w:fill="auto"/>
            <w:noWrap/>
            <w:vAlign w:val="bottom"/>
          </w:tcPr>
          <w:p w14:paraId="01C88389"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1,10</w:t>
            </w:r>
          </w:p>
        </w:tc>
        <w:tc>
          <w:tcPr>
            <w:tcW w:w="668" w:type="dxa"/>
            <w:tcBorders>
              <w:left w:val="nil"/>
            </w:tcBorders>
            <w:shd w:val="clear" w:color="auto" w:fill="auto"/>
            <w:vAlign w:val="bottom"/>
          </w:tcPr>
          <w:p w14:paraId="046AC4E9" w14:textId="77777777" w:rsidR="004044DC" w:rsidRPr="007E770D" w:rsidRDefault="004044DC" w:rsidP="00E4657F">
            <w:pPr>
              <w:spacing w:after="0" w:line="240" w:lineRule="auto"/>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0,64</w:t>
            </w:r>
          </w:p>
        </w:tc>
      </w:tr>
      <w:tr w:rsidR="007E770D" w:rsidRPr="007E770D" w14:paraId="60AD5EBB" w14:textId="77777777" w:rsidTr="00E4657F">
        <w:trPr>
          <w:trHeight w:val="44"/>
        </w:trPr>
        <w:tc>
          <w:tcPr>
            <w:tcW w:w="0" w:type="auto"/>
            <w:shd w:val="clear" w:color="auto" w:fill="auto"/>
            <w:noWrap/>
            <w:vAlign w:val="bottom"/>
            <w:hideMark/>
          </w:tcPr>
          <w:p w14:paraId="15F799CC" w14:textId="77777777" w:rsidR="004044DC" w:rsidRPr="007E770D" w:rsidRDefault="004044DC" w:rsidP="00E4657F">
            <w:pPr>
              <w:spacing w:after="0" w:line="240" w:lineRule="auto"/>
              <w:rPr>
                <w:rFonts w:eastAsia="Times New Roman" w:cstheme="minorHAnsi"/>
                <w:color w:val="auto"/>
                <w:sz w:val="16"/>
                <w:szCs w:val="18"/>
                <w:lang w:val="sr-Cyrl-CS" w:eastAsia="sr-Cyrl-RS"/>
              </w:rPr>
            </w:pPr>
            <w:r w:rsidRPr="007E770D">
              <w:rPr>
                <w:rFonts w:eastAsia="Times New Roman" w:cstheme="minorHAnsi"/>
                <w:color w:val="auto"/>
                <w:sz w:val="16"/>
                <w:szCs w:val="18"/>
                <w:lang w:val="sr-Cyrl-CS" w:eastAsia="sr-Cyrl-RS"/>
              </w:rPr>
              <w:t>2. Примарни баланс, % БДП</w:t>
            </w:r>
          </w:p>
        </w:tc>
        <w:tc>
          <w:tcPr>
            <w:tcW w:w="0" w:type="auto"/>
            <w:shd w:val="clear" w:color="auto" w:fill="auto"/>
            <w:noWrap/>
            <w:vAlign w:val="bottom"/>
            <w:hideMark/>
          </w:tcPr>
          <w:p w14:paraId="56D3E70F" w14:textId="77777777" w:rsidR="004044DC" w:rsidRPr="007E770D" w:rsidRDefault="004044DC" w:rsidP="00E4657F">
            <w:pPr>
              <w:spacing w:after="0" w:line="240" w:lineRule="auto"/>
              <w:jc w:val="center"/>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&gt;</w:t>
            </w:r>
          </w:p>
        </w:tc>
        <w:tc>
          <w:tcPr>
            <w:tcW w:w="0" w:type="auto"/>
            <w:tcBorders>
              <w:top w:val="nil"/>
            </w:tcBorders>
            <w:shd w:val="clear" w:color="auto" w:fill="auto"/>
            <w:noWrap/>
            <w:vAlign w:val="bottom"/>
          </w:tcPr>
          <w:p w14:paraId="1A5418A2"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0,23</w:t>
            </w:r>
          </w:p>
        </w:tc>
        <w:tc>
          <w:tcPr>
            <w:tcW w:w="0" w:type="auto"/>
            <w:tcBorders>
              <w:top w:val="nil"/>
            </w:tcBorders>
            <w:shd w:val="clear" w:color="auto" w:fill="auto"/>
            <w:noWrap/>
            <w:vAlign w:val="bottom"/>
          </w:tcPr>
          <w:p w14:paraId="2741C97B"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0,13</w:t>
            </w:r>
          </w:p>
        </w:tc>
        <w:tc>
          <w:tcPr>
            <w:tcW w:w="0" w:type="auto"/>
            <w:tcBorders>
              <w:top w:val="nil"/>
              <w:left w:val="nil"/>
            </w:tcBorders>
            <w:shd w:val="clear" w:color="auto" w:fill="auto"/>
            <w:noWrap/>
            <w:vAlign w:val="bottom"/>
          </w:tcPr>
          <w:p w14:paraId="21DB4A3A"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-0,47</w:t>
            </w:r>
          </w:p>
        </w:tc>
        <w:tc>
          <w:tcPr>
            <w:tcW w:w="0" w:type="auto"/>
            <w:tcBorders>
              <w:top w:val="nil"/>
            </w:tcBorders>
            <w:shd w:val="clear" w:color="auto" w:fill="auto"/>
            <w:noWrap/>
            <w:vAlign w:val="bottom"/>
          </w:tcPr>
          <w:p w14:paraId="74BB650A"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1,71</w:t>
            </w:r>
          </w:p>
        </w:tc>
        <w:tc>
          <w:tcPr>
            <w:tcW w:w="0" w:type="auto"/>
            <w:tcBorders>
              <w:top w:val="nil"/>
            </w:tcBorders>
            <w:shd w:val="clear" w:color="auto" w:fill="auto"/>
            <w:noWrap/>
            <w:vAlign w:val="bottom"/>
          </w:tcPr>
          <w:p w14:paraId="542025E5"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3,64</w:t>
            </w:r>
          </w:p>
        </w:tc>
        <w:tc>
          <w:tcPr>
            <w:tcW w:w="668" w:type="dxa"/>
            <w:tcBorders>
              <w:top w:val="nil"/>
              <w:left w:val="nil"/>
            </w:tcBorders>
            <w:shd w:val="clear" w:color="auto" w:fill="auto"/>
            <w:vAlign w:val="bottom"/>
          </w:tcPr>
          <w:p w14:paraId="705AA65E" w14:textId="77777777" w:rsidR="004044DC" w:rsidRPr="007E770D" w:rsidRDefault="004044DC" w:rsidP="00E4657F">
            <w:pPr>
              <w:spacing w:after="0" w:line="240" w:lineRule="auto"/>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2,78</w:t>
            </w:r>
          </w:p>
        </w:tc>
      </w:tr>
      <w:tr w:rsidR="007E770D" w:rsidRPr="007E770D" w14:paraId="68805D6C" w14:textId="77777777" w:rsidTr="00E4657F">
        <w:trPr>
          <w:trHeight w:val="44"/>
        </w:trPr>
        <w:tc>
          <w:tcPr>
            <w:tcW w:w="0" w:type="auto"/>
            <w:shd w:val="clear" w:color="auto" w:fill="auto"/>
            <w:noWrap/>
            <w:vAlign w:val="bottom"/>
            <w:hideMark/>
          </w:tcPr>
          <w:p w14:paraId="76180C10" w14:textId="77777777" w:rsidR="004044DC" w:rsidRPr="007E770D" w:rsidRDefault="004044DC" w:rsidP="00E4657F">
            <w:pPr>
              <w:spacing w:after="0" w:line="240" w:lineRule="auto"/>
              <w:rPr>
                <w:rFonts w:eastAsia="Times New Roman" w:cstheme="minorHAnsi"/>
                <w:color w:val="auto"/>
                <w:sz w:val="16"/>
                <w:szCs w:val="18"/>
                <w:lang w:val="sr-Cyrl-CS" w:eastAsia="sr-Cyrl-RS"/>
              </w:rPr>
            </w:pPr>
            <w:r w:rsidRPr="007E770D">
              <w:rPr>
                <w:rFonts w:eastAsia="Times New Roman" w:cstheme="minorHAnsi"/>
                <w:color w:val="auto"/>
                <w:sz w:val="16"/>
                <w:szCs w:val="18"/>
                <w:lang w:val="sr-Cyrl-CS" w:eastAsia="sr-Cyrl-RS"/>
              </w:rPr>
              <w:t>3. Циклично прилагођени баланс, % БДП</w:t>
            </w:r>
          </w:p>
        </w:tc>
        <w:tc>
          <w:tcPr>
            <w:tcW w:w="0" w:type="auto"/>
            <w:shd w:val="clear" w:color="auto" w:fill="auto"/>
            <w:noWrap/>
            <w:vAlign w:val="bottom"/>
            <w:hideMark/>
          </w:tcPr>
          <w:p w14:paraId="1393C3BE" w14:textId="77777777" w:rsidR="004044DC" w:rsidRPr="007E770D" w:rsidRDefault="004044DC" w:rsidP="00E4657F">
            <w:pPr>
              <w:spacing w:after="0" w:line="240" w:lineRule="auto"/>
              <w:jc w:val="center"/>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&gt;</w:t>
            </w:r>
          </w:p>
        </w:tc>
        <w:tc>
          <w:tcPr>
            <w:tcW w:w="0" w:type="auto"/>
            <w:tcBorders>
              <w:top w:val="nil"/>
            </w:tcBorders>
            <w:shd w:val="clear" w:color="auto" w:fill="auto"/>
            <w:noWrap/>
            <w:vAlign w:val="bottom"/>
          </w:tcPr>
          <w:p w14:paraId="26C9024D"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-2,5</w:t>
            </w:r>
          </w:p>
        </w:tc>
        <w:tc>
          <w:tcPr>
            <w:tcW w:w="0" w:type="auto"/>
            <w:tcBorders>
              <w:top w:val="nil"/>
            </w:tcBorders>
            <w:shd w:val="clear" w:color="auto" w:fill="auto"/>
            <w:noWrap/>
            <w:vAlign w:val="bottom"/>
          </w:tcPr>
          <w:p w14:paraId="086A193F"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0,23</w:t>
            </w:r>
          </w:p>
        </w:tc>
        <w:tc>
          <w:tcPr>
            <w:tcW w:w="0" w:type="auto"/>
            <w:tcBorders>
              <w:top w:val="nil"/>
              <w:left w:val="nil"/>
            </w:tcBorders>
            <w:shd w:val="clear" w:color="auto" w:fill="auto"/>
            <w:noWrap/>
            <w:vAlign w:val="bottom"/>
          </w:tcPr>
          <w:p w14:paraId="69572E1F"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-3,05</w:t>
            </w:r>
          </w:p>
        </w:tc>
        <w:tc>
          <w:tcPr>
            <w:tcW w:w="0" w:type="auto"/>
            <w:tcBorders>
              <w:top w:val="nil"/>
            </w:tcBorders>
            <w:shd w:val="clear" w:color="auto" w:fill="auto"/>
            <w:noWrap/>
            <w:vAlign w:val="bottom"/>
          </w:tcPr>
          <w:p w14:paraId="509149DB"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-1,21</w:t>
            </w:r>
          </w:p>
        </w:tc>
        <w:tc>
          <w:tcPr>
            <w:tcW w:w="0" w:type="auto"/>
            <w:tcBorders>
              <w:top w:val="nil"/>
            </w:tcBorders>
            <w:shd w:val="clear" w:color="auto" w:fill="auto"/>
            <w:noWrap/>
            <w:vAlign w:val="bottom"/>
          </w:tcPr>
          <w:p w14:paraId="70CB344B"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1,35</w:t>
            </w:r>
          </w:p>
        </w:tc>
        <w:tc>
          <w:tcPr>
            <w:tcW w:w="668" w:type="dxa"/>
            <w:tcBorders>
              <w:top w:val="nil"/>
              <w:left w:val="nil"/>
            </w:tcBorders>
            <w:shd w:val="clear" w:color="auto" w:fill="auto"/>
            <w:vAlign w:val="bottom"/>
          </w:tcPr>
          <w:p w14:paraId="3EA20401" w14:textId="77777777" w:rsidR="004044DC" w:rsidRPr="007E770D" w:rsidRDefault="004044DC" w:rsidP="00E4657F">
            <w:pPr>
              <w:spacing w:after="0" w:line="240" w:lineRule="auto"/>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0,52</w:t>
            </w:r>
          </w:p>
        </w:tc>
      </w:tr>
      <w:tr w:rsidR="007E770D" w:rsidRPr="007E770D" w14:paraId="1E0F218B" w14:textId="77777777" w:rsidTr="00E4657F">
        <w:trPr>
          <w:trHeight w:val="44"/>
        </w:trPr>
        <w:tc>
          <w:tcPr>
            <w:tcW w:w="0" w:type="auto"/>
            <w:shd w:val="clear" w:color="auto" w:fill="auto"/>
            <w:noWrap/>
            <w:vAlign w:val="bottom"/>
            <w:hideMark/>
          </w:tcPr>
          <w:p w14:paraId="1F8CE7E1" w14:textId="77777777" w:rsidR="004044DC" w:rsidRPr="007E770D" w:rsidRDefault="004044DC" w:rsidP="00E4657F">
            <w:pPr>
              <w:spacing w:after="0" w:line="240" w:lineRule="auto"/>
              <w:rPr>
                <w:rFonts w:eastAsia="Times New Roman" w:cstheme="minorHAnsi"/>
                <w:color w:val="auto"/>
                <w:sz w:val="16"/>
                <w:szCs w:val="18"/>
                <w:lang w:val="sr-Cyrl-CS" w:eastAsia="sr-Cyrl-RS"/>
              </w:rPr>
            </w:pPr>
            <w:r w:rsidRPr="007E770D">
              <w:rPr>
                <w:rFonts w:eastAsia="Times New Roman" w:cstheme="minorHAnsi"/>
                <w:color w:val="auto"/>
                <w:sz w:val="16"/>
                <w:szCs w:val="18"/>
                <w:lang w:val="sr-Cyrl-CS" w:eastAsia="sr-Cyrl-RS"/>
              </w:rPr>
              <w:t>4. Стабилизујући примарни баланс, % БДП</w:t>
            </w:r>
          </w:p>
        </w:tc>
        <w:tc>
          <w:tcPr>
            <w:tcW w:w="0" w:type="auto"/>
            <w:shd w:val="clear" w:color="auto" w:fill="auto"/>
            <w:noWrap/>
            <w:vAlign w:val="bottom"/>
            <w:hideMark/>
          </w:tcPr>
          <w:p w14:paraId="7BA86EF0" w14:textId="77777777" w:rsidR="004044DC" w:rsidRPr="007E770D" w:rsidRDefault="004044DC" w:rsidP="00E4657F">
            <w:pPr>
              <w:spacing w:after="0" w:line="240" w:lineRule="auto"/>
              <w:jc w:val="center"/>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&lt;</w:t>
            </w:r>
          </w:p>
        </w:tc>
        <w:tc>
          <w:tcPr>
            <w:tcW w:w="0" w:type="auto"/>
            <w:tcBorders>
              <w:top w:val="nil"/>
            </w:tcBorders>
            <w:shd w:val="clear" w:color="auto" w:fill="auto"/>
            <w:noWrap/>
            <w:vAlign w:val="bottom"/>
          </w:tcPr>
          <w:p w14:paraId="07B4E2FB"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2,34</w:t>
            </w:r>
          </w:p>
        </w:tc>
        <w:tc>
          <w:tcPr>
            <w:tcW w:w="0" w:type="auto"/>
            <w:tcBorders>
              <w:top w:val="nil"/>
            </w:tcBorders>
            <w:shd w:val="clear" w:color="auto" w:fill="auto"/>
            <w:noWrap/>
            <w:vAlign w:val="bottom"/>
          </w:tcPr>
          <w:p w14:paraId="417458FA"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0,08</w:t>
            </w:r>
          </w:p>
        </w:tc>
        <w:tc>
          <w:tcPr>
            <w:tcW w:w="0" w:type="auto"/>
            <w:tcBorders>
              <w:top w:val="nil"/>
              <w:left w:val="nil"/>
            </w:tcBorders>
            <w:shd w:val="clear" w:color="auto" w:fill="auto"/>
            <w:noWrap/>
            <w:vAlign w:val="bottom"/>
          </w:tcPr>
          <w:p w14:paraId="27864597"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0,42</w:t>
            </w:r>
          </w:p>
        </w:tc>
        <w:tc>
          <w:tcPr>
            <w:tcW w:w="0" w:type="auto"/>
            <w:tcBorders>
              <w:top w:val="nil"/>
            </w:tcBorders>
            <w:shd w:val="clear" w:color="auto" w:fill="auto"/>
            <w:noWrap/>
            <w:vAlign w:val="bottom"/>
          </w:tcPr>
          <w:p w14:paraId="6528725E"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-0,37</w:t>
            </w:r>
          </w:p>
        </w:tc>
        <w:tc>
          <w:tcPr>
            <w:tcW w:w="0" w:type="auto"/>
            <w:tcBorders>
              <w:top w:val="nil"/>
            </w:tcBorders>
            <w:shd w:val="clear" w:color="auto" w:fill="auto"/>
            <w:noWrap/>
            <w:vAlign w:val="bottom"/>
          </w:tcPr>
          <w:p w14:paraId="5BB8690C"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-0,48</w:t>
            </w:r>
          </w:p>
        </w:tc>
        <w:tc>
          <w:tcPr>
            <w:tcW w:w="668" w:type="dxa"/>
            <w:tcBorders>
              <w:top w:val="nil"/>
              <w:left w:val="nil"/>
            </w:tcBorders>
            <w:shd w:val="clear" w:color="auto" w:fill="auto"/>
            <w:vAlign w:val="bottom"/>
          </w:tcPr>
          <w:p w14:paraId="4CA2D696" w14:textId="77777777" w:rsidR="004044DC" w:rsidRPr="007E770D" w:rsidRDefault="004044DC" w:rsidP="00E4657F">
            <w:pPr>
              <w:spacing w:after="0" w:line="240" w:lineRule="auto"/>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-1,42</w:t>
            </w:r>
          </w:p>
        </w:tc>
      </w:tr>
      <w:tr w:rsidR="007E770D" w:rsidRPr="007E770D" w14:paraId="340EE4B0" w14:textId="77777777" w:rsidTr="00E4657F">
        <w:trPr>
          <w:trHeight w:val="44"/>
        </w:trPr>
        <w:tc>
          <w:tcPr>
            <w:tcW w:w="0" w:type="auto"/>
            <w:shd w:val="clear" w:color="auto" w:fill="auto"/>
            <w:noWrap/>
            <w:vAlign w:val="bottom"/>
            <w:hideMark/>
          </w:tcPr>
          <w:p w14:paraId="45869E4C" w14:textId="77777777" w:rsidR="004044DC" w:rsidRPr="007E770D" w:rsidRDefault="004044DC" w:rsidP="00E4657F">
            <w:pPr>
              <w:spacing w:after="0" w:line="240" w:lineRule="auto"/>
              <w:rPr>
                <w:rFonts w:eastAsia="Times New Roman" w:cstheme="minorHAnsi"/>
                <w:color w:val="auto"/>
                <w:sz w:val="16"/>
                <w:szCs w:val="18"/>
                <w:lang w:val="sr-Cyrl-CS" w:eastAsia="sr-Cyrl-RS"/>
              </w:rPr>
            </w:pPr>
            <w:r w:rsidRPr="007E770D">
              <w:rPr>
                <w:rFonts w:eastAsia="Times New Roman" w:cstheme="minorHAnsi"/>
                <w:color w:val="auto"/>
                <w:sz w:val="16"/>
                <w:szCs w:val="18"/>
                <w:lang w:val="sr-Cyrl-CS" w:eastAsia="sr-Cyrl-RS"/>
              </w:rPr>
              <w:t>5. Бруто дуг опште државе, % БДП</w:t>
            </w:r>
          </w:p>
        </w:tc>
        <w:tc>
          <w:tcPr>
            <w:tcW w:w="0" w:type="auto"/>
            <w:shd w:val="clear" w:color="auto" w:fill="auto"/>
            <w:noWrap/>
            <w:vAlign w:val="bottom"/>
            <w:hideMark/>
          </w:tcPr>
          <w:p w14:paraId="5873AA6A" w14:textId="77777777" w:rsidR="004044DC" w:rsidRPr="007E770D" w:rsidRDefault="004044DC" w:rsidP="00E4657F">
            <w:pPr>
              <w:spacing w:after="0" w:line="240" w:lineRule="auto"/>
              <w:jc w:val="center"/>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&lt;</w:t>
            </w:r>
          </w:p>
        </w:tc>
        <w:tc>
          <w:tcPr>
            <w:tcW w:w="0" w:type="auto"/>
            <w:tcBorders>
              <w:top w:val="nil"/>
            </w:tcBorders>
            <w:shd w:val="clear" w:color="auto" w:fill="auto"/>
            <w:noWrap/>
            <w:vAlign w:val="bottom"/>
          </w:tcPr>
          <w:p w14:paraId="685D986B"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68,44</w:t>
            </w:r>
          </w:p>
        </w:tc>
        <w:tc>
          <w:tcPr>
            <w:tcW w:w="0" w:type="auto"/>
            <w:tcBorders>
              <w:top w:val="nil"/>
            </w:tcBorders>
            <w:shd w:val="clear" w:color="auto" w:fill="auto"/>
            <w:noWrap/>
            <w:vAlign w:val="bottom"/>
          </w:tcPr>
          <w:p w14:paraId="69AD40FF"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0,12</w:t>
            </w:r>
          </w:p>
        </w:tc>
        <w:tc>
          <w:tcPr>
            <w:tcW w:w="0" w:type="auto"/>
            <w:tcBorders>
              <w:top w:val="nil"/>
              <w:left w:val="nil"/>
            </w:tcBorders>
            <w:shd w:val="clear" w:color="auto" w:fill="auto"/>
            <w:noWrap/>
            <w:vAlign w:val="bottom"/>
          </w:tcPr>
          <w:p w14:paraId="36A367B4"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71,25</w:t>
            </w:r>
          </w:p>
        </w:tc>
        <w:tc>
          <w:tcPr>
            <w:tcW w:w="0" w:type="auto"/>
            <w:tcBorders>
              <w:top w:val="nil"/>
            </w:tcBorders>
            <w:shd w:val="clear" w:color="auto" w:fill="auto"/>
            <w:noWrap/>
            <w:vAlign w:val="bottom"/>
          </w:tcPr>
          <w:p w14:paraId="35CE41E7"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68,80</w:t>
            </w:r>
          </w:p>
        </w:tc>
        <w:tc>
          <w:tcPr>
            <w:tcW w:w="0" w:type="auto"/>
            <w:tcBorders>
              <w:top w:val="nil"/>
            </w:tcBorders>
            <w:shd w:val="clear" w:color="auto" w:fill="auto"/>
            <w:noWrap/>
            <w:vAlign w:val="bottom"/>
          </w:tcPr>
          <w:p w14:paraId="44C308C5"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58,69</w:t>
            </w:r>
          </w:p>
        </w:tc>
        <w:tc>
          <w:tcPr>
            <w:tcW w:w="668" w:type="dxa"/>
            <w:tcBorders>
              <w:top w:val="nil"/>
              <w:left w:val="nil"/>
            </w:tcBorders>
            <w:shd w:val="clear" w:color="auto" w:fill="auto"/>
            <w:vAlign w:val="bottom"/>
          </w:tcPr>
          <w:p w14:paraId="09343CD8" w14:textId="77777777" w:rsidR="004044DC" w:rsidRPr="007E770D" w:rsidRDefault="004044DC" w:rsidP="00E4657F">
            <w:pPr>
              <w:spacing w:after="0" w:line="240" w:lineRule="auto"/>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54,40</w:t>
            </w:r>
          </w:p>
        </w:tc>
      </w:tr>
      <w:tr w:rsidR="007E770D" w:rsidRPr="007E770D" w14:paraId="695446A0" w14:textId="77777777" w:rsidTr="00E4657F">
        <w:trPr>
          <w:trHeight w:val="44"/>
        </w:trPr>
        <w:tc>
          <w:tcPr>
            <w:tcW w:w="0" w:type="auto"/>
            <w:shd w:val="clear" w:color="auto" w:fill="auto"/>
            <w:noWrap/>
            <w:vAlign w:val="bottom"/>
            <w:hideMark/>
          </w:tcPr>
          <w:p w14:paraId="3A6812F2" w14:textId="77777777" w:rsidR="004044DC" w:rsidRPr="007E770D" w:rsidRDefault="004044DC" w:rsidP="00E4657F">
            <w:pPr>
              <w:spacing w:after="0" w:line="240" w:lineRule="auto"/>
              <w:rPr>
                <w:rFonts w:eastAsia="Times New Roman" w:cstheme="minorHAnsi"/>
                <w:color w:val="auto"/>
                <w:sz w:val="16"/>
                <w:szCs w:val="18"/>
                <w:lang w:val="sr-Cyrl-CS" w:eastAsia="sr-Cyrl-RS"/>
              </w:rPr>
            </w:pPr>
            <w:r w:rsidRPr="007E770D">
              <w:rPr>
                <w:rFonts w:eastAsia="Times New Roman" w:cstheme="minorHAnsi"/>
                <w:color w:val="auto"/>
                <w:sz w:val="16"/>
                <w:szCs w:val="18"/>
                <w:lang w:val="sr-Cyrl-CS" w:eastAsia="sr-Cyrl-RS"/>
              </w:rPr>
              <w:t>6. Бруто дуг опште државе, мг. промена % БДП</w:t>
            </w:r>
          </w:p>
        </w:tc>
        <w:tc>
          <w:tcPr>
            <w:tcW w:w="0" w:type="auto"/>
            <w:shd w:val="clear" w:color="auto" w:fill="auto"/>
            <w:noWrap/>
            <w:vAlign w:val="bottom"/>
            <w:hideMark/>
          </w:tcPr>
          <w:p w14:paraId="45ABB40B" w14:textId="77777777" w:rsidR="004044DC" w:rsidRPr="007E770D" w:rsidRDefault="004044DC" w:rsidP="00E4657F">
            <w:pPr>
              <w:spacing w:after="0" w:line="240" w:lineRule="auto"/>
              <w:jc w:val="center"/>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&lt;</w:t>
            </w:r>
          </w:p>
        </w:tc>
        <w:tc>
          <w:tcPr>
            <w:tcW w:w="0" w:type="auto"/>
            <w:tcBorders>
              <w:top w:val="nil"/>
            </w:tcBorders>
            <w:shd w:val="clear" w:color="auto" w:fill="auto"/>
            <w:noWrap/>
            <w:vAlign w:val="bottom"/>
          </w:tcPr>
          <w:p w14:paraId="6726D393"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8,06</w:t>
            </w:r>
          </w:p>
        </w:tc>
        <w:tc>
          <w:tcPr>
            <w:tcW w:w="0" w:type="auto"/>
            <w:tcBorders>
              <w:top w:val="nil"/>
            </w:tcBorders>
            <w:shd w:val="clear" w:color="auto" w:fill="auto"/>
            <w:noWrap/>
            <w:vAlign w:val="bottom"/>
          </w:tcPr>
          <w:p w14:paraId="578F967A"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0,12</w:t>
            </w:r>
          </w:p>
        </w:tc>
        <w:tc>
          <w:tcPr>
            <w:tcW w:w="0" w:type="auto"/>
            <w:tcBorders>
              <w:top w:val="nil"/>
              <w:left w:val="nil"/>
            </w:tcBorders>
            <w:shd w:val="clear" w:color="auto" w:fill="auto"/>
            <w:noWrap/>
            <w:vAlign w:val="bottom"/>
          </w:tcPr>
          <w:p w14:paraId="3A8CABA0"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3,75</w:t>
            </w:r>
          </w:p>
        </w:tc>
        <w:tc>
          <w:tcPr>
            <w:tcW w:w="0" w:type="auto"/>
            <w:tcBorders>
              <w:top w:val="nil"/>
            </w:tcBorders>
            <w:shd w:val="clear" w:color="auto" w:fill="auto"/>
            <w:noWrap/>
            <w:vAlign w:val="bottom"/>
          </w:tcPr>
          <w:p w14:paraId="41A0E2C8"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-2,45</w:t>
            </w:r>
          </w:p>
        </w:tc>
        <w:tc>
          <w:tcPr>
            <w:tcW w:w="0" w:type="auto"/>
            <w:tcBorders>
              <w:top w:val="nil"/>
            </w:tcBorders>
            <w:shd w:val="clear" w:color="auto" w:fill="auto"/>
            <w:noWrap/>
            <w:vAlign w:val="bottom"/>
          </w:tcPr>
          <w:p w14:paraId="5428DB56"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-10,11</w:t>
            </w:r>
          </w:p>
        </w:tc>
        <w:tc>
          <w:tcPr>
            <w:tcW w:w="668" w:type="dxa"/>
            <w:tcBorders>
              <w:top w:val="nil"/>
              <w:left w:val="nil"/>
            </w:tcBorders>
            <w:shd w:val="clear" w:color="auto" w:fill="auto"/>
            <w:vAlign w:val="bottom"/>
          </w:tcPr>
          <w:p w14:paraId="3E73536D" w14:textId="77777777" w:rsidR="004044DC" w:rsidRPr="007E770D" w:rsidRDefault="004044DC" w:rsidP="00E4657F">
            <w:pPr>
              <w:spacing w:after="0" w:line="240" w:lineRule="auto"/>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-4,29</w:t>
            </w:r>
          </w:p>
        </w:tc>
      </w:tr>
      <w:tr w:rsidR="007E770D" w:rsidRPr="007E770D" w14:paraId="1C45810E" w14:textId="77777777" w:rsidTr="00E4657F">
        <w:trPr>
          <w:trHeight w:val="44"/>
        </w:trPr>
        <w:tc>
          <w:tcPr>
            <w:tcW w:w="0" w:type="auto"/>
            <w:shd w:val="clear" w:color="auto" w:fill="auto"/>
            <w:noWrap/>
            <w:vAlign w:val="bottom"/>
            <w:hideMark/>
          </w:tcPr>
          <w:p w14:paraId="612653A5" w14:textId="77777777" w:rsidR="004044DC" w:rsidRPr="007E770D" w:rsidRDefault="004044DC" w:rsidP="00E4657F">
            <w:pPr>
              <w:spacing w:after="0" w:line="240" w:lineRule="auto"/>
              <w:rPr>
                <w:rFonts w:eastAsia="Times New Roman" w:cstheme="minorHAnsi"/>
                <w:color w:val="auto"/>
                <w:sz w:val="16"/>
                <w:szCs w:val="18"/>
                <w:lang w:val="sr-Cyrl-CS" w:eastAsia="sr-Cyrl-RS"/>
              </w:rPr>
            </w:pPr>
            <w:r w:rsidRPr="007E770D">
              <w:rPr>
                <w:rFonts w:eastAsia="Times New Roman" w:cstheme="minorHAnsi"/>
                <w:color w:val="auto"/>
                <w:sz w:val="16"/>
                <w:szCs w:val="18"/>
                <w:lang w:val="sr-Cyrl-CS" w:eastAsia="sr-Cyrl-RS"/>
              </w:rPr>
              <w:t xml:space="preserve">7. Краткорочни дуг опште државе, % БДП </w:t>
            </w:r>
          </w:p>
        </w:tc>
        <w:tc>
          <w:tcPr>
            <w:tcW w:w="0" w:type="auto"/>
            <w:shd w:val="clear" w:color="auto" w:fill="auto"/>
            <w:noWrap/>
            <w:vAlign w:val="bottom"/>
            <w:hideMark/>
          </w:tcPr>
          <w:p w14:paraId="1663D3E2" w14:textId="77777777" w:rsidR="004044DC" w:rsidRPr="007E770D" w:rsidRDefault="004044DC" w:rsidP="00E4657F">
            <w:pPr>
              <w:spacing w:after="0" w:line="240" w:lineRule="auto"/>
              <w:jc w:val="center"/>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&lt;</w:t>
            </w:r>
          </w:p>
        </w:tc>
        <w:tc>
          <w:tcPr>
            <w:tcW w:w="0" w:type="auto"/>
            <w:tcBorders>
              <w:top w:val="nil"/>
            </w:tcBorders>
            <w:shd w:val="clear" w:color="auto" w:fill="auto"/>
            <w:noWrap/>
            <w:vAlign w:val="bottom"/>
          </w:tcPr>
          <w:p w14:paraId="0EC45102"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13,2</w:t>
            </w:r>
          </w:p>
        </w:tc>
        <w:tc>
          <w:tcPr>
            <w:tcW w:w="0" w:type="auto"/>
            <w:tcBorders>
              <w:top w:val="nil"/>
            </w:tcBorders>
            <w:shd w:val="clear" w:color="auto" w:fill="auto"/>
            <w:noWrap/>
            <w:vAlign w:val="bottom"/>
          </w:tcPr>
          <w:p w14:paraId="1C646D48"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0,20</w:t>
            </w:r>
          </w:p>
        </w:tc>
        <w:tc>
          <w:tcPr>
            <w:tcW w:w="0" w:type="auto"/>
            <w:tcBorders>
              <w:top w:val="nil"/>
              <w:left w:val="nil"/>
            </w:tcBorders>
            <w:shd w:val="clear" w:color="auto" w:fill="auto"/>
            <w:noWrap/>
            <w:vAlign w:val="bottom"/>
          </w:tcPr>
          <w:p w14:paraId="53C1156F"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12,87</w:t>
            </w:r>
          </w:p>
        </w:tc>
        <w:tc>
          <w:tcPr>
            <w:tcW w:w="0" w:type="auto"/>
            <w:tcBorders>
              <w:top w:val="nil"/>
            </w:tcBorders>
            <w:shd w:val="clear" w:color="auto" w:fill="auto"/>
            <w:noWrap/>
            <w:vAlign w:val="bottom"/>
          </w:tcPr>
          <w:p w14:paraId="31601898"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13,00</w:t>
            </w:r>
          </w:p>
        </w:tc>
        <w:tc>
          <w:tcPr>
            <w:tcW w:w="0" w:type="auto"/>
            <w:tcBorders>
              <w:top w:val="nil"/>
            </w:tcBorders>
            <w:shd w:val="clear" w:color="auto" w:fill="auto"/>
            <w:noWrap/>
            <w:vAlign w:val="bottom"/>
          </w:tcPr>
          <w:p w14:paraId="4E9C4DD1"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9,42</w:t>
            </w:r>
          </w:p>
        </w:tc>
        <w:tc>
          <w:tcPr>
            <w:tcW w:w="668" w:type="dxa"/>
            <w:tcBorders>
              <w:top w:val="nil"/>
              <w:left w:val="nil"/>
            </w:tcBorders>
            <w:shd w:val="clear" w:color="auto" w:fill="auto"/>
            <w:vAlign w:val="bottom"/>
          </w:tcPr>
          <w:p w14:paraId="5D623985" w14:textId="77777777" w:rsidR="004044DC" w:rsidRPr="007E770D" w:rsidRDefault="004044DC" w:rsidP="00E4657F">
            <w:pPr>
              <w:spacing w:after="0" w:line="240" w:lineRule="auto"/>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7,55</w:t>
            </w:r>
          </w:p>
        </w:tc>
      </w:tr>
      <w:tr w:rsidR="007E770D" w:rsidRPr="007E770D" w14:paraId="2298C43A" w14:textId="77777777" w:rsidTr="00E4657F">
        <w:trPr>
          <w:trHeight w:val="44"/>
        </w:trPr>
        <w:tc>
          <w:tcPr>
            <w:tcW w:w="0" w:type="auto"/>
            <w:shd w:val="clear" w:color="auto" w:fill="auto"/>
            <w:noWrap/>
            <w:vAlign w:val="bottom"/>
            <w:hideMark/>
          </w:tcPr>
          <w:p w14:paraId="3174B27B" w14:textId="77777777" w:rsidR="004044DC" w:rsidRPr="007E770D" w:rsidRDefault="004044DC" w:rsidP="00E4657F">
            <w:pPr>
              <w:spacing w:after="0" w:line="240" w:lineRule="auto"/>
              <w:rPr>
                <w:rFonts w:eastAsia="Times New Roman" w:cstheme="minorHAnsi"/>
                <w:color w:val="auto"/>
                <w:sz w:val="16"/>
                <w:szCs w:val="18"/>
                <w:lang w:val="sr-Cyrl-CS" w:eastAsia="sr-Cyrl-RS"/>
              </w:rPr>
            </w:pPr>
            <w:r w:rsidRPr="007E770D">
              <w:rPr>
                <w:rFonts w:eastAsia="Times New Roman" w:cstheme="minorHAnsi"/>
                <w:color w:val="auto"/>
                <w:sz w:val="16"/>
                <w:szCs w:val="18"/>
                <w:lang w:val="sr-Cyrl-CS" w:eastAsia="sr-Cyrl-RS"/>
              </w:rPr>
              <w:t>8. Нето дуг опште државе, % БДП</w:t>
            </w:r>
          </w:p>
        </w:tc>
        <w:tc>
          <w:tcPr>
            <w:tcW w:w="0" w:type="auto"/>
            <w:shd w:val="clear" w:color="auto" w:fill="auto"/>
            <w:noWrap/>
            <w:vAlign w:val="bottom"/>
            <w:hideMark/>
          </w:tcPr>
          <w:p w14:paraId="64EFDB98" w14:textId="77777777" w:rsidR="004044DC" w:rsidRPr="007E770D" w:rsidRDefault="004044DC" w:rsidP="00E4657F">
            <w:pPr>
              <w:spacing w:after="0" w:line="240" w:lineRule="auto"/>
              <w:jc w:val="center"/>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&lt;</w:t>
            </w:r>
          </w:p>
        </w:tc>
        <w:tc>
          <w:tcPr>
            <w:tcW w:w="0" w:type="auto"/>
            <w:tcBorders>
              <w:top w:val="nil"/>
            </w:tcBorders>
            <w:shd w:val="clear" w:color="auto" w:fill="auto"/>
            <w:noWrap/>
            <w:vAlign w:val="bottom"/>
          </w:tcPr>
          <w:p w14:paraId="60C837EC"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59,51</w:t>
            </w:r>
          </w:p>
        </w:tc>
        <w:tc>
          <w:tcPr>
            <w:tcW w:w="0" w:type="auto"/>
            <w:tcBorders>
              <w:top w:val="nil"/>
            </w:tcBorders>
            <w:shd w:val="clear" w:color="auto" w:fill="auto"/>
            <w:noWrap/>
            <w:vAlign w:val="bottom"/>
          </w:tcPr>
          <w:p w14:paraId="7C16538A"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0,20</w:t>
            </w:r>
          </w:p>
        </w:tc>
        <w:tc>
          <w:tcPr>
            <w:tcW w:w="0" w:type="auto"/>
            <w:tcBorders>
              <w:top w:val="nil"/>
              <w:left w:val="nil"/>
            </w:tcBorders>
            <w:shd w:val="clear" w:color="auto" w:fill="auto"/>
            <w:noWrap/>
            <w:vAlign w:val="bottom"/>
          </w:tcPr>
          <w:p w14:paraId="7F8FCA2B"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71,25</w:t>
            </w:r>
          </w:p>
        </w:tc>
        <w:tc>
          <w:tcPr>
            <w:tcW w:w="0" w:type="auto"/>
            <w:tcBorders>
              <w:top w:val="nil"/>
            </w:tcBorders>
            <w:shd w:val="clear" w:color="auto" w:fill="auto"/>
            <w:noWrap/>
            <w:vAlign w:val="bottom"/>
          </w:tcPr>
          <w:p w14:paraId="4A4BC955"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68,80</w:t>
            </w:r>
          </w:p>
        </w:tc>
        <w:tc>
          <w:tcPr>
            <w:tcW w:w="0" w:type="auto"/>
            <w:tcBorders>
              <w:top w:val="nil"/>
            </w:tcBorders>
            <w:shd w:val="clear" w:color="auto" w:fill="auto"/>
            <w:noWrap/>
            <w:vAlign w:val="bottom"/>
          </w:tcPr>
          <w:p w14:paraId="5877A981"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58,69</w:t>
            </w:r>
          </w:p>
        </w:tc>
        <w:tc>
          <w:tcPr>
            <w:tcW w:w="668" w:type="dxa"/>
            <w:tcBorders>
              <w:top w:val="nil"/>
              <w:left w:val="nil"/>
            </w:tcBorders>
            <w:shd w:val="clear" w:color="auto" w:fill="auto"/>
            <w:vAlign w:val="bottom"/>
          </w:tcPr>
          <w:p w14:paraId="01AE9BB9" w14:textId="77777777" w:rsidR="004044DC" w:rsidRPr="007E770D" w:rsidRDefault="004044DC" w:rsidP="00E4657F">
            <w:pPr>
              <w:spacing w:after="0" w:line="240" w:lineRule="auto"/>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54,40</w:t>
            </w:r>
          </w:p>
        </w:tc>
      </w:tr>
      <w:tr w:rsidR="007E770D" w:rsidRPr="007E770D" w14:paraId="08944EB8" w14:textId="77777777" w:rsidTr="00E4657F">
        <w:trPr>
          <w:trHeight w:val="44"/>
        </w:trPr>
        <w:tc>
          <w:tcPr>
            <w:tcW w:w="0" w:type="auto"/>
            <w:shd w:val="clear" w:color="auto" w:fill="auto"/>
            <w:noWrap/>
            <w:vAlign w:val="bottom"/>
            <w:hideMark/>
          </w:tcPr>
          <w:p w14:paraId="59ACAB81" w14:textId="77777777" w:rsidR="004044DC" w:rsidRPr="007E770D" w:rsidRDefault="004044DC" w:rsidP="00E4657F">
            <w:pPr>
              <w:spacing w:after="0" w:line="240" w:lineRule="auto"/>
              <w:rPr>
                <w:rFonts w:eastAsia="Times New Roman" w:cstheme="minorHAnsi"/>
                <w:color w:val="auto"/>
                <w:sz w:val="16"/>
                <w:szCs w:val="18"/>
                <w:lang w:val="sr-Cyrl-CS" w:eastAsia="sr-Cyrl-RS"/>
              </w:rPr>
            </w:pPr>
            <w:r w:rsidRPr="007E770D">
              <w:rPr>
                <w:rFonts w:eastAsia="Times New Roman" w:cstheme="minorHAnsi"/>
                <w:color w:val="auto"/>
                <w:sz w:val="16"/>
                <w:szCs w:val="18"/>
                <w:lang w:val="sr-Cyrl-CS" w:eastAsia="sr-Cyrl-RS"/>
              </w:rPr>
              <w:t>9. Укупне потребе за финансирањем, % БДП</w:t>
            </w:r>
          </w:p>
        </w:tc>
        <w:tc>
          <w:tcPr>
            <w:tcW w:w="0" w:type="auto"/>
            <w:shd w:val="clear" w:color="auto" w:fill="auto"/>
            <w:noWrap/>
            <w:vAlign w:val="bottom"/>
            <w:hideMark/>
          </w:tcPr>
          <w:p w14:paraId="503C5AD0" w14:textId="77777777" w:rsidR="004044DC" w:rsidRPr="007E770D" w:rsidRDefault="004044DC" w:rsidP="00E4657F">
            <w:pPr>
              <w:spacing w:after="0" w:line="240" w:lineRule="auto"/>
              <w:jc w:val="center"/>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&lt;</w:t>
            </w:r>
          </w:p>
        </w:tc>
        <w:tc>
          <w:tcPr>
            <w:tcW w:w="0" w:type="auto"/>
            <w:tcBorders>
              <w:top w:val="nil"/>
            </w:tcBorders>
            <w:shd w:val="clear" w:color="auto" w:fill="auto"/>
            <w:noWrap/>
            <w:vAlign w:val="bottom"/>
          </w:tcPr>
          <w:p w14:paraId="3674CD6E"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15,95</w:t>
            </w:r>
          </w:p>
        </w:tc>
        <w:tc>
          <w:tcPr>
            <w:tcW w:w="0" w:type="auto"/>
            <w:tcBorders>
              <w:top w:val="nil"/>
            </w:tcBorders>
            <w:shd w:val="clear" w:color="auto" w:fill="auto"/>
            <w:noWrap/>
            <w:vAlign w:val="bottom"/>
          </w:tcPr>
          <w:p w14:paraId="39F9D612"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0,26</w:t>
            </w:r>
          </w:p>
        </w:tc>
        <w:tc>
          <w:tcPr>
            <w:tcW w:w="0" w:type="auto"/>
            <w:tcBorders>
              <w:top w:val="nil"/>
              <w:left w:val="nil"/>
            </w:tcBorders>
            <w:shd w:val="clear" w:color="auto" w:fill="auto"/>
            <w:noWrap/>
            <w:vAlign w:val="bottom"/>
          </w:tcPr>
          <w:p w14:paraId="4096339A"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14,93</w:t>
            </w:r>
          </w:p>
        </w:tc>
        <w:tc>
          <w:tcPr>
            <w:tcW w:w="0" w:type="auto"/>
            <w:tcBorders>
              <w:top w:val="nil"/>
            </w:tcBorders>
            <w:shd w:val="clear" w:color="auto" w:fill="auto"/>
            <w:noWrap/>
            <w:vAlign w:val="bottom"/>
          </w:tcPr>
          <w:p w14:paraId="5D466439"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13,17</w:t>
            </w:r>
          </w:p>
        </w:tc>
        <w:tc>
          <w:tcPr>
            <w:tcW w:w="0" w:type="auto"/>
            <w:tcBorders>
              <w:top w:val="nil"/>
            </w:tcBorders>
            <w:shd w:val="clear" w:color="auto" w:fill="auto"/>
            <w:noWrap/>
            <w:vAlign w:val="bottom"/>
          </w:tcPr>
          <w:p w14:paraId="707FD145"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10,65</w:t>
            </w:r>
          </w:p>
        </w:tc>
        <w:tc>
          <w:tcPr>
            <w:tcW w:w="668" w:type="dxa"/>
            <w:tcBorders>
              <w:top w:val="nil"/>
              <w:left w:val="nil"/>
            </w:tcBorders>
            <w:shd w:val="clear" w:color="auto" w:fill="auto"/>
            <w:vAlign w:val="bottom"/>
          </w:tcPr>
          <w:p w14:paraId="728C39DA" w14:textId="77777777" w:rsidR="004044DC" w:rsidRPr="007E770D" w:rsidRDefault="004044DC" w:rsidP="00E4657F">
            <w:pPr>
              <w:spacing w:after="0" w:line="240" w:lineRule="auto"/>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8,93</w:t>
            </w:r>
          </w:p>
        </w:tc>
      </w:tr>
      <w:tr w:rsidR="007E770D" w:rsidRPr="007E770D" w14:paraId="04F92FDE" w14:textId="77777777" w:rsidTr="00E4657F">
        <w:trPr>
          <w:trHeight w:val="44"/>
        </w:trPr>
        <w:tc>
          <w:tcPr>
            <w:tcW w:w="0" w:type="auto"/>
            <w:shd w:val="clear" w:color="auto" w:fill="auto"/>
            <w:noWrap/>
            <w:vAlign w:val="bottom"/>
            <w:hideMark/>
          </w:tcPr>
          <w:p w14:paraId="3C9C9953" w14:textId="77777777" w:rsidR="004044DC" w:rsidRPr="007E770D" w:rsidRDefault="004044DC" w:rsidP="00E4657F">
            <w:pPr>
              <w:spacing w:after="0" w:line="240" w:lineRule="auto"/>
              <w:rPr>
                <w:rFonts w:eastAsia="Times New Roman" w:cstheme="minorHAnsi"/>
                <w:color w:val="auto"/>
                <w:sz w:val="16"/>
                <w:szCs w:val="18"/>
                <w:lang w:val="sr-Cyrl-CS" w:eastAsia="sr-Cyrl-RS"/>
              </w:rPr>
            </w:pPr>
            <w:r w:rsidRPr="007E770D">
              <w:rPr>
                <w:rFonts w:eastAsia="Times New Roman" w:cstheme="minorHAnsi"/>
                <w:color w:val="auto"/>
                <w:sz w:val="16"/>
                <w:szCs w:val="18"/>
                <w:lang w:val="sr-Cyrl-CS" w:eastAsia="sr-Cyrl-RS"/>
              </w:rPr>
              <w:t>10. Диференцијал каматне стопе и стопе раста БДП</w:t>
            </w:r>
          </w:p>
        </w:tc>
        <w:tc>
          <w:tcPr>
            <w:tcW w:w="0" w:type="auto"/>
            <w:shd w:val="clear" w:color="auto" w:fill="auto"/>
            <w:noWrap/>
            <w:vAlign w:val="bottom"/>
            <w:hideMark/>
          </w:tcPr>
          <w:p w14:paraId="5EB2CCA2" w14:textId="77777777" w:rsidR="004044DC" w:rsidRPr="007E770D" w:rsidRDefault="004044DC" w:rsidP="00E4657F">
            <w:pPr>
              <w:spacing w:after="0" w:line="240" w:lineRule="auto"/>
              <w:jc w:val="center"/>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&lt;</w:t>
            </w:r>
          </w:p>
        </w:tc>
        <w:tc>
          <w:tcPr>
            <w:tcW w:w="0" w:type="auto"/>
            <w:tcBorders>
              <w:top w:val="nil"/>
            </w:tcBorders>
            <w:shd w:val="clear" w:color="auto" w:fill="auto"/>
            <w:noWrap/>
            <w:vAlign w:val="bottom"/>
          </w:tcPr>
          <w:p w14:paraId="0C6147A2"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4,8</w:t>
            </w:r>
          </w:p>
        </w:tc>
        <w:tc>
          <w:tcPr>
            <w:tcW w:w="0" w:type="auto"/>
            <w:tcBorders>
              <w:top w:val="nil"/>
            </w:tcBorders>
            <w:shd w:val="clear" w:color="auto" w:fill="auto"/>
            <w:noWrap/>
            <w:vAlign w:val="bottom"/>
          </w:tcPr>
          <w:p w14:paraId="0B05D118"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0,08</w:t>
            </w:r>
          </w:p>
        </w:tc>
        <w:tc>
          <w:tcPr>
            <w:tcW w:w="0" w:type="auto"/>
            <w:tcBorders>
              <w:top w:val="nil"/>
              <w:left w:val="nil"/>
            </w:tcBorders>
            <w:shd w:val="clear" w:color="auto" w:fill="auto"/>
            <w:noWrap/>
            <w:vAlign w:val="bottom"/>
          </w:tcPr>
          <w:p w14:paraId="793344E1"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1,17</w:t>
            </w:r>
          </w:p>
        </w:tc>
        <w:tc>
          <w:tcPr>
            <w:tcW w:w="0" w:type="auto"/>
            <w:tcBorders>
              <w:top w:val="nil"/>
            </w:tcBorders>
            <w:shd w:val="clear" w:color="auto" w:fill="auto"/>
            <w:noWrap/>
            <w:vAlign w:val="bottom"/>
          </w:tcPr>
          <w:p w14:paraId="3EE670A9"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-0,57</w:t>
            </w:r>
          </w:p>
        </w:tc>
        <w:tc>
          <w:tcPr>
            <w:tcW w:w="0" w:type="auto"/>
            <w:tcBorders>
              <w:top w:val="nil"/>
            </w:tcBorders>
            <w:shd w:val="clear" w:color="auto" w:fill="auto"/>
            <w:noWrap/>
            <w:vAlign w:val="bottom"/>
          </w:tcPr>
          <w:p w14:paraId="297CE63A"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-1,26</w:t>
            </w:r>
          </w:p>
        </w:tc>
        <w:tc>
          <w:tcPr>
            <w:tcW w:w="668" w:type="dxa"/>
            <w:tcBorders>
              <w:top w:val="nil"/>
              <w:left w:val="nil"/>
            </w:tcBorders>
            <w:shd w:val="clear" w:color="auto" w:fill="auto"/>
            <w:vAlign w:val="bottom"/>
          </w:tcPr>
          <w:p w14:paraId="379908F3" w14:textId="77777777" w:rsidR="004044DC" w:rsidRPr="007E770D" w:rsidRDefault="004044DC" w:rsidP="00E4657F">
            <w:pPr>
              <w:spacing w:after="0" w:line="240" w:lineRule="auto"/>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-2,67</w:t>
            </w:r>
          </w:p>
        </w:tc>
      </w:tr>
      <w:tr w:rsidR="007E770D" w:rsidRPr="007E770D" w14:paraId="2D39AD37" w14:textId="77777777" w:rsidTr="00E4657F">
        <w:trPr>
          <w:trHeight w:val="44"/>
        </w:trPr>
        <w:tc>
          <w:tcPr>
            <w:tcW w:w="0" w:type="auto"/>
            <w:shd w:val="clear" w:color="auto" w:fill="auto"/>
            <w:noWrap/>
            <w:vAlign w:val="bottom"/>
            <w:hideMark/>
          </w:tcPr>
          <w:p w14:paraId="66AE061A" w14:textId="77777777" w:rsidR="004044DC" w:rsidRPr="007E770D" w:rsidRDefault="004044DC" w:rsidP="00E4657F">
            <w:pPr>
              <w:spacing w:after="0" w:line="240" w:lineRule="auto"/>
              <w:rPr>
                <w:rFonts w:eastAsia="Times New Roman" w:cstheme="minorHAnsi"/>
                <w:color w:val="auto"/>
                <w:sz w:val="16"/>
                <w:szCs w:val="18"/>
                <w:lang w:val="sr-Cyrl-CS" w:eastAsia="sr-Cyrl-RS"/>
              </w:rPr>
            </w:pPr>
            <w:r w:rsidRPr="007E770D">
              <w:rPr>
                <w:rFonts w:eastAsia="Times New Roman" w:cstheme="minorHAnsi"/>
                <w:color w:val="auto"/>
                <w:sz w:val="16"/>
                <w:szCs w:val="18"/>
                <w:lang w:val="sr-Cyrl-CS" w:eastAsia="sr-Cyrl-RS"/>
              </w:rPr>
              <w:t>11. Јавни расходи опште државе, мг. промена, % БДП</w:t>
            </w:r>
          </w:p>
        </w:tc>
        <w:tc>
          <w:tcPr>
            <w:tcW w:w="0" w:type="auto"/>
            <w:shd w:val="clear" w:color="auto" w:fill="auto"/>
            <w:noWrap/>
            <w:vAlign w:val="bottom"/>
            <w:hideMark/>
          </w:tcPr>
          <w:p w14:paraId="3D2D04F6" w14:textId="77777777" w:rsidR="004044DC" w:rsidRPr="007E770D" w:rsidRDefault="004044DC" w:rsidP="00E4657F">
            <w:pPr>
              <w:spacing w:after="0" w:line="240" w:lineRule="auto"/>
              <w:jc w:val="center"/>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&lt;</w:t>
            </w:r>
          </w:p>
        </w:tc>
        <w:tc>
          <w:tcPr>
            <w:tcW w:w="0" w:type="auto"/>
            <w:tcBorders>
              <w:top w:val="nil"/>
            </w:tcBorders>
            <w:shd w:val="clear" w:color="auto" w:fill="auto"/>
            <w:noWrap/>
            <w:vAlign w:val="bottom"/>
          </w:tcPr>
          <w:p w14:paraId="03243254"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1,9</w:t>
            </w:r>
          </w:p>
        </w:tc>
        <w:tc>
          <w:tcPr>
            <w:tcW w:w="0" w:type="auto"/>
            <w:tcBorders>
              <w:top w:val="nil"/>
            </w:tcBorders>
            <w:shd w:val="clear" w:color="auto" w:fill="auto"/>
            <w:noWrap/>
            <w:vAlign w:val="bottom"/>
          </w:tcPr>
          <w:p w14:paraId="1EAB75A4"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0,11</w:t>
            </w:r>
          </w:p>
        </w:tc>
        <w:tc>
          <w:tcPr>
            <w:tcW w:w="0" w:type="auto"/>
            <w:tcBorders>
              <w:top w:val="nil"/>
              <w:left w:val="nil"/>
            </w:tcBorders>
            <w:shd w:val="clear" w:color="auto" w:fill="auto"/>
            <w:noWrap/>
            <w:vAlign w:val="bottom"/>
          </w:tcPr>
          <w:p w14:paraId="32CCE61B"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-2,44</w:t>
            </w:r>
          </w:p>
        </w:tc>
        <w:tc>
          <w:tcPr>
            <w:tcW w:w="0" w:type="auto"/>
            <w:tcBorders>
              <w:top w:val="nil"/>
            </w:tcBorders>
            <w:shd w:val="clear" w:color="auto" w:fill="auto"/>
            <w:noWrap/>
            <w:vAlign w:val="bottom"/>
          </w:tcPr>
          <w:p w14:paraId="79A455E6"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-0,81</w:t>
            </w:r>
          </w:p>
        </w:tc>
        <w:tc>
          <w:tcPr>
            <w:tcW w:w="0" w:type="auto"/>
            <w:tcBorders>
              <w:top w:val="nil"/>
            </w:tcBorders>
            <w:shd w:val="clear" w:color="auto" w:fill="auto"/>
            <w:noWrap/>
            <w:vAlign w:val="bottom"/>
          </w:tcPr>
          <w:p w14:paraId="30804C52"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-1,54</w:t>
            </w:r>
          </w:p>
        </w:tc>
        <w:tc>
          <w:tcPr>
            <w:tcW w:w="668" w:type="dxa"/>
            <w:tcBorders>
              <w:top w:val="nil"/>
              <w:left w:val="nil"/>
            </w:tcBorders>
            <w:shd w:val="clear" w:color="auto" w:fill="auto"/>
            <w:vAlign w:val="bottom"/>
          </w:tcPr>
          <w:p w14:paraId="44FCB1B1" w14:textId="77777777" w:rsidR="004044DC" w:rsidRPr="007E770D" w:rsidRDefault="004044DC" w:rsidP="00E4657F">
            <w:pPr>
              <w:spacing w:after="0" w:line="240" w:lineRule="auto"/>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0,49</w:t>
            </w:r>
          </w:p>
        </w:tc>
      </w:tr>
      <w:tr w:rsidR="007E770D" w:rsidRPr="007E770D" w14:paraId="757D0BBA" w14:textId="77777777" w:rsidTr="00E4657F">
        <w:trPr>
          <w:trHeight w:val="44"/>
        </w:trPr>
        <w:tc>
          <w:tcPr>
            <w:tcW w:w="0" w:type="auto"/>
            <w:shd w:val="clear" w:color="auto" w:fill="auto"/>
            <w:noWrap/>
            <w:vAlign w:val="bottom"/>
            <w:hideMark/>
          </w:tcPr>
          <w:p w14:paraId="18B6EFA0" w14:textId="77777777" w:rsidR="004044DC" w:rsidRPr="007E770D" w:rsidRDefault="004044DC" w:rsidP="00E4657F">
            <w:pPr>
              <w:spacing w:after="0" w:line="240" w:lineRule="auto"/>
              <w:rPr>
                <w:rFonts w:eastAsia="Times New Roman" w:cstheme="minorHAnsi"/>
                <w:color w:val="auto"/>
                <w:sz w:val="16"/>
                <w:szCs w:val="18"/>
                <w:lang w:val="sr-Cyrl-CS" w:eastAsia="sr-Cyrl-RS"/>
              </w:rPr>
            </w:pPr>
            <w:r w:rsidRPr="007E770D">
              <w:rPr>
                <w:rFonts w:eastAsia="Times New Roman" w:cstheme="minorHAnsi"/>
                <w:color w:val="auto"/>
                <w:sz w:val="16"/>
                <w:szCs w:val="18"/>
                <w:lang w:val="sr-Cyrl-CS" w:eastAsia="sr-Cyrl-RS"/>
              </w:rPr>
              <w:t>12. Финална потрошња опште државе, мг. промена, % БДП</w:t>
            </w:r>
          </w:p>
        </w:tc>
        <w:tc>
          <w:tcPr>
            <w:tcW w:w="0" w:type="auto"/>
            <w:shd w:val="clear" w:color="auto" w:fill="auto"/>
            <w:noWrap/>
            <w:vAlign w:val="bottom"/>
            <w:hideMark/>
          </w:tcPr>
          <w:p w14:paraId="3D137C08" w14:textId="77777777" w:rsidR="004044DC" w:rsidRPr="007E770D" w:rsidRDefault="004044DC" w:rsidP="00E4657F">
            <w:pPr>
              <w:spacing w:after="0" w:line="240" w:lineRule="auto"/>
              <w:jc w:val="center"/>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&lt;</w:t>
            </w:r>
          </w:p>
        </w:tc>
        <w:tc>
          <w:tcPr>
            <w:tcW w:w="0" w:type="auto"/>
            <w:tcBorders>
              <w:top w:val="nil"/>
              <w:bottom w:val="nil"/>
            </w:tcBorders>
            <w:shd w:val="clear" w:color="auto" w:fill="auto"/>
            <w:noWrap/>
            <w:vAlign w:val="bottom"/>
          </w:tcPr>
          <w:p w14:paraId="2F8A0D82"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0,61</w:t>
            </w:r>
          </w:p>
        </w:tc>
        <w:tc>
          <w:tcPr>
            <w:tcW w:w="0" w:type="auto"/>
            <w:tcBorders>
              <w:top w:val="nil"/>
              <w:bottom w:val="nil"/>
            </w:tcBorders>
            <w:shd w:val="clear" w:color="auto" w:fill="auto"/>
            <w:noWrap/>
            <w:vAlign w:val="bottom"/>
          </w:tcPr>
          <w:p w14:paraId="5E34FC75"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0,07</w:t>
            </w:r>
          </w:p>
        </w:tc>
        <w:tc>
          <w:tcPr>
            <w:tcW w:w="0" w:type="auto"/>
            <w:tcBorders>
              <w:top w:val="nil"/>
              <w:left w:val="nil"/>
            </w:tcBorders>
            <w:shd w:val="clear" w:color="auto" w:fill="auto"/>
            <w:noWrap/>
            <w:vAlign w:val="bottom"/>
          </w:tcPr>
          <w:p w14:paraId="31C5F23E"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-1,70</w:t>
            </w:r>
          </w:p>
        </w:tc>
        <w:tc>
          <w:tcPr>
            <w:tcW w:w="0" w:type="auto"/>
            <w:tcBorders>
              <w:top w:val="nil"/>
            </w:tcBorders>
            <w:shd w:val="clear" w:color="auto" w:fill="auto"/>
            <w:noWrap/>
            <w:vAlign w:val="bottom"/>
          </w:tcPr>
          <w:p w14:paraId="11EAF0EB"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-0,40</w:t>
            </w:r>
          </w:p>
        </w:tc>
        <w:tc>
          <w:tcPr>
            <w:tcW w:w="0" w:type="auto"/>
            <w:tcBorders>
              <w:top w:val="nil"/>
            </w:tcBorders>
            <w:shd w:val="clear" w:color="auto" w:fill="auto"/>
            <w:noWrap/>
            <w:vAlign w:val="bottom"/>
          </w:tcPr>
          <w:p w14:paraId="7D292A47"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0,20</w:t>
            </w:r>
          </w:p>
        </w:tc>
        <w:tc>
          <w:tcPr>
            <w:tcW w:w="668" w:type="dxa"/>
            <w:tcBorders>
              <w:top w:val="nil"/>
              <w:left w:val="nil"/>
            </w:tcBorders>
            <w:shd w:val="clear" w:color="auto" w:fill="auto"/>
            <w:vAlign w:val="bottom"/>
          </w:tcPr>
          <w:p w14:paraId="2F47EDDD" w14:textId="77777777" w:rsidR="004044DC" w:rsidRPr="007E770D" w:rsidRDefault="004044DC" w:rsidP="00E4657F">
            <w:pPr>
              <w:spacing w:after="0" w:line="240" w:lineRule="auto"/>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0,40</w:t>
            </w:r>
          </w:p>
        </w:tc>
      </w:tr>
      <w:tr w:rsidR="007E770D" w:rsidRPr="007E770D" w14:paraId="030888EC" w14:textId="77777777" w:rsidTr="00E4657F">
        <w:trPr>
          <w:trHeight w:val="44"/>
        </w:trPr>
        <w:tc>
          <w:tcPr>
            <w:tcW w:w="0" w:type="auto"/>
            <w:shd w:val="clear" w:color="auto" w:fill="E7E6E6" w:themeFill="background2"/>
            <w:noWrap/>
            <w:vAlign w:val="bottom"/>
            <w:hideMark/>
          </w:tcPr>
          <w:p w14:paraId="5937D39B" w14:textId="77777777" w:rsidR="004044DC" w:rsidRPr="007E770D" w:rsidRDefault="004044DC" w:rsidP="00E4657F">
            <w:pPr>
              <w:spacing w:after="0" w:line="240" w:lineRule="auto"/>
              <w:rPr>
                <w:rFonts w:eastAsia="Times New Roman" w:cstheme="minorHAnsi"/>
                <w:bCs/>
                <w:color w:val="auto"/>
                <w:sz w:val="16"/>
                <w:szCs w:val="18"/>
                <w:lang w:val="sr-Cyrl-CS" w:eastAsia="sr-Cyrl-RS"/>
              </w:rPr>
            </w:pPr>
            <w:r w:rsidRPr="007E770D">
              <w:rPr>
                <w:rFonts w:eastAsia="Times New Roman" w:cstheme="minorHAnsi"/>
                <w:bCs/>
                <w:color w:val="auto"/>
                <w:sz w:val="16"/>
                <w:szCs w:val="18"/>
                <w:lang w:val="sr-Cyrl-CS" w:eastAsia="sr-Cyrl-RS"/>
              </w:rPr>
              <w:t>Подиндекс финансијске конкурентности</w:t>
            </w:r>
          </w:p>
        </w:tc>
        <w:tc>
          <w:tcPr>
            <w:tcW w:w="0" w:type="auto"/>
            <w:shd w:val="clear" w:color="auto" w:fill="E7E6E6" w:themeFill="background2"/>
            <w:noWrap/>
            <w:vAlign w:val="bottom"/>
            <w:hideMark/>
          </w:tcPr>
          <w:p w14:paraId="4DBDD705" w14:textId="77777777" w:rsidR="004044DC" w:rsidRPr="007E770D" w:rsidRDefault="004044DC" w:rsidP="00E4657F">
            <w:pPr>
              <w:spacing w:after="0" w:line="240" w:lineRule="auto"/>
              <w:jc w:val="center"/>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&lt;</w:t>
            </w:r>
          </w:p>
        </w:tc>
        <w:tc>
          <w:tcPr>
            <w:tcW w:w="0" w:type="auto"/>
            <w:shd w:val="clear" w:color="auto" w:fill="E7E6E6"/>
            <w:noWrap/>
            <w:vAlign w:val="bottom"/>
          </w:tcPr>
          <w:p w14:paraId="06EEC25F"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0,49</w:t>
            </w:r>
          </w:p>
        </w:tc>
        <w:tc>
          <w:tcPr>
            <w:tcW w:w="0" w:type="auto"/>
            <w:shd w:val="clear" w:color="auto" w:fill="E7E6E6"/>
            <w:noWrap/>
            <w:vAlign w:val="bottom"/>
          </w:tcPr>
          <w:p w14:paraId="10A36B0A"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0,55</w:t>
            </w:r>
          </w:p>
        </w:tc>
        <w:tc>
          <w:tcPr>
            <w:tcW w:w="0" w:type="auto"/>
            <w:tcBorders>
              <w:left w:val="nil"/>
            </w:tcBorders>
            <w:shd w:val="clear" w:color="auto" w:fill="E7E6E6"/>
            <w:noWrap/>
            <w:vAlign w:val="bottom"/>
          </w:tcPr>
          <w:p w14:paraId="684E1EC5"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0,27</w:t>
            </w:r>
          </w:p>
        </w:tc>
        <w:tc>
          <w:tcPr>
            <w:tcW w:w="0" w:type="auto"/>
            <w:shd w:val="clear" w:color="auto" w:fill="E7E6E6"/>
            <w:noWrap/>
            <w:vAlign w:val="bottom"/>
          </w:tcPr>
          <w:p w14:paraId="17FF57FE"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0,27</w:t>
            </w:r>
          </w:p>
        </w:tc>
        <w:tc>
          <w:tcPr>
            <w:tcW w:w="0" w:type="auto"/>
            <w:shd w:val="clear" w:color="auto" w:fill="E7E6E6"/>
            <w:noWrap/>
            <w:vAlign w:val="bottom"/>
          </w:tcPr>
          <w:p w14:paraId="39DF5862"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0,27</w:t>
            </w:r>
          </w:p>
        </w:tc>
        <w:tc>
          <w:tcPr>
            <w:tcW w:w="668" w:type="dxa"/>
            <w:tcBorders>
              <w:left w:val="nil"/>
            </w:tcBorders>
            <w:shd w:val="clear" w:color="auto" w:fill="E7E6E6"/>
            <w:vAlign w:val="bottom"/>
          </w:tcPr>
          <w:p w14:paraId="484E686A" w14:textId="77777777" w:rsidR="004044DC" w:rsidRPr="007E770D" w:rsidRDefault="004044DC" w:rsidP="00E4657F">
            <w:pPr>
              <w:spacing w:after="0" w:line="240" w:lineRule="auto"/>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0,27</w:t>
            </w:r>
          </w:p>
        </w:tc>
      </w:tr>
      <w:tr w:rsidR="007E770D" w:rsidRPr="007E770D" w14:paraId="1BC5B4B5" w14:textId="77777777" w:rsidTr="00E4657F">
        <w:trPr>
          <w:trHeight w:val="44"/>
        </w:trPr>
        <w:tc>
          <w:tcPr>
            <w:tcW w:w="0" w:type="auto"/>
            <w:shd w:val="clear" w:color="auto" w:fill="auto"/>
            <w:noWrap/>
            <w:vAlign w:val="bottom"/>
            <w:hideMark/>
          </w:tcPr>
          <w:p w14:paraId="7979741D" w14:textId="77777777" w:rsidR="004044DC" w:rsidRPr="007E770D" w:rsidRDefault="004044DC" w:rsidP="00E4657F">
            <w:pPr>
              <w:spacing w:after="0" w:line="240" w:lineRule="auto"/>
              <w:rPr>
                <w:rFonts w:eastAsia="Times New Roman" w:cstheme="minorHAnsi"/>
                <w:color w:val="auto"/>
                <w:sz w:val="16"/>
                <w:szCs w:val="18"/>
                <w:lang w:val="sr-Cyrl-CS" w:eastAsia="sr-Cyrl-RS"/>
              </w:rPr>
            </w:pPr>
            <w:r w:rsidRPr="007E770D">
              <w:rPr>
                <w:rFonts w:eastAsia="Times New Roman" w:cstheme="minorHAnsi"/>
                <w:color w:val="auto"/>
                <w:sz w:val="16"/>
                <w:szCs w:val="18"/>
                <w:lang w:val="sr-Cyrl-CS" w:eastAsia="sr-Cyrl-RS"/>
              </w:rPr>
              <w:t>1. Међународна инвестициона позиција, нето, % БДП</w:t>
            </w:r>
          </w:p>
        </w:tc>
        <w:tc>
          <w:tcPr>
            <w:tcW w:w="0" w:type="auto"/>
            <w:shd w:val="clear" w:color="auto" w:fill="auto"/>
            <w:noWrap/>
            <w:vAlign w:val="bottom"/>
            <w:hideMark/>
          </w:tcPr>
          <w:p w14:paraId="43686716" w14:textId="77777777" w:rsidR="004044DC" w:rsidRPr="007E770D" w:rsidRDefault="004044DC" w:rsidP="00E4657F">
            <w:pPr>
              <w:spacing w:after="0" w:line="240" w:lineRule="auto"/>
              <w:jc w:val="center"/>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&gt;</w:t>
            </w:r>
          </w:p>
        </w:tc>
        <w:tc>
          <w:tcPr>
            <w:tcW w:w="0" w:type="auto"/>
            <w:tcBorders>
              <w:top w:val="nil"/>
            </w:tcBorders>
            <w:shd w:val="clear" w:color="auto" w:fill="auto"/>
            <w:noWrap/>
            <w:vAlign w:val="bottom"/>
          </w:tcPr>
          <w:p w14:paraId="17478CCA"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-19,8</w:t>
            </w:r>
          </w:p>
        </w:tc>
        <w:tc>
          <w:tcPr>
            <w:tcW w:w="0" w:type="auto"/>
            <w:tcBorders>
              <w:top w:val="nil"/>
            </w:tcBorders>
            <w:shd w:val="clear" w:color="auto" w:fill="auto"/>
            <w:noWrap/>
            <w:vAlign w:val="bottom"/>
          </w:tcPr>
          <w:p w14:paraId="2EF0D409"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0,29</w:t>
            </w:r>
          </w:p>
        </w:tc>
        <w:tc>
          <w:tcPr>
            <w:tcW w:w="0" w:type="auto"/>
            <w:tcBorders>
              <w:top w:val="nil"/>
              <w:left w:val="nil"/>
            </w:tcBorders>
            <w:shd w:val="clear" w:color="auto" w:fill="auto"/>
            <w:noWrap/>
            <w:vAlign w:val="bottom"/>
          </w:tcPr>
          <w:p w14:paraId="68032F04"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-91,62</w:t>
            </w:r>
          </w:p>
        </w:tc>
        <w:tc>
          <w:tcPr>
            <w:tcW w:w="0" w:type="auto"/>
            <w:tcBorders>
              <w:top w:val="nil"/>
            </w:tcBorders>
            <w:shd w:val="clear" w:color="auto" w:fill="auto"/>
            <w:noWrap/>
            <w:vAlign w:val="bottom"/>
          </w:tcPr>
          <w:p w14:paraId="5D2F8CCF"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-94,94</w:t>
            </w:r>
          </w:p>
        </w:tc>
        <w:tc>
          <w:tcPr>
            <w:tcW w:w="0" w:type="auto"/>
            <w:tcBorders>
              <w:top w:val="nil"/>
            </w:tcBorders>
            <w:shd w:val="clear" w:color="auto" w:fill="auto"/>
            <w:noWrap/>
            <w:vAlign w:val="bottom"/>
          </w:tcPr>
          <w:p w14:paraId="0439D1AC"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-94,49</w:t>
            </w:r>
          </w:p>
        </w:tc>
        <w:tc>
          <w:tcPr>
            <w:tcW w:w="668" w:type="dxa"/>
            <w:tcBorders>
              <w:top w:val="nil"/>
              <w:left w:val="nil"/>
            </w:tcBorders>
            <w:shd w:val="clear" w:color="auto" w:fill="auto"/>
            <w:vAlign w:val="bottom"/>
          </w:tcPr>
          <w:p w14:paraId="392D5940" w14:textId="77777777" w:rsidR="004044DC" w:rsidRPr="007E770D" w:rsidRDefault="004044DC" w:rsidP="00E4657F">
            <w:pPr>
              <w:spacing w:after="0" w:line="240" w:lineRule="auto"/>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-91,00</w:t>
            </w:r>
          </w:p>
        </w:tc>
      </w:tr>
      <w:tr w:rsidR="007E770D" w:rsidRPr="007E770D" w14:paraId="5F59679C" w14:textId="77777777" w:rsidTr="00E4657F">
        <w:trPr>
          <w:trHeight w:val="44"/>
        </w:trPr>
        <w:tc>
          <w:tcPr>
            <w:tcW w:w="0" w:type="auto"/>
            <w:shd w:val="clear" w:color="auto" w:fill="auto"/>
            <w:noWrap/>
            <w:vAlign w:val="bottom"/>
            <w:hideMark/>
          </w:tcPr>
          <w:p w14:paraId="0AB25009" w14:textId="77777777" w:rsidR="004044DC" w:rsidRPr="007E770D" w:rsidRDefault="004044DC" w:rsidP="00E4657F">
            <w:pPr>
              <w:spacing w:after="0" w:line="240" w:lineRule="auto"/>
              <w:rPr>
                <w:rFonts w:eastAsia="Times New Roman" w:cstheme="minorHAnsi"/>
                <w:color w:val="auto"/>
                <w:sz w:val="16"/>
                <w:szCs w:val="18"/>
                <w:lang w:val="sr-Cyrl-CS" w:eastAsia="sr-Cyrl-RS"/>
              </w:rPr>
            </w:pPr>
            <w:r w:rsidRPr="007E770D">
              <w:rPr>
                <w:rFonts w:eastAsia="Times New Roman" w:cstheme="minorHAnsi"/>
                <w:color w:val="auto"/>
                <w:sz w:val="16"/>
                <w:szCs w:val="18"/>
                <w:lang w:val="sr-Cyrl-CS" w:eastAsia="sr-Cyrl-RS"/>
              </w:rPr>
              <w:t>2. Нето штедња домаћинстава, % БДП</w:t>
            </w:r>
          </w:p>
        </w:tc>
        <w:tc>
          <w:tcPr>
            <w:tcW w:w="0" w:type="auto"/>
            <w:shd w:val="clear" w:color="auto" w:fill="auto"/>
            <w:noWrap/>
            <w:vAlign w:val="bottom"/>
            <w:hideMark/>
          </w:tcPr>
          <w:p w14:paraId="75B5194C" w14:textId="77777777" w:rsidR="004044DC" w:rsidRPr="007E770D" w:rsidRDefault="004044DC" w:rsidP="00E4657F">
            <w:pPr>
              <w:spacing w:after="0" w:line="240" w:lineRule="auto"/>
              <w:jc w:val="center"/>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&gt;</w:t>
            </w:r>
          </w:p>
        </w:tc>
        <w:tc>
          <w:tcPr>
            <w:tcW w:w="0" w:type="auto"/>
            <w:tcBorders>
              <w:top w:val="nil"/>
            </w:tcBorders>
            <w:shd w:val="clear" w:color="auto" w:fill="auto"/>
            <w:noWrap/>
            <w:vAlign w:val="bottom"/>
          </w:tcPr>
          <w:p w14:paraId="3F986302"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2,61</w:t>
            </w:r>
          </w:p>
        </w:tc>
        <w:tc>
          <w:tcPr>
            <w:tcW w:w="0" w:type="auto"/>
            <w:tcBorders>
              <w:top w:val="nil"/>
            </w:tcBorders>
            <w:shd w:val="clear" w:color="auto" w:fill="auto"/>
            <w:noWrap/>
            <w:vAlign w:val="bottom"/>
          </w:tcPr>
          <w:p w14:paraId="541B1ADE"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0,33</w:t>
            </w:r>
          </w:p>
        </w:tc>
        <w:tc>
          <w:tcPr>
            <w:tcW w:w="0" w:type="auto"/>
            <w:tcBorders>
              <w:top w:val="nil"/>
              <w:left w:val="nil"/>
            </w:tcBorders>
            <w:shd w:val="clear" w:color="auto" w:fill="auto"/>
            <w:noWrap/>
            <w:vAlign w:val="bottom"/>
          </w:tcPr>
          <w:p w14:paraId="2EE29A01"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23,46</w:t>
            </w:r>
          </w:p>
        </w:tc>
        <w:tc>
          <w:tcPr>
            <w:tcW w:w="0" w:type="auto"/>
            <w:tcBorders>
              <w:top w:val="nil"/>
            </w:tcBorders>
            <w:shd w:val="clear" w:color="auto" w:fill="auto"/>
            <w:noWrap/>
            <w:vAlign w:val="bottom"/>
          </w:tcPr>
          <w:p w14:paraId="463AECA8"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24,57</w:t>
            </w:r>
          </w:p>
        </w:tc>
        <w:tc>
          <w:tcPr>
            <w:tcW w:w="0" w:type="auto"/>
            <w:tcBorders>
              <w:top w:val="nil"/>
            </w:tcBorders>
            <w:shd w:val="clear" w:color="auto" w:fill="auto"/>
            <w:noWrap/>
            <w:vAlign w:val="bottom"/>
          </w:tcPr>
          <w:p w14:paraId="5D95D022"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24,80</w:t>
            </w:r>
          </w:p>
        </w:tc>
        <w:tc>
          <w:tcPr>
            <w:tcW w:w="668" w:type="dxa"/>
            <w:tcBorders>
              <w:top w:val="nil"/>
              <w:left w:val="nil"/>
            </w:tcBorders>
            <w:shd w:val="clear" w:color="auto" w:fill="auto"/>
            <w:vAlign w:val="bottom"/>
          </w:tcPr>
          <w:p w14:paraId="575E7FCB" w14:textId="77777777" w:rsidR="004044DC" w:rsidRPr="007E770D" w:rsidRDefault="004044DC" w:rsidP="00E4657F">
            <w:pPr>
              <w:spacing w:after="0" w:line="240" w:lineRule="auto"/>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23,64</w:t>
            </w:r>
          </w:p>
        </w:tc>
      </w:tr>
      <w:tr w:rsidR="007E770D" w:rsidRPr="007E770D" w14:paraId="55A813BD" w14:textId="77777777" w:rsidTr="00E4657F">
        <w:trPr>
          <w:trHeight w:val="44"/>
        </w:trPr>
        <w:tc>
          <w:tcPr>
            <w:tcW w:w="0" w:type="auto"/>
            <w:shd w:val="clear" w:color="auto" w:fill="auto"/>
            <w:noWrap/>
            <w:vAlign w:val="bottom"/>
            <w:hideMark/>
          </w:tcPr>
          <w:p w14:paraId="03E8B5D9" w14:textId="77777777" w:rsidR="004044DC" w:rsidRPr="007E770D" w:rsidRDefault="004044DC" w:rsidP="00E4657F">
            <w:pPr>
              <w:spacing w:after="0" w:line="240" w:lineRule="auto"/>
              <w:rPr>
                <w:rFonts w:eastAsia="Times New Roman" w:cstheme="minorHAnsi"/>
                <w:color w:val="auto"/>
                <w:sz w:val="16"/>
                <w:szCs w:val="18"/>
                <w:lang w:val="sr-Cyrl-CS" w:eastAsia="sr-Cyrl-RS"/>
              </w:rPr>
            </w:pPr>
            <w:r w:rsidRPr="007E770D">
              <w:rPr>
                <w:rFonts w:eastAsia="Times New Roman" w:cstheme="minorHAnsi"/>
                <w:color w:val="auto"/>
                <w:sz w:val="16"/>
                <w:szCs w:val="18"/>
                <w:lang w:val="sr-Cyrl-CS" w:eastAsia="sr-Cyrl-RS"/>
              </w:rPr>
              <w:t>3. Дуг приватног сектора, % БДП</w:t>
            </w:r>
          </w:p>
        </w:tc>
        <w:tc>
          <w:tcPr>
            <w:tcW w:w="0" w:type="auto"/>
            <w:shd w:val="clear" w:color="auto" w:fill="auto"/>
            <w:noWrap/>
            <w:vAlign w:val="bottom"/>
            <w:hideMark/>
          </w:tcPr>
          <w:p w14:paraId="11950812" w14:textId="77777777" w:rsidR="004044DC" w:rsidRPr="007E770D" w:rsidRDefault="004044DC" w:rsidP="00E4657F">
            <w:pPr>
              <w:spacing w:after="0" w:line="240" w:lineRule="auto"/>
              <w:jc w:val="center"/>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&lt;</w:t>
            </w:r>
          </w:p>
        </w:tc>
        <w:tc>
          <w:tcPr>
            <w:tcW w:w="0" w:type="auto"/>
            <w:tcBorders>
              <w:top w:val="nil"/>
            </w:tcBorders>
            <w:shd w:val="clear" w:color="auto" w:fill="auto"/>
            <w:noWrap/>
            <w:vAlign w:val="bottom"/>
          </w:tcPr>
          <w:p w14:paraId="1D6363E5"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164,7</w:t>
            </w:r>
          </w:p>
        </w:tc>
        <w:tc>
          <w:tcPr>
            <w:tcW w:w="0" w:type="auto"/>
            <w:tcBorders>
              <w:top w:val="nil"/>
            </w:tcBorders>
            <w:shd w:val="clear" w:color="auto" w:fill="auto"/>
            <w:noWrap/>
            <w:vAlign w:val="bottom"/>
          </w:tcPr>
          <w:p w14:paraId="08FC1B5E"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0,18</w:t>
            </w:r>
          </w:p>
        </w:tc>
        <w:tc>
          <w:tcPr>
            <w:tcW w:w="0" w:type="auto"/>
            <w:tcBorders>
              <w:top w:val="nil"/>
              <w:left w:val="nil"/>
            </w:tcBorders>
            <w:shd w:val="clear" w:color="auto" w:fill="auto"/>
            <w:noWrap/>
            <w:vAlign w:val="bottom"/>
          </w:tcPr>
          <w:p w14:paraId="4AB28A16"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42,19</w:t>
            </w:r>
          </w:p>
        </w:tc>
        <w:tc>
          <w:tcPr>
            <w:tcW w:w="0" w:type="auto"/>
            <w:tcBorders>
              <w:top w:val="nil"/>
            </w:tcBorders>
            <w:shd w:val="clear" w:color="auto" w:fill="auto"/>
            <w:noWrap/>
            <w:vAlign w:val="bottom"/>
          </w:tcPr>
          <w:p w14:paraId="3E685CE3"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44,52</w:t>
            </w:r>
          </w:p>
        </w:tc>
        <w:tc>
          <w:tcPr>
            <w:tcW w:w="0" w:type="auto"/>
            <w:tcBorders>
              <w:top w:val="nil"/>
            </w:tcBorders>
            <w:shd w:val="clear" w:color="auto" w:fill="auto"/>
            <w:noWrap/>
            <w:vAlign w:val="bottom"/>
          </w:tcPr>
          <w:p w14:paraId="44C043B6"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43,45</w:t>
            </w:r>
          </w:p>
        </w:tc>
        <w:tc>
          <w:tcPr>
            <w:tcW w:w="668" w:type="dxa"/>
            <w:tcBorders>
              <w:top w:val="nil"/>
              <w:left w:val="nil"/>
            </w:tcBorders>
            <w:shd w:val="clear" w:color="auto" w:fill="auto"/>
            <w:vAlign w:val="bottom"/>
          </w:tcPr>
          <w:p w14:paraId="1EF26F64" w14:textId="77777777" w:rsidR="004044DC" w:rsidRPr="007E770D" w:rsidRDefault="004044DC" w:rsidP="00E4657F">
            <w:pPr>
              <w:spacing w:after="0" w:line="240" w:lineRule="auto"/>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42,20</w:t>
            </w:r>
          </w:p>
        </w:tc>
      </w:tr>
      <w:tr w:rsidR="007E770D" w:rsidRPr="007E770D" w14:paraId="023686B5" w14:textId="77777777" w:rsidTr="00E4657F">
        <w:trPr>
          <w:trHeight w:val="44"/>
        </w:trPr>
        <w:tc>
          <w:tcPr>
            <w:tcW w:w="0" w:type="auto"/>
            <w:shd w:val="clear" w:color="auto" w:fill="auto"/>
            <w:noWrap/>
            <w:vAlign w:val="bottom"/>
            <w:hideMark/>
          </w:tcPr>
          <w:p w14:paraId="2C0A0D48" w14:textId="77777777" w:rsidR="004044DC" w:rsidRPr="007E770D" w:rsidRDefault="004044DC" w:rsidP="00E4657F">
            <w:pPr>
              <w:spacing w:after="0" w:line="240" w:lineRule="auto"/>
              <w:rPr>
                <w:rFonts w:eastAsia="Times New Roman" w:cstheme="minorHAnsi"/>
                <w:color w:val="auto"/>
                <w:sz w:val="16"/>
                <w:szCs w:val="18"/>
                <w:lang w:val="sr-Cyrl-CS" w:eastAsia="sr-Cyrl-RS"/>
              </w:rPr>
            </w:pPr>
            <w:r w:rsidRPr="007E770D">
              <w:rPr>
                <w:rFonts w:eastAsia="Times New Roman" w:cstheme="minorHAnsi"/>
                <w:color w:val="auto"/>
                <w:sz w:val="16"/>
                <w:szCs w:val="18"/>
                <w:lang w:val="sr-Cyrl-CS" w:eastAsia="sr-Cyrl-RS"/>
              </w:rPr>
              <w:t>4. Кредити приватном сектору, % БДП</w:t>
            </w:r>
          </w:p>
        </w:tc>
        <w:tc>
          <w:tcPr>
            <w:tcW w:w="0" w:type="auto"/>
            <w:shd w:val="clear" w:color="auto" w:fill="auto"/>
            <w:noWrap/>
            <w:vAlign w:val="bottom"/>
            <w:hideMark/>
          </w:tcPr>
          <w:p w14:paraId="18AC51E9" w14:textId="77777777" w:rsidR="004044DC" w:rsidRPr="007E770D" w:rsidRDefault="004044DC" w:rsidP="00E4657F">
            <w:pPr>
              <w:spacing w:after="0" w:line="240" w:lineRule="auto"/>
              <w:jc w:val="center"/>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&lt;</w:t>
            </w:r>
          </w:p>
        </w:tc>
        <w:tc>
          <w:tcPr>
            <w:tcW w:w="0" w:type="auto"/>
            <w:tcBorders>
              <w:top w:val="nil"/>
            </w:tcBorders>
            <w:shd w:val="clear" w:color="auto" w:fill="auto"/>
            <w:noWrap/>
            <w:vAlign w:val="bottom"/>
          </w:tcPr>
          <w:p w14:paraId="25CF0773"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10,7</w:t>
            </w:r>
          </w:p>
        </w:tc>
        <w:tc>
          <w:tcPr>
            <w:tcW w:w="0" w:type="auto"/>
            <w:tcBorders>
              <w:top w:val="nil"/>
            </w:tcBorders>
            <w:shd w:val="clear" w:color="auto" w:fill="auto"/>
            <w:noWrap/>
            <w:vAlign w:val="bottom"/>
          </w:tcPr>
          <w:p w14:paraId="125D9C46"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0,37</w:t>
            </w:r>
          </w:p>
        </w:tc>
        <w:tc>
          <w:tcPr>
            <w:tcW w:w="0" w:type="auto"/>
            <w:tcBorders>
              <w:top w:val="nil"/>
              <w:left w:val="nil"/>
            </w:tcBorders>
            <w:shd w:val="clear" w:color="auto" w:fill="auto"/>
            <w:noWrap/>
            <w:vAlign w:val="bottom"/>
          </w:tcPr>
          <w:p w14:paraId="2C40E693"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1,80</w:t>
            </w:r>
          </w:p>
        </w:tc>
        <w:tc>
          <w:tcPr>
            <w:tcW w:w="0" w:type="auto"/>
            <w:tcBorders>
              <w:top w:val="nil"/>
            </w:tcBorders>
            <w:shd w:val="clear" w:color="auto" w:fill="auto"/>
            <w:noWrap/>
            <w:vAlign w:val="bottom"/>
          </w:tcPr>
          <w:p w14:paraId="50DA5145"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1,31</w:t>
            </w:r>
          </w:p>
        </w:tc>
        <w:tc>
          <w:tcPr>
            <w:tcW w:w="0" w:type="auto"/>
            <w:tcBorders>
              <w:top w:val="nil"/>
            </w:tcBorders>
            <w:shd w:val="clear" w:color="auto" w:fill="auto"/>
            <w:noWrap/>
            <w:vAlign w:val="bottom"/>
          </w:tcPr>
          <w:p w14:paraId="626CA2ED"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1,00</w:t>
            </w:r>
          </w:p>
        </w:tc>
        <w:tc>
          <w:tcPr>
            <w:tcW w:w="668" w:type="dxa"/>
            <w:tcBorders>
              <w:top w:val="nil"/>
              <w:left w:val="nil"/>
            </w:tcBorders>
            <w:shd w:val="clear" w:color="auto" w:fill="auto"/>
            <w:vAlign w:val="bottom"/>
          </w:tcPr>
          <w:p w14:paraId="7CB33649" w14:textId="77777777" w:rsidR="004044DC" w:rsidRPr="007E770D" w:rsidRDefault="004044DC" w:rsidP="00E4657F">
            <w:pPr>
              <w:spacing w:after="0" w:line="240" w:lineRule="auto"/>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0,88</w:t>
            </w:r>
          </w:p>
        </w:tc>
      </w:tr>
      <w:tr w:rsidR="007E770D" w:rsidRPr="007E770D" w14:paraId="37D46051" w14:textId="77777777" w:rsidTr="00E4657F">
        <w:trPr>
          <w:trHeight w:val="44"/>
        </w:trPr>
        <w:tc>
          <w:tcPr>
            <w:tcW w:w="0" w:type="auto"/>
            <w:shd w:val="clear" w:color="auto" w:fill="auto"/>
            <w:noWrap/>
            <w:vAlign w:val="bottom"/>
            <w:hideMark/>
          </w:tcPr>
          <w:p w14:paraId="00DA8EB9" w14:textId="77777777" w:rsidR="004044DC" w:rsidRPr="007E770D" w:rsidRDefault="004044DC" w:rsidP="00E4657F">
            <w:pPr>
              <w:spacing w:after="0" w:line="240" w:lineRule="auto"/>
              <w:rPr>
                <w:rFonts w:eastAsia="Times New Roman" w:cstheme="minorHAnsi"/>
                <w:color w:val="auto"/>
                <w:sz w:val="16"/>
                <w:szCs w:val="18"/>
                <w:lang w:val="sr-Cyrl-CS" w:eastAsia="sr-Cyrl-RS"/>
              </w:rPr>
            </w:pPr>
            <w:r w:rsidRPr="007E770D">
              <w:rPr>
                <w:rFonts w:eastAsia="Times New Roman" w:cstheme="minorHAnsi"/>
                <w:color w:val="auto"/>
                <w:sz w:val="16"/>
                <w:szCs w:val="18"/>
                <w:lang w:val="sr-Cyrl-CS" w:eastAsia="sr-Cyrl-RS"/>
              </w:rPr>
              <w:t>5. Краткорочни дуг нефинансијских институција, % БДП</w:t>
            </w:r>
          </w:p>
        </w:tc>
        <w:tc>
          <w:tcPr>
            <w:tcW w:w="0" w:type="auto"/>
            <w:shd w:val="clear" w:color="auto" w:fill="auto"/>
            <w:noWrap/>
            <w:vAlign w:val="bottom"/>
            <w:hideMark/>
          </w:tcPr>
          <w:p w14:paraId="5BA1EED4" w14:textId="77777777" w:rsidR="004044DC" w:rsidRPr="007E770D" w:rsidRDefault="004044DC" w:rsidP="00E4657F">
            <w:pPr>
              <w:spacing w:after="0" w:line="240" w:lineRule="auto"/>
              <w:jc w:val="center"/>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&lt;</w:t>
            </w:r>
          </w:p>
        </w:tc>
        <w:tc>
          <w:tcPr>
            <w:tcW w:w="0" w:type="auto"/>
            <w:tcBorders>
              <w:top w:val="nil"/>
            </w:tcBorders>
            <w:shd w:val="clear" w:color="auto" w:fill="auto"/>
            <w:noWrap/>
            <w:vAlign w:val="bottom"/>
          </w:tcPr>
          <w:p w14:paraId="6E541E83"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15,4</w:t>
            </w:r>
          </w:p>
        </w:tc>
        <w:tc>
          <w:tcPr>
            <w:tcW w:w="0" w:type="auto"/>
            <w:tcBorders>
              <w:top w:val="nil"/>
            </w:tcBorders>
            <w:shd w:val="clear" w:color="auto" w:fill="auto"/>
            <w:noWrap/>
            <w:vAlign w:val="bottom"/>
          </w:tcPr>
          <w:p w14:paraId="2C237D14"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0,2</w:t>
            </w:r>
          </w:p>
        </w:tc>
        <w:tc>
          <w:tcPr>
            <w:tcW w:w="0" w:type="auto"/>
            <w:tcBorders>
              <w:top w:val="nil"/>
              <w:left w:val="nil"/>
            </w:tcBorders>
            <w:shd w:val="clear" w:color="auto" w:fill="auto"/>
            <w:noWrap/>
            <w:vAlign w:val="bottom"/>
          </w:tcPr>
          <w:p w14:paraId="68823AE9"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6,97</w:t>
            </w:r>
          </w:p>
        </w:tc>
        <w:tc>
          <w:tcPr>
            <w:tcW w:w="0" w:type="auto"/>
            <w:tcBorders>
              <w:top w:val="nil"/>
            </w:tcBorders>
            <w:shd w:val="clear" w:color="auto" w:fill="auto"/>
            <w:noWrap/>
            <w:vAlign w:val="bottom"/>
          </w:tcPr>
          <w:p w14:paraId="671AE3E5"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5,99</w:t>
            </w:r>
          </w:p>
        </w:tc>
        <w:tc>
          <w:tcPr>
            <w:tcW w:w="0" w:type="auto"/>
            <w:tcBorders>
              <w:top w:val="nil"/>
            </w:tcBorders>
            <w:shd w:val="clear" w:color="auto" w:fill="auto"/>
            <w:noWrap/>
            <w:vAlign w:val="bottom"/>
          </w:tcPr>
          <w:p w14:paraId="0DA5AD93"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6,29</w:t>
            </w:r>
          </w:p>
        </w:tc>
        <w:tc>
          <w:tcPr>
            <w:tcW w:w="668" w:type="dxa"/>
            <w:tcBorders>
              <w:top w:val="nil"/>
              <w:left w:val="nil"/>
            </w:tcBorders>
            <w:shd w:val="clear" w:color="auto" w:fill="auto"/>
            <w:vAlign w:val="bottom"/>
          </w:tcPr>
          <w:p w14:paraId="28008AAA" w14:textId="77777777" w:rsidR="004044DC" w:rsidRPr="007E770D" w:rsidRDefault="004044DC" w:rsidP="00E4657F">
            <w:pPr>
              <w:spacing w:after="0" w:line="240" w:lineRule="auto"/>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5,81</w:t>
            </w:r>
          </w:p>
        </w:tc>
      </w:tr>
      <w:tr w:rsidR="007E770D" w:rsidRPr="007E770D" w14:paraId="202AC15E" w14:textId="77777777" w:rsidTr="00E4657F">
        <w:trPr>
          <w:trHeight w:val="44"/>
        </w:trPr>
        <w:tc>
          <w:tcPr>
            <w:tcW w:w="0" w:type="auto"/>
            <w:shd w:val="clear" w:color="auto" w:fill="auto"/>
            <w:noWrap/>
            <w:vAlign w:val="bottom"/>
            <w:hideMark/>
          </w:tcPr>
          <w:p w14:paraId="697FE4FB" w14:textId="77777777" w:rsidR="004044DC" w:rsidRPr="007E770D" w:rsidRDefault="004044DC" w:rsidP="00E4657F">
            <w:pPr>
              <w:spacing w:after="0" w:line="240" w:lineRule="auto"/>
              <w:rPr>
                <w:rFonts w:eastAsia="Times New Roman" w:cstheme="minorHAnsi"/>
                <w:color w:val="auto"/>
                <w:sz w:val="16"/>
                <w:szCs w:val="18"/>
                <w:lang w:val="sr-Cyrl-CS" w:eastAsia="sr-Cyrl-RS"/>
              </w:rPr>
            </w:pPr>
            <w:r w:rsidRPr="007E770D">
              <w:rPr>
                <w:rFonts w:eastAsia="Times New Roman" w:cstheme="minorHAnsi"/>
                <w:color w:val="auto"/>
                <w:sz w:val="16"/>
                <w:szCs w:val="18"/>
                <w:lang w:val="sr-Cyrl-CS" w:eastAsia="sr-Cyrl-RS"/>
              </w:rPr>
              <w:t>6. Краткорочни дуг домаћинстава, % БДП</w:t>
            </w:r>
          </w:p>
        </w:tc>
        <w:tc>
          <w:tcPr>
            <w:tcW w:w="0" w:type="auto"/>
            <w:shd w:val="clear" w:color="auto" w:fill="auto"/>
            <w:noWrap/>
            <w:vAlign w:val="bottom"/>
            <w:hideMark/>
          </w:tcPr>
          <w:p w14:paraId="6A805E0D" w14:textId="77777777" w:rsidR="004044DC" w:rsidRPr="007E770D" w:rsidRDefault="004044DC" w:rsidP="00E4657F">
            <w:pPr>
              <w:spacing w:after="0" w:line="240" w:lineRule="auto"/>
              <w:jc w:val="center"/>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&lt;</w:t>
            </w:r>
          </w:p>
        </w:tc>
        <w:tc>
          <w:tcPr>
            <w:tcW w:w="0" w:type="auto"/>
            <w:tcBorders>
              <w:top w:val="nil"/>
            </w:tcBorders>
            <w:shd w:val="clear" w:color="auto" w:fill="auto"/>
            <w:noWrap/>
            <w:vAlign w:val="bottom"/>
          </w:tcPr>
          <w:p w14:paraId="59A51600"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2,9</w:t>
            </w:r>
          </w:p>
        </w:tc>
        <w:tc>
          <w:tcPr>
            <w:tcW w:w="0" w:type="auto"/>
            <w:tcBorders>
              <w:top w:val="nil"/>
            </w:tcBorders>
            <w:shd w:val="clear" w:color="auto" w:fill="auto"/>
            <w:noWrap/>
            <w:vAlign w:val="bottom"/>
          </w:tcPr>
          <w:p w14:paraId="2D49F2D1"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0,21</w:t>
            </w:r>
          </w:p>
        </w:tc>
        <w:tc>
          <w:tcPr>
            <w:tcW w:w="0" w:type="auto"/>
            <w:tcBorders>
              <w:top w:val="nil"/>
              <w:left w:val="nil"/>
            </w:tcBorders>
            <w:shd w:val="clear" w:color="auto" w:fill="auto"/>
            <w:noWrap/>
            <w:vAlign w:val="bottom"/>
          </w:tcPr>
          <w:p w14:paraId="08F4F639"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1,50</w:t>
            </w:r>
          </w:p>
        </w:tc>
        <w:tc>
          <w:tcPr>
            <w:tcW w:w="0" w:type="auto"/>
            <w:tcBorders>
              <w:top w:val="nil"/>
            </w:tcBorders>
            <w:shd w:val="clear" w:color="auto" w:fill="auto"/>
            <w:noWrap/>
            <w:vAlign w:val="bottom"/>
          </w:tcPr>
          <w:p w14:paraId="3896A852"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1,10</w:t>
            </w:r>
          </w:p>
        </w:tc>
        <w:tc>
          <w:tcPr>
            <w:tcW w:w="0" w:type="auto"/>
            <w:tcBorders>
              <w:top w:val="nil"/>
            </w:tcBorders>
            <w:shd w:val="clear" w:color="auto" w:fill="auto"/>
            <w:noWrap/>
            <w:vAlign w:val="bottom"/>
          </w:tcPr>
          <w:p w14:paraId="06C433CD"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1,27</w:t>
            </w:r>
          </w:p>
        </w:tc>
        <w:tc>
          <w:tcPr>
            <w:tcW w:w="668" w:type="dxa"/>
            <w:tcBorders>
              <w:top w:val="nil"/>
              <w:left w:val="nil"/>
            </w:tcBorders>
            <w:shd w:val="clear" w:color="auto" w:fill="auto"/>
            <w:vAlign w:val="bottom"/>
          </w:tcPr>
          <w:p w14:paraId="3003E311" w14:textId="77777777" w:rsidR="004044DC" w:rsidRPr="007E770D" w:rsidRDefault="004044DC" w:rsidP="00E4657F">
            <w:pPr>
              <w:spacing w:after="0" w:line="240" w:lineRule="auto"/>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1,13</w:t>
            </w:r>
          </w:p>
        </w:tc>
      </w:tr>
      <w:tr w:rsidR="007E770D" w:rsidRPr="007E770D" w14:paraId="4E58B06A" w14:textId="77777777" w:rsidTr="00E4657F">
        <w:trPr>
          <w:trHeight w:val="44"/>
        </w:trPr>
        <w:tc>
          <w:tcPr>
            <w:tcW w:w="0" w:type="auto"/>
            <w:shd w:val="clear" w:color="auto" w:fill="auto"/>
            <w:noWrap/>
            <w:vAlign w:val="bottom"/>
            <w:hideMark/>
          </w:tcPr>
          <w:p w14:paraId="234903D9" w14:textId="77777777" w:rsidR="004044DC" w:rsidRPr="007E770D" w:rsidRDefault="004044DC" w:rsidP="00E4657F">
            <w:pPr>
              <w:spacing w:after="0" w:line="240" w:lineRule="auto"/>
              <w:rPr>
                <w:rFonts w:eastAsia="Times New Roman" w:cstheme="minorHAnsi"/>
                <w:color w:val="auto"/>
                <w:sz w:val="16"/>
                <w:szCs w:val="18"/>
                <w:lang w:val="sr-Cyrl-CS" w:eastAsia="sr-Cyrl-RS"/>
              </w:rPr>
            </w:pPr>
            <w:r w:rsidRPr="007E770D">
              <w:rPr>
                <w:rFonts w:eastAsia="Times New Roman" w:cstheme="minorHAnsi"/>
                <w:color w:val="auto"/>
                <w:sz w:val="16"/>
                <w:szCs w:val="18"/>
                <w:lang w:val="sr-Cyrl-CS" w:eastAsia="sr-Cyrl-RS"/>
              </w:rPr>
              <w:t>7. Грађевинарство, % БДВ</w:t>
            </w:r>
          </w:p>
        </w:tc>
        <w:tc>
          <w:tcPr>
            <w:tcW w:w="0" w:type="auto"/>
            <w:shd w:val="clear" w:color="auto" w:fill="auto"/>
            <w:noWrap/>
            <w:vAlign w:val="bottom"/>
            <w:hideMark/>
          </w:tcPr>
          <w:p w14:paraId="4325675C" w14:textId="77777777" w:rsidR="004044DC" w:rsidRPr="007E770D" w:rsidRDefault="004044DC" w:rsidP="00E4657F">
            <w:pPr>
              <w:spacing w:after="0" w:line="240" w:lineRule="auto"/>
              <w:jc w:val="center"/>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&lt;</w:t>
            </w:r>
          </w:p>
        </w:tc>
        <w:tc>
          <w:tcPr>
            <w:tcW w:w="0" w:type="auto"/>
            <w:tcBorders>
              <w:top w:val="nil"/>
            </w:tcBorders>
            <w:shd w:val="clear" w:color="auto" w:fill="auto"/>
            <w:noWrap/>
            <w:vAlign w:val="bottom"/>
          </w:tcPr>
          <w:p w14:paraId="0CFB11DC"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7,46</w:t>
            </w:r>
          </w:p>
        </w:tc>
        <w:tc>
          <w:tcPr>
            <w:tcW w:w="0" w:type="auto"/>
            <w:tcBorders>
              <w:top w:val="nil"/>
            </w:tcBorders>
            <w:shd w:val="clear" w:color="auto" w:fill="auto"/>
            <w:noWrap/>
            <w:vAlign w:val="bottom"/>
          </w:tcPr>
          <w:p w14:paraId="16E8EBCF"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0,22</w:t>
            </w:r>
          </w:p>
        </w:tc>
        <w:tc>
          <w:tcPr>
            <w:tcW w:w="0" w:type="auto"/>
            <w:tcBorders>
              <w:top w:val="nil"/>
              <w:left w:val="nil"/>
            </w:tcBorders>
            <w:shd w:val="clear" w:color="auto" w:fill="auto"/>
            <w:noWrap/>
            <w:vAlign w:val="bottom"/>
          </w:tcPr>
          <w:p w14:paraId="00AB113C"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4,50</w:t>
            </w:r>
          </w:p>
        </w:tc>
        <w:tc>
          <w:tcPr>
            <w:tcW w:w="0" w:type="auto"/>
            <w:tcBorders>
              <w:top w:val="nil"/>
            </w:tcBorders>
            <w:shd w:val="clear" w:color="auto" w:fill="auto"/>
            <w:noWrap/>
            <w:vAlign w:val="bottom"/>
          </w:tcPr>
          <w:p w14:paraId="3DC0E4A4"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4,70</w:t>
            </w:r>
          </w:p>
        </w:tc>
        <w:tc>
          <w:tcPr>
            <w:tcW w:w="0" w:type="auto"/>
            <w:tcBorders>
              <w:top w:val="nil"/>
            </w:tcBorders>
            <w:shd w:val="clear" w:color="auto" w:fill="auto"/>
            <w:noWrap/>
            <w:vAlign w:val="bottom"/>
          </w:tcPr>
          <w:p w14:paraId="2C104A1D"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5,00</w:t>
            </w:r>
          </w:p>
        </w:tc>
        <w:tc>
          <w:tcPr>
            <w:tcW w:w="668" w:type="dxa"/>
            <w:tcBorders>
              <w:top w:val="nil"/>
              <w:left w:val="nil"/>
            </w:tcBorders>
            <w:shd w:val="clear" w:color="auto" w:fill="auto"/>
            <w:vAlign w:val="bottom"/>
          </w:tcPr>
          <w:p w14:paraId="07F7F402" w14:textId="77777777" w:rsidR="004044DC" w:rsidRPr="007E770D" w:rsidRDefault="004044DC" w:rsidP="00E4657F">
            <w:pPr>
              <w:spacing w:after="0" w:line="240" w:lineRule="auto"/>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5,50</w:t>
            </w:r>
          </w:p>
        </w:tc>
      </w:tr>
      <w:tr w:rsidR="007E770D" w:rsidRPr="007E770D" w14:paraId="3FA8523E" w14:textId="77777777" w:rsidTr="00E4657F">
        <w:trPr>
          <w:trHeight w:val="44"/>
        </w:trPr>
        <w:tc>
          <w:tcPr>
            <w:tcW w:w="0" w:type="auto"/>
            <w:shd w:val="clear" w:color="auto" w:fill="auto"/>
            <w:noWrap/>
            <w:vAlign w:val="bottom"/>
            <w:hideMark/>
          </w:tcPr>
          <w:p w14:paraId="3B74BB7C" w14:textId="77777777" w:rsidR="004044DC" w:rsidRPr="007E770D" w:rsidRDefault="004044DC" w:rsidP="00E4657F">
            <w:pPr>
              <w:spacing w:after="0" w:line="240" w:lineRule="auto"/>
              <w:rPr>
                <w:rFonts w:eastAsia="Times New Roman" w:cstheme="minorHAnsi"/>
                <w:color w:val="auto"/>
                <w:sz w:val="16"/>
                <w:szCs w:val="18"/>
                <w:lang w:val="sr-Cyrl-CS" w:eastAsia="sr-Cyrl-RS"/>
              </w:rPr>
            </w:pPr>
            <w:r w:rsidRPr="007E770D">
              <w:rPr>
                <w:rFonts w:eastAsia="Times New Roman" w:cstheme="minorHAnsi"/>
                <w:color w:val="auto"/>
                <w:sz w:val="16"/>
                <w:szCs w:val="18"/>
                <w:lang w:val="sr-Cyrl-CS" w:eastAsia="sr-Cyrl-RS"/>
              </w:rPr>
              <w:t>8. Салдо текућег рачуна, трогодишњи покретни просек, % БДП</w:t>
            </w:r>
          </w:p>
        </w:tc>
        <w:tc>
          <w:tcPr>
            <w:tcW w:w="0" w:type="auto"/>
            <w:shd w:val="clear" w:color="auto" w:fill="auto"/>
            <w:noWrap/>
            <w:vAlign w:val="bottom"/>
            <w:hideMark/>
          </w:tcPr>
          <w:p w14:paraId="084949E2" w14:textId="77777777" w:rsidR="004044DC" w:rsidRPr="007E770D" w:rsidRDefault="004044DC" w:rsidP="00E4657F">
            <w:pPr>
              <w:spacing w:after="0" w:line="240" w:lineRule="auto"/>
              <w:jc w:val="center"/>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&gt;</w:t>
            </w:r>
          </w:p>
        </w:tc>
        <w:tc>
          <w:tcPr>
            <w:tcW w:w="0" w:type="auto"/>
            <w:tcBorders>
              <w:top w:val="nil"/>
            </w:tcBorders>
            <w:shd w:val="clear" w:color="auto" w:fill="auto"/>
            <w:noWrap/>
            <w:vAlign w:val="bottom"/>
          </w:tcPr>
          <w:p w14:paraId="7EA421AA"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-2,5</w:t>
            </w:r>
          </w:p>
        </w:tc>
        <w:tc>
          <w:tcPr>
            <w:tcW w:w="0" w:type="auto"/>
            <w:tcBorders>
              <w:top w:val="nil"/>
            </w:tcBorders>
            <w:shd w:val="clear" w:color="auto" w:fill="auto"/>
            <w:noWrap/>
            <w:vAlign w:val="bottom"/>
          </w:tcPr>
          <w:p w14:paraId="79AC6A4B"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0,34</w:t>
            </w:r>
          </w:p>
        </w:tc>
        <w:tc>
          <w:tcPr>
            <w:tcW w:w="0" w:type="auto"/>
            <w:tcBorders>
              <w:top w:val="nil"/>
              <w:left w:val="nil"/>
            </w:tcBorders>
            <w:shd w:val="clear" w:color="auto" w:fill="auto"/>
            <w:noWrap/>
            <w:vAlign w:val="bottom"/>
          </w:tcPr>
          <w:p w14:paraId="6676C30B"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-4,90</w:t>
            </w:r>
          </w:p>
        </w:tc>
        <w:tc>
          <w:tcPr>
            <w:tcW w:w="0" w:type="auto"/>
            <w:tcBorders>
              <w:top w:val="nil"/>
            </w:tcBorders>
            <w:shd w:val="clear" w:color="auto" w:fill="auto"/>
            <w:noWrap/>
            <w:vAlign w:val="bottom"/>
          </w:tcPr>
          <w:p w14:paraId="75256A50"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-4,00</w:t>
            </w:r>
          </w:p>
        </w:tc>
        <w:tc>
          <w:tcPr>
            <w:tcW w:w="0" w:type="auto"/>
            <w:tcBorders>
              <w:top w:val="nil"/>
            </w:tcBorders>
            <w:shd w:val="clear" w:color="auto" w:fill="auto"/>
            <w:noWrap/>
            <w:vAlign w:val="bottom"/>
          </w:tcPr>
          <w:p w14:paraId="376C7FCA"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-3,90</w:t>
            </w:r>
          </w:p>
        </w:tc>
        <w:tc>
          <w:tcPr>
            <w:tcW w:w="668" w:type="dxa"/>
            <w:tcBorders>
              <w:top w:val="nil"/>
              <w:left w:val="nil"/>
            </w:tcBorders>
            <w:shd w:val="clear" w:color="auto" w:fill="auto"/>
            <w:vAlign w:val="bottom"/>
          </w:tcPr>
          <w:p w14:paraId="586F449E" w14:textId="77777777" w:rsidR="004044DC" w:rsidRPr="007E770D" w:rsidRDefault="004044DC" w:rsidP="00E4657F">
            <w:pPr>
              <w:spacing w:after="0" w:line="240" w:lineRule="auto"/>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-4,40</w:t>
            </w:r>
          </w:p>
        </w:tc>
      </w:tr>
      <w:tr w:rsidR="007E770D" w:rsidRPr="007E770D" w14:paraId="38B0FF9E" w14:textId="77777777" w:rsidTr="00E4657F">
        <w:trPr>
          <w:trHeight w:val="44"/>
        </w:trPr>
        <w:tc>
          <w:tcPr>
            <w:tcW w:w="0" w:type="auto"/>
            <w:shd w:val="clear" w:color="auto" w:fill="auto"/>
            <w:noWrap/>
            <w:vAlign w:val="bottom"/>
            <w:hideMark/>
          </w:tcPr>
          <w:p w14:paraId="3767DD21" w14:textId="77777777" w:rsidR="004044DC" w:rsidRPr="007E770D" w:rsidRDefault="004044DC" w:rsidP="00E4657F">
            <w:pPr>
              <w:spacing w:after="0" w:line="240" w:lineRule="auto"/>
              <w:rPr>
                <w:rFonts w:eastAsia="Times New Roman" w:cstheme="minorHAnsi"/>
                <w:color w:val="auto"/>
                <w:sz w:val="16"/>
                <w:szCs w:val="18"/>
                <w:lang w:val="sr-Cyrl-CS" w:eastAsia="sr-Cyrl-RS"/>
              </w:rPr>
            </w:pPr>
            <w:r w:rsidRPr="007E770D">
              <w:rPr>
                <w:rFonts w:eastAsia="Times New Roman" w:cstheme="minorHAnsi"/>
                <w:color w:val="auto"/>
                <w:sz w:val="16"/>
                <w:szCs w:val="18"/>
                <w:lang w:val="sr-Cyrl-CS" w:eastAsia="sr-Cyrl-RS"/>
              </w:rPr>
              <w:t>9. Реални ефективни курс, трогодишња промена, %</w:t>
            </w:r>
          </w:p>
        </w:tc>
        <w:tc>
          <w:tcPr>
            <w:tcW w:w="0" w:type="auto"/>
            <w:shd w:val="clear" w:color="auto" w:fill="auto"/>
            <w:noWrap/>
            <w:vAlign w:val="bottom"/>
            <w:hideMark/>
          </w:tcPr>
          <w:p w14:paraId="269B1534" w14:textId="77777777" w:rsidR="004044DC" w:rsidRPr="007E770D" w:rsidRDefault="004044DC" w:rsidP="00E4657F">
            <w:pPr>
              <w:spacing w:after="0" w:line="240" w:lineRule="auto"/>
              <w:jc w:val="center"/>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&lt;</w:t>
            </w:r>
          </w:p>
        </w:tc>
        <w:tc>
          <w:tcPr>
            <w:tcW w:w="0" w:type="auto"/>
            <w:tcBorders>
              <w:top w:val="nil"/>
            </w:tcBorders>
            <w:shd w:val="clear" w:color="auto" w:fill="auto"/>
            <w:noWrap/>
            <w:vAlign w:val="bottom"/>
          </w:tcPr>
          <w:p w14:paraId="26893A0B"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9,67</w:t>
            </w:r>
          </w:p>
        </w:tc>
        <w:tc>
          <w:tcPr>
            <w:tcW w:w="0" w:type="auto"/>
            <w:tcBorders>
              <w:top w:val="nil"/>
            </w:tcBorders>
            <w:shd w:val="clear" w:color="auto" w:fill="auto"/>
            <w:noWrap/>
            <w:vAlign w:val="bottom"/>
          </w:tcPr>
          <w:p w14:paraId="79847CC7"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0,11</w:t>
            </w:r>
          </w:p>
        </w:tc>
        <w:tc>
          <w:tcPr>
            <w:tcW w:w="0" w:type="auto"/>
            <w:tcBorders>
              <w:top w:val="nil"/>
              <w:left w:val="nil"/>
            </w:tcBorders>
            <w:shd w:val="clear" w:color="auto" w:fill="auto"/>
            <w:noWrap/>
            <w:vAlign w:val="bottom"/>
          </w:tcPr>
          <w:p w14:paraId="6AB3D4C1"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-2,73</w:t>
            </w:r>
          </w:p>
        </w:tc>
        <w:tc>
          <w:tcPr>
            <w:tcW w:w="0" w:type="auto"/>
            <w:tcBorders>
              <w:top w:val="nil"/>
            </w:tcBorders>
            <w:shd w:val="clear" w:color="auto" w:fill="auto"/>
            <w:noWrap/>
            <w:vAlign w:val="bottom"/>
          </w:tcPr>
          <w:p w14:paraId="0FF5D0B3"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-0,90</w:t>
            </w:r>
          </w:p>
        </w:tc>
        <w:tc>
          <w:tcPr>
            <w:tcW w:w="0" w:type="auto"/>
            <w:tcBorders>
              <w:top w:val="nil"/>
            </w:tcBorders>
            <w:shd w:val="clear" w:color="auto" w:fill="auto"/>
            <w:noWrap/>
            <w:vAlign w:val="bottom"/>
          </w:tcPr>
          <w:p w14:paraId="64541BAC"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-8,50</w:t>
            </w:r>
          </w:p>
        </w:tc>
        <w:tc>
          <w:tcPr>
            <w:tcW w:w="668" w:type="dxa"/>
            <w:tcBorders>
              <w:top w:val="nil"/>
              <w:left w:val="nil"/>
            </w:tcBorders>
            <w:shd w:val="clear" w:color="auto" w:fill="auto"/>
            <w:vAlign w:val="bottom"/>
          </w:tcPr>
          <w:p w14:paraId="09B67B9E" w14:textId="77777777" w:rsidR="004044DC" w:rsidRPr="007E770D" w:rsidRDefault="004044DC" w:rsidP="00E4657F">
            <w:pPr>
              <w:spacing w:after="0" w:line="240" w:lineRule="auto"/>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-3,40</w:t>
            </w:r>
          </w:p>
        </w:tc>
      </w:tr>
      <w:tr w:rsidR="007E770D" w:rsidRPr="007E770D" w14:paraId="129C1218" w14:textId="77777777" w:rsidTr="00E4657F">
        <w:trPr>
          <w:trHeight w:val="44"/>
        </w:trPr>
        <w:tc>
          <w:tcPr>
            <w:tcW w:w="0" w:type="auto"/>
            <w:shd w:val="clear" w:color="auto" w:fill="auto"/>
            <w:noWrap/>
            <w:vAlign w:val="bottom"/>
            <w:hideMark/>
          </w:tcPr>
          <w:p w14:paraId="794B121B" w14:textId="77777777" w:rsidR="004044DC" w:rsidRPr="007E770D" w:rsidRDefault="004044DC" w:rsidP="00E4657F">
            <w:pPr>
              <w:spacing w:after="0" w:line="240" w:lineRule="auto"/>
              <w:rPr>
                <w:rFonts w:eastAsia="Times New Roman" w:cstheme="minorHAnsi"/>
                <w:color w:val="auto"/>
                <w:sz w:val="16"/>
                <w:szCs w:val="18"/>
                <w:lang w:val="sr-Cyrl-CS" w:eastAsia="sr-Cyrl-RS"/>
              </w:rPr>
            </w:pPr>
            <w:r w:rsidRPr="007E770D">
              <w:rPr>
                <w:rFonts w:eastAsia="Times New Roman" w:cstheme="minorHAnsi"/>
                <w:color w:val="auto"/>
                <w:sz w:val="16"/>
                <w:szCs w:val="18"/>
                <w:lang w:val="sr-Cyrl-CS" w:eastAsia="sr-Cyrl-RS"/>
              </w:rPr>
              <w:t>10. Номинални јединични трошак рада, трогодишња промена, %</w:t>
            </w:r>
          </w:p>
        </w:tc>
        <w:tc>
          <w:tcPr>
            <w:tcW w:w="0" w:type="auto"/>
            <w:shd w:val="clear" w:color="auto" w:fill="auto"/>
            <w:noWrap/>
            <w:vAlign w:val="bottom"/>
            <w:hideMark/>
          </w:tcPr>
          <w:p w14:paraId="5002A179" w14:textId="77777777" w:rsidR="004044DC" w:rsidRPr="007E770D" w:rsidRDefault="004044DC" w:rsidP="00E4657F">
            <w:pPr>
              <w:spacing w:after="0" w:line="240" w:lineRule="auto"/>
              <w:jc w:val="center"/>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&lt;</w:t>
            </w:r>
          </w:p>
        </w:tc>
        <w:tc>
          <w:tcPr>
            <w:tcW w:w="0" w:type="auto"/>
            <w:tcBorders>
              <w:top w:val="nil"/>
            </w:tcBorders>
            <w:shd w:val="clear" w:color="auto" w:fill="auto"/>
            <w:noWrap/>
            <w:vAlign w:val="bottom"/>
          </w:tcPr>
          <w:p w14:paraId="0FF98EFA"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7</w:t>
            </w:r>
          </w:p>
        </w:tc>
        <w:tc>
          <w:tcPr>
            <w:tcW w:w="0" w:type="auto"/>
            <w:tcBorders>
              <w:top w:val="nil"/>
            </w:tcBorders>
            <w:shd w:val="clear" w:color="auto" w:fill="auto"/>
            <w:noWrap/>
            <w:vAlign w:val="bottom"/>
          </w:tcPr>
          <w:p w14:paraId="73EED57F"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0,18</w:t>
            </w:r>
          </w:p>
        </w:tc>
        <w:tc>
          <w:tcPr>
            <w:tcW w:w="0" w:type="auto"/>
            <w:tcBorders>
              <w:top w:val="nil"/>
              <w:left w:val="nil"/>
            </w:tcBorders>
            <w:shd w:val="clear" w:color="auto" w:fill="auto"/>
            <w:noWrap/>
            <w:vAlign w:val="bottom"/>
          </w:tcPr>
          <w:p w14:paraId="2C8170AF"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0,30</w:t>
            </w:r>
          </w:p>
        </w:tc>
        <w:tc>
          <w:tcPr>
            <w:tcW w:w="0" w:type="auto"/>
            <w:tcBorders>
              <w:top w:val="nil"/>
            </w:tcBorders>
            <w:shd w:val="clear" w:color="auto" w:fill="auto"/>
            <w:noWrap/>
            <w:vAlign w:val="bottom"/>
          </w:tcPr>
          <w:p w14:paraId="7CCCB3AD"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-4,80</w:t>
            </w:r>
          </w:p>
        </w:tc>
        <w:tc>
          <w:tcPr>
            <w:tcW w:w="0" w:type="auto"/>
            <w:tcBorders>
              <w:top w:val="nil"/>
            </w:tcBorders>
            <w:shd w:val="clear" w:color="auto" w:fill="auto"/>
            <w:noWrap/>
            <w:vAlign w:val="bottom"/>
          </w:tcPr>
          <w:p w14:paraId="5415E656"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-1,90</w:t>
            </w:r>
          </w:p>
        </w:tc>
        <w:tc>
          <w:tcPr>
            <w:tcW w:w="668" w:type="dxa"/>
            <w:tcBorders>
              <w:top w:val="nil"/>
              <w:left w:val="nil"/>
            </w:tcBorders>
            <w:shd w:val="clear" w:color="auto" w:fill="auto"/>
            <w:vAlign w:val="bottom"/>
          </w:tcPr>
          <w:p w14:paraId="6732600F" w14:textId="77777777" w:rsidR="004044DC" w:rsidRPr="007E770D" w:rsidRDefault="004044DC" w:rsidP="00E4657F">
            <w:pPr>
              <w:spacing w:after="0" w:line="240" w:lineRule="auto"/>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0,50</w:t>
            </w:r>
          </w:p>
        </w:tc>
      </w:tr>
      <w:tr w:rsidR="007E770D" w:rsidRPr="007E770D" w14:paraId="652A5F2B" w14:textId="77777777" w:rsidTr="00E4657F">
        <w:trPr>
          <w:trHeight w:val="44"/>
        </w:trPr>
        <w:tc>
          <w:tcPr>
            <w:tcW w:w="0" w:type="auto"/>
            <w:shd w:val="clear" w:color="auto" w:fill="auto"/>
            <w:noWrap/>
            <w:vAlign w:val="bottom"/>
            <w:hideMark/>
          </w:tcPr>
          <w:p w14:paraId="086ED2C0" w14:textId="77777777" w:rsidR="004044DC" w:rsidRPr="007E770D" w:rsidRDefault="004044DC" w:rsidP="00E4657F">
            <w:pPr>
              <w:spacing w:after="0" w:line="240" w:lineRule="auto"/>
              <w:rPr>
                <w:rFonts w:eastAsia="Times New Roman" w:cstheme="minorHAnsi"/>
                <w:color w:val="auto"/>
                <w:sz w:val="16"/>
                <w:szCs w:val="18"/>
                <w:lang w:val="sr-Cyrl-CS" w:eastAsia="sr-Cyrl-RS"/>
              </w:rPr>
            </w:pPr>
            <w:r w:rsidRPr="007E770D">
              <w:rPr>
                <w:rFonts w:eastAsia="Times New Roman" w:cstheme="minorHAnsi"/>
                <w:color w:val="auto"/>
                <w:sz w:val="16"/>
                <w:szCs w:val="18"/>
                <w:lang w:val="sr-Cyrl-CS" w:eastAsia="sr-Cyrl-RS"/>
              </w:rPr>
              <w:t>11. Стопа приноса на државне ХоВ</w:t>
            </w:r>
          </w:p>
        </w:tc>
        <w:tc>
          <w:tcPr>
            <w:tcW w:w="0" w:type="auto"/>
            <w:shd w:val="clear" w:color="auto" w:fill="auto"/>
            <w:noWrap/>
            <w:vAlign w:val="bottom"/>
            <w:hideMark/>
          </w:tcPr>
          <w:p w14:paraId="1E97D3CA" w14:textId="77777777" w:rsidR="004044DC" w:rsidRPr="007E770D" w:rsidRDefault="004044DC" w:rsidP="00E4657F">
            <w:pPr>
              <w:spacing w:after="0" w:line="240" w:lineRule="auto"/>
              <w:jc w:val="center"/>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&gt;</w:t>
            </w:r>
          </w:p>
        </w:tc>
        <w:tc>
          <w:tcPr>
            <w:tcW w:w="0" w:type="auto"/>
            <w:tcBorders>
              <w:top w:val="nil"/>
            </w:tcBorders>
            <w:shd w:val="clear" w:color="auto" w:fill="auto"/>
            <w:noWrap/>
            <w:vAlign w:val="bottom"/>
          </w:tcPr>
          <w:p w14:paraId="41A49D29"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0,59</w:t>
            </w:r>
          </w:p>
        </w:tc>
        <w:tc>
          <w:tcPr>
            <w:tcW w:w="0" w:type="auto"/>
            <w:tcBorders>
              <w:top w:val="nil"/>
            </w:tcBorders>
            <w:shd w:val="clear" w:color="auto" w:fill="auto"/>
            <w:noWrap/>
            <w:vAlign w:val="bottom"/>
          </w:tcPr>
          <w:p w14:paraId="632E113F"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0,37</w:t>
            </w:r>
          </w:p>
        </w:tc>
        <w:tc>
          <w:tcPr>
            <w:tcW w:w="0" w:type="auto"/>
            <w:tcBorders>
              <w:top w:val="nil"/>
              <w:left w:val="nil"/>
            </w:tcBorders>
            <w:shd w:val="clear" w:color="auto" w:fill="auto"/>
            <w:noWrap/>
            <w:vAlign w:val="bottom"/>
          </w:tcPr>
          <w:p w14:paraId="7958988B"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4,55</w:t>
            </w:r>
          </w:p>
        </w:tc>
        <w:tc>
          <w:tcPr>
            <w:tcW w:w="0" w:type="auto"/>
            <w:tcBorders>
              <w:top w:val="nil"/>
            </w:tcBorders>
            <w:shd w:val="clear" w:color="auto" w:fill="auto"/>
            <w:noWrap/>
            <w:vAlign w:val="bottom"/>
          </w:tcPr>
          <w:p w14:paraId="56E0F399"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5,00</w:t>
            </w:r>
          </w:p>
        </w:tc>
        <w:tc>
          <w:tcPr>
            <w:tcW w:w="0" w:type="auto"/>
            <w:tcBorders>
              <w:top w:val="nil"/>
            </w:tcBorders>
            <w:shd w:val="clear" w:color="auto" w:fill="auto"/>
            <w:noWrap/>
            <w:vAlign w:val="bottom"/>
          </w:tcPr>
          <w:p w14:paraId="0EEE0C07"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2,01</w:t>
            </w:r>
          </w:p>
        </w:tc>
        <w:tc>
          <w:tcPr>
            <w:tcW w:w="668" w:type="dxa"/>
            <w:tcBorders>
              <w:top w:val="nil"/>
              <w:left w:val="nil"/>
            </w:tcBorders>
            <w:shd w:val="clear" w:color="auto" w:fill="auto"/>
            <w:vAlign w:val="bottom"/>
          </w:tcPr>
          <w:p w14:paraId="5D501B0B" w14:textId="77777777" w:rsidR="004044DC" w:rsidRPr="007E770D" w:rsidRDefault="004044DC" w:rsidP="00E4657F">
            <w:pPr>
              <w:spacing w:after="0" w:line="240" w:lineRule="auto"/>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2,01</w:t>
            </w:r>
          </w:p>
        </w:tc>
      </w:tr>
      <w:tr w:rsidR="007E770D" w:rsidRPr="007E770D" w14:paraId="657402CE" w14:textId="77777777" w:rsidTr="00E4657F">
        <w:trPr>
          <w:trHeight w:val="44"/>
        </w:trPr>
        <w:tc>
          <w:tcPr>
            <w:tcW w:w="0" w:type="auto"/>
            <w:shd w:val="clear" w:color="auto" w:fill="auto"/>
            <w:noWrap/>
            <w:vAlign w:val="bottom"/>
            <w:hideMark/>
          </w:tcPr>
          <w:p w14:paraId="2591DD39" w14:textId="77777777" w:rsidR="004044DC" w:rsidRPr="007E770D" w:rsidRDefault="004044DC" w:rsidP="00E4657F">
            <w:pPr>
              <w:spacing w:after="0" w:line="240" w:lineRule="auto"/>
              <w:rPr>
                <w:rFonts w:eastAsia="Times New Roman" w:cstheme="minorHAnsi"/>
                <w:color w:val="auto"/>
                <w:sz w:val="16"/>
                <w:szCs w:val="18"/>
                <w:lang w:val="sr-Cyrl-CS" w:eastAsia="sr-Cyrl-RS"/>
              </w:rPr>
            </w:pPr>
            <w:r w:rsidRPr="007E770D">
              <w:rPr>
                <w:rFonts w:eastAsia="Times New Roman" w:cstheme="minorHAnsi"/>
                <w:color w:val="auto"/>
                <w:sz w:val="16"/>
                <w:szCs w:val="18"/>
                <w:lang w:val="sr-Cyrl-CS" w:eastAsia="sr-Cyrl-RS"/>
              </w:rPr>
              <w:t>12. БДП, реални раст</w:t>
            </w:r>
          </w:p>
        </w:tc>
        <w:tc>
          <w:tcPr>
            <w:tcW w:w="0" w:type="auto"/>
            <w:shd w:val="clear" w:color="auto" w:fill="auto"/>
            <w:noWrap/>
            <w:vAlign w:val="bottom"/>
            <w:hideMark/>
          </w:tcPr>
          <w:p w14:paraId="67E09D0F" w14:textId="77777777" w:rsidR="004044DC" w:rsidRPr="007E770D" w:rsidRDefault="004044DC" w:rsidP="00E4657F">
            <w:pPr>
              <w:spacing w:after="0" w:line="240" w:lineRule="auto"/>
              <w:jc w:val="center"/>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&gt;</w:t>
            </w:r>
          </w:p>
        </w:tc>
        <w:tc>
          <w:tcPr>
            <w:tcW w:w="0" w:type="auto"/>
            <w:tcBorders>
              <w:top w:val="nil"/>
            </w:tcBorders>
            <w:shd w:val="clear" w:color="auto" w:fill="auto"/>
            <w:noWrap/>
            <w:vAlign w:val="bottom"/>
          </w:tcPr>
          <w:p w14:paraId="2EF641FC"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-0,67</w:t>
            </w:r>
          </w:p>
        </w:tc>
        <w:tc>
          <w:tcPr>
            <w:tcW w:w="0" w:type="auto"/>
            <w:tcBorders>
              <w:top w:val="nil"/>
            </w:tcBorders>
            <w:shd w:val="clear" w:color="auto" w:fill="auto"/>
            <w:noWrap/>
            <w:vAlign w:val="bottom"/>
          </w:tcPr>
          <w:p w14:paraId="384E2BDA"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0,1</w:t>
            </w:r>
          </w:p>
        </w:tc>
        <w:tc>
          <w:tcPr>
            <w:tcW w:w="0" w:type="auto"/>
            <w:tcBorders>
              <w:top w:val="nil"/>
              <w:left w:val="nil"/>
            </w:tcBorders>
            <w:shd w:val="clear" w:color="auto" w:fill="auto"/>
            <w:noWrap/>
            <w:vAlign w:val="bottom"/>
          </w:tcPr>
          <w:p w14:paraId="29F512BA"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1,80</w:t>
            </w:r>
          </w:p>
        </w:tc>
        <w:tc>
          <w:tcPr>
            <w:tcW w:w="0" w:type="auto"/>
            <w:tcBorders>
              <w:top w:val="nil"/>
            </w:tcBorders>
            <w:shd w:val="clear" w:color="auto" w:fill="auto"/>
            <w:noWrap/>
            <w:vAlign w:val="bottom"/>
          </w:tcPr>
          <w:p w14:paraId="39DC3CD1"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3,30</w:t>
            </w:r>
          </w:p>
        </w:tc>
        <w:tc>
          <w:tcPr>
            <w:tcW w:w="0" w:type="auto"/>
            <w:tcBorders>
              <w:top w:val="nil"/>
            </w:tcBorders>
            <w:shd w:val="clear" w:color="auto" w:fill="auto"/>
            <w:noWrap/>
            <w:vAlign w:val="bottom"/>
          </w:tcPr>
          <w:p w14:paraId="5115F032"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2,00</w:t>
            </w:r>
          </w:p>
        </w:tc>
        <w:tc>
          <w:tcPr>
            <w:tcW w:w="668" w:type="dxa"/>
            <w:tcBorders>
              <w:top w:val="nil"/>
              <w:left w:val="nil"/>
            </w:tcBorders>
            <w:shd w:val="clear" w:color="auto" w:fill="auto"/>
            <w:vAlign w:val="bottom"/>
          </w:tcPr>
          <w:p w14:paraId="51AC98F0" w14:textId="77777777" w:rsidR="004044DC" w:rsidRPr="007E770D" w:rsidRDefault="004044DC" w:rsidP="00E4657F">
            <w:pPr>
              <w:spacing w:after="0" w:line="240" w:lineRule="auto"/>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4,40</w:t>
            </w:r>
          </w:p>
        </w:tc>
      </w:tr>
      <w:tr w:rsidR="007E770D" w:rsidRPr="007E770D" w14:paraId="10F96D6B" w14:textId="77777777" w:rsidTr="00E4657F">
        <w:trPr>
          <w:trHeight w:val="44"/>
        </w:trPr>
        <w:tc>
          <w:tcPr>
            <w:tcW w:w="0" w:type="auto"/>
            <w:shd w:val="clear" w:color="auto" w:fill="auto"/>
            <w:noWrap/>
            <w:vAlign w:val="bottom"/>
            <w:hideMark/>
          </w:tcPr>
          <w:p w14:paraId="2E9C8DF3" w14:textId="77777777" w:rsidR="004044DC" w:rsidRPr="007E770D" w:rsidRDefault="004044DC" w:rsidP="00E4657F">
            <w:pPr>
              <w:spacing w:after="0" w:line="240" w:lineRule="auto"/>
              <w:rPr>
                <w:rFonts w:eastAsia="Times New Roman" w:cstheme="minorHAnsi"/>
                <w:color w:val="auto"/>
                <w:spacing w:val="-4"/>
                <w:sz w:val="16"/>
                <w:szCs w:val="18"/>
                <w:lang w:val="sr-Cyrl-CS" w:eastAsia="sr-Cyrl-RS"/>
              </w:rPr>
            </w:pPr>
            <w:r w:rsidRPr="007E770D">
              <w:rPr>
                <w:rFonts w:eastAsia="Times New Roman" w:cstheme="minorHAnsi"/>
                <w:color w:val="auto"/>
                <w:spacing w:val="-4"/>
                <w:sz w:val="16"/>
                <w:szCs w:val="18"/>
                <w:lang w:val="sr-Cyrl-CS" w:eastAsia="sr-Cyrl-RS"/>
              </w:rPr>
              <w:t>13. БДП по глави становника према паритету куповне моћи, % БДП САД</w:t>
            </w:r>
          </w:p>
        </w:tc>
        <w:tc>
          <w:tcPr>
            <w:tcW w:w="0" w:type="auto"/>
            <w:shd w:val="clear" w:color="auto" w:fill="auto"/>
            <w:noWrap/>
            <w:vAlign w:val="bottom"/>
            <w:hideMark/>
          </w:tcPr>
          <w:p w14:paraId="46FE7972" w14:textId="77777777" w:rsidR="004044DC" w:rsidRPr="007E770D" w:rsidRDefault="004044DC" w:rsidP="00E4657F">
            <w:pPr>
              <w:spacing w:after="0" w:line="240" w:lineRule="auto"/>
              <w:jc w:val="center"/>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&gt;</w:t>
            </w:r>
          </w:p>
        </w:tc>
        <w:tc>
          <w:tcPr>
            <w:tcW w:w="0" w:type="auto"/>
            <w:tcBorders>
              <w:top w:val="nil"/>
            </w:tcBorders>
            <w:shd w:val="clear" w:color="auto" w:fill="auto"/>
            <w:noWrap/>
            <w:vAlign w:val="bottom"/>
          </w:tcPr>
          <w:p w14:paraId="2B85DFE9"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72,7</w:t>
            </w:r>
          </w:p>
        </w:tc>
        <w:tc>
          <w:tcPr>
            <w:tcW w:w="0" w:type="auto"/>
            <w:tcBorders>
              <w:top w:val="nil"/>
            </w:tcBorders>
            <w:shd w:val="clear" w:color="auto" w:fill="auto"/>
            <w:noWrap/>
            <w:vAlign w:val="bottom"/>
          </w:tcPr>
          <w:p w14:paraId="49EBAAC9"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0,22</w:t>
            </w:r>
          </w:p>
        </w:tc>
        <w:tc>
          <w:tcPr>
            <w:tcW w:w="0" w:type="auto"/>
            <w:tcBorders>
              <w:top w:val="nil"/>
              <w:left w:val="nil"/>
            </w:tcBorders>
            <w:shd w:val="clear" w:color="auto" w:fill="auto"/>
            <w:noWrap/>
            <w:vAlign w:val="bottom"/>
          </w:tcPr>
          <w:p w14:paraId="7103C33F"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26,70</w:t>
            </w:r>
          </w:p>
        </w:tc>
        <w:tc>
          <w:tcPr>
            <w:tcW w:w="0" w:type="auto"/>
            <w:tcBorders>
              <w:top w:val="nil"/>
            </w:tcBorders>
            <w:shd w:val="clear" w:color="auto" w:fill="auto"/>
            <w:noWrap/>
            <w:vAlign w:val="bottom"/>
          </w:tcPr>
          <w:p w14:paraId="38664D1C"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27,08</w:t>
            </w:r>
          </w:p>
        </w:tc>
        <w:tc>
          <w:tcPr>
            <w:tcW w:w="0" w:type="auto"/>
            <w:tcBorders>
              <w:top w:val="nil"/>
            </w:tcBorders>
            <w:shd w:val="clear" w:color="auto" w:fill="auto"/>
            <w:noWrap/>
            <w:vAlign w:val="bottom"/>
          </w:tcPr>
          <w:p w14:paraId="47A90383"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27,65</w:t>
            </w:r>
          </w:p>
        </w:tc>
        <w:tc>
          <w:tcPr>
            <w:tcW w:w="668" w:type="dxa"/>
            <w:tcBorders>
              <w:top w:val="nil"/>
              <w:left w:val="nil"/>
            </w:tcBorders>
            <w:shd w:val="clear" w:color="auto" w:fill="auto"/>
            <w:vAlign w:val="bottom"/>
          </w:tcPr>
          <w:p w14:paraId="39F89859" w14:textId="77777777" w:rsidR="004044DC" w:rsidRPr="007E770D" w:rsidRDefault="004044DC" w:rsidP="00E4657F">
            <w:pPr>
              <w:spacing w:after="0" w:line="240" w:lineRule="auto"/>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27,97</w:t>
            </w:r>
          </w:p>
        </w:tc>
      </w:tr>
      <w:tr w:rsidR="007E770D" w:rsidRPr="007E770D" w14:paraId="4630B3BC" w14:textId="77777777" w:rsidTr="00E4657F">
        <w:trPr>
          <w:trHeight w:val="44"/>
        </w:trPr>
        <w:tc>
          <w:tcPr>
            <w:tcW w:w="0" w:type="auto"/>
            <w:tcBorders>
              <w:bottom w:val="single" w:sz="4" w:space="0" w:color="002060"/>
            </w:tcBorders>
            <w:shd w:val="clear" w:color="auto" w:fill="E7E6E6" w:themeFill="background2"/>
            <w:noWrap/>
            <w:vAlign w:val="bottom"/>
            <w:hideMark/>
          </w:tcPr>
          <w:p w14:paraId="4BE7689A" w14:textId="77777777" w:rsidR="004044DC" w:rsidRPr="007E770D" w:rsidRDefault="004044DC" w:rsidP="00E4657F">
            <w:pPr>
              <w:spacing w:after="0" w:line="240" w:lineRule="auto"/>
              <w:rPr>
                <w:rFonts w:eastAsia="Times New Roman" w:cstheme="minorHAnsi"/>
                <w:bCs/>
                <w:color w:val="auto"/>
                <w:sz w:val="16"/>
                <w:szCs w:val="18"/>
                <w:lang w:val="sr-Cyrl-CS" w:eastAsia="sr-Cyrl-RS"/>
              </w:rPr>
            </w:pPr>
            <w:r w:rsidRPr="007E770D">
              <w:rPr>
                <w:rFonts w:eastAsia="Times New Roman" w:cstheme="minorHAnsi"/>
                <w:bCs/>
                <w:color w:val="auto"/>
                <w:sz w:val="16"/>
                <w:szCs w:val="18"/>
                <w:lang w:val="sr-Cyrl-CS" w:eastAsia="sr-Cyrl-RS"/>
              </w:rPr>
              <w:t>S0 индикатор</w:t>
            </w:r>
          </w:p>
        </w:tc>
        <w:tc>
          <w:tcPr>
            <w:tcW w:w="0" w:type="auto"/>
            <w:tcBorders>
              <w:bottom w:val="single" w:sz="4" w:space="0" w:color="002060"/>
            </w:tcBorders>
            <w:shd w:val="clear" w:color="auto" w:fill="E7E6E6" w:themeFill="background2"/>
            <w:noWrap/>
            <w:vAlign w:val="bottom"/>
            <w:hideMark/>
          </w:tcPr>
          <w:p w14:paraId="07A4C7C5" w14:textId="77777777" w:rsidR="004044DC" w:rsidRPr="007E770D" w:rsidRDefault="004044DC" w:rsidP="00E4657F">
            <w:pPr>
              <w:spacing w:after="0" w:line="240" w:lineRule="auto"/>
              <w:jc w:val="center"/>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&lt;</w:t>
            </w:r>
          </w:p>
        </w:tc>
        <w:tc>
          <w:tcPr>
            <w:tcW w:w="0" w:type="auto"/>
            <w:tcBorders>
              <w:bottom w:val="single" w:sz="4" w:space="0" w:color="002060"/>
            </w:tcBorders>
            <w:shd w:val="clear" w:color="auto" w:fill="E7E6E6"/>
            <w:noWrap/>
            <w:vAlign w:val="bottom"/>
          </w:tcPr>
          <w:p w14:paraId="579092A7"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0,46</w:t>
            </w:r>
          </w:p>
        </w:tc>
        <w:tc>
          <w:tcPr>
            <w:tcW w:w="0" w:type="auto"/>
            <w:tcBorders>
              <w:bottom w:val="single" w:sz="4" w:space="0" w:color="002060"/>
            </w:tcBorders>
            <w:shd w:val="clear" w:color="auto" w:fill="E7E6E6"/>
            <w:noWrap/>
            <w:vAlign w:val="bottom"/>
          </w:tcPr>
          <w:p w14:paraId="6056F273"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0,55</w:t>
            </w:r>
          </w:p>
        </w:tc>
        <w:tc>
          <w:tcPr>
            <w:tcW w:w="0" w:type="auto"/>
            <w:tcBorders>
              <w:left w:val="nil"/>
              <w:bottom w:val="single" w:sz="4" w:space="0" w:color="002060"/>
            </w:tcBorders>
            <w:shd w:val="clear" w:color="auto" w:fill="E7E6E6"/>
            <w:noWrap/>
            <w:vAlign w:val="bottom"/>
          </w:tcPr>
          <w:p w14:paraId="02A00132"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0,32</w:t>
            </w:r>
          </w:p>
        </w:tc>
        <w:tc>
          <w:tcPr>
            <w:tcW w:w="0" w:type="auto"/>
            <w:tcBorders>
              <w:bottom w:val="single" w:sz="4" w:space="0" w:color="002060"/>
            </w:tcBorders>
            <w:shd w:val="clear" w:color="auto" w:fill="E7E6E6"/>
            <w:noWrap/>
            <w:vAlign w:val="bottom"/>
          </w:tcPr>
          <w:p w14:paraId="4F5A7F5B"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0,24</w:t>
            </w:r>
          </w:p>
        </w:tc>
        <w:tc>
          <w:tcPr>
            <w:tcW w:w="0" w:type="auto"/>
            <w:tcBorders>
              <w:bottom w:val="single" w:sz="4" w:space="0" w:color="002060"/>
            </w:tcBorders>
            <w:shd w:val="clear" w:color="auto" w:fill="E7E6E6"/>
            <w:noWrap/>
            <w:vAlign w:val="bottom"/>
          </w:tcPr>
          <w:p w14:paraId="5DD495A2" w14:textId="77777777" w:rsidR="004044DC" w:rsidRPr="007E770D" w:rsidRDefault="004044DC" w:rsidP="00E4657F">
            <w:pPr>
              <w:spacing w:after="0" w:line="240" w:lineRule="auto"/>
              <w:ind w:right="57"/>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0,18</w:t>
            </w:r>
          </w:p>
        </w:tc>
        <w:tc>
          <w:tcPr>
            <w:tcW w:w="668" w:type="dxa"/>
            <w:tcBorders>
              <w:left w:val="nil"/>
              <w:bottom w:val="single" w:sz="4" w:space="0" w:color="002060"/>
            </w:tcBorders>
            <w:shd w:val="clear" w:color="auto" w:fill="E7E6E6"/>
            <w:vAlign w:val="bottom"/>
          </w:tcPr>
          <w:p w14:paraId="3F7D54F3" w14:textId="77777777" w:rsidR="004044DC" w:rsidRPr="007E770D" w:rsidRDefault="004044DC" w:rsidP="00E4657F">
            <w:pPr>
              <w:spacing w:after="0" w:line="240" w:lineRule="auto"/>
              <w:jc w:val="right"/>
              <w:rPr>
                <w:rFonts w:eastAsia="Times New Roman" w:cstheme="minorHAnsi"/>
                <w:bCs/>
                <w:color w:val="auto"/>
                <w:sz w:val="14"/>
                <w:szCs w:val="18"/>
                <w:lang w:val="sr-Cyrl-CS" w:eastAsia="sr-Cyrl-RS"/>
              </w:rPr>
            </w:pPr>
            <w:r w:rsidRPr="007E770D">
              <w:rPr>
                <w:rFonts w:eastAsia="Times New Roman" w:cstheme="minorHAnsi"/>
                <w:bCs/>
                <w:color w:val="auto"/>
                <w:sz w:val="14"/>
                <w:szCs w:val="18"/>
                <w:lang w:val="sr-Cyrl-CS" w:eastAsia="sr-Cyrl-RS"/>
              </w:rPr>
              <w:t>0,18</w:t>
            </w:r>
          </w:p>
        </w:tc>
      </w:tr>
    </w:tbl>
    <w:p w14:paraId="556C1BBF" w14:textId="77777777" w:rsidR="004044DC" w:rsidRPr="007E770D" w:rsidRDefault="004044DC" w:rsidP="00C030A9">
      <w:pPr>
        <w:rPr>
          <w:rFonts w:cstheme="minorHAnsi"/>
          <w:color w:val="auto"/>
          <w:sz w:val="16"/>
          <w:szCs w:val="14"/>
          <w:lang w:val="sr-Cyrl-CS"/>
        </w:rPr>
      </w:pPr>
      <w:r w:rsidRPr="007E770D">
        <w:rPr>
          <w:rFonts w:cstheme="minorHAnsi"/>
          <w:noProof/>
          <w:color w:val="auto"/>
        </w:rPr>
        <mc:AlternateContent>
          <mc:Choice Requires="wps">
            <w:drawing>
              <wp:anchor distT="0" distB="0" distL="114300" distR="114300" simplePos="0" relativeHeight="251725824" behindDoc="1" locked="0" layoutInCell="1" allowOverlap="1" wp14:anchorId="2B0A62E7" wp14:editId="48810C2D">
                <wp:simplePos x="0" y="0"/>
                <wp:positionH relativeFrom="margin">
                  <wp:posOffset>-63795</wp:posOffset>
                </wp:positionH>
                <wp:positionV relativeFrom="paragraph">
                  <wp:posOffset>-85059</wp:posOffset>
                </wp:positionV>
                <wp:extent cx="6257925" cy="5603358"/>
                <wp:effectExtent l="0" t="0" r="9525" b="0"/>
                <wp:wrapNone/>
                <wp:docPr id="3" name="Rectangle 3"/>
                <wp:cNvGraphicFramePr/>
                <a:graphic xmlns:a="http://schemas.openxmlformats.org/drawingml/2006/main">
                  <a:graphicData uri="http://schemas.microsoft.com/office/word/2010/wordprocessingShape">
                    <wps:wsp>
                      <wps:cNvSpPr/>
                      <wps:spPr>
                        <a:xfrm>
                          <a:off x="0" y="0"/>
                          <a:ext cx="6257925" cy="5603358"/>
                        </a:xfrm>
                        <a:prstGeom prst="rect">
                          <a:avLst/>
                        </a:prstGeom>
                        <a:pattFill prst="pct25">
                          <a:fgClr>
                            <a:schemeClr val="bg1">
                              <a:lumMod val="85000"/>
                            </a:schemeClr>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C3AAD84" w14:textId="77777777" w:rsidR="00E07FF8" w:rsidRDefault="00E07FF8" w:rsidP="00E4657F">
                            <w:pPr>
                              <w:spacing w:after="0" w:line="240" w:lineRule="auto"/>
                              <w:ind w:right="57"/>
                              <w:jc w:val="right"/>
                            </w:pPr>
                          </w:p>
                          <w:p w14:paraId="021F8955" w14:textId="77777777" w:rsidR="00E07FF8" w:rsidRDefault="00E07FF8" w:rsidP="00C130D2">
                            <w:pPr>
                              <w:jc w:val="center"/>
                            </w:pPr>
                          </w:p>
                          <w:p w14:paraId="0EE43655" w14:textId="77777777" w:rsidR="00E07FF8" w:rsidRDefault="00E07FF8" w:rsidP="00C130D2">
                            <w:pPr>
                              <w:jc w:val="center"/>
                            </w:pPr>
                          </w:p>
                          <w:p w14:paraId="6405140D" w14:textId="77777777" w:rsidR="00E07FF8" w:rsidRDefault="00E07FF8" w:rsidP="00C130D2">
                            <w:pPr>
                              <w:jc w:val="center"/>
                            </w:pPr>
                          </w:p>
                          <w:p w14:paraId="31DF17E8" w14:textId="77777777" w:rsidR="00E07FF8" w:rsidRDefault="00E07FF8" w:rsidP="00C130D2">
                            <w:pPr>
                              <w:jc w:val="center"/>
                            </w:pPr>
                          </w:p>
                          <w:p w14:paraId="56A4E94F" w14:textId="77777777" w:rsidR="00E07FF8" w:rsidRDefault="00E07FF8" w:rsidP="00C130D2">
                            <w:pPr>
                              <w:jc w:val="center"/>
                            </w:pPr>
                          </w:p>
                          <w:p w14:paraId="0F976739" w14:textId="77777777" w:rsidR="00E07FF8" w:rsidRDefault="00E07FF8" w:rsidP="00C130D2">
                            <w:pPr>
                              <w:jc w:val="center"/>
                            </w:pPr>
                          </w:p>
                          <w:p w14:paraId="3E5FC249" w14:textId="77777777" w:rsidR="00E07FF8" w:rsidRDefault="00E07FF8" w:rsidP="00C130D2">
                            <w:pPr>
                              <w:jc w:val="center"/>
                            </w:pPr>
                          </w:p>
                          <w:p w14:paraId="7AAD366B" w14:textId="77777777" w:rsidR="00E07FF8" w:rsidRDefault="00E07FF8" w:rsidP="00C130D2">
                            <w:pPr>
                              <w:jc w:val="center"/>
                            </w:pPr>
                          </w:p>
                          <w:p w14:paraId="620DA726" w14:textId="77777777" w:rsidR="00E07FF8" w:rsidRDefault="00E07FF8" w:rsidP="00C130D2">
                            <w:pPr>
                              <w:jc w:val="center"/>
                            </w:pPr>
                          </w:p>
                          <w:p w14:paraId="40D23572" w14:textId="77777777" w:rsidR="00E07FF8" w:rsidRDefault="00E07FF8" w:rsidP="00C130D2">
                            <w:pPr>
                              <w:jc w:val="center"/>
                            </w:pPr>
                          </w:p>
                          <w:p w14:paraId="5B592BAE" w14:textId="77777777" w:rsidR="00E07FF8" w:rsidRDefault="00E07FF8" w:rsidP="00C130D2">
                            <w:pPr>
                              <w:jc w:val="center"/>
                            </w:pPr>
                          </w:p>
                          <w:p w14:paraId="06EDA72E" w14:textId="77777777" w:rsidR="00E07FF8" w:rsidRDefault="00E07FF8" w:rsidP="00C130D2">
                            <w:pPr>
                              <w:jc w:val="center"/>
                            </w:pPr>
                          </w:p>
                          <w:p w14:paraId="66333194" w14:textId="77777777" w:rsidR="00E07FF8" w:rsidRDefault="00E07FF8" w:rsidP="00C130D2">
                            <w:pPr>
                              <w:jc w:val="center"/>
                            </w:pPr>
                          </w:p>
                          <w:p w14:paraId="5501D880" w14:textId="77777777" w:rsidR="00E07FF8" w:rsidRDefault="00E07FF8" w:rsidP="00C130D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0A62E7" id="Rectangle 3" o:spid="_x0000_s1026" style="position:absolute;left:0;text-align:left;margin-left:-5pt;margin-top:-6.7pt;width:492.75pt;height:441.2pt;z-index:-2515906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" fillcolor="#d8d8d8 [2732]" stroked="f" strokeweight="1pt">
                <v:fill r:id="rId130" o:title="" color2="white [3212]" type="pattern"/>
                <v:textbox>
                  <w:txbxContent>
                    <w:p w14:paraId="4C3AAD84" w14:textId="77777777" w:rsidR="00E07FF8" w:rsidRDefault="00E07FF8" w:rsidP="00E4657F">
                      <w:pPr>
                        <w:spacing w:after="0" w:line="240" w:lineRule="auto"/>
                        <w:ind w:right="57"/>
                        <w:jc w:val="right"/>
                      </w:pPr>
                    </w:p>
                    <w:p w14:paraId="021F8955" w14:textId="77777777" w:rsidR="00E07FF8" w:rsidRDefault="00E07FF8" w:rsidP="00C130D2">
                      <w:pPr>
                        <w:jc w:val="center"/>
                      </w:pPr>
                    </w:p>
                    <w:p w14:paraId="0EE43655" w14:textId="77777777" w:rsidR="00E07FF8" w:rsidRDefault="00E07FF8" w:rsidP="00C130D2">
                      <w:pPr>
                        <w:jc w:val="center"/>
                      </w:pPr>
                    </w:p>
                    <w:p w14:paraId="6405140D" w14:textId="77777777" w:rsidR="00E07FF8" w:rsidRDefault="00E07FF8" w:rsidP="00C130D2">
                      <w:pPr>
                        <w:jc w:val="center"/>
                      </w:pPr>
                    </w:p>
                    <w:p w14:paraId="31DF17E8" w14:textId="77777777" w:rsidR="00E07FF8" w:rsidRDefault="00E07FF8" w:rsidP="00C130D2">
                      <w:pPr>
                        <w:jc w:val="center"/>
                      </w:pPr>
                    </w:p>
                    <w:p w14:paraId="56A4E94F" w14:textId="77777777" w:rsidR="00E07FF8" w:rsidRDefault="00E07FF8" w:rsidP="00C130D2">
                      <w:pPr>
                        <w:jc w:val="center"/>
                      </w:pPr>
                    </w:p>
                    <w:p w14:paraId="0F976739" w14:textId="77777777" w:rsidR="00E07FF8" w:rsidRDefault="00E07FF8" w:rsidP="00C130D2">
                      <w:pPr>
                        <w:jc w:val="center"/>
                      </w:pPr>
                    </w:p>
                    <w:p w14:paraId="3E5FC249" w14:textId="77777777" w:rsidR="00E07FF8" w:rsidRDefault="00E07FF8" w:rsidP="00C130D2">
                      <w:pPr>
                        <w:jc w:val="center"/>
                      </w:pPr>
                    </w:p>
                    <w:p w14:paraId="7AAD366B" w14:textId="77777777" w:rsidR="00E07FF8" w:rsidRDefault="00E07FF8" w:rsidP="00C130D2">
                      <w:pPr>
                        <w:jc w:val="center"/>
                      </w:pPr>
                    </w:p>
                    <w:p w14:paraId="620DA726" w14:textId="77777777" w:rsidR="00E07FF8" w:rsidRDefault="00E07FF8" w:rsidP="00C130D2">
                      <w:pPr>
                        <w:jc w:val="center"/>
                      </w:pPr>
                    </w:p>
                    <w:p w14:paraId="40D23572" w14:textId="77777777" w:rsidR="00E07FF8" w:rsidRDefault="00E07FF8" w:rsidP="00C130D2">
                      <w:pPr>
                        <w:jc w:val="center"/>
                      </w:pPr>
                    </w:p>
                    <w:p w14:paraId="5B592BAE" w14:textId="77777777" w:rsidR="00E07FF8" w:rsidRDefault="00E07FF8" w:rsidP="00C130D2">
                      <w:pPr>
                        <w:jc w:val="center"/>
                      </w:pPr>
                    </w:p>
                    <w:p w14:paraId="06EDA72E" w14:textId="77777777" w:rsidR="00E07FF8" w:rsidRDefault="00E07FF8" w:rsidP="00C130D2">
                      <w:pPr>
                        <w:jc w:val="center"/>
                      </w:pPr>
                    </w:p>
                    <w:p w14:paraId="66333194" w14:textId="77777777" w:rsidR="00E07FF8" w:rsidRDefault="00E07FF8" w:rsidP="00C130D2">
                      <w:pPr>
                        <w:jc w:val="center"/>
                      </w:pPr>
                    </w:p>
                    <w:p w14:paraId="5501D880" w14:textId="77777777" w:rsidR="00E07FF8" w:rsidRDefault="00E07FF8" w:rsidP="00C130D2">
                      <w:pPr>
                        <w:jc w:val="center"/>
                      </w:pPr>
                    </w:p>
                  </w:txbxContent>
                </v:textbox>
                <w10:wrap anchorx="margin"/>
              </v:rect>
            </w:pict>
          </mc:Fallback>
        </mc:AlternateContent>
      </w:r>
      <w:r w:rsidRPr="007E770D">
        <w:rPr>
          <w:rFonts w:cstheme="minorHAnsi"/>
          <w:color w:val="auto"/>
          <w:sz w:val="16"/>
          <w:szCs w:val="14"/>
          <w:lang w:val="sr-Cyrl-CS"/>
        </w:rPr>
        <w:t>Извор: Калкулација Министарства финансија</w:t>
      </w:r>
    </w:p>
    <w:p w14:paraId="2F71502B" w14:textId="77777777" w:rsidR="004044DC" w:rsidRPr="007E770D" w:rsidRDefault="004044DC" w:rsidP="00C030A9">
      <w:pPr>
        <w:rPr>
          <w:rFonts w:cstheme="minorHAnsi"/>
          <w:color w:val="auto"/>
          <w:szCs w:val="20"/>
          <w:lang w:val="sr-Cyrl-CS"/>
        </w:rPr>
        <w:sectPr w:rsidR="004044DC" w:rsidRPr="007E770D" w:rsidSect="00BA4876">
          <w:type w:val="continuous"/>
          <w:pgSz w:w="12240" w:h="15840"/>
          <w:pgMar w:top="1440" w:right="1440" w:bottom="1440" w:left="1440" w:header="720" w:footer="720" w:gutter="0"/>
          <w:cols w:space="720"/>
          <w:docGrid w:linePitch="360"/>
        </w:sectPr>
      </w:pPr>
    </w:p>
    <w:p w14:paraId="291D5D09" w14:textId="77777777" w:rsidR="004044DC" w:rsidRPr="007E770D" w:rsidRDefault="004044DC" w:rsidP="00C130D2">
      <w:pPr>
        <w:rPr>
          <w:color w:val="auto"/>
          <w:lang w:val="sr-Cyrl-CS"/>
        </w:rPr>
      </w:pPr>
      <w:r w:rsidRPr="007E770D">
        <w:rPr>
          <w:rFonts w:cstheme="minorHAnsi"/>
          <w:color w:val="auto"/>
          <w:szCs w:val="20"/>
          <w:lang w:val="sr-Cyrl-CS"/>
        </w:rPr>
        <w:t xml:space="preserve">На основу података ЕК за земље ЕУ за 2018. годину и обрачуна Министарства финансија за Републику Србију, за 2016, 2017 и 2018. годину закључујемо да ниједна од посматраних земаља није изложена краткорочном ризику реализације фискалног стреса, будући да вредност S0 нигде не премашује дефинисани праг. Поједине земље се суочавају са фискалним односно макро-финансијским </w:t>
      </w:r>
      <w:r w:rsidRPr="007E770D">
        <w:rPr>
          <w:rFonts w:cstheme="minorHAnsi"/>
          <w:color w:val="auto"/>
          <w:szCs w:val="20"/>
          <w:lang w:val="sr-Cyrl-CS"/>
        </w:rPr>
        <w:t>изазовима, док се Република Србија заједно са већином земаља ЕУ и даље налази унутар дефинисаних прагова S0 индикатора.</w:t>
      </w:r>
    </w:p>
    <w:p w14:paraId="6686ECD2" w14:textId="77777777" w:rsidR="004044DC" w:rsidRPr="007E770D" w:rsidRDefault="004044DC" w:rsidP="00C130D2">
      <w:pPr>
        <w:rPr>
          <w:rFonts w:cstheme="minorHAnsi"/>
          <w:color w:val="auto"/>
          <w:szCs w:val="20"/>
          <w:lang w:val="sr-Cyrl-CS"/>
        </w:rPr>
      </w:pPr>
      <w:r w:rsidRPr="007E770D">
        <w:rPr>
          <w:rFonts w:cstheme="minorHAnsi"/>
          <w:color w:val="auto"/>
          <w:szCs w:val="20"/>
          <w:lang w:val="sr-Cyrl-CS"/>
        </w:rPr>
        <w:t>Обрачун S0 индикатора за Републику Србију, урађен од стране Министарства финансија, и базира се на методологији ЕК.</w:t>
      </w:r>
      <w:r w:rsidRPr="007E770D">
        <w:rPr>
          <w:rStyle w:val="FootnoteReference"/>
          <w:rFonts w:cstheme="minorHAnsi"/>
          <w:color w:val="auto"/>
          <w:szCs w:val="20"/>
          <w:lang w:val="sr-Cyrl-CS"/>
        </w:rPr>
        <w:footnoteReference w:id="7"/>
      </w:r>
    </w:p>
    <w:p w14:paraId="61382A39" w14:textId="77777777" w:rsidR="004044DC" w:rsidRPr="007E770D" w:rsidRDefault="004044DC" w:rsidP="00C130D2">
      <w:pPr>
        <w:rPr>
          <w:rFonts w:cstheme="minorHAnsi"/>
          <w:color w:val="auto"/>
          <w:szCs w:val="20"/>
          <w:lang w:val="sr-Cyrl-CS"/>
        </w:rPr>
        <w:sectPr w:rsidR="004044DC" w:rsidRPr="007E770D" w:rsidSect="00C130D2">
          <w:type w:val="continuous"/>
          <w:pgSz w:w="12240" w:h="15840"/>
          <w:pgMar w:top="1440" w:right="1440" w:bottom="1440" w:left="1440" w:header="720" w:footer="720" w:gutter="0"/>
          <w:cols w:num="2" w:space="720"/>
          <w:docGrid w:linePitch="360"/>
          <w15:footnoteColumns w:val="1"/>
        </w:sectPr>
      </w:pPr>
    </w:p>
    <w:p w14:paraId="42B8C92A" w14:textId="77777777" w:rsidR="004044DC" w:rsidRPr="007E770D" w:rsidRDefault="004044DC" w:rsidP="00C130D2">
      <w:pPr>
        <w:rPr>
          <w:rFonts w:eastAsia="Calibri" w:cstheme="minorHAnsi"/>
          <w:b/>
          <w:color w:val="auto"/>
          <w:sz w:val="24"/>
          <w:lang w:val="sr-Cyrl-CS"/>
        </w:rPr>
      </w:pPr>
      <w:bookmarkStart w:id="18" w:name="_Toc530635107"/>
    </w:p>
    <w:p w14:paraId="460A1EC8" w14:textId="77777777" w:rsidR="004044DC" w:rsidRPr="007E770D" w:rsidRDefault="004044DC" w:rsidP="00C130D2">
      <w:pPr>
        <w:rPr>
          <w:color w:val="auto"/>
          <w:lang w:val="sr-Cyrl-CS"/>
        </w:rPr>
      </w:pPr>
    </w:p>
    <w:p w14:paraId="0D4BC649" w14:textId="77777777" w:rsidR="004044DC" w:rsidRPr="007E770D" w:rsidRDefault="004044DC" w:rsidP="00C130D2">
      <w:pPr>
        <w:rPr>
          <w:color w:val="auto"/>
          <w:lang w:val="sr-Cyrl-CS"/>
        </w:rPr>
      </w:pPr>
    </w:p>
    <w:p w14:paraId="2F029A04" w14:textId="77777777" w:rsidR="004044DC" w:rsidRPr="007E770D" w:rsidRDefault="004044DC" w:rsidP="007A1C93">
      <w:pPr>
        <w:rPr>
          <w:rFonts w:eastAsia="Calibri"/>
          <w:color w:val="auto"/>
          <w:sz w:val="24"/>
          <w:lang w:val="sr-Cyrl-CS"/>
        </w:rPr>
      </w:pPr>
    </w:p>
    <w:p w14:paraId="11DB4779" w14:textId="77777777" w:rsidR="004044DC" w:rsidRPr="007E770D" w:rsidRDefault="004044DC" w:rsidP="007A1C93">
      <w:pPr>
        <w:rPr>
          <w:rFonts w:eastAsia="Calibri"/>
          <w:color w:val="auto"/>
          <w:sz w:val="24"/>
          <w:lang w:val="sr-Cyrl-CS"/>
        </w:rPr>
      </w:pPr>
    </w:p>
    <w:p w14:paraId="2451B364" w14:textId="77777777" w:rsidR="004044DC" w:rsidRPr="007E770D" w:rsidRDefault="004044DC" w:rsidP="007A1C93">
      <w:pPr>
        <w:rPr>
          <w:rFonts w:eastAsia="Calibri"/>
          <w:color w:val="auto"/>
          <w:sz w:val="24"/>
          <w:lang w:val="sr-Cyrl-CS"/>
        </w:rPr>
      </w:pPr>
    </w:p>
    <w:p w14:paraId="6D5BD346" w14:textId="77777777" w:rsidR="004044DC" w:rsidRPr="007E770D" w:rsidRDefault="004044DC" w:rsidP="007A1C93">
      <w:pPr>
        <w:rPr>
          <w:rFonts w:eastAsia="Calibri"/>
          <w:color w:val="auto"/>
          <w:sz w:val="24"/>
          <w:lang w:val="sr-Cyrl-CS"/>
        </w:rPr>
      </w:pPr>
    </w:p>
    <w:p w14:paraId="76C51D5C" w14:textId="77777777" w:rsidR="004044DC" w:rsidRPr="007E770D" w:rsidRDefault="004044DC" w:rsidP="007A1C93">
      <w:pPr>
        <w:rPr>
          <w:color w:val="auto"/>
          <w:lang w:val="sr-Cyrl-CS"/>
        </w:rPr>
      </w:pPr>
    </w:p>
    <w:bookmarkEnd w:id="18"/>
    <w:p w14:paraId="03045939" w14:textId="77777777" w:rsidR="004044DC" w:rsidRPr="007E770D" w:rsidRDefault="004044DC" w:rsidP="004044DC">
      <w:pPr>
        <w:rPr>
          <w:rFonts w:eastAsia="Calibri" w:cstheme="minorHAnsi"/>
          <w:color w:val="auto"/>
          <w:sz w:val="24"/>
          <w:lang w:val="sr-Cyrl-CS"/>
        </w:rPr>
      </w:pPr>
      <w:r w:rsidRPr="007E770D">
        <w:rPr>
          <w:noProof/>
          <w:color w:val="auto"/>
        </w:rPr>
        <mc:AlternateContent>
          <mc:Choice Requires="wps">
            <w:drawing>
              <wp:anchor distT="0" distB="0" distL="114300" distR="114300" simplePos="0" relativeHeight="251726848" behindDoc="0" locked="0" layoutInCell="1" allowOverlap="1" wp14:anchorId="19BCEAC9" wp14:editId="7F87E74C">
                <wp:simplePos x="0" y="0"/>
                <wp:positionH relativeFrom="margin">
                  <wp:posOffset>85725</wp:posOffset>
                </wp:positionH>
                <wp:positionV relativeFrom="paragraph">
                  <wp:posOffset>-247650</wp:posOffset>
                </wp:positionV>
                <wp:extent cx="6038850" cy="4095750"/>
                <wp:effectExtent l="0" t="0" r="0" b="0"/>
                <wp:wrapNone/>
                <wp:docPr id="9" name="Rectangle 9"/>
                <wp:cNvGraphicFramePr/>
                <a:graphic xmlns:a="http://schemas.openxmlformats.org/drawingml/2006/main">
                  <a:graphicData uri="http://schemas.microsoft.com/office/word/2010/wordprocessingShape">
                    <wps:wsp>
                      <wps:cNvSpPr/>
                      <wps:spPr>
                        <a:xfrm>
                          <a:off x="0" y="0"/>
                          <a:ext cx="6038850" cy="4095750"/>
                        </a:xfrm>
                        <a:prstGeom prst="rect">
                          <a:avLst/>
                        </a:prstGeom>
                        <a:pattFill prst="pct25">
                          <a:fgClr>
                            <a:srgbClr val="E7E6E6"/>
                          </a:fgClr>
                          <a:bgClr>
                            <a:sysClr val="window" lastClr="FFFFFF"/>
                          </a:bgClr>
                        </a:pattFill>
                        <a:ln w="12700" cap="flat" cmpd="sng" algn="ctr">
                          <a:noFill/>
                          <a:prstDash val="solid"/>
                          <a:miter lim="800000"/>
                        </a:ln>
                        <a:effectLst/>
                      </wps:spPr>
                      <wps:txbx>
                        <w:txbxContent>
                          <w:p w14:paraId="7B2D6BE2" w14:textId="77777777" w:rsidR="00E07FF8" w:rsidRPr="00B72093" w:rsidRDefault="00E07FF8" w:rsidP="00E4657F">
                            <w:pPr>
                              <w:jc w:val="center"/>
                              <w:rPr>
                                <w:rFonts w:cstheme="minorHAnsi"/>
                                <w:b/>
                                <w:color w:val="2F5496" w:themeColor="accent1" w:themeShade="BF"/>
                                <w:szCs w:val="20"/>
                                <w:lang w:val="sr-Cyrl-RS"/>
                              </w:rPr>
                            </w:pPr>
                            <w:r w:rsidRPr="00B72093">
                              <w:rPr>
                                <w:rFonts w:cstheme="minorHAnsi"/>
                                <w:b/>
                                <w:color w:val="2F5496" w:themeColor="accent1" w:themeShade="BF"/>
                                <w:szCs w:val="20"/>
                                <w:lang w:val="sr-Cyrl-RS"/>
                              </w:rPr>
                              <w:t>Фискални подиндекс и подиндекс макро-финансијске конкурентности за земље ЕУ и за Републику Србију у периоду од 2015 до 2018. године</w:t>
                            </w:r>
                          </w:p>
                          <w:p w14:paraId="1890C52D" w14:textId="77777777" w:rsidR="00E07FF8" w:rsidRPr="00453E62" w:rsidRDefault="00E07FF8" w:rsidP="00E4657F">
                            <w:pPr>
                              <w:rPr>
                                <w:b/>
                                <w:color w:val="FFFFFF" w:themeColor="background1"/>
                                <w14:textFill>
                                  <w14:noFill/>
                                </w14:textFill>
                              </w:rPr>
                            </w:pPr>
                            <w:r w:rsidRPr="006734EC">
                              <w:rPr>
                                <w:noProof/>
                                <w:color w:val="44546A"/>
                              </w:rPr>
                              <w:drawing>
                                <wp:inline distT="0" distB="0" distL="0" distR="0" wp14:anchorId="794F33A2" wp14:editId="6E7CC369">
                                  <wp:extent cx="5743575" cy="3190875"/>
                                  <wp:effectExtent l="0" t="0" r="0" b="0"/>
                                  <wp:docPr id="81" name="Chart 8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1"/>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BCEAC9" id="Rectangle 9" o:spid="_x0000_s1027" style="position:absolute;left:0;text-align:left;margin-left:6.75pt;margin-top:-19.5pt;width:475.5pt;height:322.5pt;z-index:2517268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" fillcolor="#e7e6e6" stroked="f" strokeweight="1pt">
                <v:fill r:id="rId130" o:title="" color2="window" type="pattern"/>
                <v:textbox>
                  <w:txbxContent>
                    <w:p w14:paraId="7B2D6BE2" w14:textId="77777777" w:rsidR="00E07FF8" w:rsidRPr="00B72093" w:rsidRDefault="00E07FF8" w:rsidP="00E4657F">
                      <w:pPr>
                        <w:jc w:val="center"/>
                        <w:rPr>
                          <w:rFonts w:cstheme="minorHAnsi"/>
                          <w:b/>
                          <w:color w:val="2F5496" w:themeColor="accent1" w:themeShade="BF"/>
                          <w:szCs w:val="20"/>
                          <w:lang w:val="sr-Cyrl-RS"/>
                        </w:rPr>
                      </w:pPr>
                      <w:r w:rsidRPr="00B72093">
                        <w:rPr>
                          <w:rFonts w:cstheme="minorHAnsi"/>
                          <w:b/>
                          <w:color w:val="2F5496" w:themeColor="accent1" w:themeShade="BF"/>
                          <w:szCs w:val="20"/>
                          <w:lang w:val="sr-Cyrl-RS"/>
                        </w:rPr>
                        <w:t xml:space="preserve">Фискални </w:t>
                      </w:r>
                      <w:proofErr w:type="spellStart"/>
                      <w:r w:rsidRPr="00B72093">
                        <w:rPr>
                          <w:rFonts w:cstheme="minorHAnsi"/>
                          <w:b/>
                          <w:color w:val="2F5496" w:themeColor="accent1" w:themeShade="BF"/>
                          <w:szCs w:val="20"/>
                          <w:lang w:val="sr-Cyrl-RS"/>
                        </w:rPr>
                        <w:t>подиндекс</w:t>
                      </w:r>
                      <w:proofErr w:type="spellEnd"/>
                      <w:r w:rsidRPr="00B72093">
                        <w:rPr>
                          <w:rFonts w:cstheme="minorHAnsi"/>
                          <w:b/>
                          <w:color w:val="2F5496" w:themeColor="accent1" w:themeShade="BF"/>
                          <w:szCs w:val="20"/>
                          <w:lang w:val="sr-Cyrl-RS"/>
                        </w:rPr>
                        <w:t xml:space="preserve"> и </w:t>
                      </w:r>
                      <w:proofErr w:type="spellStart"/>
                      <w:r w:rsidRPr="00B72093">
                        <w:rPr>
                          <w:rFonts w:cstheme="minorHAnsi"/>
                          <w:b/>
                          <w:color w:val="2F5496" w:themeColor="accent1" w:themeShade="BF"/>
                          <w:szCs w:val="20"/>
                          <w:lang w:val="sr-Cyrl-RS"/>
                        </w:rPr>
                        <w:t>подиндекс</w:t>
                      </w:r>
                      <w:proofErr w:type="spellEnd"/>
                      <w:r w:rsidRPr="00B72093">
                        <w:rPr>
                          <w:rFonts w:cstheme="minorHAnsi"/>
                          <w:b/>
                          <w:color w:val="2F5496" w:themeColor="accent1" w:themeShade="BF"/>
                          <w:szCs w:val="20"/>
                          <w:lang w:val="sr-Cyrl-RS"/>
                        </w:rPr>
                        <w:t xml:space="preserve"> </w:t>
                      </w:r>
                      <w:proofErr w:type="spellStart"/>
                      <w:r w:rsidRPr="00B72093">
                        <w:rPr>
                          <w:rFonts w:cstheme="minorHAnsi"/>
                          <w:b/>
                          <w:color w:val="2F5496" w:themeColor="accent1" w:themeShade="BF"/>
                          <w:szCs w:val="20"/>
                          <w:lang w:val="sr-Cyrl-RS"/>
                        </w:rPr>
                        <w:t>макро-финансијске</w:t>
                      </w:r>
                      <w:proofErr w:type="spellEnd"/>
                      <w:r w:rsidRPr="00B72093">
                        <w:rPr>
                          <w:rFonts w:cstheme="minorHAnsi"/>
                          <w:b/>
                          <w:color w:val="2F5496" w:themeColor="accent1" w:themeShade="BF"/>
                          <w:szCs w:val="20"/>
                          <w:lang w:val="sr-Cyrl-RS"/>
                        </w:rPr>
                        <w:t xml:space="preserve"> конкурентности за земље ЕУ и за Републику Србију у периоду од 2015 до 2018. године</w:t>
                      </w:r>
                    </w:p>
                    <w:p w14:paraId="1890C52D" w14:textId="77777777" w:rsidR="00E07FF8" w:rsidRPr="00453E62" w:rsidRDefault="00E07FF8" w:rsidP="00E4657F">
                      <w:pPr>
                        <w:rPr>
                          <w:b/>
                          <w:color w:val="FFFFFF" w:themeColor="background1"/>
                          <w14:textFill>
                            <w14:noFill/>
                          </w14:textFill>
                        </w:rPr>
                      </w:pPr>
                      <w:r w:rsidRPr="006734EC">
                        <w:rPr>
                          <w:noProof/>
                          <w:color w:val="44546A"/>
                        </w:rPr>
                        <w:drawing>
                          <wp:inline distT="0" distB="0" distL="0" distR="0" wp14:anchorId="794F33A2" wp14:editId="6E7CC369">
                            <wp:extent cx="5743575" cy="3190875"/>
                            <wp:effectExtent l="0" t="0" r="0" b="0"/>
                            <wp:docPr id="81" name="Chart 8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2"/>
                              </a:graphicData>
                            </a:graphic>
                          </wp:inline>
                        </w:drawing>
                      </w:r>
                    </w:p>
                  </w:txbxContent>
                </v:textbox>
                <w10:wrap anchorx="margin"/>
              </v:rect>
            </w:pict>
          </mc:Fallback>
        </mc:AlternateContent>
      </w:r>
    </w:p>
    <w:p w14:paraId="58DF8A7D" w14:textId="77777777" w:rsidR="004044DC" w:rsidRPr="007E770D" w:rsidRDefault="004044DC" w:rsidP="004044DC">
      <w:pPr>
        <w:rPr>
          <w:color w:val="auto"/>
          <w:lang w:val="sr-Cyrl-CS"/>
        </w:rPr>
      </w:pPr>
    </w:p>
    <w:p w14:paraId="12D0D2C1" w14:textId="77777777" w:rsidR="004044DC" w:rsidRPr="007E770D" w:rsidRDefault="004044DC" w:rsidP="004044DC">
      <w:pPr>
        <w:rPr>
          <w:color w:val="auto"/>
          <w:lang w:val="sr-Cyrl-CS"/>
        </w:rPr>
      </w:pPr>
    </w:p>
    <w:p w14:paraId="7031EB76" w14:textId="77777777" w:rsidR="004044DC" w:rsidRPr="007E770D" w:rsidRDefault="004044DC" w:rsidP="00E4657F">
      <w:pPr>
        <w:rPr>
          <w:color w:val="auto"/>
          <w:lang w:val="sr-Cyrl-CS"/>
        </w:rPr>
      </w:pPr>
    </w:p>
    <w:p w14:paraId="4622F44B" w14:textId="77777777" w:rsidR="004044DC" w:rsidRPr="007E770D" w:rsidRDefault="004044DC" w:rsidP="00E4657F">
      <w:pPr>
        <w:rPr>
          <w:color w:val="auto"/>
          <w:lang w:val="sr-Cyrl-CS"/>
        </w:rPr>
      </w:pPr>
    </w:p>
    <w:p w14:paraId="4602C6C6" w14:textId="77777777" w:rsidR="004044DC" w:rsidRPr="007E770D" w:rsidRDefault="004044DC" w:rsidP="00E4657F">
      <w:pPr>
        <w:rPr>
          <w:color w:val="auto"/>
          <w:lang w:val="sr-Cyrl-CS"/>
        </w:rPr>
      </w:pPr>
    </w:p>
    <w:p w14:paraId="7390787D" w14:textId="77777777" w:rsidR="004044DC" w:rsidRPr="007E770D" w:rsidRDefault="004044DC" w:rsidP="00E4657F">
      <w:pPr>
        <w:rPr>
          <w:color w:val="auto"/>
          <w:lang w:val="sr-Cyrl-CS"/>
        </w:rPr>
      </w:pPr>
    </w:p>
    <w:p w14:paraId="086B3618" w14:textId="77777777" w:rsidR="004044DC" w:rsidRPr="007E770D" w:rsidRDefault="004044DC" w:rsidP="00E4657F">
      <w:pPr>
        <w:rPr>
          <w:color w:val="auto"/>
          <w:lang w:val="sr-Cyrl-CS"/>
        </w:rPr>
      </w:pPr>
    </w:p>
    <w:p w14:paraId="1406F2BD" w14:textId="77777777" w:rsidR="004044DC" w:rsidRPr="007E770D" w:rsidRDefault="004044DC" w:rsidP="00E4657F">
      <w:pPr>
        <w:rPr>
          <w:color w:val="auto"/>
          <w:lang w:val="sr-Cyrl-CS"/>
        </w:rPr>
      </w:pPr>
    </w:p>
    <w:p w14:paraId="699B0317" w14:textId="77777777" w:rsidR="004044DC" w:rsidRPr="007E770D" w:rsidRDefault="004044DC" w:rsidP="00E4657F">
      <w:pPr>
        <w:rPr>
          <w:color w:val="auto"/>
          <w:lang w:val="sr-Cyrl-CS"/>
        </w:rPr>
      </w:pPr>
    </w:p>
    <w:p w14:paraId="7AD27FAA" w14:textId="77777777" w:rsidR="004044DC" w:rsidRPr="007E770D" w:rsidRDefault="004044DC" w:rsidP="00E4657F">
      <w:pPr>
        <w:rPr>
          <w:color w:val="auto"/>
          <w:lang w:val="sr-Cyrl-CS"/>
        </w:rPr>
      </w:pPr>
    </w:p>
    <w:p w14:paraId="787895B0" w14:textId="77777777" w:rsidR="004044DC" w:rsidRPr="007E770D" w:rsidRDefault="004044DC" w:rsidP="00E4657F">
      <w:pPr>
        <w:rPr>
          <w:color w:val="auto"/>
          <w:lang w:val="sr-Cyrl-CS"/>
        </w:rPr>
      </w:pPr>
    </w:p>
    <w:p w14:paraId="451387BC" w14:textId="77777777" w:rsidR="004044DC" w:rsidRPr="007E770D" w:rsidRDefault="004044DC" w:rsidP="00E4657F">
      <w:pPr>
        <w:rPr>
          <w:color w:val="auto"/>
          <w:lang w:val="sr-Cyrl-CS"/>
        </w:rPr>
      </w:pPr>
    </w:p>
    <w:p w14:paraId="194B0872" w14:textId="7738EC1F" w:rsidR="004044DC" w:rsidRPr="007E770D" w:rsidRDefault="004044DC" w:rsidP="00E4657F">
      <w:pPr>
        <w:spacing w:after="0"/>
        <w:rPr>
          <w:color w:val="auto"/>
          <w:lang w:val="sr-Cyrl-CS"/>
        </w:rPr>
      </w:pPr>
    </w:p>
    <w:p w14:paraId="07C45B96" w14:textId="2C7D3B7D" w:rsidR="004044DC" w:rsidRPr="007E770D" w:rsidRDefault="004044DC" w:rsidP="00E4657F">
      <w:pPr>
        <w:spacing w:after="0"/>
        <w:rPr>
          <w:color w:val="auto"/>
          <w:lang w:val="sr-Cyrl-CS"/>
        </w:rPr>
      </w:pPr>
    </w:p>
    <w:p w14:paraId="6E8FCC63" w14:textId="77777777" w:rsidR="004044DC" w:rsidRPr="007E770D" w:rsidRDefault="004044DC" w:rsidP="00E4657F">
      <w:pPr>
        <w:pStyle w:val="Heading2"/>
        <w:spacing w:before="120" w:after="240"/>
        <w:jc w:val="center"/>
        <w:rPr>
          <w:rFonts w:asciiTheme="minorHAnsi" w:eastAsia="Calibri" w:hAnsiTheme="minorHAnsi" w:cstheme="minorHAnsi"/>
          <w:b/>
          <w:color w:val="auto"/>
          <w:sz w:val="24"/>
          <w:lang w:val="sr-Cyrl-CS"/>
        </w:rPr>
      </w:pPr>
      <w:bookmarkStart w:id="19" w:name="_Toc23342468"/>
      <w:r w:rsidRPr="007E770D">
        <w:rPr>
          <w:rFonts w:asciiTheme="minorHAnsi" w:eastAsia="Calibri" w:hAnsiTheme="minorHAnsi" w:cstheme="minorHAnsi"/>
          <w:b/>
          <w:color w:val="auto"/>
          <w:sz w:val="24"/>
          <w:lang w:val="sr-Cyrl-CS"/>
        </w:rPr>
        <w:t>4. Фискалне пројекције у периоду 2020–2022. године</w:t>
      </w:r>
      <w:bookmarkEnd w:id="19"/>
    </w:p>
    <w:p w14:paraId="1DA0DD0A" w14:textId="77777777" w:rsidR="004044DC" w:rsidRPr="007E770D" w:rsidRDefault="004044DC" w:rsidP="00E4657F">
      <w:pPr>
        <w:rPr>
          <w:color w:val="auto"/>
          <w:lang w:val="sr-Cyrl-CS"/>
        </w:rPr>
      </w:pPr>
    </w:p>
    <w:p w14:paraId="3F4C91D7" w14:textId="77777777" w:rsidR="004044DC" w:rsidRPr="007E770D" w:rsidRDefault="004044DC" w:rsidP="00E4657F">
      <w:pPr>
        <w:spacing w:line="276" w:lineRule="auto"/>
        <w:rPr>
          <w:rFonts w:eastAsia="MS PGothic" w:cstheme="minorHAnsi"/>
          <w:color w:val="auto"/>
          <w:szCs w:val="20"/>
          <w:lang w:val="sr-Cyrl-CS" w:eastAsia="ja-JP"/>
        </w:rPr>
        <w:sectPr w:rsidR="004044DC" w:rsidRPr="007E770D" w:rsidSect="00E4657F">
          <w:type w:val="continuous"/>
          <w:pgSz w:w="12240" w:h="15840"/>
          <w:pgMar w:top="1440" w:right="1440" w:bottom="1440" w:left="1440" w:header="720" w:footer="720" w:gutter="0"/>
          <w:cols w:space="720"/>
          <w:docGrid w:linePitch="360"/>
        </w:sectPr>
      </w:pPr>
    </w:p>
    <w:p w14:paraId="7783AA56" w14:textId="77777777" w:rsidR="004044DC" w:rsidRPr="007E770D" w:rsidRDefault="004044DC" w:rsidP="00E4657F">
      <w:pPr>
        <w:spacing w:line="276" w:lineRule="auto"/>
        <w:rPr>
          <w:rFonts w:eastAsia="MS PGothic" w:cstheme="minorHAnsi"/>
          <w:color w:val="auto"/>
          <w:szCs w:val="20"/>
          <w:lang w:val="sr-Cyrl-CS" w:eastAsia="ja-JP"/>
        </w:rPr>
      </w:pPr>
      <w:r w:rsidRPr="007E770D">
        <w:rPr>
          <w:rFonts w:eastAsia="MS PGothic" w:cstheme="minorHAnsi"/>
          <w:color w:val="auto"/>
          <w:szCs w:val="20"/>
          <w:lang w:val="sr-Cyrl-CS" w:eastAsia="ja-JP"/>
        </w:rPr>
        <w:t>У наредном средњорочном периоду циљеви фискалне политике усмерени су на одржање фискалне стабилности што води даљем смањењу учешћа јавног дуга у БДП. Средњорочни фискални оквир предвиђа дефицит опште државе на нивоу од 0,5% БДП до 2022. године и пад учешћа јавног дуга испод 50% БДП. Пројекције фискалних агрегата у периоду од 2020. до 2022. године заснивају се на пројекцијама макроекономских показатеља за наведени период, планираној пореској политици која подразумева даље усаглашавање са законима и директивама ЕУ и фискалним и структурним мерама, укључујући и даљу реформу великих јавних предузећа.</w:t>
      </w:r>
    </w:p>
    <w:p w14:paraId="112A9F27" w14:textId="77777777" w:rsidR="004044DC" w:rsidRPr="007E770D" w:rsidRDefault="004044DC" w:rsidP="00E4657F">
      <w:pPr>
        <w:spacing w:line="276" w:lineRule="auto"/>
        <w:rPr>
          <w:rFonts w:eastAsia="Calibri" w:cstheme="minorHAnsi"/>
          <w:color w:val="auto"/>
          <w:szCs w:val="20"/>
          <w:lang w:val="sr-Cyrl-CS" w:eastAsia="ja-JP"/>
        </w:rPr>
      </w:pPr>
      <w:r w:rsidRPr="007E770D">
        <w:rPr>
          <w:rFonts w:eastAsia="MS PGothic" w:cstheme="minorHAnsi"/>
          <w:color w:val="auto"/>
          <w:szCs w:val="20"/>
          <w:lang w:val="sr-Cyrl-CS" w:eastAsia="ja-JP"/>
        </w:rPr>
        <w:t xml:space="preserve">Захваљујући мерама фискалне консолидације у претходном периоду створен је фискални простор за нове политике. Фискални простор представља позитивну разлику између циљаног и очекиваног </w:t>
      </w:r>
      <w:r w:rsidRPr="007E770D">
        <w:rPr>
          <w:rFonts w:eastAsia="MS PGothic" w:cstheme="minorHAnsi"/>
          <w:color w:val="auto"/>
          <w:szCs w:val="20"/>
          <w:lang w:val="sr-Cyrl-CS" w:eastAsia="ja-JP"/>
        </w:rPr>
        <w:t>дефицита, то јест расположива средства која настају као разлика између очекиваних и распоређених расхода. Фискални простор ће у 2020. години бити искоришћен за повећање капиталних инвестиција, повећање пензија и плата у јавном сектору, те за пореско растерећење привреде. Ове мере и њихове фискалне импликације дизајниране</w:t>
      </w:r>
      <w:r w:rsidRPr="007E770D">
        <w:rPr>
          <w:rFonts w:eastAsia="Calibri" w:cstheme="minorHAnsi"/>
          <w:color w:val="auto"/>
          <w:szCs w:val="20"/>
          <w:lang w:val="sr-Cyrl-CS" w:eastAsia="ja-JP"/>
        </w:rPr>
        <w:t xml:space="preserve"> су тако да не угрозе стабилност јавних финансија и темпо смањења јавног дуга, а са друге стране да подигну животни стандард становништва и убрзају привредни развој. У случају бољег остварења прихода у односу на пројекције доћи ће до стварања додатног фискалног простора. Сваки евентуални додатни простор у наредном периоду биће развојно усмерен, односно биће искоришћен за смањење пореског оптерећења зарада или за нове капиталне инвестиције.</w:t>
      </w:r>
    </w:p>
    <w:p w14:paraId="2B286307" w14:textId="77777777" w:rsidR="004044DC" w:rsidRPr="007E770D" w:rsidRDefault="004044DC" w:rsidP="00E4657F">
      <w:pPr>
        <w:spacing w:line="276" w:lineRule="auto"/>
        <w:rPr>
          <w:rFonts w:eastAsia="Calibri" w:cstheme="minorHAnsi"/>
          <w:color w:val="auto"/>
          <w:szCs w:val="20"/>
          <w:lang w:val="sr-Cyrl-CS" w:eastAsia="ja-JP"/>
        </w:rPr>
        <w:sectPr w:rsidR="004044DC" w:rsidRPr="007E770D" w:rsidSect="00E4657F">
          <w:type w:val="continuous"/>
          <w:pgSz w:w="12240" w:h="15840"/>
          <w:pgMar w:top="1440" w:right="1440" w:bottom="1440" w:left="1440" w:header="720" w:footer="720" w:gutter="0"/>
          <w:cols w:num="2" w:space="720"/>
          <w:docGrid w:linePitch="360"/>
        </w:sectPr>
      </w:pPr>
    </w:p>
    <w:p w14:paraId="476BBE70" w14:textId="77777777" w:rsidR="004044DC" w:rsidRPr="007E770D" w:rsidRDefault="004044DC" w:rsidP="00E4657F">
      <w:pPr>
        <w:widowControl w:val="0"/>
        <w:spacing w:after="120" w:line="276" w:lineRule="auto"/>
        <w:jc w:val="center"/>
        <w:rPr>
          <w:rFonts w:eastAsia="MS PGothic" w:cstheme="minorHAnsi"/>
          <w:b/>
          <w:color w:val="auto"/>
          <w:szCs w:val="20"/>
          <w:lang w:val="sr-Cyrl-CS" w:eastAsia="ja-JP"/>
        </w:rPr>
      </w:pPr>
      <w:r w:rsidRPr="007E770D">
        <w:rPr>
          <w:rFonts w:eastAsia="MS PGothic" w:cstheme="minorHAnsi"/>
          <w:b/>
          <w:color w:val="auto"/>
          <w:szCs w:val="20"/>
          <w:lang w:val="sr-Cyrl-CS" w:eastAsia="ja-JP"/>
        </w:rPr>
        <w:lastRenderedPageBreak/>
        <w:t>Табела 8. Фискални агрегати у периоду 2018–2022. године, % БДП</w:t>
      </w:r>
    </w:p>
    <w:tbl>
      <w:tblPr>
        <w:tblStyle w:val="LightShading-Accent1221"/>
        <w:tblW w:w="5000" w:type="pct"/>
        <w:tblBorders>
          <w:top w:val="none" w:sz="0" w:space="0" w:color="auto"/>
          <w:bottom w:val="none" w:sz="0" w:space="0" w:color="auto"/>
        </w:tblBorders>
        <w:tblLook w:val="0420" w:firstRow="1" w:lastRow="0" w:firstColumn="0" w:lastColumn="0" w:noHBand="0" w:noVBand="1"/>
      </w:tblPr>
      <w:tblGrid>
        <w:gridCol w:w="3971"/>
        <w:gridCol w:w="1133"/>
        <w:gridCol w:w="1133"/>
        <w:gridCol w:w="1041"/>
        <w:gridCol w:w="1041"/>
        <w:gridCol w:w="1041"/>
      </w:tblGrid>
      <w:tr w:rsidR="007E770D" w:rsidRPr="007E770D" w14:paraId="406DF05F" w14:textId="77777777" w:rsidTr="00E4657F">
        <w:trPr>
          <w:cnfStyle w:val="100000000000" w:firstRow="1" w:lastRow="0" w:firstColumn="0" w:lastColumn="0" w:oddVBand="0" w:evenVBand="0" w:oddHBand="0" w:evenHBand="0" w:firstRowFirstColumn="0" w:firstRowLastColumn="0" w:lastRowFirstColumn="0" w:lastRowLastColumn="0"/>
          <w:trHeight w:val="253"/>
        </w:trPr>
        <w:tc>
          <w:tcPr>
            <w:tcW w:w="2121" w:type="pct"/>
            <w:tcBorders>
              <w:top w:val="single" w:sz="4" w:space="0" w:color="002060"/>
              <w:bottom w:val="single" w:sz="4" w:space="0" w:color="002060"/>
            </w:tcBorders>
            <w:shd w:val="clear" w:color="auto" w:fill="auto"/>
            <w:noWrap/>
            <w:vAlign w:val="center"/>
          </w:tcPr>
          <w:p w14:paraId="0B759FB0" w14:textId="77777777" w:rsidR="004044DC" w:rsidRPr="007E770D" w:rsidRDefault="004044DC" w:rsidP="00E4657F">
            <w:pPr>
              <w:spacing w:line="276" w:lineRule="auto"/>
              <w:rPr>
                <w:rFonts w:asciiTheme="minorHAnsi" w:hAnsiTheme="minorHAnsi" w:cstheme="minorHAnsi"/>
                <w:b w:val="0"/>
                <w:color w:val="auto"/>
                <w:sz w:val="18"/>
                <w:lang w:val="sr-Cyrl-CS"/>
              </w:rPr>
            </w:pPr>
            <w:r w:rsidRPr="007E770D">
              <w:rPr>
                <w:rFonts w:asciiTheme="minorHAnsi" w:hAnsiTheme="minorHAnsi" w:cstheme="minorHAnsi"/>
                <w:b w:val="0"/>
                <w:color w:val="auto"/>
                <w:sz w:val="18"/>
                <w:lang w:val="sr-Cyrl-CS"/>
              </w:rPr>
              <w:t>Опис</w:t>
            </w:r>
          </w:p>
        </w:tc>
        <w:tc>
          <w:tcPr>
            <w:tcW w:w="605" w:type="pct"/>
            <w:tcBorders>
              <w:top w:val="single" w:sz="4" w:space="0" w:color="002060"/>
              <w:bottom w:val="single" w:sz="4" w:space="0" w:color="002060"/>
            </w:tcBorders>
            <w:shd w:val="clear" w:color="auto" w:fill="auto"/>
            <w:vAlign w:val="center"/>
          </w:tcPr>
          <w:p w14:paraId="3A7BE3FA" w14:textId="77777777" w:rsidR="004044DC" w:rsidRPr="007E770D" w:rsidRDefault="004044DC" w:rsidP="00E4657F">
            <w:pPr>
              <w:spacing w:line="276" w:lineRule="auto"/>
              <w:jc w:val="right"/>
              <w:rPr>
                <w:rFonts w:asciiTheme="minorHAnsi" w:hAnsiTheme="minorHAnsi" w:cstheme="minorHAnsi"/>
                <w:b w:val="0"/>
                <w:color w:val="auto"/>
                <w:sz w:val="18"/>
                <w:lang w:val="sr-Cyrl-CS"/>
              </w:rPr>
            </w:pPr>
            <w:r w:rsidRPr="007E770D">
              <w:rPr>
                <w:rFonts w:asciiTheme="minorHAnsi" w:hAnsiTheme="minorHAnsi" w:cstheme="minorHAnsi"/>
                <w:b w:val="0"/>
                <w:color w:val="auto"/>
                <w:sz w:val="18"/>
                <w:lang w:val="sr-Cyrl-CS"/>
              </w:rPr>
              <w:t>Извршење</w:t>
            </w:r>
          </w:p>
        </w:tc>
        <w:tc>
          <w:tcPr>
            <w:tcW w:w="605" w:type="pct"/>
            <w:tcBorders>
              <w:top w:val="single" w:sz="4" w:space="0" w:color="002060"/>
              <w:bottom w:val="single" w:sz="4" w:space="0" w:color="002060"/>
            </w:tcBorders>
            <w:shd w:val="clear" w:color="auto" w:fill="auto"/>
            <w:vAlign w:val="center"/>
          </w:tcPr>
          <w:p w14:paraId="3DE5BAC6" w14:textId="77777777" w:rsidR="004044DC" w:rsidRPr="007E770D" w:rsidRDefault="004044DC" w:rsidP="00E4657F">
            <w:pPr>
              <w:spacing w:line="276" w:lineRule="auto"/>
              <w:jc w:val="center"/>
              <w:rPr>
                <w:rFonts w:asciiTheme="minorHAnsi" w:hAnsiTheme="minorHAnsi" w:cstheme="minorHAnsi"/>
                <w:b w:val="0"/>
                <w:color w:val="auto"/>
                <w:sz w:val="18"/>
                <w:lang w:val="sr-Cyrl-CS"/>
              </w:rPr>
            </w:pPr>
            <w:r w:rsidRPr="007E770D">
              <w:rPr>
                <w:rFonts w:asciiTheme="minorHAnsi" w:hAnsiTheme="minorHAnsi" w:cstheme="minorHAnsi"/>
                <w:b w:val="0"/>
                <w:color w:val="auto"/>
                <w:sz w:val="18"/>
                <w:lang w:val="sr-Cyrl-CS"/>
              </w:rPr>
              <w:t>Процена</w:t>
            </w:r>
          </w:p>
        </w:tc>
        <w:tc>
          <w:tcPr>
            <w:tcW w:w="1668" w:type="pct"/>
            <w:gridSpan w:val="3"/>
            <w:tcBorders>
              <w:top w:val="single" w:sz="4" w:space="0" w:color="002060"/>
              <w:bottom w:val="single" w:sz="4" w:space="0" w:color="002060"/>
            </w:tcBorders>
            <w:shd w:val="clear" w:color="auto" w:fill="auto"/>
            <w:vAlign w:val="center"/>
          </w:tcPr>
          <w:p w14:paraId="313B0650" w14:textId="77777777" w:rsidR="004044DC" w:rsidRPr="007E770D" w:rsidRDefault="004044DC" w:rsidP="00E4657F">
            <w:pPr>
              <w:spacing w:line="276" w:lineRule="auto"/>
              <w:jc w:val="center"/>
              <w:rPr>
                <w:rFonts w:asciiTheme="minorHAnsi" w:hAnsiTheme="minorHAnsi" w:cstheme="minorHAnsi"/>
                <w:b w:val="0"/>
                <w:color w:val="auto"/>
                <w:sz w:val="18"/>
                <w:lang w:val="sr-Cyrl-CS"/>
              </w:rPr>
            </w:pPr>
            <w:r w:rsidRPr="007E770D">
              <w:rPr>
                <w:rFonts w:asciiTheme="minorHAnsi" w:hAnsiTheme="minorHAnsi" w:cstheme="minorHAnsi"/>
                <w:b w:val="0"/>
                <w:color w:val="auto"/>
                <w:sz w:val="18"/>
                <w:lang w:val="sr-Cyrl-CS"/>
              </w:rPr>
              <w:t>Пројекција</w:t>
            </w:r>
          </w:p>
        </w:tc>
      </w:tr>
      <w:tr w:rsidR="007E770D" w:rsidRPr="007E770D" w14:paraId="3232C86D" w14:textId="77777777" w:rsidTr="00E4657F">
        <w:trPr>
          <w:cnfStyle w:val="000000100000" w:firstRow="0" w:lastRow="0" w:firstColumn="0" w:lastColumn="0" w:oddVBand="0" w:evenVBand="0" w:oddHBand="1" w:evenHBand="0" w:firstRowFirstColumn="0" w:firstRowLastColumn="0" w:lastRowFirstColumn="0" w:lastRowLastColumn="0"/>
          <w:trHeight w:val="253"/>
        </w:trPr>
        <w:tc>
          <w:tcPr>
            <w:tcW w:w="2121" w:type="pct"/>
            <w:tcBorders>
              <w:top w:val="single" w:sz="4" w:space="0" w:color="002060"/>
            </w:tcBorders>
            <w:shd w:val="clear" w:color="auto" w:fill="auto"/>
            <w:noWrap/>
            <w:vAlign w:val="center"/>
          </w:tcPr>
          <w:p w14:paraId="54AB4706" w14:textId="77777777" w:rsidR="004044DC" w:rsidRPr="007E770D" w:rsidRDefault="004044DC" w:rsidP="00E4657F">
            <w:pPr>
              <w:spacing w:line="276" w:lineRule="auto"/>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 </w:t>
            </w:r>
          </w:p>
        </w:tc>
        <w:tc>
          <w:tcPr>
            <w:tcW w:w="605" w:type="pct"/>
            <w:tcBorders>
              <w:top w:val="single" w:sz="4" w:space="0" w:color="002060"/>
              <w:bottom w:val="single" w:sz="4" w:space="0" w:color="002060"/>
            </w:tcBorders>
            <w:shd w:val="clear" w:color="auto" w:fill="auto"/>
            <w:vAlign w:val="center"/>
          </w:tcPr>
          <w:p w14:paraId="49D09B34"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2018</w:t>
            </w:r>
          </w:p>
        </w:tc>
        <w:tc>
          <w:tcPr>
            <w:tcW w:w="605" w:type="pct"/>
            <w:tcBorders>
              <w:top w:val="single" w:sz="4" w:space="0" w:color="002060"/>
              <w:bottom w:val="single" w:sz="4" w:space="0" w:color="002060"/>
            </w:tcBorders>
            <w:shd w:val="clear" w:color="auto" w:fill="auto"/>
            <w:vAlign w:val="center"/>
          </w:tcPr>
          <w:p w14:paraId="62DEF48D"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2019</w:t>
            </w:r>
          </w:p>
        </w:tc>
        <w:tc>
          <w:tcPr>
            <w:tcW w:w="556" w:type="pct"/>
            <w:tcBorders>
              <w:top w:val="single" w:sz="4" w:space="0" w:color="002060"/>
              <w:bottom w:val="single" w:sz="4" w:space="0" w:color="002060"/>
            </w:tcBorders>
            <w:shd w:val="clear" w:color="auto" w:fill="auto"/>
            <w:vAlign w:val="center"/>
          </w:tcPr>
          <w:p w14:paraId="1E58BD2F"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2020</w:t>
            </w:r>
          </w:p>
        </w:tc>
        <w:tc>
          <w:tcPr>
            <w:tcW w:w="556" w:type="pct"/>
            <w:tcBorders>
              <w:top w:val="single" w:sz="4" w:space="0" w:color="002060"/>
              <w:bottom w:val="single" w:sz="4" w:space="0" w:color="002060"/>
            </w:tcBorders>
            <w:shd w:val="clear" w:color="auto" w:fill="auto"/>
            <w:vAlign w:val="center"/>
          </w:tcPr>
          <w:p w14:paraId="4D5E867F"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2021</w:t>
            </w:r>
          </w:p>
        </w:tc>
        <w:tc>
          <w:tcPr>
            <w:tcW w:w="556" w:type="pct"/>
            <w:tcBorders>
              <w:top w:val="single" w:sz="4" w:space="0" w:color="002060"/>
              <w:bottom w:val="single" w:sz="4" w:space="0" w:color="002060"/>
            </w:tcBorders>
            <w:shd w:val="clear" w:color="auto" w:fill="auto"/>
            <w:vAlign w:val="center"/>
          </w:tcPr>
          <w:p w14:paraId="3E5A887C"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2022</w:t>
            </w:r>
          </w:p>
        </w:tc>
      </w:tr>
      <w:tr w:rsidR="007E770D" w:rsidRPr="007E770D" w14:paraId="5E1A7CDE" w14:textId="77777777" w:rsidTr="00E4657F">
        <w:trPr>
          <w:trHeight w:val="253"/>
        </w:trPr>
        <w:tc>
          <w:tcPr>
            <w:tcW w:w="2121" w:type="pct"/>
            <w:shd w:val="clear" w:color="auto" w:fill="auto"/>
            <w:vAlign w:val="center"/>
          </w:tcPr>
          <w:p w14:paraId="613FCD18" w14:textId="77777777" w:rsidR="004044DC" w:rsidRPr="007E770D" w:rsidRDefault="004044DC" w:rsidP="00E4657F">
            <w:pPr>
              <w:spacing w:line="276" w:lineRule="auto"/>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Јавни приходи</w:t>
            </w:r>
          </w:p>
        </w:tc>
        <w:tc>
          <w:tcPr>
            <w:tcW w:w="605" w:type="pct"/>
            <w:tcBorders>
              <w:top w:val="single" w:sz="4" w:space="0" w:color="002060"/>
            </w:tcBorders>
            <w:shd w:val="clear" w:color="auto" w:fill="auto"/>
            <w:vAlign w:val="center"/>
          </w:tcPr>
          <w:p w14:paraId="67AC0734"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41,5</w:t>
            </w:r>
          </w:p>
        </w:tc>
        <w:tc>
          <w:tcPr>
            <w:tcW w:w="605" w:type="pct"/>
            <w:tcBorders>
              <w:top w:val="single" w:sz="4" w:space="0" w:color="002060"/>
            </w:tcBorders>
            <w:shd w:val="clear" w:color="auto" w:fill="auto"/>
            <w:vAlign w:val="center"/>
          </w:tcPr>
          <w:p w14:paraId="4D9D4EE6"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41,4</w:t>
            </w:r>
          </w:p>
        </w:tc>
        <w:tc>
          <w:tcPr>
            <w:tcW w:w="556" w:type="pct"/>
            <w:tcBorders>
              <w:top w:val="single" w:sz="4" w:space="0" w:color="002060"/>
            </w:tcBorders>
            <w:shd w:val="clear" w:color="auto" w:fill="auto"/>
            <w:vAlign w:val="center"/>
          </w:tcPr>
          <w:p w14:paraId="26E8B4CF" w14:textId="69AE77E6" w:rsidR="004044DC" w:rsidRPr="007E770D" w:rsidRDefault="00227CB2" w:rsidP="00E4657F">
            <w:pPr>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40,2</w:t>
            </w:r>
          </w:p>
        </w:tc>
        <w:tc>
          <w:tcPr>
            <w:tcW w:w="556" w:type="pct"/>
            <w:tcBorders>
              <w:top w:val="single" w:sz="4" w:space="0" w:color="002060"/>
            </w:tcBorders>
            <w:shd w:val="clear" w:color="auto" w:fill="auto"/>
            <w:vAlign w:val="center"/>
          </w:tcPr>
          <w:p w14:paraId="486D2837"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39,4</w:t>
            </w:r>
          </w:p>
        </w:tc>
        <w:tc>
          <w:tcPr>
            <w:tcW w:w="556" w:type="pct"/>
            <w:tcBorders>
              <w:top w:val="single" w:sz="4" w:space="0" w:color="002060"/>
            </w:tcBorders>
            <w:shd w:val="clear" w:color="auto" w:fill="auto"/>
            <w:vAlign w:val="center"/>
          </w:tcPr>
          <w:p w14:paraId="1EAC969B"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38,7</w:t>
            </w:r>
          </w:p>
        </w:tc>
      </w:tr>
      <w:tr w:rsidR="007E770D" w:rsidRPr="007E770D" w14:paraId="28D40E5D" w14:textId="77777777" w:rsidTr="00E4657F">
        <w:trPr>
          <w:cnfStyle w:val="000000100000" w:firstRow="0" w:lastRow="0" w:firstColumn="0" w:lastColumn="0" w:oddVBand="0" w:evenVBand="0" w:oddHBand="1" w:evenHBand="0" w:firstRowFirstColumn="0" w:firstRowLastColumn="0" w:lastRowFirstColumn="0" w:lastRowLastColumn="0"/>
          <w:trHeight w:val="253"/>
        </w:trPr>
        <w:tc>
          <w:tcPr>
            <w:tcW w:w="2121" w:type="pct"/>
            <w:shd w:val="clear" w:color="auto" w:fill="auto"/>
            <w:vAlign w:val="center"/>
          </w:tcPr>
          <w:p w14:paraId="39353235" w14:textId="77777777" w:rsidR="004044DC" w:rsidRPr="007E770D" w:rsidRDefault="004044DC" w:rsidP="00E4657F">
            <w:pPr>
              <w:spacing w:line="276" w:lineRule="auto"/>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Јавни расходи</w:t>
            </w:r>
          </w:p>
        </w:tc>
        <w:tc>
          <w:tcPr>
            <w:tcW w:w="605" w:type="pct"/>
            <w:shd w:val="clear" w:color="auto" w:fill="auto"/>
            <w:vAlign w:val="center"/>
          </w:tcPr>
          <w:p w14:paraId="48D3E1C3"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40,9</w:t>
            </w:r>
          </w:p>
        </w:tc>
        <w:tc>
          <w:tcPr>
            <w:tcW w:w="605" w:type="pct"/>
            <w:shd w:val="clear" w:color="auto" w:fill="auto"/>
            <w:vAlign w:val="center"/>
          </w:tcPr>
          <w:p w14:paraId="0388CCC3"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41,9</w:t>
            </w:r>
          </w:p>
        </w:tc>
        <w:tc>
          <w:tcPr>
            <w:tcW w:w="556" w:type="pct"/>
            <w:shd w:val="clear" w:color="auto" w:fill="auto"/>
            <w:vAlign w:val="center"/>
          </w:tcPr>
          <w:p w14:paraId="3223FCED" w14:textId="021AD2EF" w:rsidR="004044DC" w:rsidRPr="007E770D" w:rsidRDefault="00227CB2" w:rsidP="00E4657F">
            <w:pPr>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40,7</w:t>
            </w:r>
          </w:p>
        </w:tc>
        <w:tc>
          <w:tcPr>
            <w:tcW w:w="556" w:type="pct"/>
            <w:shd w:val="clear" w:color="auto" w:fill="auto"/>
            <w:vAlign w:val="center"/>
          </w:tcPr>
          <w:p w14:paraId="29AAF0C2"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39,8</w:t>
            </w:r>
          </w:p>
        </w:tc>
        <w:tc>
          <w:tcPr>
            <w:tcW w:w="556" w:type="pct"/>
            <w:shd w:val="clear" w:color="auto" w:fill="auto"/>
            <w:vAlign w:val="center"/>
          </w:tcPr>
          <w:p w14:paraId="1DE30218"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39,2</w:t>
            </w:r>
          </w:p>
        </w:tc>
      </w:tr>
      <w:tr w:rsidR="007E770D" w:rsidRPr="007E770D" w14:paraId="35370E54" w14:textId="77777777" w:rsidTr="00E4657F">
        <w:trPr>
          <w:trHeight w:val="253"/>
        </w:trPr>
        <w:tc>
          <w:tcPr>
            <w:tcW w:w="2121" w:type="pct"/>
            <w:shd w:val="clear" w:color="auto" w:fill="auto"/>
            <w:vAlign w:val="center"/>
          </w:tcPr>
          <w:p w14:paraId="6A37CFBD" w14:textId="77777777" w:rsidR="004044DC" w:rsidRPr="007E770D" w:rsidRDefault="004044DC" w:rsidP="00E4657F">
            <w:pPr>
              <w:spacing w:line="276" w:lineRule="auto"/>
              <w:rPr>
                <w:rFonts w:asciiTheme="minorHAnsi" w:hAnsiTheme="minorHAnsi" w:cstheme="minorHAnsi"/>
                <w:color w:val="auto"/>
                <w:sz w:val="18"/>
                <w:szCs w:val="18"/>
                <w:lang w:val="sr-Cyrl-CS"/>
              </w:rPr>
            </w:pPr>
          </w:p>
        </w:tc>
        <w:tc>
          <w:tcPr>
            <w:tcW w:w="605" w:type="pct"/>
            <w:shd w:val="clear" w:color="auto" w:fill="auto"/>
            <w:vAlign w:val="center"/>
          </w:tcPr>
          <w:p w14:paraId="7A296A36"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p>
        </w:tc>
        <w:tc>
          <w:tcPr>
            <w:tcW w:w="605" w:type="pct"/>
            <w:shd w:val="clear" w:color="auto" w:fill="auto"/>
            <w:vAlign w:val="center"/>
          </w:tcPr>
          <w:p w14:paraId="21DC90AE"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p>
        </w:tc>
        <w:tc>
          <w:tcPr>
            <w:tcW w:w="556" w:type="pct"/>
            <w:shd w:val="clear" w:color="auto" w:fill="auto"/>
            <w:vAlign w:val="center"/>
          </w:tcPr>
          <w:p w14:paraId="25A72ED1"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p>
        </w:tc>
        <w:tc>
          <w:tcPr>
            <w:tcW w:w="556" w:type="pct"/>
            <w:shd w:val="clear" w:color="auto" w:fill="auto"/>
            <w:vAlign w:val="center"/>
          </w:tcPr>
          <w:p w14:paraId="19BBC5F8"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p>
        </w:tc>
        <w:tc>
          <w:tcPr>
            <w:tcW w:w="556" w:type="pct"/>
            <w:shd w:val="clear" w:color="auto" w:fill="auto"/>
            <w:vAlign w:val="center"/>
          </w:tcPr>
          <w:p w14:paraId="53A67DDB"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p>
        </w:tc>
      </w:tr>
      <w:tr w:rsidR="007E770D" w:rsidRPr="007E770D" w14:paraId="5C5A50BA" w14:textId="77777777" w:rsidTr="00E4657F">
        <w:trPr>
          <w:cnfStyle w:val="000000100000" w:firstRow="0" w:lastRow="0" w:firstColumn="0" w:lastColumn="0" w:oddVBand="0" w:evenVBand="0" w:oddHBand="1" w:evenHBand="0" w:firstRowFirstColumn="0" w:firstRowLastColumn="0" w:lastRowFirstColumn="0" w:lastRowLastColumn="0"/>
          <w:trHeight w:val="253"/>
        </w:trPr>
        <w:tc>
          <w:tcPr>
            <w:tcW w:w="2121" w:type="pct"/>
            <w:shd w:val="clear" w:color="auto" w:fill="auto"/>
            <w:vAlign w:val="center"/>
          </w:tcPr>
          <w:p w14:paraId="1C2D8934" w14:textId="77777777" w:rsidR="004044DC" w:rsidRPr="007E770D" w:rsidRDefault="004044DC" w:rsidP="00E4657F">
            <w:pPr>
              <w:spacing w:line="276" w:lineRule="auto"/>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Консолидовани фискални резултат</w:t>
            </w:r>
          </w:p>
        </w:tc>
        <w:tc>
          <w:tcPr>
            <w:tcW w:w="605" w:type="pct"/>
            <w:shd w:val="clear" w:color="auto" w:fill="auto"/>
            <w:vAlign w:val="center"/>
          </w:tcPr>
          <w:p w14:paraId="19F55DD2"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0,6</w:t>
            </w:r>
          </w:p>
        </w:tc>
        <w:tc>
          <w:tcPr>
            <w:tcW w:w="605" w:type="pct"/>
            <w:shd w:val="clear" w:color="auto" w:fill="auto"/>
            <w:vAlign w:val="center"/>
          </w:tcPr>
          <w:p w14:paraId="751CF12A"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-0,5</w:t>
            </w:r>
          </w:p>
        </w:tc>
        <w:tc>
          <w:tcPr>
            <w:tcW w:w="556" w:type="pct"/>
            <w:shd w:val="clear" w:color="auto" w:fill="auto"/>
            <w:vAlign w:val="center"/>
          </w:tcPr>
          <w:p w14:paraId="725CDB14"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-0,5</w:t>
            </w:r>
          </w:p>
        </w:tc>
        <w:tc>
          <w:tcPr>
            <w:tcW w:w="556" w:type="pct"/>
            <w:shd w:val="clear" w:color="auto" w:fill="auto"/>
            <w:vAlign w:val="center"/>
          </w:tcPr>
          <w:p w14:paraId="6F4D9429"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-0,5</w:t>
            </w:r>
          </w:p>
        </w:tc>
        <w:tc>
          <w:tcPr>
            <w:tcW w:w="556" w:type="pct"/>
            <w:shd w:val="clear" w:color="auto" w:fill="auto"/>
            <w:vAlign w:val="center"/>
          </w:tcPr>
          <w:p w14:paraId="0E39D984"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-0,5</w:t>
            </w:r>
          </w:p>
        </w:tc>
      </w:tr>
      <w:tr w:rsidR="007E770D" w:rsidRPr="007E770D" w14:paraId="4D696C1F" w14:textId="77777777" w:rsidTr="00E4657F">
        <w:trPr>
          <w:trHeight w:val="253"/>
        </w:trPr>
        <w:tc>
          <w:tcPr>
            <w:tcW w:w="2121" w:type="pct"/>
            <w:shd w:val="clear" w:color="auto" w:fill="auto"/>
            <w:vAlign w:val="center"/>
          </w:tcPr>
          <w:p w14:paraId="0FD7DD1E" w14:textId="77777777" w:rsidR="004044DC" w:rsidRPr="007E770D" w:rsidRDefault="004044DC" w:rsidP="00E4657F">
            <w:pPr>
              <w:spacing w:line="276" w:lineRule="auto"/>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Примарни консолидовани резултат</w:t>
            </w:r>
          </w:p>
        </w:tc>
        <w:tc>
          <w:tcPr>
            <w:tcW w:w="605" w:type="pct"/>
            <w:shd w:val="clear" w:color="auto" w:fill="auto"/>
            <w:vAlign w:val="center"/>
          </w:tcPr>
          <w:p w14:paraId="674A90CD"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2,7</w:t>
            </w:r>
          </w:p>
        </w:tc>
        <w:tc>
          <w:tcPr>
            <w:tcW w:w="605" w:type="pct"/>
            <w:shd w:val="clear" w:color="auto" w:fill="auto"/>
            <w:vAlign w:val="center"/>
          </w:tcPr>
          <w:p w14:paraId="32A1FE90"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1,6</w:t>
            </w:r>
          </w:p>
        </w:tc>
        <w:tc>
          <w:tcPr>
            <w:tcW w:w="556" w:type="pct"/>
            <w:shd w:val="clear" w:color="auto" w:fill="auto"/>
            <w:vAlign w:val="center"/>
          </w:tcPr>
          <w:p w14:paraId="0BAF97FB"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1,5</w:t>
            </w:r>
          </w:p>
        </w:tc>
        <w:tc>
          <w:tcPr>
            <w:tcW w:w="556" w:type="pct"/>
            <w:shd w:val="clear" w:color="auto" w:fill="auto"/>
            <w:vAlign w:val="center"/>
          </w:tcPr>
          <w:p w14:paraId="6A663E77"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1,3</w:t>
            </w:r>
          </w:p>
        </w:tc>
        <w:tc>
          <w:tcPr>
            <w:tcW w:w="556" w:type="pct"/>
            <w:shd w:val="clear" w:color="auto" w:fill="auto"/>
            <w:vAlign w:val="center"/>
          </w:tcPr>
          <w:p w14:paraId="6F77439A"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1,2</w:t>
            </w:r>
          </w:p>
        </w:tc>
      </w:tr>
      <w:tr w:rsidR="007E770D" w:rsidRPr="007E770D" w14:paraId="34727986" w14:textId="77777777" w:rsidTr="00E4657F">
        <w:trPr>
          <w:cnfStyle w:val="000000100000" w:firstRow="0" w:lastRow="0" w:firstColumn="0" w:lastColumn="0" w:oddVBand="0" w:evenVBand="0" w:oddHBand="1" w:evenHBand="0" w:firstRowFirstColumn="0" w:firstRowLastColumn="0" w:lastRowFirstColumn="0" w:lastRowLastColumn="0"/>
          <w:trHeight w:val="253"/>
        </w:trPr>
        <w:tc>
          <w:tcPr>
            <w:tcW w:w="2121" w:type="pct"/>
            <w:shd w:val="clear" w:color="auto" w:fill="auto"/>
            <w:vAlign w:val="center"/>
          </w:tcPr>
          <w:p w14:paraId="6065C0CB" w14:textId="77777777" w:rsidR="004044DC" w:rsidRPr="007E770D" w:rsidRDefault="004044DC" w:rsidP="00E4657F">
            <w:pPr>
              <w:spacing w:line="276" w:lineRule="auto"/>
              <w:rPr>
                <w:rFonts w:asciiTheme="minorHAnsi" w:hAnsiTheme="minorHAnsi" w:cstheme="minorHAnsi"/>
                <w:color w:val="auto"/>
                <w:sz w:val="18"/>
                <w:szCs w:val="18"/>
                <w:lang w:val="sr-Cyrl-CS"/>
              </w:rPr>
            </w:pPr>
          </w:p>
        </w:tc>
        <w:tc>
          <w:tcPr>
            <w:tcW w:w="605" w:type="pct"/>
            <w:shd w:val="clear" w:color="auto" w:fill="auto"/>
            <w:vAlign w:val="center"/>
          </w:tcPr>
          <w:p w14:paraId="3AA21C4A"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p>
        </w:tc>
        <w:tc>
          <w:tcPr>
            <w:tcW w:w="605" w:type="pct"/>
            <w:shd w:val="clear" w:color="auto" w:fill="auto"/>
            <w:vAlign w:val="center"/>
          </w:tcPr>
          <w:p w14:paraId="782415FA"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p>
        </w:tc>
        <w:tc>
          <w:tcPr>
            <w:tcW w:w="556" w:type="pct"/>
            <w:shd w:val="clear" w:color="auto" w:fill="auto"/>
            <w:vAlign w:val="center"/>
          </w:tcPr>
          <w:p w14:paraId="1B6C0285"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p>
        </w:tc>
        <w:tc>
          <w:tcPr>
            <w:tcW w:w="556" w:type="pct"/>
            <w:shd w:val="clear" w:color="auto" w:fill="auto"/>
            <w:vAlign w:val="center"/>
          </w:tcPr>
          <w:p w14:paraId="19A974F9"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p>
        </w:tc>
        <w:tc>
          <w:tcPr>
            <w:tcW w:w="556" w:type="pct"/>
            <w:shd w:val="clear" w:color="auto" w:fill="auto"/>
            <w:vAlign w:val="center"/>
          </w:tcPr>
          <w:p w14:paraId="14F920F8"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p>
        </w:tc>
      </w:tr>
      <w:tr w:rsidR="007E770D" w:rsidRPr="007E770D" w14:paraId="400C786D" w14:textId="77777777" w:rsidTr="00E4657F">
        <w:trPr>
          <w:trHeight w:val="253"/>
        </w:trPr>
        <w:tc>
          <w:tcPr>
            <w:tcW w:w="2121" w:type="pct"/>
            <w:shd w:val="clear" w:color="auto" w:fill="auto"/>
            <w:vAlign w:val="center"/>
          </w:tcPr>
          <w:p w14:paraId="26ACE2B2" w14:textId="77777777" w:rsidR="004044DC" w:rsidRPr="007E770D" w:rsidRDefault="004044DC" w:rsidP="00E4657F">
            <w:pPr>
              <w:spacing w:line="276" w:lineRule="auto"/>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Дуг опште државе</w:t>
            </w:r>
          </w:p>
        </w:tc>
        <w:tc>
          <w:tcPr>
            <w:tcW w:w="605" w:type="pct"/>
            <w:shd w:val="clear" w:color="auto" w:fill="auto"/>
            <w:vAlign w:val="center"/>
          </w:tcPr>
          <w:p w14:paraId="51819869"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54,4</w:t>
            </w:r>
          </w:p>
        </w:tc>
        <w:tc>
          <w:tcPr>
            <w:tcW w:w="605" w:type="pct"/>
            <w:shd w:val="clear" w:color="auto" w:fill="auto"/>
            <w:vAlign w:val="center"/>
          </w:tcPr>
          <w:p w14:paraId="73C0D480"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52,9</w:t>
            </w:r>
          </w:p>
        </w:tc>
        <w:tc>
          <w:tcPr>
            <w:tcW w:w="556" w:type="pct"/>
            <w:shd w:val="clear" w:color="auto" w:fill="auto"/>
            <w:vAlign w:val="center"/>
          </w:tcPr>
          <w:p w14:paraId="47A522F8"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51,4</w:t>
            </w:r>
          </w:p>
        </w:tc>
        <w:tc>
          <w:tcPr>
            <w:tcW w:w="556" w:type="pct"/>
            <w:shd w:val="clear" w:color="auto" w:fill="auto"/>
            <w:vAlign w:val="center"/>
          </w:tcPr>
          <w:p w14:paraId="253B504C"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50,1</w:t>
            </w:r>
          </w:p>
        </w:tc>
        <w:tc>
          <w:tcPr>
            <w:tcW w:w="556" w:type="pct"/>
            <w:shd w:val="clear" w:color="auto" w:fill="auto"/>
            <w:vAlign w:val="center"/>
          </w:tcPr>
          <w:p w14:paraId="6F844308"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48,3</w:t>
            </w:r>
          </w:p>
        </w:tc>
      </w:tr>
      <w:tr w:rsidR="007E770D" w:rsidRPr="007E770D" w14:paraId="4C377C01" w14:textId="77777777" w:rsidTr="00E4657F">
        <w:trPr>
          <w:cnfStyle w:val="000000100000" w:firstRow="0" w:lastRow="0" w:firstColumn="0" w:lastColumn="0" w:oddVBand="0" w:evenVBand="0" w:oddHBand="1" w:evenHBand="0" w:firstRowFirstColumn="0" w:firstRowLastColumn="0" w:lastRowFirstColumn="0" w:lastRowLastColumn="0"/>
          <w:trHeight w:val="253"/>
        </w:trPr>
        <w:tc>
          <w:tcPr>
            <w:tcW w:w="2121" w:type="pct"/>
            <w:tcBorders>
              <w:bottom w:val="single" w:sz="4" w:space="0" w:color="002060"/>
            </w:tcBorders>
            <w:shd w:val="clear" w:color="auto" w:fill="auto"/>
            <w:vAlign w:val="center"/>
          </w:tcPr>
          <w:p w14:paraId="3974C471" w14:textId="77777777" w:rsidR="004044DC" w:rsidRPr="007E770D" w:rsidRDefault="004044DC" w:rsidP="00E4657F">
            <w:pPr>
              <w:spacing w:line="276" w:lineRule="auto"/>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Реална стопа раста БДП</w:t>
            </w:r>
          </w:p>
        </w:tc>
        <w:tc>
          <w:tcPr>
            <w:tcW w:w="605" w:type="pct"/>
            <w:tcBorders>
              <w:bottom w:val="single" w:sz="4" w:space="0" w:color="002060"/>
            </w:tcBorders>
            <w:shd w:val="clear" w:color="auto" w:fill="auto"/>
            <w:vAlign w:val="center"/>
          </w:tcPr>
          <w:p w14:paraId="4FA0EA88"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4,4%</w:t>
            </w:r>
          </w:p>
        </w:tc>
        <w:tc>
          <w:tcPr>
            <w:tcW w:w="605" w:type="pct"/>
            <w:tcBorders>
              <w:bottom w:val="single" w:sz="4" w:space="0" w:color="002060"/>
            </w:tcBorders>
            <w:shd w:val="clear" w:color="auto" w:fill="auto"/>
            <w:vAlign w:val="center"/>
          </w:tcPr>
          <w:p w14:paraId="6B52482F"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3,5%</w:t>
            </w:r>
          </w:p>
        </w:tc>
        <w:tc>
          <w:tcPr>
            <w:tcW w:w="556" w:type="pct"/>
            <w:tcBorders>
              <w:bottom w:val="single" w:sz="4" w:space="0" w:color="002060"/>
            </w:tcBorders>
            <w:shd w:val="clear" w:color="auto" w:fill="auto"/>
            <w:vAlign w:val="center"/>
          </w:tcPr>
          <w:p w14:paraId="4EA818AD"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4,0%</w:t>
            </w:r>
          </w:p>
        </w:tc>
        <w:tc>
          <w:tcPr>
            <w:tcW w:w="556" w:type="pct"/>
            <w:tcBorders>
              <w:bottom w:val="single" w:sz="4" w:space="0" w:color="002060"/>
            </w:tcBorders>
            <w:shd w:val="clear" w:color="auto" w:fill="auto"/>
            <w:vAlign w:val="center"/>
          </w:tcPr>
          <w:p w14:paraId="21C78A61"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4,0%</w:t>
            </w:r>
          </w:p>
        </w:tc>
        <w:tc>
          <w:tcPr>
            <w:tcW w:w="556" w:type="pct"/>
            <w:tcBorders>
              <w:bottom w:val="single" w:sz="4" w:space="0" w:color="002060"/>
            </w:tcBorders>
            <w:shd w:val="clear" w:color="auto" w:fill="auto"/>
            <w:vAlign w:val="center"/>
          </w:tcPr>
          <w:p w14:paraId="7F14636E" w14:textId="77777777" w:rsidR="004044DC" w:rsidRPr="007E770D" w:rsidRDefault="004044DC" w:rsidP="00E4657F">
            <w:pPr>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4,0%</w:t>
            </w:r>
          </w:p>
        </w:tc>
      </w:tr>
    </w:tbl>
    <w:p w14:paraId="079D14BF" w14:textId="77777777" w:rsidR="004044DC" w:rsidRPr="007E770D" w:rsidRDefault="004044DC" w:rsidP="00E4657F">
      <w:pPr>
        <w:spacing w:before="40" w:after="120" w:line="276" w:lineRule="auto"/>
        <w:rPr>
          <w:rFonts w:eastAsia="MS PGothic" w:cstheme="minorHAnsi"/>
          <w:color w:val="auto"/>
          <w:szCs w:val="20"/>
          <w:lang w:val="sr-Cyrl-CS" w:eastAsia="ja-JP"/>
        </w:rPr>
        <w:sectPr w:rsidR="004044DC" w:rsidRPr="007E770D" w:rsidSect="00BA4876">
          <w:type w:val="continuous"/>
          <w:pgSz w:w="12240" w:h="15840"/>
          <w:pgMar w:top="1440" w:right="1440" w:bottom="1440" w:left="1440" w:header="720" w:footer="720" w:gutter="0"/>
          <w:cols w:space="720"/>
          <w:docGrid w:linePitch="360"/>
        </w:sectPr>
      </w:pPr>
      <w:r w:rsidRPr="007E770D">
        <w:rPr>
          <w:rFonts w:eastAsia="Calibri" w:cstheme="minorHAnsi"/>
          <w:bCs/>
          <w:color w:val="auto"/>
          <w:sz w:val="16"/>
          <w:szCs w:val="20"/>
          <w:lang w:val="sr-Cyrl-CS" w:eastAsia="ja-JP"/>
        </w:rPr>
        <w:t xml:space="preserve">Извор: </w:t>
      </w:r>
      <w:r w:rsidRPr="007E770D">
        <w:rPr>
          <w:rFonts w:cstheme="minorHAnsi"/>
          <w:color w:val="auto"/>
          <w:sz w:val="16"/>
          <w:szCs w:val="20"/>
          <w:lang w:val="sr-Cyrl-CS"/>
        </w:rPr>
        <w:t>Министарство финансија</w:t>
      </w:r>
    </w:p>
    <w:p w14:paraId="3031A9D2" w14:textId="77777777" w:rsidR="004044DC" w:rsidRPr="007E770D" w:rsidRDefault="004044DC" w:rsidP="00E4657F">
      <w:pPr>
        <w:spacing w:line="276" w:lineRule="auto"/>
        <w:rPr>
          <w:rFonts w:cstheme="minorHAnsi"/>
          <w:color w:val="auto"/>
          <w:lang w:val="sr-Cyrl-CS"/>
        </w:rPr>
      </w:pPr>
      <w:r w:rsidRPr="007E770D">
        <w:rPr>
          <w:rFonts w:eastAsia="MS PGothic" w:cstheme="minorHAnsi"/>
          <w:color w:val="auto"/>
          <w:szCs w:val="20"/>
          <w:lang w:val="sr-Cyrl-CS" w:eastAsia="ja-JP"/>
        </w:rPr>
        <w:t>Главни циљеви фискалне консолидације и програма са ММФ били су управо стабилизација јавних финансија и смањење учешћа јавног дуга у БДП. Смањење</w:t>
      </w:r>
      <w:r w:rsidRPr="007E770D">
        <w:rPr>
          <w:rFonts w:cstheme="minorHAnsi"/>
          <w:color w:val="auto"/>
          <w:lang w:val="sr-Cyrl-CS"/>
        </w:rPr>
        <w:t xml:space="preserve"> учешћа дуга је уско везано за снижавање дефицита као главног фактора задуживања, тако да динамика спуштања дефицита опредељује и промену кретања дуга. Финансијске трансакције, као што је замена скупог дуга јефтинијим, као и боља позиција државе на међународном финансијском тржишту, допринеће даљем снижавању дуга.</w:t>
      </w:r>
    </w:p>
    <w:p w14:paraId="7C4CAD3C" w14:textId="77777777" w:rsidR="004044DC" w:rsidRPr="007E770D" w:rsidRDefault="004044DC" w:rsidP="00E4657F">
      <w:pPr>
        <w:spacing w:line="276" w:lineRule="auto"/>
        <w:jc w:val="center"/>
        <w:rPr>
          <w:rFonts w:cstheme="minorHAnsi"/>
          <w:b/>
          <w:color w:val="auto"/>
          <w:lang w:val="sr-Cyrl-CS"/>
        </w:rPr>
      </w:pPr>
      <w:r w:rsidRPr="007E770D">
        <w:rPr>
          <w:rFonts w:cstheme="minorHAnsi"/>
          <w:b/>
          <w:color w:val="auto"/>
          <w:lang w:val="sr-Cyrl-CS"/>
        </w:rPr>
        <w:t>Фискални резултат и дуг опште државе, % БДП</w:t>
      </w:r>
    </w:p>
    <w:p w14:paraId="249ECFBC" w14:textId="77777777" w:rsidR="004044DC" w:rsidRPr="007E770D" w:rsidRDefault="004044DC" w:rsidP="00E4657F">
      <w:pPr>
        <w:spacing w:line="276" w:lineRule="auto"/>
        <w:rPr>
          <w:rFonts w:cstheme="minorHAnsi"/>
          <w:color w:val="auto"/>
          <w:lang w:val="sr-Cyrl-CS"/>
        </w:rPr>
      </w:pPr>
      <w:r w:rsidRPr="007E770D">
        <w:rPr>
          <w:noProof/>
          <w:color w:val="auto"/>
        </w:rPr>
        <w:drawing>
          <wp:inline distT="0" distB="0" distL="0" distR="0" wp14:anchorId="1BC15D5A" wp14:editId="6426FA38">
            <wp:extent cx="2790825" cy="1619250"/>
            <wp:effectExtent l="0" t="0" r="0" b="0"/>
            <wp:docPr id="62" name="Chart 62"/>
            <wp:cNvGraphicFramePr/>
            <a:graphic xmlns:a="http://schemas.openxmlformats.org/drawingml/2006/main">
              <a:graphicData uri="http://schemas.openxmlformats.org/drawingml/2006/chart">
                <c:chart xmlns:c="http://schemas.openxmlformats.org/drawingml/2006/chart" xmlns:r="http://schemas.openxmlformats.org/officeDocument/2006/relationships" r:id="rId133"/>
              </a:graphicData>
            </a:graphic>
          </wp:inline>
        </w:drawing>
      </w:r>
    </w:p>
    <w:p w14:paraId="7B94195D" w14:textId="77777777" w:rsidR="004044DC" w:rsidRPr="007E770D" w:rsidRDefault="004044DC" w:rsidP="00E4657F">
      <w:pPr>
        <w:spacing w:after="0" w:line="276" w:lineRule="auto"/>
        <w:rPr>
          <w:rFonts w:eastAsia="Times New Roman" w:cstheme="minorHAnsi"/>
          <w:b/>
          <w:bCs/>
          <w:color w:val="auto"/>
          <w:szCs w:val="20"/>
          <w:lang w:val="sr-Cyrl-CS" w:eastAsia="ja-JP"/>
        </w:rPr>
      </w:pPr>
      <w:r w:rsidRPr="007E770D">
        <w:rPr>
          <w:rFonts w:eastAsia="MS PGothic" w:cstheme="minorHAnsi"/>
          <w:color w:val="auto"/>
          <w:szCs w:val="20"/>
          <w:lang w:val="sr-Cyrl-CS" w:eastAsia="ja-JP"/>
        </w:rPr>
        <w:t>У наредном периоду дефицит опште државе ће се стабилизовати на нивоу од око 0,5% БДП, што је одрживи ниво који омогућава наставак силазног тренда јавног дуга.</w:t>
      </w:r>
      <w:r w:rsidRPr="007E770D">
        <w:rPr>
          <w:rFonts w:eastAsia="MS PGothic" w:cstheme="minorHAnsi"/>
          <w:b/>
          <w:color w:val="auto"/>
          <w:szCs w:val="20"/>
          <w:lang w:val="sr-Cyrl-CS" w:eastAsia="ja-JP"/>
        </w:rPr>
        <w:t xml:space="preserve"> </w:t>
      </w:r>
      <w:r w:rsidRPr="007E770D">
        <w:rPr>
          <w:rFonts w:eastAsia="Calibri" w:cstheme="minorHAnsi"/>
          <w:color w:val="auto"/>
          <w:szCs w:val="20"/>
          <w:lang w:val="sr-Cyrl-CS" w:eastAsia="ja-JP"/>
        </w:rPr>
        <w:t xml:space="preserve">Уз очекиване макроекономске перформансе, у наредном средњорочном </w:t>
      </w:r>
      <w:r w:rsidRPr="007E770D">
        <w:rPr>
          <w:rFonts w:eastAsia="Calibri" w:cstheme="minorHAnsi"/>
          <w:color w:val="auto"/>
          <w:szCs w:val="20"/>
          <w:lang w:val="sr-Cyrl-CS" w:eastAsia="ja-JP"/>
        </w:rPr>
        <w:t xml:space="preserve">периоду, ниво јавног дуга ће бити испод 50% БДП. Добри резултати фискалне консолидације омогућили су умерену релаксацију фискалне политике, пре свега на расходној страни, у виду повећања јавних инвестиција, укидања кризних мера и повећања плата и пензија, али тако да се њихово учешће у БДП не повећава. На приходној страни приоритет је даље смањење пореског оптерећења зарада. Процес реструктурирања јавних и некадашњих друштвених предузећа се наставља како би се смањило оптерећење јавних финансија и целе привреде. </w:t>
      </w:r>
      <w:r w:rsidRPr="007E770D">
        <w:rPr>
          <w:rFonts w:eastAsia="Times New Roman" w:cstheme="minorHAnsi"/>
          <w:bCs/>
          <w:color w:val="auto"/>
          <w:szCs w:val="20"/>
          <w:lang w:val="sr-Cyrl-CS" w:eastAsia="ja-JP"/>
        </w:rPr>
        <w:t>У случају повољних макроекономских и фискалних кретања и остваривања бољих резултата створени фискални простор би могао да се искористи за додатно пореско растерећење привреде.</w:t>
      </w:r>
    </w:p>
    <w:p w14:paraId="7B9DFC38" w14:textId="77777777" w:rsidR="004044DC" w:rsidRPr="007E770D" w:rsidRDefault="004044DC" w:rsidP="00E4657F">
      <w:pPr>
        <w:keepNext/>
        <w:spacing w:before="120" w:after="120" w:line="276" w:lineRule="auto"/>
        <w:rPr>
          <w:rFonts w:eastAsia="MS PGothic" w:cstheme="minorHAnsi"/>
          <w:color w:val="auto"/>
          <w:szCs w:val="20"/>
          <w:lang w:val="sr-Cyrl-CS" w:eastAsia="ja-JP"/>
        </w:rPr>
      </w:pPr>
      <w:r w:rsidRPr="007E770D">
        <w:rPr>
          <w:rFonts w:eastAsia="MS PGothic" w:cstheme="minorHAnsi"/>
          <w:color w:val="auto"/>
          <w:szCs w:val="20"/>
          <w:lang w:val="sr-Cyrl-CS" w:eastAsia="ja-JP"/>
        </w:rPr>
        <w:t>Пројекција прихода у периоду од 2020. до 2022. године израђена је на основу:</w:t>
      </w:r>
    </w:p>
    <w:p w14:paraId="76E1DEDC" w14:textId="77777777" w:rsidR="004044DC" w:rsidRPr="007E770D" w:rsidRDefault="004044DC" w:rsidP="00E4657F">
      <w:pPr>
        <w:numPr>
          <w:ilvl w:val="0"/>
          <w:numId w:val="3"/>
        </w:numPr>
        <w:spacing w:after="120" w:line="276" w:lineRule="auto"/>
        <w:ind w:left="180" w:hanging="180"/>
        <w:contextualSpacing/>
        <w:rPr>
          <w:rFonts w:eastAsia="Calibri" w:cstheme="minorHAnsi"/>
          <w:color w:val="auto"/>
          <w:lang w:val="sr-Cyrl-CS"/>
        </w:rPr>
      </w:pPr>
      <w:r w:rsidRPr="007E770D">
        <w:rPr>
          <w:rFonts w:eastAsia="Calibri" w:cstheme="minorHAnsi"/>
          <w:color w:val="auto"/>
          <w:lang w:val="sr-Cyrl-CS"/>
        </w:rPr>
        <w:t>пројекције кретања најважнијих макроекономских показатеља: БДП и његових компоненти, инфлације, девизног курса, спољнотрговинске размене, запослености и зарада;</w:t>
      </w:r>
    </w:p>
    <w:p w14:paraId="522F9B20" w14:textId="77777777" w:rsidR="004044DC" w:rsidRPr="007E770D" w:rsidRDefault="004044DC" w:rsidP="00E4657F">
      <w:pPr>
        <w:numPr>
          <w:ilvl w:val="0"/>
          <w:numId w:val="3"/>
        </w:numPr>
        <w:spacing w:after="120" w:line="276" w:lineRule="auto"/>
        <w:ind w:left="180" w:hanging="180"/>
        <w:contextualSpacing/>
        <w:rPr>
          <w:rFonts w:eastAsia="Calibri" w:cstheme="minorHAnsi"/>
          <w:color w:val="auto"/>
          <w:lang w:val="sr-Cyrl-CS"/>
        </w:rPr>
      </w:pPr>
      <w:r w:rsidRPr="007E770D">
        <w:rPr>
          <w:rFonts w:eastAsia="Calibri" w:cstheme="minorHAnsi"/>
          <w:color w:val="auto"/>
          <w:lang w:val="sr-Cyrl-CS"/>
        </w:rPr>
        <w:t>важеће и планиране измене пореске политике;</w:t>
      </w:r>
    </w:p>
    <w:p w14:paraId="075F088C" w14:textId="77777777" w:rsidR="004044DC" w:rsidRPr="007E770D" w:rsidRDefault="004044DC" w:rsidP="00E4657F">
      <w:pPr>
        <w:numPr>
          <w:ilvl w:val="0"/>
          <w:numId w:val="3"/>
        </w:numPr>
        <w:spacing w:after="120" w:line="276" w:lineRule="auto"/>
        <w:ind w:left="180" w:hanging="180"/>
        <w:contextualSpacing/>
        <w:rPr>
          <w:rFonts w:eastAsia="Calibri" w:cstheme="minorHAnsi"/>
          <w:color w:val="auto"/>
          <w:lang w:val="sr-Cyrl-CS"/>
        </w:rPr>
      </w:pPr>
      <w:r w:rsidRPr="007E770D">
        <w:rPr>
          <w:rFonts w:eastAsia="Calibri" w:cstheme="minorHAnsi"/>
          <w:color w:val="auto"/>
          <w:lang w:val="sr-Cyrl-CS"/>
        </w:rPr>
        <w:t>процењених ефеката фискалних и структурних мера у наредном периоду.</w:t>
      </w:r>
    </w:p>
    <w:p w14:paraId="63D7A83E" w14:textId="77777777" w:rsidR="004044DC" w:rsidRPr="007E770D" w:rsidRDefault="004044DC" w:rsidP="00E4657F">
      <w:pPr>
        <w:spacing w:after="120" w:line="276" w:lineRule="auto"/>
        <w:ind w:left="180"/>
        <w:contextualSpacing/>
        <w:rPr>
          <w:rFonts w:eastAsia="Calibri" w:cstheme="minorHAnsi"/>
          <w:color w:val="auto"/>
          <w:lang w:val="sr-Cyrl-CS"/>
        </w:rPr>
      </w:pPr>
    </w:p>
    <w:p w14:paraId="635E3401" w14:textId="77777777" w:rsidR="004044DC" w:rsidRPr="007E770D" w:rsidRDefault="004044DC" w:rsidP="00E4657F">
      <w:pPr>
        <w:spacing w:after="120" w:line="276" w:lineRule="auto"/>
        <w:rPr>
          <w:rFonts w:eastAsia="Calibri" w:cstheme="minorHAnsi"/>
          <w:color w:val="auto"/>
          <w:lang w:val="sr-Cyrl-CS"/>
        </w:rPr>
        <w:sectPr w:rsidR="004044DC" w:rsidRPr="007E770D" w:rsidSect="00BA4876">
          <w:type w:val="continuous"/>
          <w:pgSz w:w="12240" w:h="15840"/>
          <w:pgMar w:top="1440" w:right="1440" w:bottom="1440" w:left="1440" w:header="720" w:footer="720" w:gutter="0"/>
          <w:cols w:num="2" w:space="720"/>
          <w:docGrid w:linePitch="360"/>
        </w:sectPr>
      </w:pPr>
    </w:p>
    <w:p w14:paraId="2FFDF044" w14:textId="77777777" w:rsidR="004044DC" w:rsidRPr="007E770D" w:rsidRDefault="004044DC" w:rsidP="00E4657F">
      <w:pPr>
        <w:spacing w:after="120" w:line="276" w:lineRule="auto"/>
        <w:rPr>
          <w:rFonts w:eastAsia="MS PGothic" w:cstheme="minorHAnsi"/>
          <w:b/>
          <w:color w:val="auto"/>
          <w:szCs w:val="20"/>
          <w:lang w:val="sr-Cyrl-CS" w:eastAsia="ja-JP"/>
        </w:rPr>
      </w:pPr>
    </w:p>
    <w:p w14:paraId="3BF73BBE" w14:textId="77777777" w:rsidR="004044DC" w:rsidRPr="007E770D" w:rsidRDefault="004044DC" w:rsidP="00E4657F">
      <w:pPr>
        <w:spacing w:after="120" w:line="276" w:lineRule="auto"/>
        <w:rPr>
          <w:rFonts w:eastAsia="MS PGothic" w:cstheme="minorHAnsi"/>
          <w:b/>
          <w:color w:val="auto"/>
          <w:szCs w:val="20"/>
          <w:lang w:val="sr-Cyrl-CS" w:eastAsia="ja-JP"/>
        </w:rPr>
      </w:pPr>
    </w:p>
    <w:p w14:paraId="16BBB61A" w14:textId="77777777" w:rsidR="004044DC" w:rsidRPr="007E770D" w:rsidRDefault="004044DC" w:rsidP="00E4657F">
      <w:pPr>
        <w:spacing w:after="120" w:line="276" w:lineRule="auto"/>
        <w:rPr>
          <w:rFonts w:eastAsia="MS PGothic" w:cstheme="minorHAnsi"/>
          <w:b/>
          <w:color w:val="auto"/>
          <w:szCs w:val="20"/>
          <w:lang w:val="sr-Cyrl-CS" w:eastAsia="ja-JP"/>
        </w:rPr>
      </w:pPr>
    </w:p>
    <w:p w14:paraId="3A45C143" w14:textId="77777777" w:rsidR="004044DC" w:rsidRPr="007E770D" w:rsidRDefault="004044DC">
      <w:pPr>
        <w:jc w:val="left"/>
        <w:rPr>
          <w:rFonts w:eastAsia="MS PGothic" w:cstheme="minorHAnsi"/>
          <w:b/>
          <w:color w:val="auto"/>
          <w:szCs w:val="20"/>
          <w:lang w:val="sr-Cyrl-CS" w:eastAsia="ja-JP"/>
        </w:rPr>
      </w:pPr>
      <w:r w:rsidRPr="007E770D">
        <w:rPr>
          <w:rFonts w:eastAsia="MS PGothic" w:cstheme="minorHAnsi"/>
          <w:b/>
          <w:color w:val="auto"/>
          <w:szCs w:val="20"/>
          <w:lang w:val="sr-Cyrl-CS" w:eastAsia="ja-JP"/>
        </w:rPr>
        <w:br w:type="page"/>
      </w:r>
    </w:p>
    <w:p w14:paraId="2113FB90" w14:textId="77777777" w:rsidR="004044DC" w:rsidRPr="007E770D" w:rsidRDefault="004044DC" w:rsidP="00E4657F">
      <w:pPr>
        <w:spacing w:after="120" w:line="276" w:lineRule="auto"/>
        <w:jc w:val="center"/>
        <w:rPr>
          <w:rFonts w:eastAsia="MS PGothic" w:cstheme="minorHAnsi"/>
          <w:b/>
          <w:color w:val="auto"/>
          <w:szCs w:val="20"/>
          <w:lang w:val="sr-Cyrl-CS" w:eastAsia="ja-JP"/>
        </w:rPr>
      </w:pPr>
      <w:r w:rsidRPr="007E770D">
        <w:rPr>
          <w:rFonts w:eastAsia="MS PGothic" w:cstheme="minorHAnsi"/>
          <w:b/>
          <w:color w:val="auto"/>
          <w:szCs w:val="20"/>
          <w:lang w:val="sr-Cyrl-CS" w:eastAsia="ja-JP"/>
        </w:rPr>
        <w:lastRenderedPageBreak/>
        <w:t>Табела 9. Укупни приходи и донације у периоду 2018–2022. године, % БДП</w:t>
      </w:r>
    </w:p>
    <w:tbl>
      <w:tblPr>
        <w:tblStyle w:val="LightShading-Accent1211"/>
        <w:tblW w:w="5000" w:type="pct"/>
        <w:tblBorders>
          <w:top w:val="none" w:sz="0" w:space="0" w:color="auto"/>
          <w:bottom w:val="none" w:sz="0" w:space="0" w:color="auto"/>
        </w:tblBorders>
        <w:tblLook w:val="0420" w:firstRow="1" w:lastRow="0" w:firstColumn="0" w:lastColumn="0" w:noHBand="0" w:noVBand="1"/>
      </w:tblPr>
      <w:tblGrid>
        <w:gridCol w:w="3827"/>
        <w:gridCol w:w="1133"/>
        <w:gridCol w:w="1134"/>
        <w:gridCol w:w="1088"/>
        <w:gridCol w:w="1088"/>
        <w:gridCol w:w="1090"/>
      </w:tblGrid>
      <w:tr w:rsidR="007E770D" w:rsidRPr="007E770D" w14:paraId="730D3A9B" w14:textId="77777777" w:rsidTr="00A02EFC">
        <w:trPr>
          <w:cnfStyle w:val="100000000000" w:firstRow="1" w:lastRow="0" w:firstColumn="0" w:lastColumn="0" w:oddVBand="0" w:evenVBand="0" w:oddHBand="0" w:evenHBand="0" w:firstRowFirstColumn="0" w:firstRowLastColumn="0" w:lastRowFirstColumn="0" w:lastRowLastColumn="0"/>
          <w:trHeight w:val="253"/>
        </w:trPr>
        <w:tc>
          <w:tcPr>
            <w:tcW w:w="2045" w:type="pct"/>
            <w:tcBorders>
              <w:top w:val="single" w:sz="4" w:space="0" w:color="002060"/>
              <w:bottom w:val="single" w:sz="4" w:space="0" w:color="002060"/>
            </w:tcBorders>
            <w:noWrap/>
            <w:vAlign w:val="center"/>
          </w:tcPr>
          <w:p w14:paraId="16A67D16" w14:textId="77777777" w:rsidR="004044DC" w:rsidRPr="007E770D" w:rsidRDefault="004044DC" w:rsidP="00E4657F">
            <w:pPr>
              <w:keepLines/>
              <w:widowControl w:val="0"/>
              <w:shd w:val="clear" w:color="auto" w:fill="FFFFFF" w:themeFill="background1"/>
              <w:spacing w:line="276" w:lineRule="auto"/>
              <w:rPr>
                <w:rFonts w:asciiTheme="minorHAnsi" w:eastAsia="Times New Roman" w:hAnsiTheme="minorHAnsi" w:cstheme="minorHAnsi"/>
                <w:b w:val="0"/>
                <w:color w:val="auto"/>
                <w:sz w:val="18"/>
                <w:szCs w:val="18"/>
                <w:lang w:val="sr-Cyrl-CS"/>
              </w:rPr>
            </w:pPr>
            <w:r w:rsidRPr="007E770D">
              <w:rPr>
                <w:rFonts w:asciiTheme="minorHAnsi" w:hAnsiTheme="minorHAnsi" w:cstheme="minorHAnsi"/>
                <w:b w:val="0"/>
                <w:color w:val="auto"/>
                <w:sz w:val="18"/>
                <w:lang w:val="sr-Cyrl-CS"/>
              </w:rPr>
              <w:t>Опис</w:t>
            </w:r>
          </w:p>
        </w:tc>
        <w:tc>
          <w:tcPr>
            <w:tcW w:w="605" w:type="pct"/>
            <w:tcBorders>
              <w:top w:val="single" w:sz="4" w:space="0" w:color="002060"/>
              <w:bottom w:val="single" w:sz="4" w:space="0" w:color="002060"/>
            </w:tcBorders>
            <w:vAlign w:val="center"/>
          </w:tcPr>
          <w:p w14:paraId="0C196A32" w14:textId="77777777" w:rsidR="004044DC" w:rsidRPr="007E770D" w:rsidRDefault="004044DC" w:rsidP="00E4657F">
            <w:pPr>
              <w:keepNext/>
              <w:widowControl w:val="0"/>
              <w:shd w:val="clear" w:color="auto" w:fill="FFFFFF" w:themeFill="background1"/>
              <w:spacing w:line="276" w:lineRule="auto"/>
              <w:jc w:val="right"/>
              <w:rPr>
                <w:rFonts w:asciiTheme="minorHAnsi" w:eastAsia="Times New Roman" w:hAnsiTheme="minorHAnsi" w:cstheme="minorHAnsi"/>
                <w:b w:val="0"/>
                <w:color w:val="auto"/>
                <w:sz w:val="18"/>
                <w:szCs w:val="18"/>
                <w:lang w:val="sr-Cyrl-CS"/>
              </w:rPr>
            </w:pPr>
            <w:r w:rsidRPr="007E770D">
              <w:rPr>
                <w:rFonts w:asciiTheme="minorHAnsi" w:hAnsiTheme="minorHAnsi" w:cstheme="minorHAnsi"/>
                <w:b w:val="0"/>
                <w:color w:val="auto"/>
                <w:sz w:val="18"/>
                <w:lang w:val="sr-Cyrl-CS"/>
              </w:rPr>
              <w:t>Извршење</w:t>
            </w:r>
          </w:p>
        </w:tc>
        <w:tc>
          <w:tcPr>
            <w:tcW w:w="606" w:type="pct"/>
            <w:tcBorders>
              <w:top w:val="single" w:sz="4" w:space="0" w:color="002060"/>
              <w:bottom w:val="single" w:sz="4" w:space="0" w:color="002060"/>
            </w:tcBorders>
            <w:vAlign w:val="center"/>
          </w:tcPr>
          <w:p w14:paraId="460BB24B" w14:textId="77777777" w:rsidR="004044DC" w:rsidRPr="007E770D" w:rsidRDefault="004044DC" w:rsidP="00E4657F">
            <w:pPr>
              <w:keepNext/>
              <w:widowControl w:val="0"/>
              <w:shd w:val="clear" w:color="auto" w:fill="FFFFFF" w:themeFill="background1"/>
              <w:spacing w:line="276" w:lineRule="auto"/>
              <w:jc w:val="right"/>
              <w:rPr>
                <w:rFonts w:asciiTheme="minorHAnsi" w:eastAsia="Times New Roman" w:hAnsiTheme="minorHAnsi" w:cstheme="minorHAnsi"/>
                <w:b w:val="0"/>
                <w:color w:val="auto"/>
                <w:sz w:val="18"/>
                <w:szCs w:val="18"/>
                <w:lang w:val="sr-Cyrl-CS"/>
              </w:rPr>
            </w:pPr>
            <w:r w:rsidRPr="007E770D">
              <w:rPr>
                <w:rFonts w:asciiTheme="minorHAnsi" w:hAnsiTheme="minorHAnsi" w:cstheme="minorHAnsi"/>
                <w:b w:val="0"/>
                <w:color w:val="auto"/>
                <w:sz w:val="18"/>
                <w:lang w:val="sr-Cyrl-CS"/>
              </w:rPr>
              <w:t>Процена</w:t>
            </w:r>
          </w:p>
        </w:tc>
        <w:tc>
          <w:tcPr>
            <w:tcW w:w="1744" w:type="pct"/>
            <w:gridSpan w:val="3"/>
            <w:tcBorders>
              <w:top w:val="single" w:sz="4" w:space="0" w:color="002060"/>
              <w:bottom w:val="single" w:sz="4" w:space="0" w:color="002060"/>
            </w:tcBorders>
            <w:vAlign w:val="center"/>
          </w:tcPr>
          <w:p w14:paraId="49C3AE94" w14:textId="77777777" w:rsidR="004044DC" w:rsidRPr="007E770D" w:rsidRDefault="004044DC" w:rsidP="00E4657F">
            <w:pPr>
              <w:keepNext/>
              <w:widowControl w:val="0"/>
              <w:shd w:val="clear" w:color="auto" w:fill="FFFFFF" w:themeFill="background1"/>
              <w:spacing w:line="276" w:lineRule="auto"/>
              <w:jc w:val="center"/>
              <w:rPr>
                <w:rFonts w:asciiTheme="minorHAnsi" w:eastAsia="Times New Roman" w:hAnsiTheme="minorHAnsi" w:cstheme="minorHAnsi"/>
                <w:b w:val="0"/>
                <w:color w:val="auto"/>
                <w:sz w:val="18"/>
                <w:szCs w:val="18"/>
                <w:lang w:val="sr-Cyrl-CS"/>
              </w:rPr>
            </w:pPr>
            <w:r w:rsidRPr="007E770D">
              <w:rPr>
                <w:rFonts w:asciiTheme="minorHAnsi" w:hAnsiTheme="minorHAnsi" w:cstheme="minorHAnsi"/>
                <w:b w:val="0"/>
                <w:color w:val="auto"/>
                <w:sz w:val="18"/>
                <w:lang w:val="sr-Cyrl-CS"/>
              </w:rPr>
              <w:t>Пројекција</w:t>
            </w:r>
          </w:p>
        </w:tc>
      </w:tr>
      <w:tr w:rsidR="007E770D" w:rsidRPr="007E770D" w14:paraId="4528FAE6" w14:textId="77777777" w:rsidTr="00A02EFC">
        <w:trPr>
          <w:cnfStyle w:val="000000100000" w:firstRow="0" w:lastRow="0" w:firstColumn="0" w:lastColumn="0" w:oddVBand="0" w:evenVBand="0" w:oddHBand="1" w:evenHBand="0" w:firstRowFirstColumn="0" w:firstRowLastColumn="0" w:lastRowFirstColumn="0" w:lastRowLastColumn="0"/>
          <w:trHeight w:val="253"/>
        </w:trPr>
        <w:tc>
          <w:tcPr>
            <w:tcW w:w="2045" w:type="pct"/>
            <w:tcBorders>
              <w:top w:val="single" w:sz="4" w:space="0" w:color="002060"/>
            </w:tcBorders>
            <w:shd w:val="clear" w:color="auto" w:fill="FFFFFF" w:themeFill="background1"/>
            <w:noWrap/>
          </w:tcPr>
          <w:p w14:paraId="5D8E3A27" w14:textId="77777777" w:rsidR="004044DC" w:rsidRPr="007E770D" w:rsidRDefault="004044DC" w:rsidP="00E4657F">
            <w:pPr>
              <w:keepLines/>
              <w:widowControl w:val="0"/>
              <w:shd w:val="clear" w:color="auto" w:fill="FFFFFF" w:themeFill="background1"/>
              <w:spacing w:line="276" w:lineRule="auto"/>
              <w:rPr>
                <w:rFonts w:asciiTheme="minorHAnsi" w:eastAsia="Times New Roman" w:hAnsiTheme="minorHAnsi" w:cstheme="minorHAnsi"/>
                <w:bCs/>
                <w:color w:val="auto"/>
                <w:sz w:val="18"/>
                <w:szCs w:val="18"/>
                <w:lang w:val="sr-Cyrl-CS"/>
              </w:rPr>
            </w:pPr>
          </w:p>
        </w:tc>
        <w:tc>
          <w:tcPr>
            <w:tcW w:w="605" w:type="pct"/>
            <w:tcBorders>
              <w:top w:val="single" w:sz="4" w:space="0" w:color="002060"/>
              <w:bottom w:val="single" w:sz="4" w:space="0" w:color="002060"/>
            </w:tcBorders>
            <w:shd w:val="clear" w:color="auto" w:fill="FFFFFF" w:themeFill="background1"/>
          </w:tcPr>
          <w:p w14:paraId="3459CF19" w14:textId="77777777" w:rsidR="004044DC" w:rsidRPr="007E770D" w:rsidRDefault="004044DC" w:rsidP="00E4657F">
            <w:pPr>
              <w:keepNext/>
              <w:widowControl w:val="0"/>
              <w:shd w:val="clear" w:color="auto" w:fill="FFFFFF" w:themeFill="background1"/>
              <w:spacing w:line="276" w:lineRule="auto"/>
              <w:jc w:val="right"/>
              <w:rPr>
                <w:rFonts w:asciiTheme="minorHAnsi" w:eastAsia="Times New Roman" w:hAnsiTheme="minorHAnsi" w:cstheme="minorHAnsi"/>
                <w:bCs/>
                <w:color w:val="auto"/>
                <w:sz w:val="18"/>
                <w:szCs w:val="18"/>
                <w:lang w:val="sr-Cyrl-CS"/>
              </w:rPr>
            </w:pPr>
            <w:r w:rsidRPr="007E770D">
              <w:rPr>
                <w:rFonts w:asciiTheme="minorHAnsi" w:eastAsia="Times New Roman" w:hAnsiTheme="minorHAnsi" w:cstheme="minorHAnsi"/>
                <w:bCs/>
                <w:color w:val="auto"/>
                <w:sz w:val="18"/>
                <w:szCs w:val="18"/>
                <w:lang w:val="sr-Cyrl-CS"/>
              </w:rPr>
              <w:t>2018</w:t>
            </w:r>
          </w:p>
        </w:tc>
        <w:tc>
          <w:tcPr>
            <w:tcW w:w="606" w:type="pct"/>
            <w:tcBorders>
              <w:top w:val="single" w:sz="4" w:space="0" w:color="002060"/>
              <w:bottom w:val="single" w:sz="4" w:space="0" w:color="002060"/>
            </w:tcBorders>
            <w:shd w:val="clear" w:color="auto" w:fill="FFFFFF" w:themeFill="background1"/>
          </w:tcPr>
          <w:p w14:paraId="746ABF41" w14:textId="77777777" w:rsidR="004044DC" w:rsidRPr="007E770D" w:rsidRDefault="004044DC" w:rsidP="00E4657F">
            <w:pPr>
              <w:keepNext/>
              <w:widowControl w:val="0"/>
              <w:shd w:val="clear" w:color="auto" w:fill="FFFFFF" w:themeFill="background1"/>
              <w:spacing w:line="276" w:lineRule="auto"/>
              <w:jc w:val="right"/>
              <w:rPr>
                <w:rFonts w:asciiTheme="minorHAnsi" w:eastAsia="Times New Roman" w:hAnsiTheme="minorHAnsi" w:cstheme="minorHAnsi"/>
                <w:bCs/>
                <w:color w:val="auto"/>
                <w:sz w:val="18"/>
                <w:szCs w:val="18"/>
                <w:lang w:val="sr-Cyrl-CS"/>
              </w:rPr>
            </w:pPr>
            <w:r w:rsidRPr="007E770D">
              <w:rPr>
                <w:rFonts w:asciiTheme="minorHAnsi" w:eastAsia="Times New Roman" w:hAnsiTheme="minorHAnsi" w:cstheme="minorHAnsi"/>
                <w:bCs/>
                <w:color w:val="auto"/>
                <w:sz w:val="18"/>
                <w:szCs w:val="18"/>
                <w:lang w:val="sr-Cyrl-CS"/>
              </w:rPr>
              <w:t>2019</w:t>
            </w:r>
          </w:p>
        </w:tc>
        <w:tc>
          <w:tcPr>
            <w:tcW w:w="581" w:type="pct"/>
            <w:tcBorders>
              <w:top w:val="single" w:sz="4" w:space="0" w:color="002060"/>
              <w:bottom w:val="single" w:sz="4" w:space="0" w:color="002060"/>
            </w:tcBorders>
            <w:shd w:val="clear" w:color="auto" w:fill="FFFFFF" w:themeFill="background1"/>
          </w:tcPr>
          <w:p w14:paraId="3E382443" w14:textId="77777777" w:rsidR="004044DC" w:rsidRPr="007E770D" w:rsidRDefault="004044DC" w:rsidP="00E4657F">
            <w:pPr>
              <w:keepNext/>
              <w:widowControl w:val="0"/>
              <w:shd w:val="clear" w:color="auto" w:fill="FFFFFF" w:themeFill="background1"/>
              <w:spacing w:line="276" w:lineRule="auto"/>
              <w:jc w:val="right"/>
              <w:rPr>
                <w:rFonts w:asciiTheme="minorHAnsi" w:eastAsia="Times New Roman" w:hAnsiTheme="minorHAnsi" w:cstheme="minorHAnsi"/>
                <w:bCs/>
                <w:color w:val="auto"/>
                <w:sz w:val="18"/>
                <w:szCs w:val="18"/>
                <w:lang w:val="sr-Cyrl-CS"/>
              </w:rPr>
            </w:pPr>
            <w:r w:rsidRPr="007E770D">
              <w:rPr>
                <w:rFonts w:asciiTheme="minorHAnsi" w:eastAsia="Times New Roman" w:hAnsiTheme="minorHAnsi" w:cstheme="minorHAnsi"/>
                <w:bCs/>
                <w:color w:val="auto"/>
                <w:sz w:val="18"/>
                <w:szCs w:val="18"/>
                <w:lang w:val="sr-Cyrl-CS"/>
              </w:rPr>
              <w:t>2020</w:t>
            </w:r>
          </w:p>
        </w:tc>
        <w:tc>
          <w:tcPr>
            <w:tcW w:w="581" w:type="pct"/>
            <w:tcBorders>
              <w:top w:val="single" w:sz="4" w:space="0" w:color="002060"/>
              <w:bottom w:val="single" w:sz="4" w:space="0" w:color="002060"/>
            </w:tcBorders>
            <w:shd w:val="clear" w:color="auto" w:fill="FFFFFF" w:themeFill="background1"/>
          </w:tcPr>
          <w:p w14:paraId="0AD3FDBA" w14:textId="77777777" w:rsidR="004044DC" w:rsidRPr="007E770D" w:rsidRDefault="004044DC" w:rsidP="00E4657F">
            <w:pPr>
              <w:keepNext/>
              <w:widowControl w:val="0"/>
              <w:shd w:val="clear" w:color="auto" w:fill="FFFFFF" w:themeFill="background1"/>
              <w:spacing w:line="276" w:lineRule="auto"/>
              <w:jc w:val="right"/>
              <w:rPr>
                <w:rFonts w:asciiTheme="minorHAnsi" w:eastAsia="Times New Roman" w:hAnsiTheme="minorHAnsi" w:cstheme="minorHAnsi"/>
                <w:bCs/>
                <w:color w:val="auto"/>
                <w:sz w:val="18"/>
                <w:szCs w:val="18"/>
                <w:lang w:val="sr-Cyrl-CS"/>
              </w:rPr>
            </w:pPr>
            <w:r w:rsidRPr="007E770D">
              <w:rPr>
                <w:rFonts w:asciiTheme="minorHAnsi" w:eastAsia="Times New Roman" w:hAnsiTheme="minorHAnsi" w:cstheme="minorHAnsi"/>
                <w:bCs/>
                <w:color w:val="auto"/>
                <w:sz w:val="18"/>
                <w:szCs w:val="18"/>
                <w:lang w:val="sr-Cyrl-CS"/>
              </w:rPr>
              <w:t>2021</w:t>
            </w:r>
          </w:p>
        </w:tc>
        <w:tc>
          <w:tcPr>
            <w:tcW w:w="582" w:type="pct"/>
            <w:tcBorders>
              <w:top w:val="single" w:sz="4" w:space="0" w:color="002060"/>
              <w:bottom w:val="single" w:sz="4" w:space="0" w:color="002060"/>
            </w:tcBorders>
            <w:shd w:val="clear" w:color="auto" w:fill="FFFFFF" w:themeFill="background1"/>
          </w:tcPr>
          <w:p w14:paraId="01B984D1" w14:textId="77777777" w:rsidR="004044DC" w:rsidRPr="007E770D" w:rsidRDefault="004044DC" w:rsidP="00E4657F">
            <w:pPr>
              <w:keepNext/>
              <w:widowControl w:val="0"/>
              <w:shd w:val="clear" w:color="auto" w:fill="FFFFFF" w:themeFill="background1"/>
              <w:spacing w:line="276" w:lineRule="auto"/>
              <w:jc w:val="right"/>
              <w:rPr>
                <w:rFonts w:asciiTheme="minorHAnsi" w:eastAsia="Times New Roman" w:hAnsiTheme="minorHAnsi" w:cstheme="minorHAnsi"/>
                <w:bCs/>
                <w:color w:val="auto"/>
                <w:sz w:val="18"/>
                <w:szCs w:val="18"/>
                <w:lang w:val="sr-Cyrl-CS"/>
              </w:rPr>
            </w:pPr>
            <w:r w:rsidRPr="007E770D">
              <w:rPr>
                <w:rFonts w:asciiTheme="minorHAnsi" w:eastAsia="Times New Roman" w:hAnsiTheme="minorHAnsi" w:cstheme="minorHAnsi"/>
                <w:bCs/>
                <w:color w:val="auto"/>
                <w:sz w:val="18"/>
                <w:szCs w:val="18"/>
                <w:lang w:val="sr-Cyrl-CS"/>
              </w:rPr>
              <w:t>2022</w:t>
            </w:r>
          </w:p>
        </w:tc>
      </w:tr>
      <w:tr w:rsidR="007E770D" w:rsidRPr="007E770D" w14:paraId="0D9F2A99" w14:textId="77777777" w:rsidTr="00A02EFC">
        <w:trPr>
          <w:trHeight w:val="253"/>
        </w:trPr>
        <w:tc>
          <w:tcPr>
            <w:tcW w:w="2045" w:type="pct"/>
            <w:shd w:val="clear" w:color="auto" w:fill="FFFFFF" w:themeFill="background1"/>
          </w:tcPr>
          <w:p w14:paraId="502E3381" w14:textId="77777777" w:rsidR="004044DC" w:rsidRPr="007E770D" w:rsidRDefault="004044DC" w:rsidP="00E4657F">
            <w:pPr>
              <w:keepLines/>
              <w:widowControl w:val="0"/>
              <w:shd w:val="clear" w:color="auto" w:fill="FFFFFF" w:themeFill="background1"/>
              <w:spacing w:line="276" w:lineRule="auto"/>
              <w:rPr>
                <w:rFonts w:asciiTheme="minorHAnsi" w:eastAsia="Times New Roman" w:hAnsiTheme="minorHAnsi" w:cstheme="minorHAnsi"/>
                <w:bCs/>
                <w:color w:val="auto"/>
                <w:sz w:val="18"/>
                <w:szCs w:val="18"/>
                <w:lang w:val="sr-Cyrl-CS"/>
              </w:rPr>
            </w:pPr>
            <w:r w:rsidRPr="007E770D">
              <w:rPr>
                <w:rFonts w:asciiTheme="minorHAnsi" w:eastAsia="Times New Roman" w:hAnsiTheme="minorHAnsi" w:cstheme="minorHAnsi"/>
                <w:bCs/>
                <w:color w:val="auto"/>
                <w:sz w:val="18"/>
                <w:szCs w:val="18"/>
                <w:lang w:val="sr-Cyrl-CS"/>
              </w:rPr>
              <w:t>ЈАВНИ ПРИХОДИ</w:t>
            </w:r>
          </w:p>
        </w:tc>
        <w:tc>
          <w:tcPr>
            <w:tcW w:w="605" w:type="pct"/>
            <w:tcBorders>
              <w:top w:val="single" w:sz="4" w:space="0" w:color="002060"/>
            </w:tcBorders>
            <w:shd w:val="clear" w:color="auto" w:fill="FFFFFF" w:themeFill="background1"/>
          </w:tcPr>
          <w:p w14:paraId="177AC690"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41,5</w:t>
            </w:r>
          </w:p>
        </w:tc>
        <w:tc>
          <w:tcPr>
            <w:tcW w:w="606" w:type="pct"/>
            <w:tcBorders>
              <w:top w:val="single" w:sz="4" w:space="0" w:color="002060"/>
            </w:tcBorders>
            <w:shd w:val="clear" w:color="auto" w:fill="FFFFFF" w:themeFill="background1"/>
            <w:noWrap/>
          </w:tcPr>
          <w:p w14:paraId="5C204EF6"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41,4</w:t>
            </w:r>
          </w:p>
        </w:tc>
        <w:tc>
          <w:tcPr>
            <w:tcW w:w="581" w:type="pct"/>
            <w:tcBorders>
              <w:top w:val="single" w:sz="4" w:space="0" w:color="002060"/>
            </w:tcBorders>
            <w:shd w:val="clear" w:color="auto" w:fill="FFFFFF" w:themeFill="background1"/>
            <w:noWrap/>
          </w:tcPr>
          <w:p w14:paraId="5E822C9A" w14:textId="561A24D6" w:rsidR="004044DC" w:rsidRPr="007E770D" w:rsidRDefault="00227CB2"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40,2</w:t>
            </w:r>
          </w:p>
        </w:tc>
        <w:tc>
          <w:tcPr>
            <w:tcW w:w="581" w:type="pct"/>
            <w:tcBorders>
              <w:top w:val="single" w:sz="4" w:space="0" w:color="002060"/>
            </w:tcBorders>
            <w:shd w:val="clear" w:color="auto" w:fill="FFFFFF" w:themeFill="background1"/>
            <w:noWrap/>
          </w:tcPr>
          <w:p w14:paraId="42F5E5BD"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39,4</w:t>
            </w:r>
          </w:p>
        </w:tc>
        <w:tc>
          <w:tcPr>
            <w:tcW w:w="582" w:type="pct"/>
            <w:tcBorders>
              <w:top w:val="single" w:sz="4" w:space="0" w:color="002060"/>
            </w:tcBorders>
            <w:shd w:val="clear" w:color="auto" w:fill="FFFFFF" w:themeFill="background1"/>
            <w:noWrap/>
          </w:tcPr>
          <w:p w14:paraId="6E7B5CAC"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38,7</w:t>
            </w:r>
          </w:p>
        </w:tc>
      </w:tr>
      <w:tr w:rsidR="007E770D" w:rsidRPr="007E770D" w14:paraId="711B724D" w14:textId="77777777" w:rsidTr="00A02EFC">
        <w:trPr>
          <w:cnfStyle w:val="000000100000" w:firstRow="0" w:lastRow="0" w:firstColumn="0" w:lastColumn="0" w:oddVBand="0" w:evenVBand="0" w:oddHBand="1" w:evenHBand="0" w:firstRowFirstColumn="0" w:firstRowLastColumn="0" w:lastRowFirstColumn="0" w:lastRowLastColumn="0"/>
          <w:trHeight w:val="253"/>
        </w:trPr>
        <w:tc>
          <w:tcPr>
            <w:tcW w:w="2045" w:type="pct"/>
            <w:shd w:val="clear" w:color="auto" w:fill="FFFFFF" w:themeFill="background1"/>
          </w:tcPr>
          <w:p w14:paraId="2E31E9A7" w14:textId="77777777" w:rsidR="004044DC" w:rsidRPr="007E770D" w:rsidRDefault="004044DC" w:rsidP="00E4657F">
            <w:pPr>
              <w:keepLines/>
              <w:widowControl w:val="0"/>
              <w:shd w:val="clear" w:color="auto" w:fill="FFFFFF" w:themeFill="background1"/>
              <w:spacing w:line="276" w:lineRule="auto"/>
              <w:rPr>
                <w:rFonts w:asciiTheme="minorHAnsi" w:eastAsia="Times New Roman" w:hAnsiTheme="minorHAnsi" w:cstheme="minorHAnsi"/>
                <w:bCs/>
                <w:color w:val="auto"/>
                <w:sz w:val="18"/>
                <w:szCs w:val="18"/>
                <w:lang w:val="sr-Cyrl-CS"/>
              </w:rPr>
            </w:pPr>
            <w:r w:rsidRPr="007E770D">
              <w:rPr>
                <w:rFonts w:asciiTheme="minorHAnsi" w:eastAsia="Times New Roman" w:hAnsiTheme="minorHAnsi" w:cstheme="minorHAnsi"/>
                <w:bCs/>
                <w:color w:val="auto"/>
                <w:sz w:val="18"/>
                <w:szCs w:val="18"/>
                <w:lang w:val="sr-Cyrl-CS"/>
              </w:rPr>
              <w:t>Текући приходи</w:t>
            </w:r>
          </w:p>
        </w:tc>
        <w:tc>
          <w:tcPr>
            <w:tcW w:w="605" w:type="pct"/>
            <w:shd w:val="clear" w:color="auto" w:fill="FFFFFF" w:themeFill="background1"/>
          </w:tcPr>
          <w:p w14:paraId="4BDD7CBD"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41,2</w:t>
            </w:r>
          </w:p>
        </w:tc>
        <w:tc>
          <w:tcPr>
            <w:tcW w:w="606" w:type="pct"/>
            <w:shd w:val="clear" w:color="auto" w:fill="FFFFFF" w:themeFill="background1"/>
            <w:noWrap/>
          </w:tcPr>
          <w:p w14:paraId="0B074D08"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41,1</w:t>
            </w:r>
          </w:p>
        </w:tc>
        <w:tc>
          <w:tcPr>
            <w:tcW w:w="581" w:type="pct"/>
            <w:shd w:val="clear" w:color="auto" w:fill="FFFFFF" w:themeFill="background1"/>
            <w:noWrap/>
          </w:tcPr>
          <w:p w14:paraId="3222F4BD" w14:textId="54358597" w:rsidR="004044DC" w:rsidRPr="007E770D" w:rsidRDefault="00227CB2"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39,9</w:t>
            </w:r>
          </w:p>
        </w:tc>
        <w:tc>
          <w:tcPr>
            <w:tcW w:w="581" w:type="pct"/>
            <w:shd w:val="clear" w:color="auto" w:fill="FFFFFF" w:themeFill="background1"/>
            <w:noWrap/>
          </w:tcPr>
          <w:p w14:paraId="0213BF6B"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39,1</w:t>
            </w:r>
          </w:p>
        </w:tc>
        <w:tc>
          <w:tcPr>
            <w:tcW w:w="582" w:type="pct"/>
            <w:shd w:val="clear" w:color="auto" w:fill="FFFFFF" w:themeFill="background1"/>
            <w:noWrap/>
          </w:tcPr>
          <w:p w14:paraId="4AA32DA8"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38,5</w:t>
            </w:r>
          </w:p>
        </w:tc>
      </w:tr>
      <w:tr w:rsidR="007E770D" w:rsidRPr="007E770D" w14:paraId="3D9DB92F" w14:textId="77777777" w:rsidTr="00A02EFC">
        <w:trPr>
          <w:trHeight w:val="253"/>
        </w:trPr>
        <w:tc>
          <w:tcPr>
            <w:tcW w:w="2045" w:type="pct"/>
            <w:shd w:val="clear" w:color="auto" w:fill="FFFFFF" w:themeFill="background1"/>
          </w:tcPr>
          <w:p w14:paraId="44FCF6DF" w14:textId="77777777" w:rsidR="004044DC" w:rsidRPr="007E770D" w:rsidRDefault="004044DC" w:rsidP="00E4657F">
            <w:pPr>
              <w:keepLines/>
              <w:widowControl w:val="0"/>
              <w:shd w:val="clear" w:color="auto" w:fill="FFFFFF" w:themeFill="background1"/>
              <w:spacing w:line="276" w:lineRule="auto"/>
              <w:rPr>
                <w:rFonts w:asciiTheme="minorHAnsi" w:eastAsia="Times New Roman" w:hAnsiTheme="minorHAnsi" w:cstheme="minorHAnsi"/>
                <w:bCs/>
                <w:color w:val="auto"/>
                <w:sz w:val="18"/>
                <w:szCs w:val="18"/>
                <w:lang w:val="sr-Cyrl-CS"/>
              </w:rPr>
            </w:pPr>
            <w:r w:rsidRPr="007E770D">
              <w:rPr>
                <w:rFonts w:asciiTheme="minorHAnsi" w:eastAsia="Times New Roman" w:hAnsiTheme="minorHAnsi" w:cstheme="minorHAnsi"/>
                <w:bCs/>
                <w:color w:val="auto"/>
                <w:sz w:val="18"/>
                <w:szCs w:val="18"/>
                <w:lang w:val="sr-Cyrl-CS"/>
              </w:rPr>
              <w:t xml:space="preserve"> Порески приходи</w:t>
            </w:r>
          </w:p>
        </w:tc>
        <w:tc>
          <w:tcPr>
            <w:tcW w:w="605" w:type="pct"/>
            <w:shd w:val="clear" w:color="auto" w:fill="FFFFFF" w:themeFill="background1"/>
          </w:tcPr>
          <w:p w14:paraId="3797AF71"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36,0</w:t>
            </w:r>
          </w:p>
        </w:tc>
        <w:tc>
          <w:tcPr>
            <w:tcW w:w="606" w:type="pct"/>
            <w:shd w:val="clear" w:color="auto" w:fill="FFFFFF" w:themeFill="background1"/>
            <w:noWrap/>
          </w:tcPr>
          <w:p w14:paraId="51324124"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36,5</w:t>
            </w:r>
          </w:p>
        </w:tc>
        <w:tc>
          <w:tcPr>
            <w:tcW w:w="581" w:type="pct"/>
            <w:shd w:val="clear" w:color="auto" w:fill="FFFFFF" w:themeFill="background1"/>
            <w:noWrap/>
          </w:tcPr>
          <w:p w14:paraId="0FF9D9AC"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35,8</w:t>
            </w:r>
          </w:p>
        </w:tc>
        <w:tc>
          <w:tcPr>
            <w:tcW w:w="581" w:type="pct"/>
            <w:shd w:val="clear" w:color="auto" w:fill="FFFFFF" w:themeFill="background1"/>
            <w:noWrap/>
          </w:tcPr>
          <w:p w14:paraId="7F205BEB"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35,4</w:t>
            </w:r>
          </w:p>
        </w:tc>
        <w:tc>
          <w:tcPr>
            <w:tcW w:w="582" w:type="pct"/>
            <w:shd w:val="clear" w:color="auto" w:fill="FFFFFF" w:themeFill="background1"/>
            <w:noWrap/>
          </w:tcPr>
          <w:p w14:paraId="17734EAB"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34,9</w:t>
            </w:r>
          </w:p>
        </w:tc>
      </w:tr>
      <w:tr w:rsidR="007E770D" w:rsidRPr="007E770D" w14:paraId="5971CDF6" w14:textId="77777777" w:rsidTr="00A02EFC">
        <w:trPr>
          <w:cnfStyle w:val="000000100000" w:firstRow="0" w:lastRow="0" w:firstColumn="0" w:lastColumn="0" w:oddVBand="0" w:evenVBand="0" w:oddHBand="1" w:evenHBand="0" w:firstRowFirstColumn="0" w:firstRowLastColumn="0" w:lastRowFirstColumn="0" w:lastRowLastColumn="0"/>
          <w:trHeight w:val="253"/>
        </w:trPr>
        <w:tc>
          <w:tcPr>
            <w:tcW w:w="2045" w:type="pct"/>
            <w:shd w:val="clear" w:color="auto" w:fill="FFFFFF" w:themeFill="background1"/>
          </w:tcPr>
          <w:p w14:paraId="66D6095A" w14:textId="77777777" w:rsidR="004044DC" w:rsidRPr="007E770D" w:rsidRDefault="004044DC" w:rsidP="00E4657F">
            <w:pPr>
              <w:keepLines/>
              <w:widowControl w:val="0"/>
              <w:shd w:val="clear" w:color="auto" w:fill="FFFFFF" w:themeFill="background1"/>
              <w:spacing w:line="276" w:lineRule="auto"/>
              <w:ind w:left="284"/>
              <w:rPr>
                <w:rFonts w:asciiTheme="minorHAnsi" w:eastAsia="Times New Roman" w:hAnsiTheme="minorHAnsi" w:cstheme="minorHAnsi"/>
                <w:bCs/>
                <w:color w:val="auto"/>
                <w:sz w:val="18"/>
                <w:szCs w:val="18"/>
                <w:lang w:val="sr-Cyrl-CS"/>
              </w:rPr>
            </w:pPr>
            <w:r w:rsidRPr="007E770D">
              <w:rPr>
                <w:rFonts w:asciiTheme="minorHAnsi" w:eastAsia="Times New Roman" w:hAnsiTheme="minorHAnsi" w:cstheme="minorHAnsi"/>
                <w:bCs/>
                <w:color w:val="auto"/>
                <w:sz w:val="18"/>
                <w:szCs w:val="18"/>
                <w:lang w:val="sr-Cyrl-CS"/>
              </w:rPr>
              <w:t>Порез на доходак грађана</w:t>
            </w:r>
          </w:p>
        </w:tc>
        <w:tc>
          <w:tcPr>
            <w:tcW w:w="605" w:type="pct"/>
            <w:shd w:val="clear" w:color="auto" w:fill="FFFFFF" w:themeFill="background1"/>
          </w:tcPr>
          <w:p w14:paraId="3C31B443"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3,5</w:t>
            </w:r>
          </w:p>
        </w:tc>
        <w:tc>
          <w:tcPr>
            <w:tcW w:w="606" w:type="pct"/>
            <w:shd w:val="clear" w:color="auto" w:fill="FFFFFF" w:themeFill="background1"/>
            <w:noWrap/>
          </w:tcPr>
          <w:p w14:paraId="59DD3DC3"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3,7</w:t>
            </w:r>
          </w:p>
        </w:tc>
        <w:tc>
          <w:tcPr>
            <w:tcW w:w="581" w:type="pct"/>
            <w:shd w:val="clear" w:color="auto" w:fill="FFFFFF" w:themeFill="background1"/>
            <w:noWrap/>
          </w:tcPr>
          <w:p w14:paraId="1797505D"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3,7</w:t>
            </w:r>
          </w:p>
        </w:tc>
        <w:tc>
          <w:tcPr>
            <w:tcW w:w="581" w:type="pct"/>
            <w:shd w:val="clear" w:color="auto" w:fill="FFFFFF" w:themeFill="background1"/>
            <w:noWrap/>
          </w:tcPr>
          <w:p w14:paraId="22F2B031"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3,7</w:t>
            </w:r>
          </w:p>
        </w:tc>
        <w:tc>
          <w:tcPr>
            <w:tcW w:w="582" w:type="pct"/>
            <w:shd w:val="clear" w:color="auto" w:fill="FFFFFF" w:themeFill="background1"/>
            <w:noWrap/>
          </w:tcPr>
          <w:p w14:paraId="535E0850"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3,7</w:t>
            </w:r>
          </w:p>
        </w:tc>
      </w:tr>
      <w:tr w:rsidR="007E770D" w:rsidRPr="007E770D" w14:paraId="393E93A3" w14:textId="77777777" w:rsidTr="00A02EFC">
        <w:trPr>
          <w:trHeight w:val="253"/>
        </w:trPr>
        <w:tc>
          <w:tcPr>
            <w:tcW w:w="2045" w:type="pct"/>
            <w:shd w:val="clear" w:color="auto" w:fill="FFFFFF" w:themeFill="background1"/>
          </w:tcPr>
          <w:p w14:paraId="7DF73B98" w14:textId="77777777" w:rsidR="004044DC" w:rsidRPr="007E770D" w:rsidRDefault="004044DC" w:rsidP="00E4657F">
            <w:pPr>
              <w:keepLines/>
              <w:widowControl w:val="0"/>
              <w:shd w:val="clear" w:color="auto" w:fill="FFFFFF" w:themeFill="background1"/>
              <w:spacing w:line="276" w:lineRule="auto"/>
              <w:ind w:left="284"/>
              <w:rPr>
                <w:rFonts w:asciiTheme="minorHAnsi" w:eastAsia="Times New Roman" w:hAnsiTheme="minorHAnsi" w:cstheme="minorHAnsi"/>
                <w:bCs/>
                <w:color w:val="auto"/>
                <w:sz w:val="18"/>
                <w:szCs w:val="18"/>
                <w:lang w:val="sr-Cyrl-CS"/>
              </w:rPr>
            </w:pPr>
            <w:r w:rsidRPr="007E770D">
              <w:rPr>
                <w:rFonts w:asciiTheme="minorHAnsi" w:eastAsia="Times New Roman" w:hAnsiTheme="minorHAnsi" w:cstheme="minorHAnsi"/>
                <w:bCs/>
                <w:color w:val="auto"/>
                <w:sz w:val="18"/>
                <w:szCs w:val="18"/>
                <w:lang w:val="sr-Cyrl-CS"/>
              </w:rPr>
              <w:t>Порез на добит правних лица</w:t>
            </w:r>
          </w:p>
        </w:tc>
        <w:tc>
          <w:tcPr>
            <w:tcW w:w="605" w:type="pct"/>
            <w:shd w:val="clear" w:color="auto" w:fill="FFFFFF" w:themeFill="background1"/>
          </w:tcPr>
          <w:p w14:paraId="10B61F45"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2,2</w:t>
            </w:r>
          </w:p>
        </w:tc>
        <w:tc>
          <w:tcPr>
            <w:tcW w:w="606" w:type="pct"/>
            <w:shd w:val="clear" w:color="auto" w:fill="FFFFFF" w:themeFill="background1"/>
            <w:noWrap/>
          </w:tcPr>
          <w:p w14:paraId="35DA6705"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2,3</w:t>
            </w:r>
          </w:p>
        </w:tc>
        <w:tc>
          <w:tcPr>
            <w:tcW w:w="581" w:type="pct"/>
            <w:shd w:val="clear" w:color="auto" w:fill="FFFFFF" w:themeFill="background1"/>
            <w:noWrap/>
          </w:tcPr>
          <w:p w14:paraId="16AEF333"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2,0</w:t>
            </w:r>
          </w:p>
        </w:tc>
        <w:tc>
          <w:tcPr>
            <w:tcW w:w="581" w:type="pct"/>
            <w:shd w:val="clear" w:color="auto" w:fill="FFFFFF" w:themeFill="background1"/>
            <w:noWrap/>
          </w:tcPr>
          <w:p w14:paraId="50B4B0D6"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1,9</w:t>
            </w:r>
          </w:p>
        </w:tc>
        <w:tc>
          <w:tcPr>
            <w:tcW w:w="582" w:type="pct"/>
            <w:shd w:val="clear" w:color="auto" w:fill="FFFFFF" w:themeFill="background1"/>
            <w:noWrap/>
          </w:tcPr>
          <w:p w14:paraId="3EF0DC42"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1,8</w:t>
            </w:r>
          </w:p>
        </w:tc>
      </w:tr>
      <w:tr w:rsidR="007E770D" w:rsidRPr="007E770D" w14:paraId="79DBA94F" w14:textId="77777777" w:rsidTr="00A02EFC">
        <w:trPr>
          <w:cnfStyle w:val="000000100000" w:firstRow="0" w:lastRow="0" w:firstColumn="0" w:lastColumn="0" w:oddVBand="0" w:evenVBand="0" w:oddHBand="1" w:evenHBand="0" w:firstRowFirstColumn="0" w:firstRowLastColumn="0" w:lastRowFirstColumn="0" w:lastRowLastColumn="0"/>
          <w:trHeight w:val="253"/>
        </w:trPr>
        <w:tc>
          <w:tcPr>
            <w:tcW w:w="2045" w:type="pct"/>
            <w:shd w:val="clear" w:color="auto" w:fill="FFFFFF" w:themeFill="background1"/>
          </w:tcPr>
          <w:p w14:paraId="30B2AEE1" w14:textId="77777777" w:rsidR="004044DC" w:rsidRPr="007E770D" w:rsidRDefault="004044DC" w:rsidP="00E4657F">
            <w:pPr>
              <w:keepLines/>
              <w:widowControl w:val="0"/>
              <w:shd w:val="clear" w:color="auto" w:fill="FFFFFF" w:themeFill="background1"/>
              <w:spacing w:line="276" w:lineRule="auto"/>
              <w:ind w:left="284"/>
              <w:rPr>
                <w:rFonts w:asciiTheme="minorHAnsi" w:eastAsia="Times New Roman" w:hAnsiTheme="minorHAnsi" w:cstheme="minorHAnsi"/>
                <w:bCs/>
                <w:color w:val="auto"/>
                <w:sz w:val="18"/>
                <w:szCs w:val="18"/>
                <w:lang w:val="sr-Cyrl-CS"/>
              </w:rPr>
            </w:pPr>
            <w:r w:rsidRPr="007E770D">
              <w:rPr>
                <w:rFonts w:asciiTheme="minorHAnsi" w:eastAsia="Times New Roman" w:hAnsiTheme="minorHAnsi" w:cstheme="minorHAnsi"/>
                <w:bCs/>
                <w:color w:val="auto"/>
                <w:sz w:val="18"/>
                <w:szCs w:val="18"/>
                <w:lang w:val="sr-Cyrl-CS"/>
              </w:rPr>
              <w:t>Порез на додату вредност</w:t>
            </w:r>
          </w:p>
        </w:tc>
        <w:tc>
          <w:tcPr>
            <w:tcW w:w="605" w:type="pct"/>
            <w:shd w:val="clear" w:color="auto" w:fill="FFFFFF" w:themeFill="background1"/>
          </w:tcPr>
          <w:p w14:paraId="51EBBF56"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9,9</w:t>
            </w:r>
          </w:p>
        </w:tc>
        <w:tc>
          <w:tcPr>
            <w:tcW w:w="606" w:type="pct"/>
            <w:shd w:val="clear" w:color="auto" w:fill="FFFFFF" w:themeFill="background1"/>
            <w:noWrap/>
          </w:tcPr>
          <w:p w14:paraId="5C1818A9"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10,0</w:t>
            </w:r>
          </w:p>
        </w:tc>
        <w:tc>
          <w:tcPr>
            <w:tcW w:w="581" w:type="pct"/>
            <w:shd w:val="clear" w:color="auto" w:fill="FFFFFF" w:themeFill="background1"/>
            <w:noWrap/>
          </w:tcPr>
          <w:p w14:paraId="2377041B"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10,0</w:t>
            </w:r>
          </w:p>
        </w:tc>
        <w:tc>
          <w:tcPr>
            <w:tcW w:w="581" w:type="pct"/>
            <w:shd w:val="clear" w:color="auto" w:fill="FFFFFF" w:themeFill="background1"/>
            <w:noWrap/>
          </w:tcPr>
          <w:p w14:paraId="27E54B30"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9,9</w:t>
            </w:r>
          </w:p>
        </w:tc>
        <w:tc>
          <w:tcPr>
            <w:tcW w:w="582" w:type="pct"/>
            <w:shd w:val="clear" w:color="auto" w:fill="FFFFFF" w:themeFill="background1"/>
            <w:noWrap/>
          </w:tcPr>
          <w:p w14:paraId="22823FF0"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9,7</w:t>
            </w:r>
          </w:p>
        </w:tc>
      </w:tr>
      <w:tr w:rsidR="007E770D" w:rsidRPr="007E770D" w14:paraId="29499D41" w14:textId="77777777" w:rsidTr="00A02EFC">
        <w:trPr>
          <w:trHeight w:val="253"/>
        </w:trPr>
        <w:tc>
          <w:tcPr>
            <w:tcW w:w="2045" w:type="pct"/>
            <w:shd w:val="clear" w:color="auto" w:fill="FFFFFF" w:themeFill="background1"/>
          </w:tcPr>
          <w:p w14:paraId="7AFB34B5" w14:textId="77777777" w:rsidR="004044DC" w:rsidRPr="007E770D" w:rsidRDefault="004044DC" w:rsidP="00E4657F">
            <w:pPr>
              <w:keepLines/>
              <w:widowControl w:val="0"/>
              <w:shd w:val="clear" w:color="auto" w:fill="FFFFFF" w:themeFill="background1"/>
              <w:spacing w:line="276" w:lineRule="auto"/>
              <w:ind w:left="284"/>
              <w:rPr>
                <w:rFonts w:asciiTheme="minorHAnsi" w:eastAsia="Times New Roman" w:hAnsiTheme="minorHAnsi" w:cstheme="minorHAnsi"/>
                <w:bCs/>
                <w:color w:val="auto"/>
                <w:sz w:val="18"/>
                <w:szCs w:val="18"/>
                <w:lang w:val="sr-Cyrl-CS"/>
              </w:rPr>
            </w:pPr>
            <w:r w:rsidRPr="007E770D">
              <w:rPr>
                <w:rFonts w:asciiTheme="minorHAnsi" w:eastAsia="Times New Roman" w:hAnsiTheme="minorHAnsi" w:cstheme="minorHAnsi"/>
                <w:bCs/>
                <w:color w:val="auto"/>
                <w:sz w:val="18"/>
                <w:szCs w:val="18"/>
                <w:lang w:val="sr-Cyrl-CS"/>
              </w:rPr>
              <w:t>Акцизе</w:t>
            </w:r>
          </w:p>
        </w:tc>
        <w:tc>
          <w:tcPr>
            <w:tcW w:w="605" w:type="pct"/>
            <w:shd w:val="clear" w:color="auto" w:fill="FFFFFF" w:themeFill="background1"/>
          </w:tcPr>
          <w:p w14:paraId="1221EB15"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5,7</w:t>
            </w:r>
          </w:p>
        </w:tc>
        <w:tc>
          <w:tcPr>
            <w:tcW w:w="606" w:type="pct"/>
            <w:shd w:val="clear" w:color="auto" w:fill="FFFFFF" w:themeFill="background1"/>
            <w:noWrap/>
          </w:tcPr>
          <w:p w14:paraId="3A444AB0"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5,6</w:t>
            </w:r>
          </w:p>
        </w:tc>
        <w:tc>
          <w:tcPr>
            <w:tcW w:w="581" w:type="pct"/>
            <w:shd w:val="clear" w:color="auto" w:fill="FFFFFF" w:themeFill="background1"/>
            <w:noWrap/>
          </w:tcPr>
          <w:p w14:paraId="68F21568"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5,3</w:t>
            </w:r>
          </w:p>
        </w:tc>
        <w:tc>
          <w:tcPr>
            <w:tcW w:w="581" w:type="pct"/>
            <w:shd w:val="clear" w:color="auto" w:fill="FFFFFF" w:themeFill="background1"/>
            <w:noWrap/>
          </w:tcPr>
          <w:p w14:paraId="2A2C1DF6"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5,1</w:t>
            </w:r>
          </w:p>
        </w:tc>
        <w:tc>
          <w:tcPr>
            <w:tcW w:w="582" w:type="pct"/>
            <w:shd w:val="clear" w:color="auto" w:fill="FFFFFF" w:themeFill="background1"/>
            <w:noWrap/>
          </w:tcPr>
          <w:p w14:paraId="79861E69"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4,9</w:t>
            </w:r>
          </w:p>
        </w:tc>
      </w:tr>
      <w:tr w:rsidR="007E770D" w:rsidRPr="007E770D" w14:paraId="6E7EC716" w14:textId="77777777" w:rsidTr="00A02EFC">
        <w:trPr>
          <w:cnfStyle w:val="000000100000" w:firstRow="0" w:lastRow="0" w:firstColumn="0" w:lastColumn="0" w:oddVBand="0" w:evenVBand="0" w:oddHBand="1" w:evenHBand="0" w:firstRowFirstColumn="0" w:firstRowLastColumn="0" w:lastRowFirstColumn="0" w:lastRowLastColumn="0"/>
          <w:trHeight w:val="253"/>
        </w:trPr>
        <w:tc>
          <w:tcPr>
            <w:tcW w:w="2045" w:type="pct"/>
            <w:shd w:val="clear" w:color="auto" w:fill="FFFFFF" w:themeFill="background1"/>
          </w:tcPr>
          <w:p w14:paraId="08228AE0" w14:textId="77777777" w:rsidR="004044DC" w:rsidRPr="007E770D" w:rsidRDefault="004044DC" w:rsidP="00E4657F">
            <w:pPr>
              <w:keepLines/>
              <w:widowControl w:val="0"/>
              <w:shd w:val="clear" w:color="auto" w:fill="FFFFFF" w:themeFill="background1"/>
              <w:spacing w:line="276" w:lineRule="auto"/>
              <w:ind w:left="284"/>
              <w:rPr>
                <w:rFonts w:asciiTheme="minorHAnsi" w:eastAsia="Times New Roman" w:hAnsiTheme="minorHAnsi" w:cstheme="minorHAnsi"/>
                <w:bCs/>
                <w:color w:val="auto"/>
                <w:sz w:val="18"/>
                <w:szCs w:val="18"/>
                <w:lang w:val="sr-Cyrl-CS"/>
              </w:rPr>
            </w:pPr>
            <w:r w:rsidRPr="007E770D">
              <w:rPr>
                <w:rFonts w:asciiTheme="minorHAnsi" w:eastAsia="Times New Roman" w:hAnsiTheme="minorHAnsi" w:cstheme="minorHAnsi"/>
                <w:bCs/>
                <w:color w:val="auto"/>
                <w:sz w:val="18"/>
                <w:szCs w:val="18"/>
                <w:lang w:val="sr-Cyrl-CS"/>
              </w:rPr>
              <w:t>Царине</w:t>
            </w:r>
          </w:p>
        </w:tc>
        <w:tc>
          <w:tcPr>
            <w:tcW w:w="605" w:type="pct"/>
            <w:shd w:val="clear" w:color="auto" w:fill="FFFFFF" w:themeFill="background1"/>
          </w:tcPr>
          <w:p w14:paraId="3036790F"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0,9</w:t>
            </w:r>
          </w:p>
        </w:tc>
        <w:tc>
          <w:tcPr>
            <w:tcW w:w="606" w:type="pct"/>
            <w:shd w:val="clear" w:color="auto" w:fill="FFFFFF" w:themeFill="background1"/>
            <w:noWrap/>
          </w:tcPr>
          <w:p w14:paraId="34CF0B71"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0,9</w:t>
            </w:r>
          </w:p>
        </w:tc>
        <w:tc>
          <w:tcPr>
            <w:tcW w:w="581" w:type="pct"/>
            <w:shd w:val="clear" w:color="auto" w:fill="FFFFFF" w:themeFill="background1"/>
            <w:noWrap/>
          </w:tcPr>
          <w:p w14:paraId="05F6C379"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0,9</w:t>
            </w:r>
          </w:p>
        </w:tc>
        <w:tc>
          <w:tcPr>
            <w:tcW w:w="581" w:type="pct"/>
            <w:shd w:val="clear" w:color="auto" w:fill="FFFFFF" w:themeFill="background1"/>
            <w:noWrap/>
          </w:tcPr>
          <w:p w14:paraId="66B5AF21"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0,9</w:t>
            </w:r>
          </w:p>
        </w:tc>
        <w:tc>
          <w:tcPr>
            <w:tcW w:w="582" w:type="pct"/>
            <w:shd w:val="clear" w:color="auto" w:fill="FFFFFF" w:themeFill="background1"/>
            <w:noWrap/>
          </w:tcPr>
          <w:p w14:paraId="630C6B57"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0,9</w:t>
            </w:r>
          </w:p>
        </w:tc>
      </w:tr>
      <w:tr w:rsidR="007E770D" w:rsidRPr="007E770D" w14:paraId="1F6999E2" w14:textId="77777777" w:rsidTr="00A02EFC">
        <w:trPr>
          <w:trHeight w:val="253"/>
        </w:trPr>
        <w:tc>
          <w:tcPr>
            <w:tcW w:w="2045" w:type="pct"/>
            <w:shd w:val="clear" w:color="auto" w:fill="FFFFFF" w:themeFill="background1"/>
          </w:tcPr>
          <w:p w14:paraId="10A89912" w14:textId="77777777" w:rsidR="004044DC" w:rsidRPr="007E770D" w:rsidRDefault="004044DC" w:rsidP="00E4657F">
            <w:pPr>
              <w:keepLines/>
              <w:widowControl w:val="0"/>
              <w:shd w:val="clear" w:color="auto" w:fill="FFFFFF" w:themeFill="background1"/>
              <w:spacing w:line="276" w:lineRule="auto"/>
              <w:ind w:left="284"/>
              <w:rPr>
                <w:rFonts w:asciiTheme="minorHAnsi" w:eastAsia="Times New Roman" w:hAnsiTheme="minorHAnsi" w:cstheme="minorHAnsi"/>
                <w:bCs/>
                <w:color w:val="auto"/>
                <w:sz w:val="18"/>
                <w:szCs w:val="18"/>
                <w:lang w:val="sr-Cyrl-CS"/>
              </w:rPr>
            </w:pPr>
            <w:r w:rsidRPr="007E770D">
              <w:rPr>
                <w:rFonts w:asciiTheme="minorHAnsi" w:eastAsia="Times New Roman" w:hAnsiTheme="minorHAnsi" w:cstheme="minorHAnsi"/>
                <w:bCs/>
                <w:color w:val="auto"/>
                <w:sz w:val="18"/>
                <w:szCs w:val="18"/>
                <w:lang w:val="sr-Cyrl-CS"/>
              </w:rPr>
              <w:t>Остали порески приходи</w:t>
            </w:r>
          </w:p>
        </w:tc>
        <w:tc>
          <w:tcPr>
            <w:tcW w:w="605" w:type="pct"/>
            <w:shd w:val="clear" w:color="auto" w:fill="FFFFFF" w:themeFill="background1"/>
          </w:tcPr>
          <w:p w14:paraId="2F05079B"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1,5</w:t>
            </w:r>
          </w:p>
        </w:tc>
        <w:tc>
          <w:tcPr>
            <w:tcW w:w="606" w:type="pct"/>
            <w:shd w:val="clear" w:color="auto" w:fill="FFFFFF" w:themeFill="background1"/>
            <w:noWrap/>
          </w:tcPr>
          <w:p w14:paraId="6F018465"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1,5</w:t>
            </w:r>
          </w:p>
        </w:tc>
        <w:tc>
          <w:tcPr>
            <w:tcW w:w="581" w:type="pct"/>
            <w:shd w:val="clear" w:color="auto" w:fill="FFFFFF" w:themeFill="background1"/>
            <w:noWrap/>
          </w:tcPr>
          <w:p w14:paraId="284114A6"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1,4</w:t>
            </w:r>
          </w:p>
        </w:tc>
        <w:tc>
          <w:tcPr>
            <w:tcW w:w="581" w:type="pct"/>
            <w:shd w:val="clear" w:color="auto" w:fill="FFFFFF" w:themeFill="background1"/>
            <w:noWrap/>
          </w:tcPr>
          <w:p w14:paraId="63C1E4D1"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1,4</w:t>
            </w:r>
          </w:p>
        </w:tc>
        <w:tc>
          <w:tcPr>
            <w:tcW w:w="582" w:type="pct"/>
            <w:shd w:val="clear" w:color="auto" w:fill="FFFFFF" w:themeFill="background1"/>
            <w:noWrap/>
          </w:tcPr>
          <w:p w14:paraId="20740ED4"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1,3</w:t>
            </w:r>
          </w:p>
        </w:tc>
      </w:tr>
      <w:tr w:rsidR="007E770D" w:rsidRPr="007E770D" w14:paraId="7EE06C0D" w14:textId="77777777" w:rsidTr="00A02EFC">
        <w:trPr>
          <w:cnfStyle w:val="000000100000" w:firstRow="0" w:lastRow="0" w:firstColumn="0" w:lastColumn="0" w:oddVBand="0" w:evenVBand="0" w:oddHBand="1" w:evenHBand="0" w:firstRowFirstColumn="0" w:firstRowLastColumn="0" w:lastRowFirstColumn="0" w:lastRowLastColumn="0"/>
          <w:trHeight w:val="253"/>
        </w:trPr>
        <w:tc>
          <w:tcPr>
            <w:tcW w:w="2045" w:type="pct"/>
            <w:shd w:val="clear" w:color="auto" w:fill="FFFFFF" w:themeFill="background1"/>
          </w:tcPr>
          <w:p w14:paraId="314135CA" w14:textId="77777777" w:rsidR="004044DC" w:rsidRPr="007E770D" w:rsidRDefault="004044DC" w:rsidP="00E4657F">
            <w:pPr>
              <w:keepLines/>
              <w:widowControl w:val="0"/>
              <w:shd w:val="clear" w:color="auto" w:fill="FFFFFF" w:themeFill="background1"/>
              <w:spacing w:line="276" w:lineRule="auto"/>
              <w:ind w:left="284"/>
              <w:rPr>
                <w:rFonts w:asciiTheme="minorHAnsi" w:eastAsia="Times New Roman" w:hAnsiTheme="minorHAnsi" w:cstheme="minorHAnsi"/>
                <w:bCs/>
                <w:color w:val="auto"/>
                <w:sz w:val="18"/>
                <w:szCs w:val="18"/>
                <w:lang w:val="sr-Cyrl-CS"/>
              </w:rPr>
            </w:pPr>
            <w:r w:rsidRPr="007E770D">
              <w:rPr>
                <w:rFonts w:asciiTheme="minorHAnsi" w:eastAsia="Times New Roman" w:hAnsiTheme="minorHAnsi" w:cstheme="minorHAnsi"/>
                <w:bCs/>
                <w:color w:val="auto"/>
                <w:sz w:val="18"/>
                <w:szCs w:val="18"/>
                <w:lang w:val="sr-Cyrl-CS"/>
              </w:rPr>
              <w:t>Доприноси</w:t>
            </w:r>
          </w:p>
        </w:tc>
        <w:tc>
          <w:tcPr>
            <w:tcW w:w="605" w:type="pct"/>
            <w:shd w:val="clear" w:color="auto" w:fill="FFFFFF" w:themeFill="background1"/>
          </w:tcPr>
          <w:p w14:paraId="2DB95330"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12,2</w:t>
            </w:r>
          </w:p>
        </w:tc>
        <w:tc>
          <w:tcPr>
            <w:tcW w:w="606" w:type="pct"/>
            <w:shd w:val="clear" w:color="auto" w:fill="FFFFFF" w:themeFill="background1"/>
            <w:noWrap/>
          </w:tcPr>
          <w:p w14:paraId="39B912E2"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12,4</w:t>
            </w:r>
          </w:p>
        </w:tc>
        <w:tc>
          <w:tcPr>
            <w:tcW w:w="581" w:type="pct"/>
            <w:shd w:val="clear" w:color="auto" w:fill="FFFFFF" w:themeFill="background1"/>
            <w:noWrap/>
          </w:tcPr>
          <w:p w14:paraId="0C1635A8"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12,4</w:t>
            </w:r>
          </w:p>
        </w:tc>
        <w:tc>
          <w:tcPr>
            <w:tcW w:w="581" w:type="pct"/>
            <w:shd w:val="clear" w:color="auto" w:fill="FFFFFF" w:themeFill="background1"/>
            <w:noWrap/>
          </w:tcPr>
          <w:p w14:paraId="4B15216F"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12,5</w:t>
            </w:r>
          </w:p>
        </w:tc>
        <w:tc>
          <w:tcPr>
            <w:tcW w:w="582" w:type="pct"/>
            <w:shd w:val="clear" w:color="auto" w:fill="FFFFFF" w:themeFill="background1"/>
            <w:noWrap/>
          </w:tcPr>
          <w:p w14:paraId="04B06A08"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12,5</w:t>
            </w:r>
          </w:p>
        </w:tc>
      </w:tr>
      <w:tr w:rsidR="007E770D" w:rsidRPr="007E770D" w14:paraId="06B5941A" w14:textId="77777777" w:rsidTr="00A02EFC">
        <w:trPr>
          <w:trHeight w:val="253"/>
        </w:trPr>
        <w:tc>
          <w:tcPr>
            <w:tcW w:w="2045" w:type="pct"/>
            <w:shd w:val="clear" w:color="auto" w:fill="FFFFFF" w:themeFill="background1"/>
          </w:tcPr>
          <w:p w14:paraId="029E22F1" w14:textId="77777777" w:rsidR="004044DC" w:rsidRPr="007E770D" w:rsidRDefault="004044DC" w:rsidP="00E4657F">
            <w:pPr>
              <w:keepLines/>
              <w:widowControl w:val="0"/>
              <w:shd w:val="clear" w:color="auto" w:fill="FFFFFF" w:themeFill="background1"/>
              <w:spacing w:line="276" w:lineRule="auto"/>
              <w:rPr>
                <w:rFonts w:asciiTheme="minorHAnsi" w:eastAsia="Times New Roman" w:hAnsiTheme="minorHAnsi" w:cstheme="minorHAnsi"/>
                <w:bCs/>
                <w:color w:val="auto"/>
                <w:sz w:val="18"/>
                <w:szCs w:val="18"/>
                <w:lang w:val="sr-Cyrl-CS"/>
              </w:rPr>
            </w:pPr>
            <w:r w:rsidRPr="007E770D">
              <w:rPr>
                <w:rFonts w:asciiTheme="minorHAnsi" w:eastAsia="Times New Roman" w:hAnsiTheme="minorHAnsi" w:cstheme="minorHAnsi"/>
                <w:bCs/>
                <w:color w:val="auto"/>
                <w:sz w:val="18"/>
                <w:szCs w:val="18"/>
                <w:lang w:val="sr-Cyrl-CS"/>
              </w:rPr>
              <w:t xml:space="preserve"> Непорески приходи</w:t>
            </w:r>
          </w:p>
        </w:tc>
        <w:tc>
          <w:tcPr>
            <w:tcW w:w="605" w:type="pct"/>
            <w:shd w:val="clear" w:color="auto" w:fill="FFFFFF" w:themeFill="background1"/>
          </w:tcPr>
          <w:p w14:paraId="07AF208A"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5,3</w:t>
            </w:r>
          </w:p>
        </w:tc>
        <w:tc>
          <w:tcPr>
            <w:tcW w:w="606" w:type="pct"/>
            <w:shd w:val="clear" w:color="auto" w:fill="FFFFFF" w:themeFill="background1"/>
            <w:noWrap/>
          </w:tcPr>
          <w:p w14:paraId="64800F52"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4,6</w:t>
            </w:r>
          </w:p>
        </w:tc>
        <w:tc>
          <w:tcPr>
            <w:tcW w:w="581" w:type="pct"/>
            <w:shd w:val="clear" w:color="auto" w:fill="FFFFFF" w:themeFill="background1"/>
            <w:noWrap/>
          </w:tcPr>
          <w:p w14:paraId="1FD8AEAC" w14:textId="5EC1B4ED" w:rsidR="004044DC" w:rsidRPr="007E770D" w:rsidRDefault="00227CB2"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4,1</w:t>
            </w:r>
          </w:p>
        </w:tc>
        <w:tc>
          <w:tcPr>
            <w:tcW w:w="581" w:type="pct"/>
            <w:shd w:val="clear" w:color="auto" w:fill="FFFFFF" w:themeFill="background1"/>
            <w:noWrap/>
          </w:tcPr>
          <w:p w14:paraId="56B1CAA2"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3,7</w:t>
            </w:r>
          </w:p>
        </w:tc>
        <w:tc>
          <w:tcPr>
            <w:tcW w:w="582" w:type="pct"/>
            <w:shd w:val="clear" w:color="auto" w:fill="FFFFFF" w:themeFill="background1"/>
            <w:noWrap/>
          </w:tcPr>
          <w:p w14:paraId="7DB793FF"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3,5</w:t>
            </w:r>
          </w:p>
        </w:tc>
      </w:tr>
      <w:tr w:rsidR="007E770D" w:rsidRPr="007E770D" w14:paraId="2A2A6932" w14:textId="77777777" w:rsidTr="00A02EFC">
        <w:trPr>
          <w:cnfStyle w:val="000000100000" w:firstRow="0" w:lastRow="0" w:firstColumn="0" w:lastColumn="0" w:oddVBand="0" w:evenVBand="0" w:oddHBand="1" w:evenHBand="0" w:firstRowFirstColumn="0" w:firstRowLastColumn="0" w:lastRowFirstColumn="0" w:lastRowLastColumn="0"/>
          <w:trHeight w:val="253"/>
        </w:trPr>
        <w:tc>
          <w:tcPr>
            <w:tcW w:w="2045" w:type="pct"/>
            <w:tcBorders>
              <w:bottom w:val="single" w:sz="4" w:space="0" w:color="002060"/>
            </w:tcBorders>
            <w:shd w:val="clear" w:color="auto" w:fill="FFFFFF" w:themeFill="background1"/>
          </w:tcPr>
          <w:p w14:paraId="7EFF63A9" w14:textId="77777777" w:rsidR="004044DC" w:rsidRPr="007E770D" w:rsidRDefault="004044DC" w:rsidP="00E4657F">
            <w:pPr>
              <w:keepLines/>
              <w:widowControl w:val="0"/>
              <w:shd w:val="clear" w:color="auto" w:fill="FFFFFF" w:themeFill="background1"/>
              <w:spacing w:line="276" w:lineRule="auto"/>
              <w:rPr>
                <w:rFonts w:asciiTheme="minorHAnsi" w:eastAsia="Times New Roman" w:hAnsiTheme="minorHAnsi" w:cstheme="minorHAnsi"/>
                <w:bCs/>
                <w:color w:val="auto"/>
                <w:sz w:val="18"/>
                <w:szCs w:val="18"/>
                <w:lang w:val="sr-Cyrl-CS"/>
              </w:rPr>
            </w:pPr>
            <w:r w:rsidRPr="007E770D">
              <w:rPr>
                <w:rFonts w:asciiTheme="minorHAnsi" w:eastAsia="Times New Roman" w:hAnsiTheme="minorHAnsi" w:cstheme="minorHAnsi"/>
                <w:bCs/>
                <w:color w:val="auto"/>
                <w:sz w:val="18"/>
                <w:szCs w:val="18"/>
                <w:lang w:val="sr-Cyrl-CS"/>
              </w:rPr>
              <w:t>Донације</w:t>
            </w:r>
          </w:p>
        </w:tc>
        <w:tc>
          <w:tcPr>
            <w:tcW w:w="605" w:type="pct"/>
            <w:tcBorders>
              <w:bottom w:val="single" w:sz="4" w:space="0" w:color="002060"/>
            </w:tcBorders>
            <w:shd w:val="clear" w:color="auto" w:fill="FFFFFF" w:themeFill="background1"/>
          </w:tcPr>
          <w:p w14:paraId="269F4FC5"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0,3</w:t>
            </w:r>
          </w:p>
        </w:tc>
        <w:tc>
          <w:tcPr>
            <w:tcW w:w="606" w:type="pct"/>
            <w:tcBorders>
              <w:bottom w:val="single" w:sz="4" w:space="0" w:color="002060"/>
            </w:tcBorders>
            <w:shd w:val="clear" w:color="auto" w:fill="FFFFFF" w:themeFill="background1"/>
            <w:noWrap/>
          </w:tcPr>
          <w:p w14:paraId="48C3F855"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0,3</w:t>
            </w:r>
          </w:p>
        </w:tc>
        <w:tc>
          <w:tcPr>
            <w:tcW w:w="581" w:type="pct"/>
            <w:tcBorders>
              <w:bottom w:val="single" w:sz="4" w:space="0" w:color="002060"/>
            </w:tcBorders>
            <w:shd w:val="clear" w:color="auto" w:fill="FFFFFF" w:themeFill="background1"/>
            <w:noWrap/>
          </w:tcPr>
          <w:p w14:paraId="211A9E76"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0,3</w:t>
            </w:r>
          </w:p>
        </w:tc>
        <w:tc>
          <w:tcPr>
            <w:tcW w:w="581" w:type="pct"/>
            <w:tcBorders>
              <w:bottom w:val="single" w:sz="4" w:space="0" w:color="002060"/>
            </w:tcBorders>
            <w:shd w:val="clear" w:color="auto" w:fill="FFFFFF" w:themeFill="background1"/>
            <w:noWrap/>
          </w:tcPr>
          <w:p w14:paraId="153DD695"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0,3</w:t>
            </w:r>
          </w:p>
        </w:tc>
        <w:tc>
          <w:tcPr>
            <w:tcW w:w="582" w:type="pct"/>
            <w:tcBorders>
              <w:bottom w:val="single" w:sz="4" w:space="0" w:color="002060"/>
            </w:tcBorders>
            <w:shd w:val="clear" w:color="auto" w:fill="FFFFFF" w:themeFill="background1"/>
            <w:noWrap/>
          </w:tcPr>
          <w:p w14:paraId="005DD113" w14:textId="77777777" w:rsidR="004044DC" w:rsidRPr="007E770D" w:rsidRDefault="004044DC" w:rsidP="00E4657F">
            <w:pPr>
              <w:shd w:val="clear" w:color="auto" w:fill="FFFFFF" w:themeFill="background1"/>
              <w:spacing w:line="276" w:lineRule="auto"/>
              <w:jc w:val="right"/>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0,2</w:t>
            </w:r>
          </w:p>
        </w:tc>
      </w:tr>
    </w:tbl>
    <w:p w14:paraId="38126BD9" w14:textId="77777777" w:rsidR="004044DC" w:rsidRPr="007E770D" w:rsidRDefault="004044DC" w:rsidP="00E4657F">
      <w:pPr>
        <w:spacing w:before="40" w:after="120" w:line="276" w:lineRule="auto"/>
        <w:rPr>
          <w:rFonts w:eastAsia="MS PGothic" w:cstheme="minorHAnsi"/>
          <w:color w:val="auto"/>
          <w:szCs w:val="20"/>
          <w:lang w:val="sr-Cyrl-CS" w:eastAsia="ja-JP"/>
        </w:rPr>
        <w:sectPr w:rsidR="004044DC" w:rsidRPr="007E770D" w:rsidSect="00BA4876">
          <w:type w:val="continuous"/>
          <w:pgSz w:w="12240" w:h="15840"/>
          <w:pgMar w:top="1440" w:right="1440" w:bottom="1440" w:left="1440" w:header="720" w:footer="720" w:gutter="0"/>
          <w:cols w:space="720"/>
          <w:docGrid w:linePitch="360"/>
        </w:sectPr>
      </w:pPr>
      <w:r w:rsidRPr="007E770D">
        <w:rPr>
          <w:rFonts w:eastAsia="Calibri" w:cstheme="minorHAnsi"/>
          <w:bCs/>
          <w:color w:val="auto"/>
          <w:sz w:val="16"/>
          <w:szCs w:val="20"/>
          <w:lang w:val="sr-Cyrl-CS" w:eastAsia="ja-JP"/>
        </w:rPr>
        <w:t xml:space="preserve">Извор: </w:t>
      </w:r>
      <w:r w:rsidRPr="007E770D">
        <w:rPr>
          <w:rFonts w:cstheme="minorHAnsi"/>
          <w:color w:val="auto"/>
          <w:sz w:val="16"/>
          <w:szCs w:val="20"/>
          <w:lang w:val="sr-Cyrl-CS"/>
        </w:rPr>
        <w:t>Министарство финансија</w:t>
      </w:r>
    </w:p>
    <w:p w14:paraId="35C02D0A" w14:textId="77777777" w:rsidR="004044DC" w:rsidRPr="007E770D" w:rsidRDefault="004044DC" w:rsidP="00E4657F">
      <w:pPr>
        <w:spacing w:after="120" w:line="276" w:lineRule="auto"/>
        <w:rPr>
          <w:rFonts w:eastAsia="MS PGothic" w:cstheme="minorHAnsi"/>
          <w:color w:val="auto"/>
          <w:szCs w:val="20"/>
          <w:lang w:val="sr-Cyrl-CS" w:eastAsia="ja-JP"/>
        </w:rPr>
      </w:pPr>
      <w:r w:rsidRPr="007E770D">
        <w:rPr>
          <w:rFonts w:eastAsia="MS PGothic" w:cstheme="minorHAnsi"/>
          <w:color w:val="auto"/>
          <w:szCs w:val="20"/>
          <w:lang w:val="sr-Cyrl-CS" w:eastAsia="ja-JP"/>
        </w:rPr>
        <w:t>Најзначајније мере пореске политике у 2020. години биће смањење доприноса за пензијско и инвалидско осигурање на терет послодавца за 0,5% и повећање неопорезивог дела зараде са 15.300 динара на 16.300 динара. Поред тога, предвиђено је потпуно напуштање мера фискалне консолидације што се, уз једнократну природу појединих прихода у 2019. години, ефектуира у виду већег смањења непореских прихода у 2020. години. Пројекција пореских прихода подразумева одржавање постојећег степена наплате.</w:t>
      </w:r>
    </w:p>
    <w:p w14:paraId="288C9DDE" w14:textId="77777777" w:rsidR="004044DC" w:rsidRPr="007E770D" w:rsidRDefault="004044DC" w:rsidP="00E4657F">
      <w:pPr>
        <w:spacing w:after="120" w:line="276" w:lineRule="auto"/>
        <w:rPr>
          <w:rFonts w:eastAsia="MS PGothic" w:cstheme="minorHAnsi"/>
          <w:color w:val="auto"/>
          <w:szCs w:val="20"/>
          <w:lang w:val="sr-Cyrl-CS" w:eastAsia="ja-JP"/>
        </w:rPr>
      </w:pPr>
      <w:r w:rsidRPr="007E770D">
        <w:rPr>
          <w:rFonts w:eastAsia="MS PGothic" w:cstheme="minorHAnsi"/>
          <w:color w:val="auto"/>
          <w:szCs w:val="20"/>
          <w:lang w:val="sr-Cyrl-CS" w:eastAsia="ja-JP"/>
        </w:rPr>
        <w:t>Преовлађујући облик пореза на доходак је порез на зараде, тако да су кретање масе зарада и запослености главни фактори који утичу на кретање овог пореског облика. Смањење пореског оптерећења на зараде ће имати негативан ефекат од око 3 млрд динара на приходе од пореза на зараде, али се очекује да повећање зарада и раст запослености у потпуности надокнаде овај губитак. У наредном периоду очекује се да маса зарада расте брже од номиналног БДП као резултат повољних кретања на тржишту рада, пре свега раста запослености, те ће и приход по основу пореза на зараде расти у смислу учешћа у БДП. Повећање минималне зараде ће утицати на раст укупне масе зарада у привреди. Процена је да ће ефекат повећања минималне зараде на приходе бити 8,5 млрд динара.</w:t>
      </w:r>
    </w:p>
    <w:p w14:paraId="35912132" w14:textId="77777777" w:rsidR="004044DC" w:rsidRPr="007E770D" w:rsidRDefault="004044DC" w:rsidP="00E4657F">
      <w:pPr>
        <w:spacing w:after="120" w:line="276" w:lineRule="auto"/>
        <w:rPr>
          <w:rFonts w:eastAsia="MS PGothic" w:cstheme="minorHAnsi"/>
          <w:color w:val="auto"/>
          <w:szCs w:val="20"/>
          <w:lang w:val="sr-Cyrl-CS" w:eastAsia="ja-JP"/>
        </w:rPr>
      </w:pPr>
      <w:r w:rsidRPr="007E770D">
        <w:rPr>
          <w:rFonts w:eastAsia="MS PGothic" w:cstheme="minorHAnsi"/>
          <w:color w:val="auto"/>
          <w:szCs w:val="20"/>
          <w:lang w:val="sr-Cyrl-CS" w:eastAsia="ja-JP"/>
        </w:rPr>
        <w:t>Остали облици пореза на доходак (порез на дивиденде, порез на приходе од камата, годишњи порез на доходак, итд) ће расти спорије, то јест у складу са кретањем општих економских активности, тако да се очекује стабилан ниво прихода по основу пореза на доходак, у смислу учешћа у БДП. Код пореза на зараде кључна је борба против сиве економије, с обзиром на знатан број непријављених радника и исплате зарада „на рукеˮ. У последњим годинама интензивиране су контроле и појачане санкције што је дало резултате у сузбијању сиве економије у области рада и запошљавања, али је значајно да се на овом пољу настави са континуираним ангажманом и у наредном периоду.</w:t>
      </w:r>
    </w:p>
    <w:p w14:paraId="1BB342F3" w14:textId="77777777" w:rsidR="004044DC" w:rsidRPr="007E770D" w:rsidRDefault="004044DC" w:rsidP="00E4657F">
      <w:pPr>
        <w:spacing w:after="120" w:line="276" w:lineRule="auto"/>
        <w:rPr>
          <w:rFonts w:eastAsia="MS PGothic" w:cstheme="minorHAnsi"/>
          <w:color w:val="auto"/>
          <w:szCs w:val="20"/>
          <w:lang w:val="sr-Cyrl-CS" w:eastAsia="ja-JP"/>
        </w:rPr>
      </w:pPr>
      <w:r w:rsidRPr="007E770D">
        <w:rPr>
          <w:rFonts w:eastAsia="MS PGothic" w:cstheme="minorHAnsi"/>
          <w:color w:val="auto"/>
          <w:szCs w:val="20"/>
          <w:lang w:val="sr-Cyrl-CS" w:eastAsia="ja-JP"/>
        </w:rPr>
        <w:t>Смањење пореског оптерећења на зараде имаће негативан ефекат од око 10 млрд динара на приходе по основу доприноса. Очекује се да раст масе зарада буде већи од раста номиналног БДП, тако да ће у потпуности надокнадити овај губитак. Кретање учешћа овог јавног прихода у БДП има сличну путању као и кретање учешћа пореза на зараде, с обзиром да су за њихову пројекцију коришћене исте претпоставке о кретању зарада и запослености. Доприноси су пореска категорија код које је најизраженија пореска недисциплина и регистрован највећи дуг пореских обвезника, те су последице евентуалног повећања фискалне недисциплине највидљивије код овог пореског облика.</w:t>
      </w:r>
    </w:p>
    <w:p w14:paraId="471C1834" w14:textId="77777777" w:rsidR="004044DC" w:rsidRPr="007E770D" w:rsidRDefault="004044DC" w:rsidP="00E4657F">
      <w:pPr>
        <w:spacing w:after="120" w:line="276" w:lineRule="auto"/>
        <w:rPr>
          <w:rFonts w:eastAsia="MS PGothic" w:cstheme="minorHAnsi"/>
          <w:color w:val="auto"/>
          <w:szCs w:val="20"/>
          <w:lang w:val="sr-Cyrl-CS" w:eastAsia="ja-JP"/>
        </w:rPr>
      </w:pPr>
      <w:r w:rsidRPr="007E770D">
        <w:rPr>
          <w:rFonts w:eastAsia="MS PGothic" w:cstheme="minorHAnsi"/>
          <w:color w:val="auto"/>
          <w:szCs w:val="20"/>
          <w:lang w:val="sr-Cyrl-CS" w:eastAsia="ja-JP"/>
        </w:rPr>
        <w:lastRenderedPageBreak/>
        <w:t xml:space="preserve">Приходи од пореза на добит правних лица у периоду 2020–2022. године зависиће од путање привредног раста, релативне стабилности курса динара и опште профитабилности привреде. Процена прихода по овом основу може бити неизвесна како због економских фактора, тако и због могућности коришћења пореског кредита или повраћаја, као и разлика у рачуноводственим и пореским билансима. Скок у 2019. години резултат је једнократних фактора који су утицали на повећања опорезиве добити у 2018. години. Пројекција прихода од пореза на добит укључује и ефекте примене Закона о конверзији кредита </w:t>
      </w:r>
      <w:r w:rsidRPr="007E770D">
        <w:rPr>
          <w:color w:val="auto"/>
          <w:lang w:val="sr-Cyrl-CS"/>
        </w:rPr>
        <w:t>индексираних у швајцарским францима по основу предвиђеног пореског кредита пословним банкама у висини од 2% преосталог дуга. Овај ефекат процењује се на 2 млрд динара.</w:t>
      </w:r>
    </w:p>
    <w:p w14:paraId="1BD95803" w14:textId="77777777" w:rsidR="004044DC" w:rsidRPr="007E770D" w:rsidRDefault="004044DC" w:rsidP="00E4657F">
      <w:pPr>
        <w:spacing w:after="120" w:line="276" w:lineRule="auto"/>
        <w:rPr>
          <w:rFonts w:eastAsia="MS PGothic" w:cstheme="minorHAnsi"/>
          <w:color w:val="auto"/>
          <w:szCs w:val="20"/>
          <w:lang w:val="sr-Cyrl-CS" w:eastAsia="ja-JP"/>
        </w:rPr>
      </w:pPr>
      <w:r w:rsidRPr="007E770D">
        <w:rPr>
          <w:rFonts w:eastAsia="MS PGothic" w:cstheme="minorHAnsi"/>
          <w:color w:val="auto"/>
          <w:szCs w:val="20"/>
          <w:lang w:val="sr-Cyrl-CS" w:eastAsia="ja-JP"/>
        </w:rPr>
        <w:t>Кретање прихода од пореза на додату вредност карактерише релативно стабилно учешће у БДП. Главна детерминанта кретања ПДВ је домаћа тражња вођена расположивим дохотком становништва. Расположиви доходак као највећа детерминанта потрошње зависи од кретања зарада, пензија, социјалне помоћи и осталих облика доходака, укључујући и дознаке, као и од динамике кредитне активности банака према становништву. У наредном периоду већи значај имаће и приходи по основу потрошње иностраних туриста. Релаксација фискалне политике у домену зарада у јавном сектору и пензија такође ће допринети расту расположивог дохотка становништва. Као и код пореза на доходак грађана, ризици за остварење пројекције ПДВ у наредном периоду односе се на кретање зарада у приватном сектору, раст привредне активности, као и на степен сиве економије, односно ефикасност у њеном смањењу.</w:t>
      </w:r>
    </w:p>
    <w:p w14:paraId="7C122BC0" w14:textId="77777777" w:rsidR="004044DC" w:rsidRPr="007E770D" w:rsidRDefault="004044DC" w:rsidP="00E4657F">
      <w:pPr>
        <w:spacing w:after="120" w:line="276" w:lineRule="auto"/>
        <w:rPr>
          <w:rFonts w:eastAsia="MS PGothic" w:cstheme="minorHAnsi"/>
          <w:color w:val="auto"/>
          <w:szCs w:val="20"/>
          <w:lang w:val="sr-Cyrl-CS" w:eastAsia="ja-JP"/>
        </w:rPr>
      </w:pPr>
      <w:r w:rsidRPr="007E770D">
        <w:rPr>
          <w:rFonts w:eastAsia="MS PGothic" w:cstheme="minorHAnsi"/>
          <w:color w:val="auto"/>
          <w:szCs w:val="20"/>
          <w:lang w:val="sr-Cyrl-CS" w:eastAsia="ja-JP"/>
        </w:rPr>
        <w:t xml:space="preserve">Резултати ефикасније наплате и контроле пореских обвезника су евидентни и очекује се да ће тај тренд бити настављен у наредном периоду, с тим што ефекти борбе против сиве економије нису експлицитно укључени у средњорочну пројекцију јавних прихода. Повећање степена ПДВ наплате у смислу спровођења независних антиевазионих мера у области пореза на додату </w:t>
      </w:r>
      <w:r w:rsidRPr="007E770D">
        <w:rPr>
          <w:rFonts w:eastAsia="MS PGothic" w:cstheme="minorHAnsi"/>
          <w:color w:val="auto"/>
          <w:szCs w:val="20"/>
          <w:lang w:val="sr-Cyrl-CS" w:eastAsia="ja-JP"/>
        </w:rPr>
        <w:t>вредност дало је одређене резултате у протеклом периоду. У овом сегменту постоји простор за даља побољшања, кроз јачање и модернизацију пореске администрације.</w:t>
      </w:r>
    </w:p>
    <w:p w14:paraId="60255B96" w14:textId="77777777" w:rsidR="004044DC" w:rsidRPr="007E770D" w:rsidRDefault="004044DC" w:rsidP="00E4657F">
      <w:pPr>
        <w:spacing w:after="120" w:line="276" w:lineRule="auto"/>
        <w:rPr>
          <w:rFonts w:eastAsia="MS PGothic" w:cstheme="minorHAnsi"/>
          <w:color w:val="auto"/>
          <w:szCs w:val="20"/>
          <w:lang w:val="sr-Cyrl-CS" w:eastAsia="ja-JP"/>
        </w:rPr>
      </w:pPr>
      <w:r w:rsidRPr="007E770D">
        <w:rPr>
          <w:rFonts w:eastAsia="MS PGothic" w:cstheme="minorHAnsi"/>
          <w:color w:val="auto"/>
          <w:szCs w:val="20"/>
          <w:lang w:val="sr-Cyrl-CS" w:eastAsia="ja-JP"/>
        </w:rPr>
        <w:t>При пројекцији прихода од акциза полази се од важеће акцизне политике и пројектоване потрошње акцизних производа. У оквиру акцизне политике код дуванских производа очекује се даље постепено усклађивање са директивама ЕУ у складу са средњорочним планом поступног повећавања акцизног оптерећења. Код цигарета оно ће бити усмерено кроз постепено повећање акциза, како би се у прихватљивом временском року достигао ЕУ минимум од 1,8 евра по паклици. У наредном периоду предвиђен је даљи пад тржишта дуванских производа, у просеку од око 3% годишње. За разлику од дуванских производа ситуација на тржишту нафтних деривата је знатно мање волатилна. Боља контрола и ефекти маркирања нафтних деривата смањили су могућност и исплативост нелегалних активности. Пројекција прихода од акциза на деривате нафте претпоставља непромењену потрошњу нафтних деривата иако се може очекивати да ће убрзање економске активности допринети расту потрошње. Приходи од акциза на алкохолна пића, кафу и електричну енергију су пројектовани у складу са постојећом структуром потрошње. Тренутни номинални износи акциза на алкохолна пића и кафу усклађени су са очекиваним износима стопе инфлације у средњорочном периоду. Током 2015. године уведена је ad valorem акциза од 7,5% на електричну енергију за крајњу потрошњу. За период 2020–2022. године приход од ове акцизе на годишњем нивоу планиран је у износу од 17–18 млрд динара, узимајући у обзир тренутну годишњу потрошњу и важеће цене.</w:t>
      </w:r>
    </w:p>
    <w:p w14:paraId="143766A2" w14:textId="77777777" w:rsidR="004044DC" w:rsidRPr="007E770D" w:rsidRDefault="004044DC" w:rsidP="00E4657F">
      <w:pPr>
        <w:spacing w:after="120" w:line="276" w:lineRule="auto"/>
        <w:rPr>
          <w:rFonts w:eastAsia="MS PGothic" w:cstheme="minorHAnsi"/>
          <w:color w:val="auto"/>
          <w:szCs w:val="20"/>
          <w:lang w:val="sr-Cyrl-CS" w:eastAsia="ja-JP"/>
        </w:rPr>
      </w:pPr>
      <w:r w:rsidRPr="007E770D">
        <w:rPr>
          <w:rFonts w:eastAsia="MS PGothic" w:cstheme="minorHAnsi"/>
          <w:color w:val="auto"/>
          <w:szCs w:val="20"/>
          <w:lang w:val="sr-Cyrl-CS" w:eastAsia="ja-JP"/>
        </w:rPr>
        <w:t>Приходи од царина ће се стабилизовати на нивоу од 0,9% БДП у наредном периоду. Пројекција прихода од царина рађена је на основу пројектованог кретања увоза, девизног курса и потрошње.</w:t>
      </w:r>
    </w:p>
    <w:p w14:paraId="2C68FFDD" w14:textId="77777777" w:rsidR="004044DC" w:rsidRPr="007E770D" w:rsidRDefault="004044DC" w:rsidP="00E4657F">
      <w:pPr>
        <w:spacing w:after="120" w:line="276" w:lineRule="auto"/>
        <w:rPr>
          <w:rFonts w:eastAsia="MS PGothic" w:cstheme="minorHAnsi"/>
          <w:color w:val="auto"/>
          <w:szCs w:val="20"/>
          <w:lang w:val="sr-Cyrl-CS" w:eastAsia="ja-JP"/>
        </w:rPr>
      </w:pPr>
      <w:r w:rsidRPr="007E770D">
        <w:rPr>
          <w:rFonts w:eastAsia="MS PGothic" w:cstheme="minorHAnsi"/>
          <w:color w:val="auto"/>
          <w:szCs w:val="20"/>
          <w:lang w:val="sr-Cyrl-CS" w:eastAsia="ja-JP"/>
        </w:rPr>
        <w:t xml:space="preserve">Пројектује се благи пад учешћа у БДП осталих пореских прихода. Најзначајнији порески приход у овој категорији је порез на имовину чије учешће </w:t>
      </w:r>
      <w:r w:rsidRPr="007E770D">
        <w:rPr>
          <w:rFonts w:eastAsia="MS PGothic" w:cstheme="minorHAnsi"/>
          <w:color w:val="auto"/>
          <w:szCs w:val="20"/>
          <w:lang w:val="sr-Cyrl-CS" w:eastAsia="ja-JP"/>
        </w:rPr>
        <w:lastRenderedPageBreak/>
        <w:t>износи око 70%. Номинално повећање овог прихода може се очекивати по основу проширења основице. Повећање степена наплате, кроз повећање обухвата непокретности на које се порез плаћа (то јест по основу проширења пореске базе), није укључено у пројекције у средњем року и представља позитиван ризик. Поред пореза на имовину у остале пореске приходе укључују се и порези на употребу, држање и ношење добара, те други облици пореза на локалном нивоу. Они су пројектовани у складу са кретањем инфлације, будући да је инфлаторна компонента уграђена у значајан део ових пореских облика. Предвиђене измене Закона о порезима на употребу, држање и ношење добара, које се односе на плаћање пореза за ношење оружја, ослобађање од пореза за употребу пловила за која је обвезник министарство унутрашњих послова, као и увођење пореског ослобођења за возила на хибридни погон немају значајнији ефекат на укупне приходе по овом основу.</w:t>
      </w:r>
    </w:p>
    <w:p w14:paraId="532C7ECD" w14:textId="77777777" w:rsidR="004044DC" w:rsidRPr="007E770D" w:rsidRDefault="004044DC" w:rsidP="00E4657F">
      <w:pPr>
        <w:spacing w:after="120" w:line="276" w:lineRule="auto"/>
        <w:rPr>
          <w:rFonts w:eastAsia="MS PGothic" w:cstheme="minorHAnsi"/>
          <w:color w:val="auto"/>
          <w:szCs w:val="20"/>
          <w:lang w:val="sr-Cyrl-CS" w:eastAsia="ja-JP"/>
        </w:rPr>
      </w:pPr>
      <w:r w:rsidRPr="007E770D">
        <w:rPr>
          <w:rFonts w:eastAsia="MS PGothic" w:cstheme="minorHAnsi"/>
          <w:color w:val="auto"/>
          <w:szCs w:val="20"/>
          <w:lang w:val="sr-Cyrl-CS" w:eastAsia="ja-JP"/>
        </w:rPr>
        <w:t xml:space="preserve">Предвиђено је смањење учешћа непореских прихода у БДП, са 5,3% колико је приходовано у 2018. години на 3,5% колико се очекује да ће износити у 2022. години. У 2019. години смањена је обавеза уплате средстава по основу смањења зарада за део јавног сектора, док се у наредној години планира потпуно укидање ове мере, која је била значајан извор прихода током процеса фискалне консолидације. Ефекат укидања мере се процењује на 13,4 млрд динара у 2020. години. Други разлог за смањење пројектованог учешћа непореских прихода у БДП је и искључивање из базне 2019. године свих оних прихода који се не сматрају структурним тј. трајним, а првенствено се то односи на ванредне категорије непореских прихода. Највећи део ових прихода представљају ванредне уплате добити јавних предузећа и агенција, дивиденде буџета, приходи по основу </w:t>
      </w:r>
      <w:r w:rsidRPr="007E770D">
        <w:rPr>
          <w:rFonts w:eastAsia="MS PGothic" w:cstheme="minorHAnsi"/>
          <w:color w:val="auto"/>
          <w:szCs w:val="20"/>
          <w:lang w:val="sr-Cyrl-CS" w:eastAsia="ja-JP"/>
        </w:rPr>
        <w:t>наплаћених потраживања Агенције за осигурање депозита, емисионе премије, итд. Редовни непорески приходи обухватају различите таксе, накнаде, казне, приходе органа и организација и све остале приходе који се остварују устаљеном динамиком током године. Ови непорески приходи индексирају се са оствареном инфлацијом у претходној години, или пак прате промену у вредности основе на које се примењују и услед тога се коригују пројектованом инфлацијом.</w:t>
      </w:r>
    </w:p>
    <w:p w14:paraId="6D095D2E" w14:textId="77777777" w:rsidR="004044DC" w:rsidRPr="007E770D" w:rsidRDefault="004044DC" w:rsidP="00E4657F">
      <w:pPr>
        <w:spacing w:after="120" w:line="276" w:lineRule="auto"/>
        <w:rPr>
          <w:rFonts w:eastAsia="MS PGothic" w:cstheme="minorHAnsi"/>
          <w:color w:val="auto"/>
          <w:szCs w:val="20"/>
          <w:lang w:val="sr-Cyrl-CS" w:eastAsia="ja-JP"/>
        </w:rPr>
      </w:pPr>
      <w:r w:rsidRPr="007E770D">
        <w:rPr>
          <w:rFonts w:eastAsia="MS PGothic" w:cstheme="minorHAnsi"/>
          <w:color w:val="auto"/>
          <w:szCs w:val="20"/>
          <w:lang w:val="sr-Cyrl-CS" w:eastAsia="ja-JP"/>
        </w:rPr>
        <w:t>Процесом приближавања државе чланству у ЕУ повећавају се расположива средства из ИПА и ИПАРД фондова која чине преовлађујући део прихода од донација. У пројектоване износе по основу донација укључена су и средства по основу секторске буџетске подршке ЕУ. Приходи по основу донација су неутрални у односу на резултат, с обзиром да су једнаки расходима по овом основу.</w:t>
      </w:r>
    </w:p>
    <w:p w14:paraId="1B489E55" w14:textId="77777777" w:rsidR="004044DC" w:rsidRPr="007E770D" w:rsidRDefault="004044DC" w:rsidP="00E4657F">
      <w:pPr>
        <w:spacing w:after="120" w:line="276" w:lineRule="auto"/>
        <w:rPr>
          <w:rFonts w:eastAsia="MS PGothic" w:cstheme="minorHAnsi"/>
          <w:color w:val="auto"/>
          <w:szCs w:val="20"/>
          <w:lang w:val="sr-Cyrl-CS" w:eastAsia="ja-JP"/>
        </w:rPr>
        <w:sectPr w:rsidR="004044DC" w:rsidRPr="007E770D" w:rsidSect="00BA4876">
          <w:type w:val="continuous"/>
          <w:pgSz w:w="12240" w:h="15840"/>
          <w:pgMar w:top="1440" w:right="1440" w:bottom="1440" w:left="1440" w:header="720" w:footer="720" w:gutter="0"/>
          <w:cols w:num="2" w:space="720"/>
          <w:docGrid w:linePitch="360"/>
        </w:sectPr>
      </w:pPr>
      <w:r w:rsidRPr="007E770D">
        <w:rPr>
          <w:rFonts w:eastAsia="MS PGothic" w:cstheme="minorHAnsi"/>
          <w:color w:val="auto"/>
          <w:szCs w:val="20"/>
          <w:lang w:val="sr-Cyrl-CS" w:eastAsia="ja-JP"/>
        </w:rPr>
        <w:t xml:space="preserve">Одговорна фискална политика у комбинацији са добрим макроекономским перформансама довела је до стварања фискалног простора који ће на расходној страни бити искоришћен, пре свега, за релаксирање политике плата и пензија и повећање капиталних инвестиција као битне компоненте развоја привреде. Посебна пажња се посвећује и посвећиваће се унапређењу ефикасности реализације капиталних инвестиција државе. Социјална компонента буџета ће се побољшати бољим таргетирањем програма социјалне помоћи и већим издвајањем за функције здравства и образовања. Од 2019. године плате ће се стабилизовати у смислу учешћа у БДП, а дефинисан је и начин индексације пензија. Плате и пензије заједно чине преко 50% расхода на нивоу опште државе и њихова стабилизација је од пресудног значаја за одрживост јавних финансија. </w:t>
      </w:r>
    </w:p>
    <w:p w14:paraId="4BEED6A7" w14:textId="77777777" w:rsidR="004044DC" w:rsidRPr="007E770D" w:rsidRDefault="004044DC" w:rsidP="00E4657F">
      <w:pPr>
        <w:keepNext/>
        <w:spacing w:after="120" w:line="276" w:lineRule="auto"/>
        <w:jc w:val="center"/>
        <w:rPr>
          <w:rFonts w:eastAsia="MS PGothic" w:cstheme="minorHAnsi"/>
          <w:b/>
          <w:color w:val="auto"/>
          <w:szCs w:val="20"/>
          <w:lang w:val="sr-Cyrl-CS" w:eastAsia="ja-JP"/>
        </w:rPr>
      </w:pPr>
      <w:r w:rsidRPr="007E770D">
        <w:rPr>
          <w:rFonts w:eastAsia="MS PGothic" w:cstheme="minorHAnsi"/>
          <w:b/>
          <w:color w:val="auto"/>
          <w:szCs w:val="20"/>
          <w:lang w:val="sr-Cyrl-CS" w:eastAsia="ja-JP"/>
        </w:rPr>
        <w:lastRenderedPageBreak/>
        <w:t>Табела 10. Укупни расходи у периоду 2018–2022. године, % БДП</w:t>
      </w:r>
    </w:p>
    <w:tbl>
      <w:tblPr>
        <w:tblStyle w:val="LightShading-Accent1221"/>
        <w:tblW w:w="5000" w:type="pct"/>
        <w:tblLook w:val="0420" w:firstRow="1" w:lastRow="0" w:firstColumn="0" w:lastColumn="0" w:noHBand="0" w:noVBand="1"/>
      </w:tblPr>
      <w:tblGrid>
        <w:gridCol w:w="3681"/>
        <w:gridCol w:w="1206"/>
        <w:gridCol w:w="1206"/>
        <w:gridCol w:w="1088"/>
        <w:gridCol w:w="1088"/>
        <w:gridCol w:w="1091"/>
      </w:tblGrid>
      <w:tr w:rsidR="007E770D" w:rsidRPr="007E770D" w14:paraId="7D5646E0" w14:textId="77777777" w:rsidTr="00E4657F">
        <w:trPr>
          <w:cnfStyle w:val="100000000000" w:firstRow="1" w:lastRow="0" w:firstColumn="0" w:lastColumn="0" w:oddVBand="0" w:evenVBand="0" w:oddHBand="0" w:evenHBand="0" w:firstRowFirstColumn="0" w:firstRowLastColumn="0" w:lastRowFirstColumn="0" w:lastRowLastColumn="0"/>
          <w:trHeight w:val="41"/>
        </w:trPr>
        <w:tc>
          <w:tcPr>
            <w:tcW w:w="1966" w:type="pct"/>
            <w:tcBorders>
              <w:top w:val="single" w:sz="4" w:space="0" w:color="002060"/>
              <w:bottom w:val="single" w:sz="4" w:space="0" w:color="002060"/>
            </w:tcBorders>
            <w:noWrap/>
            <w:vAlign w:val="center"/>
          </w:tcPr>
          <w:p w14:paraId="24ADB237" w14:textId="77777777" w:rsidR="004044DC" w:rsidRPr="007E770D" w:rsidRDefault="004044DC" w:rsidP="00E4657F">
            <w:pPr>
              <w:keepNext/>
              <w:widowControl w:val="0"/>
              <w:shd w:val="clear" w:color="auto" w:fill="FFFFFF" w:themeFill="background1"/>
              <w:spacing w:line="276" w:lineRule="auto"/>
              <w:rPr>
                <w:rFonts w:asciiTheme="minorHAnsi" w:eastAsia="Times New Roman" w:hAnsiTheme="minorHAnsi" w:cstheme="minorHAnsi"/>
                <w:b w:val="0"/>
                <w:color w:val="auto"/>
                <w:sz w:val="18"/>
                <w:szCs w:val="18"/>
                <w:lang w:val="sr-Cyrl-CS"/>
              </w:rPr>
            </w:pPr>
            <w:r w:rsidRPr="007E770D">
              <w:rPr>
                <w:rFonts w:asciiTheme="minorHAnsi" w:hAnsiTheme="minorHAnsi" w:cstheme="minorHAnsi"/>
                <w:b w:val="0"/>
                <w:color w:val="auto"/>
                <w:sz w:val="18"/>
                <w:lang w:val="sr-Cyrl-CS"/>
              </w:rPr>
              <w:t>Опис</w:t>
            </w:r>
          </w:p>
        </w:tc>
        <w:tc>
          <w:tcPr>
            <w:tcW w:w="644" w:type="pct"/>
            <w:tcBorders>
              <w:top w:val="single" w:sz="4" w:space="0" w:color="002060"/>
              <w:bottom w:val="single" w:sz="4" w:space="0" w:color="002060"/>
            </w:tcBorders>
            <w:vAlign w:val="center"/>
          </w:tcPr>
          <w:p w14:paraId="369AB0E3" w14:textId="77777777" w:rsidR="004044DC" w:rsidRPr="007E770D" w:rsidRDefault="004044DC" w:rsidP="00E4657F">
            <w:pPr>
              <w:keepNext/>
              <w:widowControl w:val="0"/>
              <w:shd w:val="clear" w:color="auto" w:fill="FFFFFF" w:themeFill="background1"/>
              <w:spacing w:line="276" w:lineRule="auto"/>
              <w:jc w:val="center"/>
              <w:rPr>
                <w:rFonts w:asciiTheme="minorHAnsi" w:eastAsia="Times New Roman" w:hAnsiTheme="minorHAnsi" w:cstheme="minorHAnsi"/>
                <w:b w:val="0"/>
                <w:color w:val="auto"/>
                <w:sz w:val="18"/>
                <w:szCs w:val="18"/>
                <w:lang w:val="sr-Cyrl-CS"/>
              </w:rPr>
            </w:pPr>
            <w:r w:rsidRPr="007E770D">
              <w:rPr>
                <w:rFonts w:asciiTheme="minorHAnsi" w:hAnsiTheme="minorHAnsi" w:cstheme="minorHAnsi"/>
                <w:b w:val="0"/>
                <w:color w:val="auto"/>
                <w:sz w:val="18"/>
                <w:lang w:val="sr-Cyrl-CS"/>
              </w:rPr>
              <w:t>Извршење</w:t>
            </w:r>
          </w:p>
        </w:tc>
        <w:tc>
          <w:tcPr>
            <w:tcW w:w="644" w:type="pct"/>
            <w:tcBorders>
              <w:top w:val="single" w:sz="4" w:space="0" w:color="002060"/>
              <w:bottom w:val="single" w:sz="4" w:space="0" w:color="002060"/>
            </w:tcBorders>
            <w:vAlign w:val="center"/>
          </w:tcPr>
          <w:p w14:paraId="6780C430" w14:textId="77777777" w:rsidR="004044DC" w:rsidRPr="007E770D" w:rsidRDefault="004044DC" w:rsidP="00E4657F">
            <w:pPr>
              <w:keepNext/>
              <w:widowControl w:val="0"/>
              <w:shd w:val="clear" w:color="auto" w:fill="FFFFFF" w:themeFill="background1"/>
              <w:spacing w:line="276" w:lineRule="auto"/>
              <w:jc w:val="center"/>
              <w:rPr>
                <w:rFonts w:asciiTheme="minorHAnsi" w:eastAsia="Times New Roman" w:hAnsiTheme="minorHAnsi" w:cstheme="minorHAnsi"/>
                <w:b w:val="0"/>
                <w:color w:val="auto"/>
                <w:sz w:val="18"/>
                <w:szCs w:val="18"/>
                <w:lang w:val="sr-Cyrl-CS"/>
              </w:rPr>
            </w:pPr>
            <w:r w:rsidRPr="007E770D">
              <w:rPr>
                <w:rFonts w:asciiTheme="minorHAnsi" w:hAnsiTheme="minorHAnsi" w:cstheme="minorHAnsi"/>
                <w:b w:val="0"/>
                <w:color w:val="auto"/>
                <w:sz w:val="18"/>
                <w:lang w:val="sr-Cyrl-CS"/>
              </w:rPr>
              <w:t>Процена</w:t>
            </w:r>
          </w:p>
        </w:tc>
        <w:tc>
          <w:tcPr>
            <w:tcW w:w="1745" w:type="pct"/>
            <w:gridSpan w:val="3"/>
            <w:tcBorders>
              <w:top w:val="single" w:sz="4" w:space="0" w:color="002060"/>
              <w:bottom w:val="single" w:sz="4" w:space="0" w:color="002060"/>
            </w:tcBorders>
            <w:vAlign w:val="center"/>
          </w:tcPr>
          <w:p w14:paraId="51F34977" w14:textId="77777777" w:rsidR="004044DC" w:rsidRPr="007E770D" w:rsidRDefault="004044DC" w:rsidP="00E4657F">
            <w:pPr>
              <w:keepNext/>
              <w:widowControl w:val="0"/>
              <w:shd w:val="clear" w:color="auto" w:fill="FFFFFF" w:themeFill="background1"/>
              <w:spacing w:line="276" w:lineRule="auto"/>
              <w:jc w:val="center"/>
              <w:rPr>
                <w:rFonts w:asciiTheme="minorHAnsi" w:eastAsia="Times New Roman" w:hAnsiTheme="minorHAnsi" w:cstheme="minorHAnsi"/>
                <w:b w:val="0"/>
                <w:color w:val="auto"/>
                <w:sz w:val="18"/>
                <w:szCs w:val="18"/>
                <w:lang w:val="sr-Cyrl-CS"/>
              </w:rPr>
            </w:pPr>
            <w:r w:rsidRPr="007E770D">
              <w:rPr>
                <w:rFonts w:asciiTheme="minorHAnsi" w:hAnsiTheme="minorHAnsi" w:cstheme="minorHAnsi"/>
                <w:b w:val="0"/>
                <w:color w:val="auto"/>
                <w:sz w:val="18"/>
                <w:lang w:val="sr-Cyrl-CS"/>
              </w:rPr>
              <w:t>Пројекција</w:t>
            </w:r>
          </w:p>
        </w:tc>
      </w:tr>
      <w:tr w:rsidR="007E770D" w:rsidRPr="007E770D" w14:paraId="0E79A6DC" w14:textId="77777777" w:rsidTr="00E4657F">
        <w:trPr>
          <w:cnfStyle w:val="000000100000" w:firstRow="0" w:lastRow="0" w:firstColumn="0" w:lastColumn="0" w:oddVBand="0" w:evenVBand="0" w:oddHBand="1" w:evenHBand="0" w:firstRowFirstColumn="0" w:firstRowLastColumn="0" w:lastRowFirstColumn="0" w:lastRowLastColumn="0"/>
          <w:trHeight w:val="41"/>
        </w:trPr>
        <w:tc>
          <w:tcPr>
            <w:tcW w:w="1966" w:type="pct"/>
            <w:tcBorders>
              <w:top w:val="single" w:sz="4" w:space="0" w:color="002060"/>
              <w:bottom w:val="nil"/>
            </w:tcBorders>
            <w:shd w:val="clear" w:color="auto" w:fill="FFFFFF" w:themeFill="background1"/>
            <w:noWrap/>
          </w:tcPr>
          <w:p w14:paraId="71E9E7BF" w14:textId="77777777" w:rsidR="004044DC" w:rsidRPr="007E770D" w:rsidRDefault="004044DC" w:rsidP="00E4657F">
            <w:pPr>
              <w:keepNext/>
              <w:widowControl w:val="0"/>
              <w:shd w:val="clear" w:color="auto" w:fill="FFFFFF" w:themeFill="background1"/>
              <w:spacing w:line="276" w:lineRule="auto"/>
              <w:rPr>
                <w:rFonts w:asciiTheme="minorHAnsi" w:eastAsia="Times New Roman" w:hAnsiTheme="minorHAnsi" w:cstheme="minorHAnsi"/>
                <w:bCs/>
                <w:color w:val="auto"/>
                <w:sz w:val="18"/>
                <w:szCs w:val="18"/>
                <w:lang w:val="sr-Cyrl-CS"/>
              </w:rPr>
            </w:pPr>
          </w:p>
        </w:tc>
        <w:tc>
          <w:tcPr>
            <w:tcW w:w="644" w:type="pct"/>
            <w:tcBorders>
              <w:top w:val="single" w:sz="4" w:space="0" w:color="002060"/>
              <w:bottom w:val="single" w:sz="4" w:space="0" w:color="002060"/>
            </w:tcBorders>
            <w:shd w:val="clear" w:color="auto" w:fill="FFFFFF" w:themeFill="background1"/>
          </w:tcPr>
          <w:p w14:paraId="356C8BA4" w14:textId="77777777" w:rsidR="004044DC" w:rsidRPr="007E770D" w:rsidRDefault="004044DC" w:rsidP="00E4657F">
            <w:pPr>
              <w:keepNext/>
              <w:widowControl w:val="0"/>
              <w:shd w:val="clear" w:color="auto" w:fill="FFFFFF" w:themeFill="background1"/>
              <w:spacing w:line="276" w:lineRule="auto"/>
              <w:jc w:val="center"/>
              <w:rPr>
                <w:rFonts w:asciiTheme="minorHAnsi" w:eastAsia="Times New Roman" w:hAnsiTheme="minorHAnsi" w:cstheme="minorHAnsi"/>
                <w:bCs/>
                <w:color w:val="auto"/>
                <w:sz w:val="18"/>
                <w:szCs w:val="18"/>
                <w:lang w:val="sr-Cyrl-CS"/>
              </w:rPr>
            </w:pPr>
            <w:r w:rsidRPr="007E770D">
              <w:rPr>
                <w:rFonts w:asciiTheme="minorHAnsi" w:eastAsia="Times New Roman" w:hAnsiTheme="minorHAnsi" w:cstheme="minorHAnsi"/>
                <w:bCs/>
                <w:color w:val="auto"/>
                <w:sz w:val="18"/>
                <w:szCs w:val="18"/>
                <w:lang w:val="sr-Cyrl-CS"/>
              </w:rPr>
              <w:t>2018</w:t>
            </w:r>
          </w:p>
        </w:tc>
        <w:tc>
          <w:tcPr>
            <w:tcW w:w="644" w:type="pct"/>
            <w:tcBorders>
              <w:top w:val="single" w:sz="4" w:space="0" w:color="002060"/>
              <w:bottom w:val="single" w:sz="4" w:space="0" w:color="002060"/>
            </w:tcBorders>
            <w:shd w:val="clear" w:color="auto" w:fill="FFFFFF" w:themeFill="background1"/>
          </w:tcPr>
          <w:p w14:paraId="2035D2CB" w14:textId="77777777" w:rsidR="004044DC" w:rsidRPr="007E770D" w:rsidRDefault="004044DC" w:rsidP="00E4657F">
            <w:pPr>
              <w:keepNext/>
              <w:widowControl w:val="0"/>
              <w:shd w:val="clear" w:color="auto" w:fill="FFFFFF" w:themeFill="background1"/>
              <w:spacing w:line="276" w:lineRule="auto"/>
              <w:jc w:val="center"/>
              <w:rPr>
                <w:rFonts w:asciiTheme="minorHAnsi" w:eastAsia="Times New Roman" w:hAnsiTheme="minorHAnsi" w:cstheme="minorHAnsi"/>
                <w:bCs/>
                <w:color w:val="auto"/>
                <w:sz w:val="18"/>
                <w:szCs w:val="18"/>
                <w:lang w:val="sr-Cyrl-CS"/>
              </w:rPr>
            </w:pPr>
            <w:r w:rsidRPr="007E770D">
              <w:rPr>
                <w:rFonts w:asciiTheme="minorHAnsi" w:eastAsia="Times New Roman" w:hAnsiTheme="minorHAnsi" w:cstheme="minorHAnsi"/>
                <w:bCs/>
                <w:color w:val="auto"/>
                <w:sz w:val="18"/>
                <w:szCs w:val="18"/>
                <w:lang w:val="sr-Cyrl-CS"/>
              </w:rPr>
              <w:t>2019</w:t>
            </w:r>
          </w:p>
        </w:tc>
        <w:tc>
          <w:tcPr>
            <w:tcW w:w="581" w:type="pct"/>
            <w:tcBorders>
              <w:top w:val="single" w:sz="4" w:space="0" w:color="002060"/>
              <w:bottom w:val="single" w:sz="4" w:space="0" w:color="002060"/>
            </w:tcBorders>
            <w:shd w:val="clear" w:color="auto" w:fill="FFFFFF" w:themeFill="background1"/>
          </w:tcPr>
          <w:p w14:paraId="4BE482C6" w14:textId="77777777" w:rsidR="004044DC" w:rsidRPr="007E770D" w:rsidRDefault="004044DC" w:rsidP="00E4657F">
            <w:pPr>
              <w:keepNext/>
              <w:widowControl w:val="0"/>
              <w:shd w:val="clear" w:color="auto" w:fill="FFFFFF" w:themeFill="background1"/>
              <w:spacing w:line="276" w:lineRule="auto"/>
              <w:jc w:val="center"/>
              <w:rPr>
                <w:rFonts w:asciiTheme="minorHAnsi" w:eastAsia="Times New Roman" w:hAnsiTheme="minorHAnsi" w:cstheme="minorHAnsi"/>
                <w:bCs/>
                <w:color w:val="auto"/>
                <w:sz w:val="18"/>
                <w:szCs w:val="18"/>
                <w:lang w:val="sr-Cyrl-CS"/>
              </w:rPr>
            </w:pPr>
            <w:r w:rsidRPr="007E770D">
              <w:rPr>
                <w:rFonts w:asciiTheme="minorHAnsi" w:eastAsia="Times New Roman" w:hAnsiTheme="minorHAnsi" w:cstheme="minorHAnsi"/>
                <w:bCs/>
                <w:color w:val="auto"/>
                <w:sz w:val="18"/>
                <w:szCs w:val="18"/>
                <w:lang w:val="sr-Cyrl-CS"/>
              </w:rPr>
              <w:t>2020</w:t>
            </w:r>
          </w:p>
        </w:tc>
        <w:tc>
          <w:tcPr>
            <w:tcW w:w="581" w:type="pct"/>
            <w:tcBorders>
              <w:top w:val="single" w:sz="4" w:space="0" w:color="002060"/>
              <w:bottom w:val="single" w:sz="4" w:space="0" w:color="002060"/>
            </w:tcBorders>
            <w:shd w:val="clear" w:color="auto" w:fill="FFFFFF" w:themeFill="background1"/>
          </w:tcPr>
          <w:p w14:paraId="1879B548" w14:textId="77777777" w:rsidR="004044DC" w:rsidRPr="007E770D" w:rsidRDefault="004044DC" w:rsidP="00E4657F">
            <w:pPr>
              <w:keepNext/>
              <w:widowControl w:val="0"/>
              <w:shd w:val="clear" w:color="auto" w:fill="FFFFFF" w:themeFill="background1"/>
              <w:spacing w:line="276" w:lineRule="auto"/>
              <w:jc w:val="center"/>
              <w:rPr>
                <w:rFonts w:asciiTheme="minorHAnsi" w:eastAsia="Times New Roman" w:hAnsiTheme="minorHAnsi" w:cstheme="minorHAnsi"/>
                <w:bCs/>
                <w:color w:val="auto"/>
                <w:sz w:val="18"/>
                <w:szCs w:val="18"/>
                <w:lang w:val="sr-Cyrl-CS"/>
              </w:rPr>
            </w:pPr>
            <w:r w:rsidRPr="007E770D">
              <w:rPr>
                <w:rFonts w:asciiTheme="minorHAnsi" w:eastAsia="Times New Roman" w:hAnsiTheme="minorHAnsi" w:cstheme="minorHAnsi"/>
                <w:bCs/>
                <w:color w:val="auto"/>
                <w:sz w:val="18"/>
                <w:szCs w:val="18"/>
                <w:lang w:val="sr-Cyrl-CS"/>
              </w:rPr>
              <w:t>2021</w:t>
            </w:r>
          </w:p>
        </w:tc>
        <w:tc>
          <w:tcPr>
            <w:tcW w:w="583" w:type="pct"/>
            <w:tcBorders>
              <w:top w:val="single" w:sz="4" w:space="0" w:color="002060"/>
              <w:bottom w:val="single" w:sz="4" w:space="0" w:color="002060"/>
            </w:tcBorders>
            <w:shd w:val="clear" w:color="auto" w:fill="FFFFFF" w:themeFill="background1"/>
          </w:tcPr>
          <w:p w14:paraId="102C4C59" w14:textId="77777777" w:rsidR="004044DC" w:rsidRPr="007E770D" w:rsidRDefault="004044DC" w:rsidP="00E4657F">
            <w:pPr>
              <w:keepNext/>
              <w:widowControl w:val="0"/>
              <w:shd w:val="clear" w:color="auto" w:fill="FFFFFF" w:themeFill="background1"/>
              <w:spacing w:line="276" w:lineRule="auto"/>
              <w:jc w:val="center"/>
              <w:rPr>
                <w:rFonts w:asciiTheme="minorHAnsi" w:eastAsia="Times New Roman" w:hAnsiTheme="minorHAnsi" w:cstheme="minorHAnsi"/>
                <w:bCs/>
                <w:color w:val="auto"/>
                <w:sz w:val="18"/>
                <w:szCs w:val="18"/>
                <w:lang w:val="sr-Cyrl-CS"/>
              </w:rPr>
            </w:pPr>
            <w:r w:rsidRPr="007E770D">
              <w:rPr>
                <w:rFonts w:asciiTheme="minorHAnsi" w:eastAsia="Times New Roman" w:hAnsiTheme="minorHAnsi" w:cstheme="minorHAnsi"/>
                <w:bCs/>
                <w:color w:val="auto"/>
                <w:sz w:val="18"/>
                <w:szCs w:val="18"/>
                <w:lang w:val="sr-Cyrl-CS"/>
              </w:rPr>
              <w:t>2022</w:t>
            </w:r>
          </w:p>
        </w:tc>
      </w:tr>
      <w:tr w:rsidR="007E770D" w:rsidRPr="007E770D" w14:paraId="4411F4AE" w14:textId="77777777" w:rsidTr="00E4657F">
        <w:trPr>
          <w:trHeight w:val="41"/>
        </w:trPr>
        <w:tc>
          <w:tcPr>
            <w:tcW w:w="1966" w:type="pct"/>
            <w:tcBorders>
              <w:top w:val="nil"/>
            </w:tcBorders>
            <w:shd w:val="clear" w:color="auto" w:fill="FFFFFF" w:themeFill="background1"/>
          </w:tcPr>
          <w:p w14:paraId="6C03060F" w14:textId="77777777" w:rsidR="004044DC" w:rsidRPr="007E770D" w:rsidRDefault="004044DC" w:rsidP="00E4657F">
            <w:pPr>
              <w:keepNext/>
              <w:widowControl w:val="0"/>
              <w:shd w:val="clear" w:color="auto" w:fill="FFFFFF" w:themeFill="background1"/>
              <w:spacing w:line="276" w:lineRule="auto"/>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ЈАВНИ РАСХОДИ</w:t>
            </w:r>
          </w:p>
        </w:tc>
        <w:tc>
          <w:tcPr>
            <w:tcW w:w="644" w:type="pct"/>
            <w:tcBorders>
              <w:top w:val="single" w:sz="4" w:space="0" w:color="002060"/>
            </w:tcBorders>
            <w:shd w:val="clear" w:color="auto" w:fill="FFFFFF" w:themeFill="background1"/>
          </w:tcPr>
          <w:p w14:paraId="4B0C59DF"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40,9</w:t>
            </w:r>
          </w:p>
        </w:tc>
        <w:tc>
          <w:tcPr>
            <w:tcW w:w="644" w:type="pct"/>
            <w:tcBorders>
              <w:top w:val="single" w:sz="4" w:space="0" w:color="002060"/>
            </w:tcBorders>
            <w:shd w:val="clear" w:color="auto" w:fill="FFFFFF" w:themeFill="background1"/>
            <w:noWrap/>
          </w:tcPr>
          <w:p w14:paraId="33E0938F"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41,9</w:t>
            </w:r>
          </w:p>
        </w:tc>
        <w:tc>
          <w:tcPr>
            <w:tcW w:w="581" w:type="pct"/>
            <w:tcBorders>
              <w:top w:val="single" w:sz="4" w:space="0" w:color="002060"/>
            </w:tcBorders>
            <w:shd w:val="clear" w:color="auto" w:fill="FFFFFF" w:themeFill="background1"/>
            <w:noWrap/>
          </w:tcPr>
          <w:p w14:paraId="49899CBB" w14:textId="627AA6B2" w:rsidR="004044DC" w:rsidRPr="007E770D" w:rsidRDefault="00227CB2"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40,7</w:t>
            </w:r>
          </w:p>
        </w:tc>
        <w:tc>
          <w:tcPr>
            <w:tcW w:w="581" w:type="pct"/>
            <w:tcBorders>
              <w:top w:val="single" w:sz="4" w:space="0" w:color="002060"/>
            </w:tcBorders>
            <w:shd w:val="clear" w:color="auto" w:fill="FFFFFF" w:themeFill="background1"/>
            <w:noWrap/>
          </w:tcPr>
          <w:p w14:paraId="3F4E8C39"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39,9</w:t>
            </w:r>
          </w:p>
        </w:tc>
        <w:tc>
          <w:tcPr>
            <w:tcW w:w="583" w:type="pct"/>
            <w:tcBorders>
              <w:top w:val="single" w:sz="4" w:space="0" w:color="002060"/>
            </w:tcBorders>
            <w:shd w:val="clear" w:color="auto" w:fill="FFFFFF" w:themeFill="background1"/>
            <w:noWrap/>
          </w:tcPr>
          <w:p w14:paraId="43663BD3"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39,2</w:t>
            </w:r>
          </w:p>
        </w:tc>
      </w:tr>
      <w:tr w:rsidR="007E770D" w:rsidRPr="007E770D" w14:paraId="078C16C9" w14:textId="77777777" w:rsidTr="00E4657F">
        <w:trPr>
          <w:cnfStyle w:val="000000100000" w:firstRow="0" w:lastRow="0" w:firstColumn="0" w:lastColumn="0" w:oddVBand="0" w:evenVBand="0" w:oddHBand="1" w:evenHBand="0" w:firstRowFirstColumn="0" w:firstRowLastColumn="0" w:lastRowFirstColumn="0" w:lastRowLastColumn="0"/>
          <w:trHeight w:val="41"/>
        </w:trPr>
        <w:tc>
          <w:tcPr>
            <w:tcW w:w="1966" w:type="pct"/>
            <w:shd w:val="clear" w:color="auto" w:fill="FFFFFF" w:themeFill="background1"/>
          </w:tcPr>
          <w:p w14:paraId="7FE487AE" w14:textId="77777777" w:rsidR="004044DC" w:rsidRPr="007E770D" w:rsidRDefault="004044DC" w:rsidP="00E4657F">
            <w:pPr>
              <w:keepNext/>
              <w:widowControl w:val="0"/>
              <w:shd w:val="clear" w:color="auto" w:fill="FFFFFF" w:themeFill="background1"/>
              <w:spacing w:line="276" w:lineRule="auto"/>
              <w:rPr>
                <w:rFonts w:asciiTheme="minorHAnsi" w:eastAsia="Times New Roman" w:hAnsiTheme="minorHAnsi" w:cstheme="minorHAnsi"/>
                <w:bCs/>
                <w:color w:val="auto"/>
                <w:sz w:val="18"/>
                <w:szCs w:val="18"/>
                <w:lang w:val="sr-Cyrl-CS"/>
              </w:rPr>
            </w:pPr>
            <w:r w:rsidRPr="007E770D">
              <w:rPr>
                <w:rFonts w:asciiTheme="minorHAnsi" w:eastAsia="Times New Roman" w:hAnsiTheme="minorHAnsi" w:cstheme="minorHAnsi"/>
                <w:bCs/>
                <w:color w:val="auto"/>
                <w:sz w:val="18"/>
                <w:szCs w:val="18"/>
                <w:lang w:val="sr-Cyrl-CS"/>
              </w:rPr>
              <w:t xml:space="preserve"> Текући расходи</w:t>
            </w:r>
          </w:p>
        </w:tc>
        <w:tc>
          <w:tcPr>
            <w:tcW w:w="644" w:type="pct"/>
            <w:shd w:val="clear" w:color="auto" w:fill="FFFFFF" w:themeFill="background1"/>
          </w:tcPr>
          <w:p w14:paraId="7D36218F"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36,4</w:t>
            </w:r>
          </w:p>
        </w:tc>
        <w:tc>
          <w:tcPr>
            <w:tcW w:w="644" w:type="pct"/>
            <w:shd w:val="clear" w:color="auto" w:fill="FFFFFF" w:themeFill="background1"/>
            <w:noWrap/>
          </w:tcPr>
          <w:p w14:paraId="20B254D3"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37,2</w:t>
            </w:r>
          </w:p>
        </w:tc>
        <w:tc>
          <w:tcPr>
            <w:tcW w:w="581" w:type="pct"/>
            <w:shd w:val="clear" w:color="auto" w:fill="FFFFFF" w:themeFill="background1"/>
            <w:noWrap/>
          </w:tcPr>
          <w:p w14:paraId="746CEF73" w14:textId="46F9C2E0" w:rsidR="004044DC" w:rsidRPr="007E770D" w:rsidRDefault="004562C1"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35,9</w:t>
            </w:r>
          </w:p>
        </w:tc>
        <w:tc>
          <w:tcPr>
            <w:tcW w:w="581" w:type="pct"/>
            <w:shd w:val="clear" w:color="auto" w:fill="FFFFFF" w:themeFill="background1"/>
            <w:noWrap/>
          </w:tcPr>
          <w:p w14:paraId="122B15F3" w14:textId="5907D74B" w:rsidR="004044DC" w:rsidRPr="007E770D" w:rsidRDefault="00227CB2"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35,0</w:t>
            </w:r>
          </w:p>
        </w:tc>
        <w:tc>
          <w:tcPr>
            <w:tcW w:w="583" w:type="pct"/>
            <w:shd w:val="clear" w:color="auto" w:fill="FFFFFF" w:themeFill="background1"/>
            <w:noWrap/>
          </w:tcPr>
          <w:p w14:paraId="19F5D8D5"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34,3</w:t>
            </w:r>
          </w:p>
        </w:tc>
      </w:tr>
      <w:tr w:rsidR="007E770D" w:rsidRPr="007E770D" w14:paraId="68EED551" w14:textId="77777777" w:rsidTr="00E4657F">
        <w:trPr>
          <w:trHeight w:val="41"/>
        </w:trPr>
        <w:tc>
          <w:tcPr>
            <w:tcW w:w="1966" w:type="pct"/>
            <w:shd w:val="clear" w:color="auto" w:fill="FFFFFF" w:themeFill="background1"/>
          </w:tcPr>
          <w:p w14:paraId="2452C15D" w14:textId="77777777" w:rsidR="004044DC" w:rsidRPr="007E770D" w:rsidRDefault="004044DC" w:rsidP="00E4657F">
            <w:pPr>
              <w:keepNext/>
              <w:widowControl w:val="0"/>
              <w:shd w:val="clear" w:color="auto" w:fill="FFFFFF" w:themeFill="background1"/>
              <w:spacing w:line="276" w:lineRule="auto"/>
              <w:ind w:left="284"/>
              <w:rPr>
                <w:rFonts w:asciiTheme="minorHAnsi" w:eastAsia="Times New Roman" w:hAnsiTheme="minorHAnsi" w:cstheme="minorHAnsi"/>
                <w:bCs/>
                <w:color w:val="auto"/>
                <w:sz w:val="18"/>
                <w:szCs w:val="18"/>
                <w:lang w:val="sr-Cyrl-CS"/>
              </w:rPr>
            </w:pPr>
            <w:r w:rsidRPr="007E770D">
              <w:rPr>
                <w:rFonts w:asciiTheme="minorHAnsi" w:eastAsia="Times New Roman" w:hAnsiTheme="minorHAnsi" w:cstheme="minorHAnsi"/>
                <w:bCs/>
                <w:color w:val="auto"/>
                <w:sz w:val="18"/>
                <w:szCs w:val="18"/>
                <w:lang w:val="sr-Cyrl-CS"/>
              </w:rPr>
              <w:t>Расходи за запослене</w:t>
            </w:r>
          </w:p>
        </w:tc>
        <w:tc>
          <w:tcPr>
            <w:tcW w:w="644" w:type="pct"/>
            <w:shd w:val="clear" w:color="auto" w:fill="FFFFFF" w:themeFill="background1"/>
          </w:tcPr>
          <w:p w14:paraId="15D0C3EF"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9,3</w:t>
            </w:r>
          </w:p>
        </w:tc>
        <w:tc>
          <w:tcPr>
            <w:tcW w:w="644" w:type="pct"/>
            <w:shd w:val="clear" w:color="auto" w:fill="FFFFFF" w:themeFill="background1"/>
            <w:noWrap/>
          </w:tcPr>
          <w:p w14:paraId="04F975AE"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9,5</w:t>
            </w:r>
          </w:p>
        </w:tc>
        <w:tc>
          <w:tcPr>
            <w:tcW w:w="581" w:type="pct"/>
            <w:shd w:val="clear" w:color="auto" w:fill="FFFFFF" w:themeFill="background1"/>
            <w:noWrap/>
          </w:tcPr>
          <w:p w14:paraId="71243D1E"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9,5</w:t>
            </w:r>
          </w:p>
        </w:tc>
        <w:tc>
          <w:tcPr>
            <w:tcW w:w="581" w:type="pct"/>
            <w:shd w:val="clear" w:color="auto" w:fill="FFFFFF" w:themeFill="background1"/>
            <w:noWrap/>
          </w:tcPr>
          <w:p w14:paraId="1649AED9"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9,5</w:t>
            </w:r>
          </w:p>
        </w:tc>
        <w:tc>
          <w:tcPr>
            <w:tcW w:w="583" w:type="pct"/>
            <w:shd w:val="clear" w:color="auto" w:fill="FFFFFF" w:themeFill="background1"/>
            <w:noWrap/>
          </w:tcPr>
          <w:p w14:paraId="23C5738E"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9,5</w:t>
            </w:r>
          </w:p>
        </w:tc>
      </w:tr>
      <w:tr w:rsidR="007E770D" w:rsidRPr="007E770D" w14:paraId="1625A21C" w14:textId="77777777" w:rsidTr="00E4657F">
        <w:trPr>
          <w:cnfStyle w:val="000000100000" w:firstRow="0" w:lastRow="0" w:firstColumn="0" w:lastColumn="0" w:oddVBand="0" w:evenVBand="0" w:oddHBand="1" w:evenHBand="0" w:firstRowFirstColumn="0" w:firstRowLastColumn="0" w:lastRowFirstColumn="0" w:lastRowLastColumn="0"/>
          <w:trHeight w:val="41"/>
        </w:trPr>
        <w:tc>
          <w:tcPr>
            <w:tcW w:w="1966" w:type="pct"/>
            <w:shd w:val="clear" w:color="auto" w:fill="FFFFFF" w:themeFill="background1"/>
          </w:tcPr>
          <w:p w14:paraId="2D7A7040" w14:textId="77777777" w:rsidR="004044DC" w:rsidRPr="007E770D" w:rsidRDefault="004044DC" w:rsidP="00E4657F">
            <w:pPr>
              <w:keepNext/>
              <w:widowControl w:val="0"/>
              <w:shd w:val="clear" w:color="auto" w:fill="FFFFFF" w:themeFill="background1"/>
              <w:spacing w:line="276" w:lineRule="auto"/>
              <w:ind w:left="284"/>
              <w:rPr>
                <w:rFonts w:asciiTheme="minorHAnsi" w:eastAsia="Times New Roman" w:hAnsiTheme="minorHAnsi" w:cstheme="minorHAnsi"/>
                <w:bCs/>
                <w:color w:val="auto"/>
                <w:sz w:val="18"/>
                <w:szCs w:val="18"/>
                <w:lang w:val="sr-Cyrl-CS"/>
              </w:rPr>
            </w:pPr>
            <w:r w:rsidRPr="007E770D">
              <w:rPr>
                <w:rFonts w:asciiTheme="minorHAnsi" w:eastAsia="Times New Roman" w:hAnsiTheme="minorHAnsi" w:cstheme="minorHAnsi"/>
                <w:bCs/>
                <w:color w:val="auto"/>
                <w:sz w:val="18"/>
                <w:szCs w:val="18"/>
                <w:lang w:val="sr-Cyrl-CS"/>
              </w:rPr>
              <w:t>Куповина робе и услуга</w:t>
            </w:r>
          </w:p>
        </w:tc>
        <w:tc>
          <w:tcPr>
            <w:tcW w:w="644" w:type="pct"/>
            <w:shd w:val="clear" w:color="auto" w:fill="FFFFFF" w:themeFill="background1"/>
          </w:tcPr>
          <w:p w14:paraId="4D310956"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6,8</w:t>
            </w:r>
          </w:p>
        </w:tc>
        <w:tc>
          <w:tcPr>
            <w:tcW w:w="644" w:type="pct"/>
            <w:shd w:val="clear" w:color="auto" w:fill="FFFFFF" w:themeFill="background1"/>
            <w:noWrap/>
          </w:tcPr>
          <w:p w14:paraId="6D400A05"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7,1</w:t>
            </w:r>
          </w:p>
        </w:tc>
        <w:tc>
          <w:tcPr>
            <w:tcW w:w="581" w:type="pct"/>
            <w:shd w:val="clear" w:color="auto" w:fill="FFFFFF" w:themeFill="background1"/>
            <w:noWrap/>
          </w:tcPr>
          <w:p w14:paraId="4CCD6397" w14:textId="6CB7B81E" w:rsidR="004044DC" w:rsidRPr="007E770D" w:rsidRDefault="00227CB2"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6,8</w:t>
            </w:r>
          </w:p>
        </w:tc>
        <w:tc>
          <w:tcPr>
            <w:tcW w:w="581" w:type="pct"/>
            <w:shd w:val="clear" w:color="auto" w:fill="FFFFFF" w:themeFill="background1"/>
            <w:noWrap/>
          </w:tcPr>
          <w:p w14:paraId="7E7288C5" w14:textId="444842F4" w:rsidR="004044DC" w:rsidRPr="007E770D" w:rsidRDefault="00227CB2"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6,7</w:t>
            </w:r>
          </w:p>
        </w:tc>
        <w:tc>
          <w:tcPr>
            <w:tcW w:w="583" w:type="pct"/>
            <w:shd w:val="clear" w:color="auto" w:fill="FFFFFF" w:themeFill="background1"/>
            <w:noWrap/>
          </w:tcPr>
          <w:p w14:paraId="0AF5E382" w14:textId="7522ACA5" w:rsidR="004044DC" w:rsidRPr="007E770D" w:rsidRDefault="00227CB2"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6,6</w:t>
            </w:r>
          </w:p>
        </w:tc>
      </w:tr>
      <w:tr w:rsidR="007E770D" w:rsidRPr="007E770D" w14:paraId="6438E4DC" w14:textId="77777777" w:rsidTr="00E4657F">
        <w:trPr>
          <w:trHeight w:val="41"/>
        </w:trPr>
        <w:tc>
          <w:tcPr>
            <w:tcW w:w="1966" w:type="pct"/>
            <w:shd w:val="clear" w:color="auto" w:fill="FFFFFF" w:themeFill="background1"/>
          </w:tcPr>
          <w:p w14:paraId="3CC8C245" w14:textId="77777777" w:rsidR="004044DC" w:rsidRPr="007E770D" w:rsidRDefault="004044DC" w:rsidP="00E4657F">
            <w:pPr>
              <w:keepNext/>
              <w:widowControl w:val="0"/>
              <w:shd w:val="clear" w:color="auto" w:fill="FFFFFF" w:themeFill="background1"/>
              <w:spacing w:line="276" w:lineRule="auto"/>
              <w:ind w:left="284"/>
              <w:rPr>
                <w:rFonts w:asciiTheme="minorHAnsi" w:eastAsia="Times New Roman" w:hAnsiTheme="minorHAnsi" w:cstheme="minorHAnsi"/>
                <w:bCs/>
                <w:color w:val="auto"/>
                <w:sz w:val="18"/>
                <w:szCs w:val="18"/>
                <w:lang w:val="sr-Cyrl-CS"/>
              </w:rPr>
            </w:pPr>
            <w:r w:rsidRPr="007E770D">
              <w:rPr>
                <w:rFonts w:asciiTheme="minorHAnsi" w:eastAsia="Times New Roman" w:hAnsiTheme="minorHAnsi" w:cstheme="minorHAnsi"/>
                <w:bCs/>
                <w:color w:val="auto"/>
                <w:sz w:val="18"/>
                <w:szCs w:val="18"/>
                <w:lang w:val="sr-Cyrl-CS"/>
              </w:rPr>
              <w:t>Отплата камата</w:t>
            </w:r>
          </w:p>
        </w:tc>
        <w:tc>
          <w:tcPr>
            <w:tcW w:w="644" w:type="pct"/>
            <w:shd w:val="clear" w:color="auto" w:fill="FFFFFF" w:themeFill="background1"/>
          </w:tcPr>
          <w:p w14:paraId="7CD1B072"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2,1</w:t>
            </w:r>
          </w:p>
        </w:tc>
        <w:tc>
          <w:tcPr>
            <w:tcW w:w="644" w:type="pct"/>
            <w:shd w:val="clear" w:color="auto" w:fill="FFFFFF" w:themeFill="background1"/>
            <w:noWrap/>
          </w:tcPr>
          <w:p w14:paraId="136B0E63"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2,1</w:t>
            </w:r>
          </w:p>
        </w:tc>
        <w:tc>
          <w:tcPr>
            <w:tcW w:w="581" w:type="pct"/>
            <w:shd w:val="clear" w:color="auto" w:fill="FFFFFF" w:themeFill="background1"/>
            <w:noWrap/>
          </w:tcPr>
          <w:p w14:paraId="0D13A0F1"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1,9</w:t>
            </w:r>
          </w:p>
        </w:tc>
        <w:tc>
          <w:tcPr>
            <w:tcW w:w="581" w:type="pct"/>
            <w:shd w:val="clear" w:color="auto" w:fill="FFFFFF" w:themeFill="background1"/>
            <w:noWrap/>
          </w:tcPr>
          <w:p w14:paraId="45120123"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1,7</w:t>
            </w:r>
          </w:p>
        </w:tc>
        <w:tc>
          <w:tcPr>
            <w:tcW w:w="583" w:type="pct"/>
            <w:shd w:val="clear" w:color="auto" w:fill="FFFFFF" w:themeFill="background1"/>
            <w:noWrap/>
          </w:tcPr>
          <w:p w14:paraId="5EC26F68"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1,6</w:t>
            </w:r>
          </w:p>
        </w:tc>
      </w:tr>
      <w:tr w:rsidR="007E770D" w:rsidRPr="007E770D" w14:paraId="6964960B" w14:textId="77777777" w:rsidTr="00E4657F">
        <w:trPr>
          <w:cnfStyle w:val="000000100000" w:firstRow="0" w:lastRow="0" w:firstColumn="0" w:lastColumn="0" w:oddVBand="0" w:evenVBand="0" w:oddHBand="1" w:evenHBand="0" w:firstRowFirstColumn="0" w:firstRowLastColumn="0" w:lastRowFirstColumn="0" w:lastRowLastColumn="0"/>
          <w:trHeight w:val="41"/>
        </w:trPr>
        <w:tc>
          <w:tcPr>
            <w:tcW w:w="1966" w:type="pct"/>
            <w:shd w:val="clear" w:color="auto" w:fill="FFFFFF" w:themeFill="background1"/>
          </w:tcPr>
          <w:p w14:paraId="75B0C454" w14:textId="77777777" w:rsidR="004044DC" w:rsidRPr="007E770D" w:rsidRDefault="004044DC" w:rsidP="00E4657F">
            <w:pPr>
              <w:keepNext/>
              <w:widowControl w:val="0"/>
              <w:shd w:val="clear" w:color="auto" w:fill="FFFFFF" w:themeFill="background1"/>
              <w:spacing w:line="276" w:lineRule="auto"/>
              <w:ind w:left="284"/>
              <w:rPr>
                <w:rFonts w:asciiTheme="minorHAnsi" w:eastAsia="Times New Roman" w:hAnsiTheme="minorHAnsi" w:cstheme="minorHAnsi"/>
                <w:bCs/>
                <w:color w:val="auto"/>
                <w:sz w:val="18"/>
                <w:szCs w:val="18"/>
                <w:lang w:val="sr-Cyrl-CS"/>
              </w:rPr>
            </w:pPr>
            <w:r w:rsidRPr="007E770D">
              <w:rPr>
                <w:rFonts w:asciiTheme="minorHAnsi" w:eastAsia="Times New Roman" w:hAnsiTheme="minorHAnsi" w:cstheme="minorHAnsi"/>
                <w:bCs/>
                <w:color w:val="auto"/>
                <w:sz w:val="18"/>
                <w:szCs w:val="18"/>
                <w:lang w:val="sr-Cyrl-CS"/>
              </w:rPr>
              <w:t>Субвенције</w:t>
            </w:r>
          </w:p>
        </w:tc>
        <w:tc>
          <w:tcPr>
            <w:tcW w:w="644" w:type="pct"/>
            <w:shd w:val="clear" w:color="auto" w:fill="FFFFFF" w:themeFill="background1"/>
          </w:tcPr>
          <w:p w14:paraId="1968C6C0"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2,2</w:t>
            </w:r>
          </w:p>
        </w:tc>
        <w:tc>
          <w:tcPr>
            <w:tcW w:w="644" w:type="pct"/>
            <w:shd w:val="clear" w:color="auto" w:fill="FFFFFF" w:themeFill="background1"/>
            <w:noWrap/>
          </w:tcPr>
          <w:p w14:paraId="639D6D85"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2,4</w:t>
            </w:r>
          </w:p>
        </w:tc>
        <w:tc>
          <w:tcPr>
            <w:tcW w:w="581" w:type="pct"/>
            <w:shd w:val="clear" w:color="auto" w:fill="FFFFFF" w:themeFill="background1"/>
            <w:noWrap/>
          </w:tcPr>
          <w:p w14:paraId="297F62E1"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2,0</w:t>
            </w:r>
          </w:p>
        </w:tc>
        <w:tc>
          <w:tcPr>
            <w:tcW w:w="581" w:type="pct"/>
            <w:shd w:val="clear" w:color="auto" w:fill="FFFFFF" w:themeFill="background1"/>
            <w:noWrap/>
          </w:tcPr>
          <w:p w14:paraId="17012A3B"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1,8</w:t>
            </w:r>
          </w:p>
        </w:tc>
        <w:tc>
          <w:tcPr>
            <w:tcW w:w="583" w:type="pct"/>
            <w:shd w:val="clear" w:color="auto" w:fill="FFFFFF" w:themeFill="background1"/>
            <w:noWrap/>
          </w:tcPr>
          <w:p w14:paraId="22BDE0C4"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1,8</w:t>
            </w:r>
          </w:p>
        </w:tc>
      </w:tr>
      <w:tr w:rsidR="007E770D" w:rsidRPr="007E770D" w14:paraId="18781B63" w14:textId="77777777" w:rsidTr="00E4657F">
        <w:trPr>
          <w:trHeight w:val="41"/>
        </w:trPr>
        <w:tc>
          <w:tcPr>
            <w:tcW w:w="1966" w:type="pct"/>
            <w:shd w:val="clear" w:color="auto" w:fill="FFFFFF" w:themeFill="background1"/>
          </w:tcPr>
          <w:p w14:paraId="52DD11D7" w14:textId="77777777" w:rsidR="004044DC" w:rsidRPr="007E770D" w:rsidRDefault="004044DC" w:rsidP="00E4657F">
            <w:pPr>
              <w:keepNext/>
              <w:widowControl w:val="0"/>
              <w:shd w:val="clear" w:color="auto" w:fill="FFFFFF" w:themeFill="background1"/>
              <w:spacing w:line="276" w:lineRule="auto"/>
              <w:ind w:left="284"/>
              <w:rPr>
                <w:rFonts w:asciiTheme="minorHAnsi" w:eastAsia="Times New Roman" w:hAnsiTheme="minorHAnsi" w:cstheme="minorHAnsi"/>
                <w:bCs/>
                <w:color w:val="auto"/>
                <w:sz w:val="18"/>
                <w:szCs w:val="18"/>
                <w:lang w:val="sr-Cyrl-CS"/>
              </w:rPr>
            </w:pPr>
            <w:r w:rsidRPr="007E770D">
              <w:rPr>
                <w:rFonts w:asciiTheme="minorHAnsi" w:eastAsia="Times New Roman" w:hAnsiTheme="minorHAnsi" w:cstheme="minorHAnsi"/>
                <w:bCs/>
                <w:color w:val="auto"/>
                <w:sz w:val="18"/>
                <w:szCs w:val="18"/>
                <w:lang w:val="sr-Cyrl-CS"/>
              </w:rPr>
              <w:t>Социјална помоћ и трансфери</w:t>
            </w:r>
          </w:p>
        </w:tc>
        <w:tc>
          <w:tcPr>
            <w:tcW w:w="644" w:type="pct"/>
            <w:shd w:val="clear" w:color="auto" w:fill="FFFFFF" w:themeFill="background1"/>
          </w:tcPr>
          <w:p w14:paraId="060249E3"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14,7</w:t>
            </w:r>
          </w:p>
        </w:tc>
        <w:tc>
          <w:tcPr>
            <w:tcW w:w="644" w:type="pct"/>
            <w:shd w:val="clear" w:color="auto" w:fill="FFFFFF" w:themeFill="background1"/>
            <w:noWrap/>
          </w:tcPr>
          <w:p w14:paraId="20D948B5"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14,7</w:t>
            </w:r>
          </w:p>
        </w:tc>
        <w:tc>
          <w:tcPr>
            <w:tcW w:w="581" w:type="pct"/>
            <w:shd w:val="clear" w:color="auto" w:fill="FFFFFF" w:themeFill="background1"/>
            <w:noWrap/>
          </w:tcPr>
          <w:p w14:paraId="4AC706EB"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14,2</w:t>
            </w:r>
          </w:p>
        </w:tc>
        <w:tc>
          <w:tcPr>
            <w:tcW w:w="581" w:type="pct"/>
            <w:shd w:val="clear" w:color="auto" w:fill="FFFFFF" w:themeFill="background1"/>
            <w:noWrap/>
          </w:tcPr>
          <w:p w14:paraId="506143EE"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13,9</w:t>
            </w:r>
          </w:p>
        </w:tc>
        <w:tc>
          <w:tcPr>
            <w:tcW w:w="583" w:type="pct"/>
            <w:shd w:val="clear" w:color="auto" w:fill="FFFFFF" w:themeFill="background1"/>
            <w:noWrap/>
          </w:tcPr>
          <w:p w14:paraId="3E77E424"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13,5</w:t>
            </w:r>
          </w:p>
        </w:tc>
      </w:tr>
      <w:tr w:rsidR="007E770D" w:rsidRPr="007E770D" w14:paraId="240B93FF" w14:textId="77777777" w:rsidTr="00E4657F">
        <w:trPr>
          <w:cnfStyle w:val="000000100000" w:firstRow="0" w:lastRow="0" w:firstColumn="0" w:lastColumn="0" w:oddVBand="0" w:evenVBand="0" w:oddHBand="1" w:evenHBand="0" w:firstRowFirstColumn="0" w:firstRowLastColumn="0" w:lastRowFirstColumn="0" w:lastRowLastColumn="0"/>
          <w:trHeight w:val="87"/>
        </w:trPr>
        <w:tc>
          <w:tcPr>
            <w:tcW w:w="1966" w:type="pct"/>
            <w:shd w:val="clear" w:color="auto" w:fill="FFFFFF" w:themeFill="background1"/>
          </w:tcPr>
          <w:p w14:paraId="52BF646E" w14:textId="77777777" w:rsidR="004044DC" w:rsidRPr="007E770D" w:rsidRDefault="004044DC" w:rsidP="00E4657F">
            <w:pPr>
              <w:keepNext/>
              <w:widowControl w:val="0"/>
              <w:shd w:val="clear" w:color="auto" w:fill="FFFFFF" w:themeFill="background1"/>
              <w:spacing w:line="276" w:lineRule="auto"/>
              <w:ind w:left="397"/>
              <w:rPr>
                <w:rFonts w:asciiTheme="minorHAnsi" w:eastAsia="Times New Roman" w:hAnsiTheme="minorHAnsi" w:cstheme="minorHAnsi"/>
                <w:bCs/>
                <w:i/>
                <w:color w:val="auto"/>
                <w:sz w:val="18"/>
                <w:szCs w:val="18"/>
                <w:lang w:val="sr-Cyrl-CS"/>
              </w:rPr>
            </w:pPr>
            <w:r w:rsidRPr="007E770D">
              <w:rPr>
                <w:rFonts w:asciiTheme="minorHAnsi" w:eastAsia="Times New Roman" w:hAnsiTheme="minorHAnsi" w:cstheme="minorHAnsi"/>
                <w:bCs/>
                <w:i/>
                <w:color w:val="auto"/>
                <w:sz w:val="18"/>
                <w:szCs w:val="18"/>
                <w:lang w:val="sr-Cyrl-CS"/>
              </w:rPr>
              <w:t>од чега пензије</w:t>
            </w:r>
          </w:p>
        </w:tc>
        <w:tc>
          <w:tcPr>
            <w:tcW w:w="644" w:type="pct"/>
            <w:shd w:val="clear" w:color="auto" w:fill="FFFFFF" w:themeFill="background1"/>
          </w:tcPr>
          <w:p w14:paraId="137CA409" w14:textId="77777777" w:rsidR="004044DC" w:rsidRPr="007E770D" w:rsidRDefault="004044DC" w:rsidP="00E4657F">
            <w:pPr>
              <w:shd w:val="clear" w:color="auto" w:fill="FFFFFF" w:themeFill="background1"/>
              <w:spacing w:line="276" w:lineRule="auto"/>
              <w:jc w:val="center"/>
              <w:rPr>
                <w:rFonts w:asciiTheme="minorHAnsi" w:hAnsiTheme="minorHAnsi" w:cstheme="minorHAnsi"/>
                <w:i/>
                <w:color w:val="auto"/>
                <w:sz w:val="18"/>
                <w:szCs w:val="18"/>
                <w:lang w:val="sr-Cyrl-CS"/>
              </w:rPr>
            </w:pPr>
            <w:r w:rsidRPr="007E770D">
              <w:rPr>
                <w:rFonts w:asciiTheme="minorHAnsi" w:hAnsiTheme="minorHAnsi" w:cstheme="minorHAnsi"/>
                <w:i/>
                <w:color w:val="auto"/>
                <w:sz w:val="18"/>
                <w:szCs w:val="18"/>
                <w:lang w:val="sr-Cyrl-CS"/>
              </w:rPr>
              <w:t>10,4</w:t>
            </w:r>
          </w:p>
        </w:tc>
        <w:tc>
          <w:tcPr>
            <w:tcW w:w="644" w:type="pct"/>
            <w:shd w:val="clear" w:color="auto" w:fill="FFFFFF" w:themeFill="background1"/>
            <w:noWrap/>
          </w:tcPr>
          <w:p w14:paraId="2FAD991B" w14:textId="77777777" w:rsidR="004044DC" w:rsidRPr="007E770D" w:rsidRDefault="004044DC" w:rsidP="00E4657F">
            <w:pPr>
              <w:shd w:val="clear" w:color="auto" w:fill="FFFFFF" w:themeFill="background1"/>
              <w:spacing w:line="276" w:lineRule="auto"/>
              <w:jc w:val="center"/>
              <w:rPr>
                <w:rFonts w:asciiTheme="minorHAnsi" w:hAnsiTheme="minorHAnsi" w:cstheme="minorHAnsi"/>
                <w:i/>
                <w:color w:val="auto"/>
                <w:sz w:val="18"/>
                <w:szCs w:val="18"/>
                <w:lang w:val="sr-Cyrl-CS"/>
              </w:rPr>
            </w:pPr>
            <w:r w:rsidRPr="007E770D">
              <w:rPr>
                <w:rFonts w:asciiTheme="minorHAnsi" w:hAnsiTheme="minorHAnsi" w:cstheme="minorHAnsi"/>
                <w:i/>
                <w:color w:val="auto"/>
                <w:sz w:val="18"/>
                <w:szCs w:val="18"/>
                <w:lang w:val="sr-Cyrl-CS"/>
              </w:rPr>
              <w:t>10,4</w:t>
            </w:r>
          </w:p>
        </w:tc>
        <w:tc>
          <w:tcPr>
            <w:tcW w:w="581" w:type="pct"/>
            <w:shd w:val="clear" w:color="auto" w:fill="FFFFFF" w:themeFill="background1"/>
            <w:noWrap/>
          </w:tcPr>
          <w:p w14:paraId="31D75E40" w14:textId="77777777" w:rsidR="004044DC" w:rsidRPr="007E770D" w:rsidRDefault="004044DC" w:rsidP="00E4657F">
            <w:pPr>
              <w:shd w:val="clear" w:color="auto" w:fill="FFFFFF" w:themeFill="background1"/>
              <w:spacing w:line="276" w:lineRule="auto"/>
              <w:jc w:val="center"/>
              <w:rPr>
                <w:rFonts w:asciiTheme="minorHAnsi" w:hAnsiTheme="minorHAnsi" w:cstheme="minorHAnsi"/>
                <w:i/>
                <w:color w:val="auto"/>
                <w:sz w:val="18"/>
                <w:szCs w:val="18"/>
                <w:lang w:val="sr-Cyrl-CS"/>
              </w:rPr>
            </w:pPr>
            <w:r w:rsidRPr="007E770D">
              <w:rPr>
                <w:rFonts w:asciiTheme="minorHAnsi" w:hAnsiTheme="minorHAnsi" w:cstheme="minorHAnsi"/>
                <w:i/>
                <w:color w:val="auto"/>
                <w:sz w:val="18"/>
                <w:szCs w:val="18"/>
                <w:lang w:val="sr-Cyrl-CS"/>
              </w:rPr>
              <w:t>10,2</w:t>
            </w:r>
          </w:p>
        </w:tc>
        <w:tc>
          <w:tcPr>
            <w:tcW w:w="581" w:type="pct"/>
            <w:shd w:val="clear" w:color="auto" w:fill="FFFFFF" w:themeFill="background1"/>
            <w:noWrap/>
          </w:tcPr>
          <w:p w14:paraId="2E4794FE" w14:textId="77777777" w:rsidR="004044DC" w:rsidRPr="007E770D" w:rsidRDefault="004044DC" w:rsidP="00E4657F">
            <w:pPr>
              <w:shd w:val="clear" w:color="auto" w:fill="FFFFFF" w:themeFill="background1"/>
              <w:spacing w:line="276" w:lineRule="auto"/>
              <w:jc w:val="center"/>
              <w:rPr>
                <w:rFonts w:asciiTheme="minorHAnsi" w:hAnsiTheme="minorHAnsi" w:cstheme="minorHAnsi"/>
                <w:i/>
                <w:color w:val="auto"/>
                <w:sz w:val="18"/>
                <w:szCs w:val="18"/>
                <w:lang w:val="sr-Cyrl-CS"/>
              </w:rPr>
            </w:pPr>
            <w:r w:rsidRPr="007E770D">
              <w:rPr>
                <w:rFonts w:asciiTheme="minorHAnsi" w:hAnsiTheme="minorHAnsi" w:cstheme="minorHAnsi"/>
                <w:i/>
                <w:color w:val="auto"/>
                <w:sz w:val="18"/>
                <w:szCs w:val="18"/>
                <w:lang w:val="sr-Cyrl-CS"/>
              </w:rPr>
              <w:t>10,0</w:t>
            </w:r>
          </w:p>
        </w:tc>
        <w:tc>
          <w:tcPr>
            <w:tcW w:w="583" w:type="pct"/>
            <w:shd w:val="clear" w:color="auto" w:fill="FFFFFF" w:themeFill="background1"/>
            <w:noWrap/>
          </w:tcPr>
          <w:p w14:paraId="0B2BA2A7" w14:textId="77777777" w:rsidR="004044DC" w:rsidRPr="007E770D" w:rsidRDefault="004044DC" w:rsidP="00E4657F">
            <w:pPr>
              <w:shd w:val="clear" w:color="auto" w:fill="FFFFFF" w:themeFill="background1"/>
              <w:spacing w:line="276" w:lineRule="auto"/>
              <w:jc w:val="center"/>
              <w:rPr>
                <w:rFonts w:asciiTheme="minorHAnsi" w:hAnsiTheme="minorHAnsi" w:cstheme="minorHAnsi"/>
                <w:i/>
                <w:color w:val="auto"/>
                <w:sz w:val="18"/>
                <w:szCs w:val="18"/>
                <w:lang w:val="sr-Cyrl-CS"/>
              </w:rPr>
            </w:pPr>
            <w:r w:rsidRPr="007E770D">
              <w:rPr>
                <w:rFonts w:asciiTheme="minorHAnsi" w:hAnsiTheme="minorHAnsi" w:cstheme="minorHAnsi"/>
                <w:i/>
                <w:color w:val="auto"/>
                <w:sz w:val="18"/>
                <w:szCs w:val="18"/>
                <w:lang w:val="sr-Cyrl-CS"/>
              </w:rPr>
              <w:t>9,8</w:t>
            </w:r>
          </w:p>
        </w:tc>
      </w:tr>
      <w:tr w:rsidR="007E770D" w:rsidRPr="007E770D" w14:paraId="519C3CF7" w14:textId="77777777" w:rsidTr="00E4657F">
        <w:trPr>
          <w:trHeight w:val="41"/>
        </w:trPr>
        <w:tc>
          <w:tcPr>
            <w:tcW w:w="1966" w:type="pct"/>
            <w:shd w:val="clear" w:color="auto" w:fill="FFFFFF" w:themeFill="background1"/>
          </w:tcPr>
          <w:p w14:paraId="6B39615F" w14:textId="77777777" w:rsidR="004044DC" w:rsidRPr="007E770D" w:rsidRDefault="004044DC" w:rsidP="00E4657F">
            <w:pPr>
              <w:keepNext/>
              <w:widowControl w:val="0"/>
              <w:shd w:val="clear" w:color="auto" w:fill="FFFFFF" w:themeFill="background1"/>
              <w:spacing w:line="276" w:lineRule="auto"/>
              <w:ind w:left="284"/>
              <w:rPr>
                <w:rFonts w:asciiTheme="minorHAnsi" w:eastAsia="Times New Roman" w:hAnsiTheme="minorHAnsi" w:cstheme="minorHAnsi"/>
                <w:bCs/>
                <w:color w:val="auto"/>
                <w:sz w:val="18"/>
                <w:szCs w:val="18"/>
                <w:lang w:val="sr-Cyrl-CS"/>
              </w:rPr>
            </w:pPr>
            <w:r w:rsidRPr="007E770D">
              <w:rPr>
                <w:rFonts w:asciiTheme="minorHAnsi" w:eastAsia="Times New Roman" w:hAnsiTheme="minorHAnsi" w:cstheme="minorHAnsi"/>
                <w:bCs/>
                <w:color w:val="auto"/>
                <w:sz w:val="18"/>
                <w:szCs w:val="18"/>
                <w:lang w:val="sr-Cyrl-CS"/>
              </w:rPr>
              <w:t>Остали текући расходи</w:t>
            </w:r>
          </w:p>
        </w:tc>
        <w:tc>
          <w:tcPr>
            <w:tcW w:w="644" w:type="pct"/>
            <w:shd w:val="clear" w:color="auto" w:fill="FFFFFF" w:themeFill="background1"/>
          </w:tcPr>
          <w:p w14:paraId="13595B25"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1,4</w:t>
            </w:r>
          </w:p>
        </w:tc>
        <w:tc>
          <w:tcPr>
            <w:tcW w:w="644" w:type="pct"/>
            <w:shd w:val="clear" w:color="auto" w:fill="FFFFFF" w:themeFill="background1"/>
            <w:noWrap/>
          </w:tcPr>
          <w:p w14:paraId="660A67FD"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1,5</w:t>
            </w:r>
          </w:p>
        </w:tc>
        <w:tc>
          <w:tcPr>
            <w:tcW w:w="581" w:type="pct"/>
            <w:shd w:val="clear" w:color="auto" w:fill="FFFFFF" w:themeFill="background1"/>
            <w:noWrap/>
          </w:tcPr>
          <w:p w14:paraId="3844550A" w14:textId="53CDD747" w:rsidR="004044DC" w:rsidRPr="007E770D" w:rsidRDefault="004562C1"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1,5</w:t>
            </w:r>
          </w:p>
        </w:tc>
        <w:tc>
          <w:tcPr>
            <w:tcW w:w="581" w:type="pct"/>
            <w:shd w:val="clear" w:color="auto" w:fill="FFFFFF" w:themeFill="background1"/>
            <w:noWrap/>
          </w:tcPr>
          <w:p w14:paraId="307F2B56"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1,3</w:t>
            </w:r>
          </w:p>
        </w:tc>
        <w:tc>
          <w:tcPr>
            <w:tcW w:w="583" w:type="pct"/>
            <w:shd w:val="clear" w:color="auto" w:fill="FFFFFF" w:themeFill="background1"/>
            <w:noWrap/>
          </w:tcPr>
          <w:p w14:paraId="19AE5FC1" w14:textId="4A2C0668" w:rsidR="004044DC" w:rsidRPr="007E770D" w:rsidRDefault="004562C1"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1,3</w:t>
            </w:r>
          </w:p>
        </w:tc>
      </w:tr>
      <w:tr w:rsidR="007E770D" w:rsidRPr="007E770D" w14:paraId="711D18F6" w14:textId="77777777" w:rsidTr="00E4657F">
        <w:trPr>
          <w:cnfStyle w:val="000000100000" w:firstRow="0" w:lastRow="0" w:firstColumn="0" w:lastColumn="0" w:oddVBand="0" w:evenVBand="0" w:oddHBand="1" w:evenHBand="0" w:firstRowFirstColumn="0" w:firstRowLastColumn="0" w:lastRowFirstColumn="0" w:lastRowLastColumn="0"/>
          <w:trHeight w:val="41"/>
        </w:trPr>
        <w:tc>
          <w:tcPr>
            <w:tcW w:w="1966" w:type="pct"/>
            <w:shd w:val="clear" w:color="auto" w:fill="FFFFFF" w:themeFill="background1"/>
          </w:tcPr>
          <w:p w14:paraId="71DB9F00" w14:textId="77777777" w:rsidR="004044DC" w:rsidRPr="007E770D" w:rsidRDefault="004044DC" w:rsidP="00E4657F">
            <w:pPr>
              <w:keepNext/>
              <w:widowControl w:val="0"/>
              <w:shd w:val="clear" w:color="auto" w:fill="FFFFFF" w:themeFill="background1"/>
              <w:spacing w:line="276" w:lineRule="auto"/>
              <w:rPr>
                <w:rFonts w:asciiTheme="minorHAnsi" w:eastAsia="Times New Roman" w:hAnsiTheme="minorHAnsi" w:cstheme="minorHAnsi"/>
                <w:bCs/>
                <w:color w:val="auto"/>
                <w:sz w:val="18"/>
                <w:szCs w:val="18"/>
                <w:lang w:val="sr-Cyrl-CS"/>
              </w:rPr>
            </w:pPr>
            <w:r w:rsidRPr="007E770D">
              <w:rPr>
                <w:rFonts w:asciiTheme="minorHAnsi" w:eastAsia="Times New Roman" w:hAnsiTheme="minorHAnsi" w:cstheme="minorHAnsi"/>
                <w:bCs/>
                <w:color w:val="auto"/>
                <w:sz w:val="18"/>
                <w:szCs w:val="18"/>
                <w:lang w:val="sr-Cyrl-CS"/>
              </w:rPr>
              <w:t xml:space="preserve"> Капитални расходи</w:t>
            </w:r>
          </w:p>
        </w:tc>
        <w:tc>
          <w:tcPr>
            <w:tcW w:w="644" w:type="pct"/>
            <w:shd w:val="clear" w:color="auto" w:fill="FFFFFF" w:themeFill="background1"/>
          </w:tcPr>
          <w:p w14:paraId="116FC9F3"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3,9</w:t>
            </w:r>
          </w:p>
        </w:tc>
        <w:tc>
          <w:tcPr>
            <w:tcW w:w="644" w:type="pct"/>
            <w:shd w:val="clear" w:color="auto" w:fill="FFFFFF" w:themeFill="background1"/>
            <w:noWrap/>
          </w:tcPr>
          <w:p w14:paraId="08A32800"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4,4</w:t>
            </w:r>
          </w:p>
        </w:tc>
        <w:tc>
          <w:tcPr>
            <w:tcW w:w="581" w:type="pct"/>
            <w:shd w:val="clear" w:color="auto" w:fill="FFFFFF" w:themeFill="background1"/>
            <w:noWrap/>
          </w:tcPr>
          <w:p w14:paraId="76424EBB" w14:textId="2CD049FB" w:rsidR="004044DC" w:rsidRPr="007E770D" w:rsidRDefault="00227CB2"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4,5</w:t>
            </w:r>
          </w:p>
        </w:tc>
        <w:tc>
          <w:tcPr>
            <w:tcW w:w="581" w:type="pct"/>
            <w:shd w:val="clear" w:color="auto" w:fill="FFFFFF" w:themeFill="background1"/>
            <w:noWrap/>
          </w:tcPr>
          <w:p w14:paraId="68D347C1" w14:textId="5FE42F92" w:rsidR="004044DC" w:rsidRPr="007E770D" w:rsidRDefault="00227CB2"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4,6</w:t>
            </w:r>
          </w:p>
        </w:tc>
        <w:tc>
          <w:tcPr>
            <w:tcW w:w="583" w:type="pct"/>
            <w:shd w:val="clear" w:color="auto" w:fill="FFFFFF" w:themeFill="background1"/>
            <w:noWrap/>
          </w:tcPr>
          <w:p w14:paraId="0C749FA4" w14:textId="160ACAA4" w:rsidR="004044DC" w:rsidRPr="007E770D" w:rsidRDefault="00227CB2"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4,7</w:t>
            </w:r>
          </w:p>
        </w:tc>
      </w:tr>
      <w:tr w:rsidR="007E770D" w:rsidRPr="007E770D" w14:paraId="7E020128" w14:textId="77777777" w:rsidTr="00E4657F">
        <w:trPr>
          <w:trHeight w:val="41"/>
        </w:trPr>
        <w:tc>
          <w:tcPr>
            <w:tcW w:w="1966" w:type="pct"/>
            <w:tcBorders>
              <w:bottom w:val="nil"/>
            </w:tcBorders>
            <w:shd w:val="clear" w:color="auto" w:fill="FFFFFF" w:themeFill="background1"/>
            <w:noWrap/>
          </w:tcPr>
          <w:p w14:paraId="04539307" w14:textId="77777777" w:rsidR="004044DC" w:rsidRPr="007E770D" w:rsidRDefault="004044DC" w:rsidP="00E4657F">
            <w:pPr>
              <w:keepNext/>
              <w:widowControl w:val="0"/>
              <w:shd w:val="clear" w:color="auto" w:fill="FFFFFF" w:themeFill="background1"/>
              <w:spacing w:line="276" w:lineRule="auto"/>
              <w:rPr>
                <w:rFonts w:asciiTheme="minorHAnsi" w:eastAsia="Times New Roman" w:hAnsiTheme="minorHAnsi" w:cstheme="minorHAnsi"/>
                <w:bCs/>
                <w:color w:val="auto"/>
                <w:sz w:val="18"/>
                <w:szCs w:val="18"/>
                <w:lang w:val="sr-Cyrl-CS"/>
              </w:rPr>
            </w:pPr>
            <w:r w:rsidRPr="007E770D">
              <w:rPr>
                <w:rFonts w:asciiTheme="minorHAnsi" w:eastAsia="Times New Roman" w:hAnsiTheme="minorHAnsi" w:cstheme="minorHAnsi"/>
                <w:bCs/>
                <w:color w:val="auto"/>
                <w:sz w:val="18"/>
                <w:szCs w:val="18"/>
                <w:lang w:val="sr-Cyrl-CS"/>
              </w:rPr>
              <w:t xml:space="preserve"> Нето буџетске позајмице</w:t>
            </w:r>
          </w:p>
        </w:tc>
        <w:tc>
          <w:tcPr>
            <w:tcW w:w="644" w:type="pct"/>
            <w:tcBorders>
              <w:bottom w:val="nil"/>
            </w:tcBorders>
            <w:shd w:val="clear" w:color="auto" w:fill="FFFFFF" w:themeFill="background1"/>
          </w:tcPr>
          <w:p w14:paraId="153C1830"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0,1</w:t>
            </w:r>
          </w:p>
        </w:tc>
        <w:tc>
          <w:tcPr>
            <w:tcW w:w="644" w:type="pct"/>
            <w:tcBorders>
              <w:bottom w:val="nil"/>
            </w:tcBorders>
            <w:shd w:val="clear" w:color="auto" w:fill="FFFFFF" w:themeFill="background1"/>
            <w:noWrap/>
          </w:tcPr>
          <w:p w14:paraId="3D789618"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0,2</w:t>
            </w:r>
          </w:p>
        </w:tc>
        <w:tc>
          <w:tcPr>
            <w:tcW w:w="581" w:type="pct"/>
            <w:tcBorders>
              <w:bottom w:val="nil"/>
            </w:tcBorders>
            <w:shd w:val="clear" w:color="auto" w:fill="FFFFFF" w:themeFill="background1"/>
            <w:noWrap/>
          </w:tcPr>
          <w:p w14:paraId="5622FA73"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0,2</w:t>
            </w:r>
          </w:p>
        </w:tc>
        <w:tc>
          <w:tcPr>
            <w:tcW w:w="581" w:type="pct"/>
            <w:tcBorders>
              <w:bottom w:val="nil"/>
            </w:tcBorders>
            <w:shd w:val="clear" w:color="auto" w:fill="FFFFFF" w:themeFill="background1"/>
            <w:noWrap/>
          </w:tcPr>
          <w:p w14:paraId="16EEDE8E"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0,2</w:t>
            </w:r>
          </w:p>
        </w:tc>
        <w:tc>
          <w:tcPr>
            <w:tcW w:w="583" w:type="pct"/>
            <w:tcBorders>
              <w:bottom w:val="nil"/>
            </w:tcBorders>
            <w:shd w:val="clear" w:color="auto" w:fill="FFFFFF" w:themeFill="background1"/>
            <w:noWrap/>
          </w:tcPr>
          <w:p w14:paraId="64DC99B7"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0,2</w:t>
            </w:r>
          </w:p>
        </w:tc>
      </w:tr>
      <w:tr w:rsidR="007E770D" w:rsidRPr="007E770D" w14:paraId="6817DA34" w14:textId="77777777" w:rsidTr="00E4657F">
        <w:trPr>
          <w:cnfStyle w:val="000000100000" w:firstRow="0" w:lastRow="0" w:firstColumn="0" w:lastColumn="0" w:oddVBand="0" w:evenVBand="0" w:oddHBand="1" w:evenHBand="0" w:firstRowFirstColumn="0" w:firstRowLastColumn="0" w:lastRowFirstColumn="0" w:lastRowLastColumn="0"/>
          <w:trHeight w:val="80"/>
        </w:trPr>
        <w:tc>
          <w:tcPr>
            <w:tcW w:w="1966" w:type="pct"/>
            <w:tcBorders>
              <w:top w:val="nil"/>
              <w:bottom w:val="single" w:sz="4" w:space="0" w:color="002060"/>
            </w:tcBorders>
            <w:shd w:val="clear" w:color="auto" w:fill="FFFFFF" w:themeFill="background1"/>
            <w:noWrap/>
          </w:tcPr>
          <w:p w14:paraId="2DF34927" w14:textId="77777777" w:rsidR="004044DC" w:rsidRPr="007E770D" w:rsidRDefault="004044DC" w:rsidP="00E4657F">
            <w:pPr>
              <w:keepNext/>
              <w:widowControl w:val="0"/>
              <w:shd w:val="clear" w:color="auto" w:fill="FFFFFF" w:themeFill="background1"/>
              <w:spacing w:line="276" w:lineRule="auto"/>
              <w:rPr>
                <w:rFonts w:asciiTheme="minorHAnsi" w:eastAsia="Times New Roman" w:hAnsiTheme="minorHAnsi" w:cstheme="minorHAnsi"/>
                <w:bCs/>
                <w:color w:val="auto"/>
                <w:sz w:val="18"/>
                <w:szCs w:val="18"/>
                <w:lang w:val="sr-Cyrl-CS"/>
              </w:rPr>
            </w:pPr>
            <w:r w:rsidRPr="007E770D">
              <w:rPr>
                <w:rFonts w:asciiTheme="minorHAnsi" w:eastAsia="Times New Roman" w:hAnsiTheme="minorHAnsi" w:cstheme="minorHAnsi"/>
                <w:bCs/>
                <w:color w:val="auto"/>
                <w:sz w:val="18"/>
                <w:szCs w:val="18"/>
                <w:lang w:val="sr-Cyrl-CS"/>
              </w:rPr>
              <w:t xml:space="preserve"> Отплата по основу гаранција</w:t>
            </w:r>
          </w:p>
        </w:tc>
        <w:tc>
          <w:tcPr>
            <w:tcW w:w="644" w:type="pct"/>
            <w:tcBorders>
              <w:top w:val="nil"/>
              <w:bottom w:val="single" w:sz="4" w:space="0" w:color="002060"/>
            </w:tcBorders>
            <w:shd w:val="clear" w:color="auto" w:fill="FFFFFF" w:themeFill="background1"/>
          </w:tcPr>
          <w:p w14:paraId="694A2D1D"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0,4</w:t>
            </w:r>
          </w:p>
        </w:tc>
        <w:tc>
          <w:tcPr>
            <w:tcW w:w="644" w:type="pct"/>
            <w:tcBorders>
              <w:top w:val="nil"/>
              <w:bottom w:val="single" w:sz="4" w:space="0" w:color="002060"/>
            </w:tcBorders>
            <w:shd w:val="clear" w:color="auto" w:fill="FFFFFF" w:themeFill="background1"/>
            <w:noWrap/>
          </w:tcPr>
          <w:p w14:paraId="5DB1AA78"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0,2</w:t>
            </w:r>
          </w:p>
        </w:tc>
        <w:tc>
          <w:tcPr>
            <w:tcW w:w="581" w:type="pct"/>
            <w:tcBorders>
              <w:top w:val="nil"/>
              <w:bottom w:val="single" w:sz="4" w:space="0" w:color="002060"/>
            </w:tcBorders>
            <w:shd w:val="clear" w:color="auto" w:fill="FFFFFF" w:themeFill="background1"/>
            <w:noWrap/>
          </w:tcPr>
          <w:p w14:paraId="03E59DE1"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0,1</w:t>
            </w:r>
          </w:p>
        </w:tc>
        <w:tc>
          <w:tcPr>
            <w:tcW w:w="581" w:type="pct"/>
            <w:tcBorders>
              <w:top w:val="nil"/>
              <w:bottom w:val="single" w:sz="4" w:space="0" w:color="002060"/>
            </w:tcBorders>
            <w:shd w:val="clear" w:color="auto" w:fill="FFFFFF" w:themeFill="background1"/>
            <w:noWrap/>
          </w:tcPr>
          <w:p w14:paraId="1AE683E0"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0,1</w:t>
            </w:r>
          </w:p>
        </w:tc>
        <w:tc>
          <w:tcPr>
            <w:tcW w:w="583" w:type="pct"/>
            <w:tcBorders>
              <w:top w:val="nil"/>
              <w:bottom w:val="single" w:sz="4" w:space="0" w:color="002060"/>
            </w:tcBorders>
            <w:shd w:val="clear" w:color="auto" w:fill="FFFFFF" w:themeFill="background1"/>
            <w:noWrap/>
          </w:tcPr>
          <w:p w14:paraId="185DF8A0" w14:textId="77777777" w:rsidR="004044DC" w:rsidRPr="007E770D" w:rsidRDefault="004044DC" w:rsidP="00E4657F">
            <w:pPr>
              <w:shd w:val="clear" w:color="auto" w:fill="FFFFFF" w:themeFill="background1"/>
              <w:spacing w:line="276" w:lineRule="auto"/>
              <w:jc w:val="center"/>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0,1</w:t>
            </w:r>
          </w:p>
        </w:tc>
      </w:tr>
    </w:tbl>
    <w:p w14:paraId="761AF30D" w14:textId="77777777" w:rsidR="004044DC" w:rsidRPr="007E770D" w:rsidRDefault="004044DC" w:rsidP="00E4657F">
      <w:pPr>
        <w:spacing w:before="40" w:after="120" w:line="276" w:lineRule="auto"/>
        <w:rPr>
          <w:rFonts w:cstheme="minorHAnsi"/>
          <w:color w:val="auto"/>
          <w:sz w:val="16"/>
          <w:szCs w:val="20"/>
          <w:lang w:val="sr-Cyrl-CS"/>
        </w:rPr>
      </w:pPr>
      <w:r w:rsidRPr="007E770D">
        <w:rPr>
          <w:rFonts w:eastAsia="Calibri" w:cstheme="minorHAnsi"/>
          <w:bCs/>
          <w:color w:val="auto"/>
          <w:sz w:val="16"/>
          <w:szCs w:val="20"/>
          <w:lang w:val="sr-Cyrl-CS" w:eastAsia="ja-JP"/>
        </w:rPr>
        <w:t xml:space="preserve">Извор: </w:t>
      </w:r>
      <w:r w:rsidRPr="007E770D">
        <w:rPr>
          <w:rFonts w:cstheme="minorHAnsi"/>
          <w:color w:val="auto"/>
          <w:sz w:val="16"/>
          <w:szCs w:val="20"/>
          <w:lang w:val="sr-Cyrl-CS"/>
        </w:rPr>
        <w:t>Министарство финансија</w:t>
      </w:r>
    </w:p>
    <w:p w14:paraId="02EB24B9" w14:textId="77777777" w:rsidR="004044DC" w:rsidRPr="007E770D" w:rsidRDefault="004044DC" w:rsidP="00E4657F">
      <w:pPr>
        <w:spacing w:after="120" w:line="276" w:lineRule="auto"/>
        <w:rPr>
          <w:rFonts w:eastAsia="Calibri" w:cstheme="minorHAnsi"/>
          <w:b/>
          <w:color w:val="auto"/>
          <w:szCs w:val="20"/>
          <w:lang w:val="sr-Cyrl-CS" w:eastAsia="ja-JP"/>
        </w:rPr>
        <w:sectPr w:rsidR="004044DC" w:rsidRPr="007E770D" w:rsidSect="00BA4876">
          <w:type w:val="continuous"/>
          <w:pgSz w:w="12240" w:h="15840"/>
          <w:pgMar w:top="1440" w:right="1440" w:bottom="1440" w:left="1440" w:header="720" w:footer="720" w:gutter="0"/>
          <w:cols w:space="720"/>
          <w:docGrid w:linePitch="360"/>
        </w:sectPr>
      </w:pPr>
    </w:p>
    <w:p w14:paraId="11EC8F5F" w14:textId="77777777" w:rsidR="004044DC" w:rsidRPr="007E770D" w:rsidRDefault="004044DC"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Један део фискалног простора биће искоришћен за повећање зарада у сектору опште државе, и то у износу од око 44 млрд динара. Пошто се ради о укупним трошковима рада, односно о маси зарада која укључује порезе и доприносе, нето ефекат на фискални резултат износиће 26 млрд динара, односно 0,4% БДП. Смањење зарада, контрола запошљавања и рационализација броја запослених у јавном сектору су биле мере које су највише допринеле смањењу расхода и успеху фискалне консолидације. Примена ових мера деловала је на пад учешћа зарада у БДП на 9% у 2017. години. Законом о буџетском систему предвиђено је снижавање нивоа зарада без доприноса на терет послодавца до 7% БДП, међутим чини се да је тако таргетиран ниво зарада постављен доста ниско. Тренутно је учешће овако дефинисаних зарада у БДП 8%. Просечан ниво зарада на нивоу опште државе у ЕУ је око 10% БДП, тако да је са учешћем укупних трошкова зарада од око 9,5% БДП у периоду 2019–2022. године Република Србија знатно испод просека ЕУ. У претходном периоду, започета је свеобухватна реформа система зарада у јавном сектору, која за циљ има обезбеђење правичности и смањење разлика између плата запослених у јавном сектору. Примена новог реформисаног система плата у јавном сектору почеће почетком 2021. године.</w:t>
      </w:r>
    </w:p>
    <w:p w14:paraId="3B44F1E7" w14:textId="77777777" w:rsidR="004044DC" w:rsidRPr="007E770D" w:rsidRDefault="004044DC"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Током процеса консолидације на снази је била контрола запошљавања у јавном сектору. Са једне стране то је омогућавало контролу нивоа зарада, али је са друге стране повећао број уговора о раду на одређено време трајања и недостатак кадрова у појединим деловима система јавне управе. У наредном периоду, ступиће на снагу нов, флексибилнији начин контроле запошљавања, који ће бити базиран на средњорочном планирању броја запослених у свим областима јавног сектора у складу са буџетским ограничењима.</w:t>
      </w:r>
    </w:p>
    <w:p w14:paraId="5F00F2D9" w14:textId="69526DA9" w:rsidR="004044DC" w:rsidRPr="007E770D" w:rsidRDefault="004044DC"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Издаци за робе и услуге ће се постепено смањивати у средњорочном пери</w:t>
      </w:r>
      <w:r w:rsidR="00227CB2" w:rsidRPr="007E770D">
        <w:rPr>
          <w:rFonts w:eastAsia="Calibri" w:cstheme="minorHAnsi"/>
          <w:color w:val="auto"/>
          <w:szCs w:val="20"/>
          <w:lang w:val="sr-Cyrl-CS" w:eastAsia="ja-JP"/>
        </w:rPr>
        <w:t>оду у смислу учешћа у БДП на 6,6</w:t>
      </w:r>
      <w:r w:rsidRPr="007E770D">
        <w:rPr>
          <w:rFonts w:eastAsia="Calibri" w:cstheme="minorHAnsi"/>
          <w:color w:val="auto"/>
          <w:szCs w:val="20"/>
          <w:lang w:val="sr-Cyrl-CS" w:eastAsia="ja-JP"/>
        </w:rPr>
        <w:t>%, с обзиром да је предвиђено да номинално расту спорије од раста номиналног БДП.</w:t>
      </w:r>
    </w:p>
    <w:p w14:paraId="4271570F" w14:textId="77777777" w:rsidR="004044DC" w:rsidRPr="007E770D" w:rsidRDefault="004044DC"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Смањење расхода за камате један је од најбољих показатеља успеха фискалне консолидације. Добри резултати у претходном периоду смањили су потребе за задуживањем што је довело до промене тренда кретања камата. У 2022. години ниво расхода за камате ће пасти на 1,6% БДП.</w:t>
      </w:r>
    </w:p>
    <w:p w14:paraId="1125A754" w14:textId="77777777" w:rsidR="004044DC" w:rsidRPr="007E770D" w:rsidRDefault="004044DC"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 xml:space="preserve">Социјална помоћ и трансфери становништву представљају највећу расходну категорију буџета опште државе. Највећа појединачна ставка ове групе расхода, а уједно и највећа ставка свих расхода, су пензије, које ће у 2019. години достићи ниво од 10,4% БДП. Од 2020. године пензије ће се </w:t>
      </w:r>
      <w:r w:rsidRPr="007E770D">
        <w:rPr>
          <w:rFonts w:eastAsia="Calibri" w:cstheme="minorHAnsi"/>
          <w:color w:val="auto"/>
          <w:szCs w:val="20"/>
          <w:lang w:val="sr-Cyrl-CS" w:eastAsia="ja-JP"/>
        </w:rPr>
        <w:lastRenderedPageBreak/>
        <w:t>усклађивати са такозваном „швајцарском формулом”, како би се истовремено обезбедио раст животног стандарда пензионера и одрживост пензионог система и система јавних финансија. Швајцарска формула подразумева индексацију, односно увећање пензија једнако збиру половине стопе раста просечне зараде и половине стопе раста потрошачких цена. Процењује се да би у наредном периоду индексација износила између 5% и 6%. Остали облици социјалних давања и трансфера становништву у наредном периоду усклађиваће се применом прописане индексације, текућих и планираних измена политика у овој области и са пројектованим бројем корисника. Учешће расхода за социјална давања у БДП опада са 14,7%, колико је износило у 2018. години, на 13,5% у 2022. години, с тим да је номинално повећање ових расхода у 2019. исход ефеката Закона о финансијској подршци породици са децом.</w:t>
      </w:r>
    </w:p>
    <w:p w14:paraId="6C9102ED" w14:textId="77777777" w:rsidR="004044DC" w:rsidRPr="007E770D" w:rsidRDefault="004044DC"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Смањење субвенција које служе као помоћ неефикасним сегментима јавног сектора омогућава повећање оног дела субвенција које представљају праве подстицаје привреди, пре свега пољопривреди и малим и средњим предузећима, и које доводе до убрзања привредне активности. Циљ је да се субвенционисана средства преусмере ка развојним програмима у привреди и пољопривреди. Раст субвенција у 2019. години резултат је почетка примене ИПАРД програма у субвенционисању пољопривреде, као и решавања проблема у случају зајмова узетих у швајцарским францима.</w:t>
      </w:r>
    </w:p>
    <w:p w14:paraId="122A2DE5" w14:textId="024320F3" w:rsidR="004044DC" w:rsidRPr="007E770D" w:rsidRDefault="004044DC"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Категорије осталих текућих расхода чине различити издаци, као што су дотације удружењима, политичким странкама, верским и спортским организацијама, казне, накнада штете итд. У протеклом периоду ниво ове категорије је био између 1,3% и 1,5% БДП, a до 2022. године учешће</w:t>
      </w:r>
      <w:r w:rsidR="00227CB2" w:rsidRPr="007E770D">
        <w:rPr>
          <w:rFonts w:eastAsia="Calibri" w:cstheme="minorHAnsi"/>
          <w:color w:val="auto"/>
          <w:szCs w:val="20"/>
          <w:lang w:val="sr-Cyrl-CS" w:eastAsia="ja-JP"/>
        </w:rPr>
        <w:t xml:space="preserve"> ових расхода у БДП ће опасти на </w:t>
      </w:r>
      <w:r w:rsidRPr="007E770D">
        <w:rPr>
          <w:rFonts w:eastAsia="Calibri" w:cstheme="minorHAnsi"/>
          <w:color w:val="auto"/>
          <w:szCs w:val="20"/>
          <w:lang w:val="sr-Cyrl-CS" w:eastAsia="ja-JP"/>
        </w:rPr>
        <w:t>1,3%.</w:t>
      </w:r>
    </w:p>
    <w:p w14:paraId="772F5DF7" w14:textId="77777777" w:rsidR="004044DC" w:rsidRPr="007E770D" w:rsidRDefault="004044DC"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 xml:space="preserve">У 2018. и 2019. години значајно је побољшана ефикасност извршења јавних инвестиција. Капитални расходи су повећани на 3,9% БДП у 2018. години захваљујући отпочињању нове фазе </w:t>
      </w:r>
      <w:r w:rsidRPr="007E770D">
        <w:rPr>
          <w:rFonts w:eastAsia="Calibri" w:cstheme="minorHAnsi"/>
          <w:color w:val="auto"/>
          <w:szCs w:val="20"/>
          <w:lang w:val="sr-Cyrl-CS" w:eastAsia="ja-JP"/>
        </w:rPr>
        <w:t>инфраструктурних пројеката, а у овој години се очекује достизање нивоа од 4,4% БДП. У наредном средњорочном периоду сви напори биће усмерени на достизање прихватљивог и пожељног нивоа улагања у јавну инфраструктуру, што представља 5% БДП. Смањењем текуће потрошње сектора државе обезбеђен је фискални простор који ће делом бити искоришћен за повећање инвестиција. Најзначајнији инфраструктурни радови су на Коридорима 10 и 11 који се углавном финансирају из међународних кредита. Осим изградње ова два најважнија путна правца у земљи, обезбеђени су кредити из којих ће се финансирати изградња и обнова других саобраћајница, друмске и железничке инфраструктуре. Поред саобраћајне инфраструктуре обезбеђена су средства за додатна капитална улагања у здравству, просвети, култури, одбрани и другим областима које представљају најважније функције државе. Ово је све део новог инвестиционог циклуса на националном нивоу који је омогућен стварањем фискалног простора и повољним условима за задуживање на међународном финансијском тржишту.</w:t>
      </w:r>
    </w:p>
    <w:p w14:paraId="6F34BA46" w14:textId="77777777" w:rsidR="004044DC" w:rsidRPr="007E770D" w:rsidRDefault="004044DC"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Опште опредељење фискалне политике у средњем року јесте повећање улагања у инфраструктуру на свим нивоима власти. Према проценама Фискалног савета инвестиције локалне самоуправе у средњем року требало би повећати за најмање 75% у односу на њихов садашњи ниво, односно за око 250 мил. евра. Реч је пре свега о улагањима у водоводну и канализациону инфраструктуру, управљању отпадом, локалну путну инфраструктуру и друго.</w:t>
      </w:r>
    </w:p>
    <w:p w14:paraId="54DAFED9" w14:textId="77777777" w:rsidR="004044DC" w:rsidRPr="007E770D" w:rsidRDefault="004044DC"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 xml:space="preserve">У средњорочном фискалном оквиру, до краја 2022. године, пројектована је избалансирана укупна фискална позиција локалне самоуправе. То значи да у збиру сви градови и општине имају приближно избалансиран буџет. Пројекција је рађена на основу кретања у претходном периоду, у коме су збирно ЈЛС најчешће биле у суфициту. Овакво стање на нивоу свих локалних самоуправа је последица раздуживања у претходном периоду. То не значи да појединачне ЈЛС не могу ићи у </w:t>
      </w:r>
      <w:r w:rsidRPr="007E770D">
        <w:rPr>
          <w:rFonts w:eastAsia="Calibri" w:cstheme="minorHAnsi"/>
          <w:color w:val="auto"/>
          <w:szCs w:val="20"/>
          <w:lang w:val="sr-Cyrl-CS" w:eastAsia="ja-JP"/>
        </w:rPr>
        <w:lastRenderedPageBreak/>
        <w:t>дефицит. То пре свега зависи од фискалне позиције сваке појединачне општине и града.</w:t>
      </w:r>
    </w:p>
    <w:p w14:paraId="706FA891" w14:textId="77777777" w:rsidR="004044DC" w:rsidRPr="007E770D" w:rsidRDefault="004044DC"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Ниво буџетских позајмица и отплате дуга по основу гаранција је добар показатељ успеха фискалне консолидације. Укупно учешће ове две категорије у БДП сведено је на 0,5% БДП у 2018. години. До краја 2022. године ови издаци ће бити минимални, са учешћем до 0,3% БДП.</w:t>
      </w:r>
    </w:p>
    <w:p w14:paraId="06A2A56F" w14:textId="77777777" w:rsidR="004044DC" w:rsidRPr="007E770D" w:rsidRDefault="004044DC"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Отплата по основу издатих гаранција и плаћање гаранција по комерцијалним трансакцијама представљају обавезе по основу дуга јавних предузећа које је републички буџет преузео на себе, с обзиром да та предузећа нису могла самостално да их извршавају. Ови расходи су представљали велики терет за буџет с обзиром на дугогодишње неефикасно пословање великог броја државних предузећа и привредних друштава. У претходном периоду ови расходи су значајно смањени, а планом отплате предвиђено је да ће од 2020. године ови расходи износити само око 0,1% БДП.</w:t>
      </w:r>
    </w:p>
    <w:p w14:paraId="28B15663" w14:textId="77777777" w:rsidR="004044DC" w:rsidRPr="007E770D" w:rsidRDefault="004044DC" w:rsidP="00E4657F">
      <w:pPr>
        <w:spacing w:after="120" w:line="276" w:lineRule="auto"/>
        <w:rPr>
          <w:rFonts w:eastAsia="Calibri" w:cstheme="minorHAnsi"/>
          <w:b/>
          <w:color w:val="auto"/>
          <w:sz w:val="22"/>
          <w:szCs w:val="20"/>
          <w:lang w:val="sr-Cyrl-CS" w:eastAsia="ja-JP"/>
        </w:rPr>
      </w:pPr>
      <w:r w:rsidRPr="007E770D">
        <w:rPr>
          <w:rFonts w:eastAsia="Calibri" w:cstheme="minorHAnsi"/>
          <w:b/>
          <w:color w:val="auto"/>
          <w:sz w:val="22"/>
          <w:szCs w:val="20"/>
          <w:lang w:val="sr-Cyrl-CS" w:eastAsia="ja-JP"/>
        </w:rPr>
        <w:t>Структурне мере за унапређење стабилности и одрживости јавних финансија</w:t>
      </w:r>
      <w:r w:rsidRPr="007E770D">
        <w:rPr>
          <w:rFonts w:eastAsia="Calibri" w:cstheme="minorHAnsi"/>
          <w:b/>
          <w:color w:val="auto"/>
          <w:sz w:val="22"/>
          <w:szCs w:val="20"/>
          <w:vertAlign w:val="superscript"/>
          <w:lang w:val="sr-Cyrl-CS" w:eastAsia="ja-JP"/>
        </w:rPr>
        <w:footnoteReference w:id="8"/>
      </w:r>
    </w:p>
    <w:p w14:paraId="364BDD3F" w14:textId="77777777" w:rsidR="004044DC" w:rsidRPr="007E770D" w:rsidRDefault="004044DC" w:rsidP="00E4657F">
      <w:pPr>
        <w:spacing w:line="276" w:lineRule="auto"/>
        <w:rPr>
          <w:rFonts w:ascii="Calibri" w:eastAsia="Calibri" w:hAnsi="Calibri" w:cs="Calibri"/>
          <w:color w:val="auto"/>
          <w:szCs w:val="20"/>
          <w:lang w:val="sr-Cyrl-CS" w:eastAsia="ja-JP"/>
        </w:rPr>
      </w:pPr>
      <w:r w:rsidRPr="007E770D">
        <w:rPr>
          <w:rFonts w:ascii="Calibri" w:eastAsia="Calibri" w:hAnsi="Calibri" w:cs="Calibri"/>
          <w:color w:val="auto"/>
          <w:szCs w:val="20"/>
          <w:lang w:val="sr-Cyrl-CS" w:eastAsia="ja-JP"/>
        </w:rPr>
        <w:t>Након успешно спроведених мера фискалне консолидације, подржаних трогодишњим Аранжманом из предострожности са ММФ, Република Србија је у јулу 2018. године склопила нови аранжман – Инструмент за координацију политика – PCI (Policy Coordination Instrument), у трајању од 30 месеци, којим је предвиђен наставак спровођења институционалних и структурних реформи.</w:t>
      </w:r>
    </w:p>
    <w:p w14:paraId="17738617" w14:textId="77777777" w:rsidR="004044DC" w:rsidRPr="007E770D" w:rsidRDefault="004044DC" w:rsidP="00E4657F">
      <w:pPr>
        <w:spacing w:line="276" w:lineRule="auto"/>
        <w:rPr>
          <w:rFonts w:ascii="Calibri" w:eastAsia="Calibri" w:hAnsi="Calibri" w:cs="Calibri"/>
          <w:color w:val="auto"/>
          <w:szCs w:val="20"/>
          <w:lang w:val="sr-Cyrl-CS" w:eastAsia="ja-JP"/>
        </w:rPr>
      </w:pPr>
      <w:r w:rsidRPr="007E770D">
        <w:rPr>
          <w:rFonts w:ascii="Calibri" w:eastAsia="Calibri" w:hAnsi="Calibri" w:cs="Calibri"/>
          <w:color w:val="auto"/>
          <w:szCs w:val="20"/>
          <w:lang w:val="sr-Cyrl-CS" w:eastAsia="ja-JP"/>
        </w:rPr>
        <w:t xml:space="preserve">Програмом је предвиђено очување макро-економске и фискалне стабилности, уз наставак смањења учешћа јавног дуга и спровођења мера које ће подстицати привредни раст, пре свега раст јавних инвестиција. Пореским мерама мотивисаће се даље запошљавање и инвестиције, иновације, истраживање и развој, уз поједностављење пореских поступака и смањење броја парафискалних намета. Монетарна политика ће и убудуће подржавати економску активност не </w:t>
      </w:r>
      <w:r w:rsidRPr="007E770D">
        <w:rPr>
          <w:rFonts w:ascii="Calibri" w:eastAsia="Calibri" w:hAnsi="Calibri" w:cs="Calibri"/>
          <w:color w:val="auto"/>
          <w:szCs w:val="20"/>
          <w:lang w:val="sr-Cyrl-CS" w:eastAsia="ja-JP"/>
        </w:rPr>
        <w:t>доводећи у питање одржавање постигнуте стабилности цена као примарног циља НБС, уз даље јачање процеса динаризације и очување релативне стабилности девизног курса. У финансијском сектору, где су постигнути изванредни резултати у смањењу нивоа проблематичних кредита, наставиће се активности на њиховом даљем смањивању, уз решавање одређених проблема финансијских институција (банака у државном власништву, државних развојних агенција, итд.). Структурне и институционалне реформе у наредном средњорочном периоду имаће за циљ унапређење пословног окружења, што доприноси успешнијем процесу приступања земље ЕУ. Ове реформе фокусираће се на реструктурирање државних предузећа, финансијских институција и јавне управе, као и на даље смањење сиве економије.</w:t>
      </w:r>
    </w:p>
    <w:p w14:paraId="45EBEFC8" w14:textId="77777777" w:rsidR="004044DC" w:rsidRPr="007E770D" w:rsidRDefault="004044DC" w:rsidP="00E4657F">
      <w:pPr>
        <w:spacing w:line="276" w:lineRule="auto"/>
        <w:rPr>
          <w:rFonts w:ascii="Calibri" w:eastAsia="Calibri" w:hAnsi="Calibri" w:cs="Calibri"/>
          <w:color w:val="auto"/>
          <w:szCs w:val="20"/>
          <w:lang w:val="sr-Cyrl-CS" w:eastAsia="ja-JP"/>
        </w:rPr>
      </w:pPr>
      <w:r w:rsidRPr="007E770D">
        <w:rPr>
          <w:rFonts w:ascii="Calibri" w:eastAsia="Calibri" w:hAnsi="Calibri" w:cs="Calibri"/>
          <w:color w:val="auto"/>
          <w:szCs w:val="20"/>
          <w:lang w:val="sr-Cyrl-CS" w:eastAsia="ja-JP"/>
        </w:rPr>
        <w:t>Како би се обезбедила стабилност и одрживост јавних финансија на дужи рок потребан је функционалан систем фискалних правила. Тренутно важећа фискална правила су уведена још 2010. године, али нису помогла у заустављању раста дефицита и јавног дуга. Због тога је потребно редизајнирати систем тако да он буде у функцији заштите предвидивости и одрживости фискалних агрегата и контроле фискалне и буџетске политике. Нови аранжман са ММФ је прилика да се осмисли и уведе добар скуп фискалних правила у наредне две године, у сарадњи са овом међународном финансијском институцијом и Фискалним саветом. Министарство финансија је формирало радну групу чији је задатак измена Закона о буџетском систему, којим су фискална правила дефинисана. С тим у вези, поново је уведена индексација пензија од наредне године, где ће се пензије усклађивати коришћењем „швајцарскеˮ формуле, уз поштовање лимита од 11% БДП за укупне расходе за пензије. Од 2021. године требало би да буде уведено и фискално правило које дефинише ниво дефицита.</w:t>
      </w:r>
    </w:p>
    <w:p w14:paraId="075A93D1" w14:textId="77777777" w:rsidR="004044DC" w:rsidRPr="007E770D" w:rsidRDefault="004044DC" w:rsidP="00E4657F">
      <w:pPr>
        <w:spacing w:line="276" w:lineRule="auto"/>
        <w:rPr>
          <w:rFonts w:ascii="Calibri" w:eastAsia="Calibri" w:hAnsi="Calibri" w:cs="Calibri"/>
          <w:color w:val="auto"/>
          <w:szCs w:val="20"/>
          <w:lang w:val="sr-Cyrl-CS" w:eastAsia="ja-JP"/>
        </w:rPr>
      </w:pPr>
      <w:r w:rsidRPr="007E770D">
        <w:rPr>
          <w:rFonts w:ascii="Calibri" w:eastAsia="Calibri" w:hAnsi="Calibri" w:cs="Calibri"/>
          <w:color w:val="auto"/>
          <w:szCs w:val="20"/>
          <w:lang w:val="sr-Cyrl-CS" w:eastAsia="ja-JP"/>
        </w:rPr>
        <w:lastRenderedPageBreak/>
        <w:t>У наредном периоду очекује се наставак реформи у области запошљавања, управљања кадровима и система плата у сектору државе. Циљ фискалне политике у средњем року је задржавање расхода за запослене на одрживом нивоу, уз адекватну структуру запослених, како би се обезбедио већи квалитет пружених услуга. У наредном средњорочном периоду акценат је на структурним мерама, које би преко оптимизације броја запослених с једне стране, и успостављања новог система плата у сектору државе, с друге стране, допринело повећању ефикасности и квалитету пружених јавних услуга.</w:t>
      </w:r>
    </w:p>
    <w:p w14:paraId="38E56955" w14:textId="4B2BF088" w:rsidR="004044DC" w:rsidRPr="007E770D" w:rsidRDefault="004044DC" w:rsidP="00E4657F">
      <w:pPr>
        <w:spacing w:line="276" w:lineRule="auto"/>
        <w:rPr>
          <w:rFonts w:ascii="Calibri" w:eastAsia="Calibri" w:hAnsi="Calibri" w:cs="Calibri"/>
          <w:color w:val="auto"/>
          <w:spacing w:val="-2"/>
          <w:szCs w:val="20"/>
          <w:lang w:val="sr-Cyrl-CS" w:eastAsia="ja-JP"/>
        </w:rPr>
      </w:pPr>
      <w:r w:rsidRPr="007E770D">
        <w:rPr>
          <w:rFonts w:ascii="Calibri" w:eastAsia="Calibri" w:hAnsi="Calibri" w:cs="Calibri"/>
          <w:color w:val="auto"/>
          <w:spacing w:val="-2"/>
          <w:szCs w:val="20"/>
          <w:lang w:val="sr-Cyrl-CS" w:eastAsia="ja-JP"/>
        </w:rPr>
        <w:t xml:space="preserve">Протеклих година усвојени су бројни закони и подзаконски акти како би се прецизно одредио обухват и број запослених у јавном сектору. Закон о начину одређивања максималног броја запослених </w:t>
      </w:r>
      <w:r w:rsidR="0095323F" w:rsidRPr="007E770D">
        <w:rPr>
          <w:rFonts w:ascii="Calibri" w:eastAsia="Calibri" w:hAnsi="Calibri" w:cs="Calibri"/>
          <w:color w:val="auto"/>
          <w:spacing w:val="-2"/>
          <w:szCs w:val="20"/>
          <w:lang w:val="sr-Cyrl-CS" w:eastAsia="ja-JP"/>
        </w:rPr>
        <w:t xml:space="preserve">у јавном сектору </w:t>
      </w:r>
      <w:r w:rsidRPr="007E770D">
        <w:rPr>
          <w:rFonts w:ascii="Calibri" w:eastAsia="Calibri" w:hAnsi="Calibri" w:cs="Calibri"/>
          <w:color w:val="auto"/>
          <w:spacing w:val="-2"/>
          <w:szCs w:val="20"/>
          <w:lang w:val="sr-Cyrl-CS" w:eastAsia="ja-JP"/>
        </w:rPr>
        <w:t xml:space="preserve">је кровни закон којим се </w:t>
      </w:r>
      <w:r w:rsidR="0095323F" w:rsidRPr="007E770D">
        <w:rPr>
          <w:rFonts w:ascii="Calibri" w:eastAsia="Calibri" w:hAnsi="Calibri" w:cs="Calibri"/>
          <w:color w:val="auto"/>
          <w:spacing w:val="-2"/>
          <w:szCs w:val="20"/>
          <w:lang w:val="sr-Cyrl-CS" w:eastAsia="ja-JP"/>
        </w:rPr>
        <w:t xml:space="preserve">утврђује начин одређивања </w:t>
      </w:r>
      <w:r w:rsidRPr="007E770D">
        <w:rPr>
          <w:rFonts w:ascii="Calibri" w:eastAsia="Calibri" w:hAnsi="Calibri" w:cs="Calibri"/>
          <w:color w:val="auto"/>
          <w:spacing w:val="-2"/>
          <w:szCs w:val="20"/>
          <w:lang w:val="sr-Cyrl-CS" w:eastAsia="ja-JP"/>
        </w:rPr>
        <w:t>максимал</w:t>
      </w:r>
      <w:r w:rsidR="0095323F" w:rsidRPr="007E770D">
        <w:rPr>
          <w:rFonts w:ascii="Calibri" w:eastAsia="Calibri" w:hAnsi="Calibri" w:cs="Calibri"/>
          <w:color w:val="auto"/>
          <w:spacing w:val="-2"/>
          <w:szCs w:val="20"/>
          <w:lang w:val="sr-Cyrl-CS" w:eastAsia="ja-JP"/>
        </w:rPr>
        <w:t>ног</w:t>
      </w:r>
      <w:r w:rsidRPr="007E770D">
        <w:rPr>
          <w:rFonts w:ascii="Calibri" w:eastAsia="Calibri" w:hAnsi="Calibri" w:cs="Calibri"/>
          <w:color w:val="auto"/>
          <w:spacing w:val="-2"/>
          <w:szCs w:val="20"/>
          <w:lang w:val="sr-Cyrl-CS" w:eastAsia="ja-JP"/>
        </w:rPr>
        <w:t xml:space="preserve"> број</w:t>
      </w:r>
      <w:r w:rsidR="0095323F" w:rsidRPr="007E770D">
        <w:rPr>
          <w:rFonts w:ascii="Calibri" w:eastAsia="Calibri" w:hAnsi="Calibri" w:cs="Calibri"/>
          <w:color w:val="auto"/>
          <w:spacing w:val="-2"/>
          <w:szCs w:val="20"/>
          <w:lang w:val="sr-Cyrl-CS" w:eastAsia="ja-JP"/>
        </w:rPr>
        <w:t>а</w:t>
      </w:r>
      <w:r w:rsidRPr="007E770D">
        <w:rPr>
          <w:rFonts w:ascii="Calibri" w:eastAsia="Calibri" w:hAnsi="Calibri" w:cs="Calibri"/>
          <w:color w:val="auto"/>
          <w:spacing w:val="-2"/>
          <w:szCs w:val="20"/>
          <w:lang w:val="sr-Cyrl-CS" w:eastAsia="ja-JP"/>
        </w:rPr>
        <w:t xml:space="preserve"> запослених </w:t>
      </w:r>
      <w:r w:rsidR="0095323F" w:rsidRPr="007E770D">
        <w:rPr>
          <w:rFonts w:ascii="Calibri" w:eastAsia="Calibri" w:hAnsi="Calibri" w:cs="Calibri"/>
          <w:color w:val="auto"/>
          <w:spacing w:val="-2"/>
          <w:szCs w:val="20"/>
          <w:lang w:val="sr-Cyrl-CS" w:eastAsia="ja-JP"/>
        </w:rPr>
        <w:t>у јавном сектору, као и обим и рокови смањења броја запослених до достизања утврђеног максималног броја</w:t>
      </w:r>
      <w:r w:rsidRPr="007E770D">
        <w:rPr>
          <w:rFonts w:ascii="Calibri" w:eastAsia="Calibri" w:hAnsi="Calibri" w:cs="Calibri"/>
          <w:color w:val="auto"/>
          <w:spacing w:val="-2"/>
          <w:szCs w:val="20"/>
          <w:lang w:val="sr-Cyrl-CS" w:eastAsia="ja-JP"/>
        </w:rPr>
        <w:t>. На снази је и Владина Уредба о поступку за прибављање сагласности за ново запошљавање и додатно радно ангажовање код корисника јавних средстава. Овај систем је допринео смањењу броја запослених, али било је и одређених проблема у погледу обезбеђења адекватне структуре запослених и несметаног функционисања појединих делова јавног сектора. У наредном периоду, имајући у виду фискална ограничења, дизајнираће се флексибилнији систем који ће оптимизовати структуру запослених у јавној управи, заменити постојеће мере, односно поступке за ново запошљавање код корисника јавних средстава.</w:t>
      </w:r>
    </w:p>
    <w:p w14:paraId="5406A264" w14:textId="77777777" w:rsidR="004044DC" w:rsidRPr="007E770D" w:rsidRDefault="004044DC" w:rsidP="00E4657F">
      <w:pPr>
        <w:spacing w:line="276" w:lineRule="auto"/>
        <w:rPr>
          <w:rFonts w:ascii="Calibri" w:eastAsia="Calibri" w:hAnsi="Calibri" w:cs="Calibri"/>
          <w:color w:val="auto"/>
          <w:szCs w:val="20"/>
          <w:lang w:val="sr-Cyrl-CS" w:eastAsia="ja-JP"/>
        </w:rPr>
      </w:pPr>
      <w:r w:rsidRPr="007E770D">
        <w:rPr>
          <w:rFonts w:ascii="Calibri" w:eastAsia="Calibri" w:hAnsi="Calibri" w:cs="Calibri"/>
          <w:color w:val="auto"/>
          <w:szCs w:val="20"/>
          <w:lang w:val="sr-Cyrl-CS" w:eastAsia="ja-JP"/>
        </w:rPr>
        <w:t xml:space="preserve">У циљу смањења различитих облика буџетске подршке јавним и државним предузећима наставља се са реформама највећих јавних и државних предузећа. Смањење буџетске подршке овим предузећима подразумева: а) ограничење директних и индиректних субвенција, б) стриктно ограничење у издавању гаранција за нове кредите и в) јачање одговорности и транспарентности у пословању ових предузећа, укључујући и контролу и смањење доцњи у плаћањима, нарочито према </w:t>
      </w:r>
      <w:r w:rsidRPr="007E770D">
        <w:rPr>
          <w:rFonts w:ascii="Calibri" w:eastAsia="Calibri" w:hAnsi="Calibri" w:cs="Calibri"/>
          <w:color w:val="auto"/>
          <w:szCs w:val="20"/>
          <w:lang w:val="sr-Cyrl-CS" w:eastAsia="ja-JP"/>
        </w:rPr>
        <w:t>ЈП ЕПС и ЈП „Србијагасˮ. У наредном периоду се планира израда стратегије којом ће бити обухваћен интегрисани приступ надгледању и праћењу пословања државних и јавних предузећа, процеса њихове финансијске консолидације, реструктурирања, дезинвестирања и мера за побољшање управљања и институционалног оквира.</w:t>
      </w:r>
    </w:p>
    <w:p w14:paraId="1D90BF3B" w14:textId="77777777" w:rsidR="004044DC" w:rsidRPr="007E770D" w:rsidRDefault="004044DC" w:rsidP="00E4657F">
      <w:pPr>
        <w:spacing w:line="276" w:lineRule="auto"/>
        <w:rPr>
          <w:rFonts w:ascii="Calibri" w:eastAsia="Calibri" w:hAnsi="Calibri" w:cs="Calibri"/>
          <w:color w:val="auto"/>
          <w:szCs w:val="20"/>
          <w:lang w:val="sr-Cyrl-CS" w:eastAsia="ja-JP"/>
        </w:rPr>
      </w:pPr>
      <w:r w:rsidRPr="007E770D">
        <w:rPr>
          <w:rFonts w:ascii="Calibri" w:eastAsia="Calibri" w:hAnsi="Calibri" w:cs="Calibri"/>
          <w:color w:val="auto"/>
          <w:szCs w:val="20"/>
          <w:lang w:val="sr-Cyrl-CS" w:eastAsia="ja-JP"/>
        </w:rPr>
        <w:t>Статус предузећа из портфолија бивше Агенције за приватизацију решава се кроз поступак стечаја или приватизације. До октобра 2019. године проглашен је стечај за 316 предузећа, док је 64 приватизовано од краја 2014. године. Око 35.000 запослених из 345 предузећа прихватило је социјални програм. Интензивно се ради на проналажењу решења за још 84 предузећа са готово 31.000 запослених.</w:t>
      </w:r>
    </w:p>
    <w:p w14:paraId="5504F94C" w14:textId="77777777" w:rsidR="004044DC" w:rsidRPr="007E770D" w:rsidRDefault="004044DC" w:rsidP="00E4657F">
      <w:pPr>
        <w:spacing w:line="276" w:lineRule="auto"/>
        <w:rPr>
          <w:rFonts w:ascii="Calibri" w:eastAsia="Calibri" w:hAnsi="Calibri" w:cs="Calibri"/>
          <w:color w:val="auto"/>
          <w:spacing w:val="-2"/>
          <w:szCs w:val="20"/>
          <w:lang w:val="sr-Cyrl-CS" w:eastAsia="ja-JP"/>
        </w:rPr>
      </w:pPr>
      <w:r w:rsidRPr="007E770D">
        <w:rPr>
          <w:rFonts w:ascii="Calibri" w:eastAsia="Calibri" w:hAnsi="Calibri" w:cs="Calibri"/>
          <w:color w:val="auto"/>
          <w:szCs w:val="20"/>
          <w:lang w:val="sr-Cyrl-CS" w:eastAsia="ja-JP"/>
        </w:rPr>
        <w:t xml:space="preserve">За предузећа која чине стратешке компаније из портфолија бивше Агенције за приватизацију, решење се налази или кроз приватизационе тендере, или кроз стечај. У мају је завршен поступак приватизације Луке Нови Сад. За саобраћајно предузеће „Ластаˮ АД Београд изабран је приватизациони саветник, како би током наредне године био завршен цео поступак приватизације. Уз подршку Светске Банке дефинисан акциони план за ЈП ПЕУ „Ресавицаˮ, који обухвата проналажење решења за затварање економски неодрживих рудника и плана рационализације, уз могућност добровољног одласка уз обезбеђена средства за социјални програм и средства за подршку пословању како не би дошло до гомилања доцњи у плаћањима, нарочито према ЈП ЕПС. </w:t>
      </w:r>
      <w:r w:rsidRPr="007E770D">
        <w:rPr>
          <w:rFonts w:ascii="Calibri" w:eastAsia="Calibri" w:hAnsi="Calibri" w:cs="Calibri"/>
          <w:color w:val="auto"/>
          <w:spacing w:val="-2"/>
          <w:szCs w:val="20"/>
          <w:lang w:val="sr-Cyrl-CS" w:eastAsia="ja-JP"/>
        </w:rPr>
        <w:t>ХИП Петрохемија се налази пред тендерским поступком за приватизацију, након разговора са потенцијалним партнерима. За ХИП Азотара је, након неуспелих покушаја да се пронађе стратешки партнер, проглашен стечај, док се за МСК Кикинда након неуспелог тендера за приватизацију решење тражи у налажењу стратешких партнера или инвеститора.</w:t>
      </w:r>
    </w:p>
    <w:p w14:paraId="3ADCC1A9" w14:textId="77777777" w:rsidR="004044DC" w:rsidRPr="007E770D" w:rsidRDefault="004044DC" w:rsidP="00E4657F">
      <w:pPr>
        <w:spacing w:line="276" w:lineRule="auto"/>
        <w:rPr>
          <w:rFonts w:ascii="Calibri" w:eastAsia="Calibri" w:hAnsi="Calibri" w:cs="Calibri"/>
          <w:color w:val="auto"/>
          <w:szCs w:val="20"/>
          <w:lang w:val="sr-Cyrl-CS" w:eastAsia="ja-JP"/>
        </w:rPr>
      </w:pPr>
      <w:r w:rsidRPr="007E770D">
        <w:rPr>
          <w:rFonts w:ascii="Calibri" w:eastAsia="Calibri" w:hAnsi="Calibri" w:cs="Calibri"/>
          <w:color w:val="auto"/>
          <w:szCs w:val="20"/>
          <w:lang w:val="sr-Cyrl-CS" w:eastAsia="ja-JP"/>
        </w:rPr>
        <w:t xml:space="preserve">За одређени број компанија у државном власништву се траже стратешки партнери или други модели приватизације, односно </w:t>
      </w:r>
      <w:r w:rsidRPr="007E770D">
        <w:rPr>
          <w:rFonts w:ascii="Calibri" w:eastAsia="Calibri" w:hAnsi="Calibri" w:cs="Calibri"/>
          <w:color w:val="auto"/>
          <w:szCs w:val="20"/>
          <w:lang w:val="sr-Cyrl-CS" w:eastAsia="ja-JP"/>
        </w:rPr>
        <w:lastRenderedPageBreak/>
        <w:t>спровођење унапред припремљених планова реорганизације (УППР).</w:t>
      </w:r>
    </w:p>
    <w:p w14:paraId="41FE3D32" w14:textId="77777777" w:rsidR="004044DC" w:rsidRPr="007E770D" w:rsidRDefault="004044DC" w:rsidP="00E4657F">
      <w:pPr>
        <w:spacing w:line="276" w:lineRule="auto"/>
        <w:rPr>
          <w:rFonts w:ascii="Calibri" w:eastAsia="Calibri" w:hAnsi="Calibri" w:cs="Calibri"/>
          <w:color w:val="auto"/>
          <w:szCs w:val="20"/>
          <w:lang w:val="sr-Cyrl-CS" w:eastAsia="ja-JP"/>
        </w:rPr>
      </w:pPr>
      <w:r w:rsidRPr="007E770D">
        <w:rPr>
          <w:rFonts w:ascii="Calibri" w:eastAsia="Calibri" w:hAnsi="Calibri" w:cs="Calibri"/>
          <w:color w:val="auto"/>
          <w:szCs w:val="20"/>
          <w:lang w:val="sr-Cyrl-CS" w:eastAsia="ja-JP"/>
        </w:rPr>
        <w:t>Побољшање управљања јавним финансијама је нужно не само као подршка мерама фискалне консолидације и структурним реформама, већ као процес који подиже квалитет државне управе и осигурава амбијент који је привлачно и пожељно тло за инвеститоре. Реформске активности у оквиру различитих подсистема управљања јавним финансијама (УЈФ) обухваћене су Програмом реформе управљања јавним финансијама 2016–2020. године (Програм РУЈФ).</w:t>
      </w:r>
    </w:p>
    <w:p w14:paraId="517E87F8" w14:textId="77777777" w:rsidR="004044DC" w:rsidRPr="007E770D" w:rsidRDefault="004044DC" w:rsidP="00E4657F">
      <w:pPr>
        <w:spacing w:line="276" w:lineRule="auto"/>
        <w:rPr>
          <w:rFonts w:ascii="Calibri" w:eastAsia="Calibri" w:hAnsi="Calibri" w:cs="Calibri"/>
          <w:color w:val="auto"/>
          <w:szCs w:val="20"/>
          <w:lang w:val="sr-Cyrl-CS" w:eastAsia="ja-JP"/>
        </w:rPr>
      </w:pPr>
      <w:r w:rsidRPr="007E770D">
        <w:rPr>
          <w:rFonts w:ascii="Calibri" w:eastAsia="Calibri" w:hAnsi="Calibri" w:cs="Calibri"/>
          <w:color w:val="auto"/>
          <w:szCs w:val="20"/>
          <w:lang w:val="sr-Cyrl-CS" w:eastAsia="ja-JP"/>
        </w:rPr>
        <w:t>Информациони систем извршења буџета – ИСИБ – је део система управљања јавним финансијама који обухвата процесе и поступке који се спроводе електронском комуникацијом са Управом за трезор у саставу Министарства финансија. Развој овог система ће омогућити праћење свих индиректних корисника централног нивоа власти. У систем су укључени директни корисници јавних средстава, правосудни органи, а од прошле године и индиректни корисници Министарства културе и информисања и Управе за извршење кривичних санкција, који нису били део претходног система (ФМИС). Од ове године су укључене и институције социјалне заштите, тако да се ван система налазе још само индиректни корисници Министарства просвете, науке и технолошког развоја. Систем је оспособљен да убудуће омогући интеграцију нових корисника. Финансијски планови фондова социјалног осигурања ће и даље садржати податке о својим индиректним корисницима.</w:t>
      </w:r>
    </w:p>
    <w:p w14:paraId="7E332901" w14:textId="5B33295D" w:rsidR="004044DC" w:rsidRPr="007E770D" w:rsidRDefault="004044DC" w:rsidP="00E4657F">
      <w:pPr>
        <w:spacing w:line="276" w:lineRule="auto"/>
        <w:rPr>
          <w:rFonts w:ascii="Calibri" w:eastAsia="Calibri" w:hAnsi="Calibri" w:cs="Calibri"/>
          <w:color w:val="auto"/>
          <w:szCs w:val="20"/>
          <w:lang w:val="sr-Cyrl-CS" w:eastAsia="ja-JP"/>
        </w:rPr>
      </w:pPr>
      <w:r w:rsidRPr="007E770D">
        <w:rPr>
          <w:rFonts w:ascii="Calibri" w:eastAsia="Calibri" w:hAnsi="Calibri" w:cs="Calibri"/>
          <w:color w:val="auto"/>
          <w:szCs w:val="20"/>
          <w:lang w:val="sr-Cyrl-CS" w:eastAsia="ja-JP"/>
        </w:rPr>
        <w:t xml:space="preserve">Област управљања јавним финансијама којој је озбиљно посвећена пажња и на чијем се унапређењу ради је управљање јавним инвестицијама. Јачањем оквира управљања јавним инвестицијама интензивирају се нови инфраструктурни пројекти и подиже квалитет постојеће инфраструктуре. Капитални пројекти, односно пројектни кредити су постали саставни део буџета. У априлу 2018. године усвојен је Закон о планском систему Републике Србије, којим је успостављен национални оквир за планирање и </w:t>
      </w:r>
      <w:r w:rsidRPr="007E770D">
        <w:rPr>
          <w:rFonts w:ascii="Calibri" w:eastAsia="Calibri" w:hAnsi="Calibri" w:cs="Calibri"/>
          <w:color w:val="auto"/>
          <w:szCs w:val="20"/>
          <w:lang w:val="sr-Cyrl-CS" w:eastAsia="ja-JP"/>
        </w:rPr>
        <w:t>којим су дефинисани План развоја и Инвестициони план. Како би се унапредио оквир управљања јавним инвестицијама, у складу са препорукама техничке помоћи ММФ и Светске банке, а на основу</w:t>
      </w:r>
      <w:r w:rsidR="00812637" w:rsidRPr="007E770D">
        <w:rPr>
          <w:rFonts w:ascii="Calibri" w:eastAsia="Calibri" w:hAnsi="Calibri" w:cs="Calibri"/>
          <w:color w:val="auto"/>
          <w:szCs w:val="20"/>
          <w:lang w:val="sr-Cyrl-CS" w:eastAsia="ja-JP"/>
        </w:rPr>
        <w:t xml:space="preserve"> </w:t>
      </w:r>
      <w:r w:rsidR="00CF32B2" w:rsidRPr="007E770D">
        <w:rPr>
          <w:rFonts w:ascii="Calibri" w:eastAsia="Calibri" w:hAnsi="Calibri" w:cs="Calibri"/>
          <w:color w:val="auto"/>
          <w:szCs w:val="20"/>
          <w:lang w:val="sr-Cyrl-CS" w:eastAsia="ja-JP"/>
        </w:rPr>
        <w:t>Уредбе о управљању капиталним пројектима</w:t>
      </w:r>
      <w:r w:rsidRPr="007E770D">
        <w:rPr>
          <w:rFonts w:ascii="Calibri" w:eastAsia="Calibri" w:hAnsi="Calibri" w:cs="Calibri"/>
          <w:color w:val="auto"/>
          <w:szCs w:val="20"/>
          <w:lang w:val="sr-Cyrl-CS" w:eastAsia="ja-JP"/>
        </w:rPr>
        <w:t>, ускоро ће бити усвојен правилник у којем ће се налазити краћи приказ студија изводљивости за велике и стратешке инфраструктурне пројекте У току је развој система управљања јавним инвестицијама, који укључује интегрисану базу података о инвестиционим пројектима, што ће током следеће године омогућити успостављање јединствене листе приоритетних пројеката (Single Project Pipeline), након чега ће и поменути систем постати оперативан.</w:t>
      </w:r>
    </w:p>
    <w:p w14:paraId="0BB90B7F" w14:textId="77777777" w:rsidR="004044DC" w:rsidRPr="007E770D" w:rsidRDefault="004044DC" w:rsidP="00E4657F">
      <w:pPr>
        <w:spacing w:line="276" w:lineRule="auto"/>
        <w:rPr>
          <w:rFonts w:ascii="Calibri" w:eastAsia="Calibri" w:hAnsi="Calibri" w:cs="Calibri"/>
          <w:color w:val="auto"/>
          <w:szCs w:val="20"/>
          <w:lang w:val="sr-Cyrl-CS" w:eastAsia="ja-JP"/>
        </w:rPr>
      </w:pPr>
      <w:r w:rsidRPr="007E770D">
        <w:rPr>
          <w:rFonts w:ascii="Calibri" w:eastAsia="Calibri" w:hAnsi="Calibri" w:cs="Calibri"/>
          <w:color w:val="auto"/>
          <w:szCs w:val="20"/>
          <w:lang w:val="sr-Cyrl-CS" w:eastAsia="ja-JP"/>
        </w:rPr>
        <w:t>Јавно-приватна партнерства (Public-Private Partnerships – PPP), као специфичан вид сарадње државе и приватног сектора захтевају посебну пажњу и опрез, стога ће Министарство финансија убудуће вршити процену свих предлога с гледишта анализе трошкова и користи и поделе ризика. Законом о изменама Закона о јавно-приватном партнерству и концесијама уведено је да је за ЈПП вредности од преко 50 милиона евра, пре него што Влада узме предлог у разматрање, потребна сагласност Министарства финансија. У јануару ове године су усвојене додатне измене и допуне закона у циљу ограничавања укупне фискалне изложености и обезбеђивања конкурентности тендерског поступка.</w:t>
      </w:r>
    </w:p>
    <w:p w14:paraId="54FAABA0" w14:textId="77777777" w:rsidR="004044DC" w:rsidRPr="007E770D" w:rsidRDefault="004044DC" w:rsidP="00E4657F">
      <w:pPr>
        <w:spacing w:line="276" w:lineRule="auto"/>
        <w:rPr>
          <w:rFonts w:ascii="Calibri" w:eastAsia="Calibri" w:hAnsi="Calibri" w:cs="Calibri"/>
          <w:color w:val="auto"/>
          <w:szCs w:val="20"/>
          <w:lang w:val="sr-Cyrl-CS" w:eastAsia="ja-JP"/>
        </w:rPr>
      </w:pPr>
      <w:r w:rsidRPr="007E770D">
        <w:rPr>
          <w:rFonts w:ascii="Calibri" w:eastAsia="Calibri" w:hAnsi="Calibri" w:cs="Calibri"/>
          <w:color w:val="auto"/>
          <w:szCs w:val="20"/>
          <w:lang w:val="sr-Cyrl-CS" w:eastAsia="ja-JP"/>
        </w:rPr>
        <w:t xml:space="preserve">Акциони план трансформације Пореске управе за период 2018–2023. године усвојен у децембру 2017. године дефинише стратешке смернице и временске рокове у којим ће бити спроведене активности потребне за стварање модерне пореске управе, која ће, уз коришћење савремених електронских процеса пружити бољу и свеобухватнију услугу пореским обвезницима и бољу контролу и наплату прихода, односно поспешити борбу против сиве економије, заједно са реформом и модернизацијом инспекцијског надзора. У јуну ове године спроведено је организационо раздвајање основних активности од оних које се сматрају споредним, с тим да се </w:t>
      </w:r>
      <w:r w:rsidRPr="007E770D">
        <w:rPr>
          <w:rFonts w:ascii="Calibri" w:eastAsia="Calibri" w:hAnsi="Calibri" w:cs="Calibri"/>
          <w:color w:val="auto"/>
          <w:szCs w:val="20"/>
          <w:lang w:val="sr-Cyrl-CS" w:eastAsia="ja-JP"/>
        </w:rPr>
        <w:lastRenderedPageBreak/>
        <w:t>основне активности сад обављају у мањем броју организационих јединица, односно извршена је прва фаза консолидације основних активности. Анализа пословних процеса и потребних ресурса, омогућиће развијање адекватне организационе структуре и менаџмента, унапређење управљања пројектима и дизајну адекватне структуре запослених. У другој фази имплементације реформе ће бити усмерене на информационе системе, односно на њихов редизајн и модернизацију. У току је спровођење мера које за циљ имају смањење просечног времена за повраћај ПДВ, односно поштовање прописаних рокова, уз примену начела опрезности, како би се могућности превара свеле на минимум. Центар за велике пореске обвезнике (ЦВПО) ће проширити свој делокруг, односно биће повећан број субјеката који своје пореске обавезе измирују преко овог система, истовремено, ради се и на јачању капацитета ове веома значајне организационе јединице у оквиру Пореске управе. Усвајањем посебног закона о утврђивању порекла имовине и посебном порезу створиће се услови за оснивање посебне јединице која ће се бавити унакрсном анализом имовине и прихода лица, како би се истражили случајеви неоснованог богаћења. У априлу ове године је покренут пројекат модернизације Пореске управе од стране Светске банке, који обухвата преглед пореског законодавства, реинжењеринг пословних процеса, реформу информационих система и управљање пројектима.</w:t>
      </w:r>
    </w:p>
    <w:p w14:paraId="2F970493" w14:textId="1541CF9B" w:rsidR="004044DC" w:rsidRPr="007E770D" w:rsidRDefault="004044DC" w:rsidP="00E4657F">
      <w:pPr>
        <w:spacing w:line="276" w:lineRule="auto"/>
        <w:rPr>
          <w:rFonts w:ascii="Calibri" w:eastAsia="Calibri" w:hAnsi="Calibri" w:cs="Calibri"/>
          <w:color w:val="auto"/>
          <w:szCs w:val="20"/>
          <w:lang w:val="sr-Cyrl-CS" w:eastAsia="ja-JP"/>
        </w:rPr>
      </w:pPr>
      <w:r w:rsidRPr="007E770D">
        <w:rPr>
          <w:rFonts w:ascii="Calibri" w:eastAsia="Calibri" w:hAnsi="Calibri" w:cs="Calibri"/>
          <w:color w:val="auto"/>
          <w:szCs w:val="20"/>
          <w:lang w:val="sr-Cyrl-CS" w:eastAsia="ja-JP"/>
        </w:rPr>
        <w:t xml:space="preserve">Побољшање квалитета и транспарентности националне статистике се врши кроз унапређење свеобухватне, правовремене и аутоматске размене података између надлежних институција. У априлу 2018. године објављена је листа институција које чине сектор опште државе, као и остале секторе, у складу са Европским системом рачуна (ESA) 2010 и GFSM 2014, на основу чега ће </w:t>
      </w:r>
      <w:r w:rsidR="008B4CB5">
        <w:rPr>
          <w:rFonts w:ascii="Calibri" w:eastAsia="Calibri" w:hAnsi="Calibri" w:cs="Calibri"/>
          <w:color w:val="auto"/>
          <w:szCs w:val="20"/>
          <w:lang w:val="sr-Cyrl-CS" w:eastAsia="ja-JP"/>
        </w:rPr>
        <w:t>Републички завод за статистику (</w:t>
      </w:r>
      <w:r w:rsidRPr="007E770D">
        <w:rPr>
          <w:rFonts w:ascii="Calibri" w:eastAsia="Calibri" w:hAnsi="Calibri" w:cs="Calibri"/>
          <w:color w:val="auto"/>
          <w:szCs w:val="20"/>
          <w:lang w:val="sr-Cyrl-CS" w:eastAsia="ja-JP"/>
        </w:rPr>
        <w:t>РЗС</w:t>
      </w:r>
      <w:r w:rsidR="008B4CB5">
        <w:rPr>
          <w:rFonts w:ascii="Calibri" w:eastAsia="Calibri" w:hAnsi="Calibri" w:cs="Calibri"/>
          <w:color w:val="auto"/>
          <w:szCs w:val="20"/>
          <w:lang w:val="sr-Cyrl-CS" w:eastAsia="ja-JP"/>
        </w:rPr>
        <w:t>)</w:t>
      </w:r>
      <w:r w:rsidRPr="007E770D">
        <w:rPr>
          <w:rFonts w:ascii="Calibri" w:eastAsia="Calibri" w:hAnsi="Calibri" w:cs="Calibri"/>
          <w:color w:val="auto"/>
          <w:szCs w:val="20"/>
          <w:lang w:val="sr-Cyrl-CS" w:eastAsia="ja-JP"/>
        </w:rPr>
        <w:t xml:space="preserve"> (у сарадњи са Министарством финансија и НБС) регуларно достављати податке у Проширени општи систем дисеминације података (e-GDDS). Наредне године се планира и поновно увођење извештавања у форми GFS годишњака. Такође, у циљу даљег унапређења сарадње надлежних институција (МФ, РЗС и НБС) у септембру ове године је измењен Меморандум о сарадњи, којим је усвојена најбоља пракса и прецизирана улога и одговорности сваке од ових институција у погледу извештавања како у националним оквирима, тако и на међународном плану. У сарадњи са Евростатом и ММФ наставља се са унапређењем система националних рачуна.</w:t>
      </w:r>
    </w:p>
    <w:p w14:paraId="4F974103" w14:textId="77777777" w:rsidR="004044DC" w:rsidRPr="007E770D" w:rsidRDefault="004044DC" w:rsidP="00E4657F">
      <w:pPr>
        <w:spacing w:line="276" w:lineRule="auto"/>
        <w:rPr>
          <w:rFonts w:cstheme="minorHAnsi"/>
          <w:b/>
          <w:bCs/>
          <w:color w:val="auto"/>
          <w:sz w:val="22"/>
          <w:szCs w:val="20"/>
          <w:lang w:val="sr-Cyrl-CS"/>
        </w:rPr>
      </w:pPr>
      <w:r w:rsidRPr="007E770D">
        <w:rPr>
          <w:rFonts w:cstheme="minorHAnsi"/>
          <w:b/>
          <w:bCs/>
          <w:color w:val="auto"/>
          <w:sz w:val="22"/>
          <w:szCs w:val="20"/>
          <w:lang w:val="sr-Cyrl-CS"/>
        </w:rPr>
        <w:t>Поређење са претходним програмом</w:t>
      </w:r>
    </w:p>
    <w:p w14:paraId="78A5E01C" w14:textId="77777777" w:rsidR="004044DC" w:rsidRPr="007E770D" w:rsidRDefault="004044DC" w:rsidP="00E4657F">
      <w:pPr>
        <w:rPr>
          <w:rFonts w:cstheme="minorHAnsi"/>
          <w:bCs/>
          <w:color w:val="auto"/>
          <w:szCs w:val="20"/>
          <w:lang w:val="sr-Cyrl-CS"/>
        </w:rPr>
        <w:sectPr w:rsidR="004044DC" w:rsidRPr="007E770D" w:rsidSect="00E4657F">
          <w:type w:val="continuous"/>
          <w:pgSz w:w="12240" w:h="15840"/>
          <w:pgMar w:top="1440" w:right="1440" w:bottom="1440" w:left="1440" w:header="720" w:footer="720" w:gutter="0"/>
          <w:cols w:num="2" w:space="720"/>
          <w:docGrid w:linePitch="360"/>
          <w15:footnoteColumns w:val="1"/>
        </w:sectPr>
      </w:pPr>
      <w:r w:rsidRPr="007E770D">
        <w:rPr>
          <w:rFonts w:cstheme="minorHAnsi"/>
          <w:bCs/>
          <w:color w:val="auto"/>
          <w:szCs w:val="20"/>
          <w:lang w:val="sr-Cyrl-CS"/>
        </w:rPr>
        <w:t>Средњорочни фискални оквир није значајно промењен у односу на претходни документ</w:t>
      </w:r>
      <w:r w:rsidRPr="007E770D">
        <w:rPr>
          <w:rFonts w:cstheme="minorHAnsi"/>
          <w:bCs/>
          <w:color w:val="auto"/>
          <w:szCs w:val="20"/>
          <w:vertAlign w:val="superscript"/>
          <w:lang w:val="sr-Cyrl-CS"/>
        </w:rPr>
        <w:footnoteReference w:id="9"/>
      </w:r>
      <w:r w:rsidRPr="007E770D">
        <w:rPr>
          <w:rFonts w:cstheme="minorHAnsi"/>
          <w:bCs/>
          <w:color w:val="auto"/>
          <w:szCs w:val="20"/>
          <w:lang w:val="sr-Cyrl-CS"/>
        </w:rPr>
        <w:t>. Годишњи дефицит на нивоу од 0,5% БДП и даље представља средњорочни циљ фискалне политике, с обзиром да је оцењен као одржив ниво који омогућава наставак смањења учешћа дуга у БДП.</w:t>
      </w:r>
    </w:p>
    <w:p w14:paraId="0E939214" w14:textId="77777777" w:rsidR="004044DC" w:rsidRPr="007E770D" w:rsidRDefault="004044DC" w:rsidP="00E4657F">
      <w:pPr>
        <w:keepNext/>
        <w:spacing w:line="276" w:lineRule="auto"/>
        <w:jc w:val="center"/>
        <w:rPr>
          <w:rFonts w:eastAsia="MS PGothic" w:cstheme="minorHAnsi"/>
          <w:b/>
          <w:color w:val="auto"/>
          <w:szCs w:val="20"/>
          <w:lang w:val="sr-Cyrl-CS" w:eastAsia="ja-JP"/>
        </w:rPr>
      </w:pPr>
      <w:r w:rsidRPr="007E770D">
        <w:rPr>
          <w:rFonts w:eastAsia="MS PGothic" w:cstheme="minorHAnsi"/>
          <w:b/>
          <w:color w:val="auto"/>
          <w:szCs w:val="20"/>
          <w:lang w:val="sr-Cyrl-CS" w:eastAsia="ja-JP"/>
        </w:rPr>
        <w:lastRenderedPageBreak/>
        <w:t>Табела 11. Поређење фискалних показатеља два програма, у % БДП</w:t>
      </w:r>
    </w:p>
    <w:tbl>
      <w:tblPr>
        <w:tblStyle w:val="ListTable6Colorful-Accent6"/>
        <w:tblW w:w="5000" w:type="pct"/>
        <w:tblLook w:val="04A0" w:firstRow="1" w:lastRow="0" w:firstColumn="1" w:lastColumn="0" w:noHBand="0" w:noVBand="1"/>
      </w:tblPr>
      <w:tblGrid>
        <w:gridCol w:w="2802"/>
        <w:gridCol w:w="1311"/>
        <w:gridCol w:w="1311"/>
        <w:gridCol w:w="1312"/>
        <w:gridCol w:w="1312"/>
        <w:gridCol w:w="1312"/>
      </w:tblGrid>
      <w:tr w:rsidR="007E770D" w:rsidRPr="007E770D" w14:paraId="750CDBE4" w14:textId="77777777" w:rsidTr="00C130D2">
        <w:trPr>
          <w:cnfStyle w:val="100000000000" w:firstRow="1" w:lastRow="0" w:firstColumn="0" w:lastColumn="0" w:oddVBand="0" w:evenVBand="0" w:oddHBand="0"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1464" w:type="pct"/>
            <w:tcBorders>
              <w:top w:val="single" w:sz="4" w:space="0" w:color="002060"/>
              <w:bottom w:val="single" w:sz="4" w:space="0" w:color="FFFFFF" w:themeColor="background1"/>
            </w:tcBorders>
            <w:shd w:val="clear" w:color="auto" w:fill="FFFFFF" w:themeFill="background1"/>
            <w:noWrap/>
            <w:hideMark/>
          </w:tcPr>
          <w:p w14:paraId="4E57BF23" w14:textId="77777777" w:rsidR="004044DC" w:rsidRPr="007E770D" w:rsidRDefault="004044DC" w:rsidP="00E4657F">
            <w:pPr>
              <w:keepNext/>
              <w:widowControl w:val="0"/>
              <w:shd w:val="clear" w:color="auto" w:fill="FFFFFF" w:themeFill="background1"/>
              <w:spacing w:line="276" w:lineRule="auto"/>
              <w:rPr>
                <w:rFonts w:eastAsia="Times New Roman" w:cstheme="minorHAnsi"/>
                <w:b w:val="0"/>
                <w:color w:val="auto"/>
                <w:sz w:val="18"/>
                <w:szCs w:val="18"/>
                <w:lang w:val="sr-Cyrl-CS"/>
              </w:rPr>
            </w:pPr>
          </w:p>
        </w:tc>
        <w:tc>
          <w:tcPr>
            <w:tcW w:w="707" w:type="pct"/>
            <w:tcBorders>
              <w:top w:val="single" w:sz="4" w:space="0" w:color="002060"/>
              <w:bottom w:val="single" w:sz="4" w:space="0" w:color="002060"/>
            </w:tcBorders>
            <w:shd w:val="clear" w:color="auto" w:fill="FFFFFF" w:themeFill="background1"/>
            <w:noWrap/>
            <w:hideMark/>
          </w:tcPr>
          <w:p w14:paraId="174C928F" w14:textId="77777777" w:rsidR="004044DC" w:rsidRPr="007E770D" w:rsidRDefault="004044DC" w:rsidP="00E4657F">
            <w:pPr>
              <w:keepNext/>
              <w:widowControl w:val="0"/>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 w:val="0"/>
                <w:color w:val="auto"/>
                <w:sz w:val="18"/>
                <w:szCs w:val="18"/>
                <w:lang w:val="sr-Cyrl-CS"/>
              </w:rPr>
            </w:pPr>
            <w:r w:rsidRPr="007E770D">
              <w:rPr>
                <w:rFonts w:eastAsia="Times New Roman" w:cstheme="minorHAnsi"/>
                <w:b w:val="0"/>
                <w:color w:val="auto"/>
                <w:sz w:val="18"/>
                <w:szCs w:val="18"/>
                <w:lang w:val="sr-Cyrl-CS"/>
              </w:rPr>
              <w:t>2018</w:t>
            </w:r>
          </w:p>
        </w:tc>
        <w:tc>
          <w:tcPr>
            <w:tcW w:w="707" w:type="pct"/>
            <w:tcBorders>
              <w:top w:val="single" w:sz="4" w:space="0" w:color="002060"/>
              <w:bottom w:val="single" w:sz="4" w:space="0" w:color="002060"/>
            </w:tcBorders>
            <w:shd w:val="clear" w:color="auto" w:fill="FFFFFF" w:themeFill="background1"/>
            <w:noWrap/>
            <w:hideMark/>
          </w:tcPr>
          <w:p w14:paraId="6F9F408D" w14:textId="77777777" w:rsidR="004044DC" w:rsidRPr="007E770D" w:rsidRDefault="004044DC" w:rsidP="00E4657F">
            <w:pPr>
              <w:keepNext/>
              <w:widowControl w:val="0"/>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 w:val="0"/>
                <w:color w:val="auto"/>
                <w:sz w:val="18"/>
                <w:szCs w:val="18"/>
                <w:lang w:val="sr-Cyrl-CS"/>
              </w:rPr>
            </w:pPr>
            <w:r w:rsidRPr="007E770D">
              <w:rPr>
                <w:rFonts w:eastAsia="Times New Roman" w:cstheme="minorHAnsi"/>
                <w:b w:val="0"/>
                <w:color w:val="auto"/>
                <w:sz w:val="18"/>
                <w:szCs w:val="18"/>
                <w:lang w:val="sr-Cyrl-CS"/>
              </w:rPr>
              <w:t>2019</w:t>
            </w:r>
          </w:p>
        </w:tc>
        <w:tc>
          <w:tcPr>
            <w:tcW w:w="707" w:type="pct"/>
            <w:tcBorders>
              <w:top w:val="single" w:sz="4" w:space="0" w:color="002060"/>
              <w:bottom w:val="single" w:sz="4" w:space="0" w:color="002060"/>
            </w:tcBorders>
            <w:shd w:val="clear" w:color="auto" w:fill="FFFFFF" w:themeFill="background1"/>
            <w:noWrap/>
            <w:hideMark/>
          </w:tcPr>
          <w:p w14:paraId="4B7C61CD" w14:textId="77777777" w:rsidR="004044DC" w:rsidRPr="007E770D" w:rsidRDefault="004044DC" w:rsidP="00E4657F">
            <w:pPr>
              <w:keepNext/>
              <w:widowControl w:val="0"/>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 w:val="0"/>
                <w:color w:val="auto"/>
                <w:sz w:val="18"/>
                <w:szCs w:val="18"/>
                <w:lang w:val="sr-Cyrl-CS"/>
              </w:rPr>
            </w:pPr>
            <w:r w:rsidRPr="007E770D">
              <w:rPr>
                <w:rFonts w:eastAsia="Times New Roman" w:cstheme="minorHAnsi"/>
                <w:b w:val="0"/>
                <w:color w:val="auto"/>
                <w:sz w:val="18"/>
                <w:szCs w:val="18"/>
                <w:lang w:val="sr-Cyrl-CS"/>
              </w:rPr>
              <w:t>2020</w:t>
            </w:r>
          </w:p>
        </w:tc>
        <w:tc>
          <w:tcPr>
            <w:tcW w:w="707" w:type="pct"/>
            <w:tcBorders>
              <w:top w:val="single" w:sz="4" w:space="0" w:color="002060"/>
              <w:bottom w:val="single" w:sz="4" w:space="0" w:color="002060"/>
            </w:tcBorders>
            <w:shd w:val="clear" w:color="auto" w:fill="FFFFFF" w:themeFill="background1"/>
            <w:noWrap/>
            <w:hideMark/>
          </w:tcPr>
          <w:p w14:paraId="7DC0C39F" w14:textId="77777777" w:rsidR="004044DC" w:rsidRPr="007E770D" w:rsidRDefault="004044DC" w:rsidP="00E4657F">
            <w:pPr>
              <w:keepNext/>
              <w:widowControl w:val="0"/>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 w:val="0"/>
                <w:color w:val="auto"/>
                <w:sz w:val="18"/>
                <w:szCs w:val="18"/>
                <w:lang w:val="sr-Cyrl-CS"/>
              </w:rPr>
            </w:pPr>
            <w:r w:rsidRPr="007E770D">
              <w:rPr>
                <w:rFonts w:eastAsia="Times New Roman" w:cstheme="minorHAnsi"/>
                <w:b w:val="0"/>
                <w:color w:val="auto"/>
                <w:sz w:val="18"/>
                <w:szCs w:val="18"/>
                <w:lang w:val="sr-Cyrl-CS"/>
              </w:rPr>
              <w:t>2021</w:t>
            </w:r>
          </w:p>
        </w:tc>
        <w:tc>
          <w:tcPr>
            <w:tcW w:w="707" w:type="pct"/>
            <w:tcBorders>
              <w:top w:val="single" w:sz="4" w:space="0" w:color="002060"/>
              <w:bottom w:val="single" w:sz="4" w:space="0" w:color="002060"/>
            </w:tcBorders>
            <w:shd w:val="clear" w:color="auto" w:fill="FFFFFF" w:themeFill="background1"/>
            <w:noWrap/>
            <w:hideMark/>
          </w:tcPr>
          <w:p w14:paraId="671D95E8" w14:textId="77777777" w:rsidR="004044DC" w:rsidRPr="007E770D" w:rsidRDefault="004044DC" w:rsidP="00E4657F">
            <w:pPr>
              <w:keepNext/>
              <w:widowControl w:val="0"/>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 w:val="0"/>
                <w:color w:val="auto"/>
                <w:sz w:val="18"/>
                <w:szCs w:val="18"/>
                <w:lang w:val="sr-Cyrl-CS"/>
              </w:rPr>
            </w:pPr>
            <w:r w:rsidRPr="007E770D">
              <w:rPr>
                <w:rFonts w:eastAsia="Times New Roman" w:cstheme="minorHAnsi"/>
                <w:b w:val="0"/>
                <w:color w:val="auto"/>
                <w:sz w:val="18"/>
                <w:szCs w:val="18"/>
                <w:lang w:val="sr-Cyrl-CS"/>
              </w:rPr>
              <w:t>2022</w:t>
            </w:r>
          </w:p>
        </w:tc>
      </w:tr>
      <w:tr w:rsidR="007E770D" w:rsidRPr="007E770D" w14:paraId="153BAC7B" w14:textId="77777777" w:rsidTr="00C130D2">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1464" w:type="pct"/>
            <w:tcBorders>
              <w:top w:val="single" w:sz="4" w:space="0" w:color="FFFFFF" w:themeColor="background1"/>
            </w:tcBorders>
            <w:shd w:val="clear" w:color="auto" w:fill="FFFFFF" w:themeFill="background1"/>
            <w:noWrap/>
            <w:hideMark/>
          </w:tcPr>
          <w:p w14:paraId="095CA847" w14:textId="77777777" w:rsidR="004044DC" w:rsidRPr="007E770D" w:rsidRDefault="004044DC" w:rsidP="00E4657F">
            <w:pPr>
              <w:keepNext/>
              <w:widowControl w:val="0"/>
              <w:shd w:val="clear" w:color="auto" w:fill="FFFFFF" w:themeFill="background1"/>
              <w:spacing w:line="276" w:lineRule="auto"/>
              <w:rPr>
                <w:rFonts w:eastAsia="Times New Roman" w:cstheme="minorHAnsi"/>
                <w:b w:val="0"/>
                <w:color w:val="auto"/>
                <w:sz w:val="18"/>
                <w:szCs w:val="18"/>
                <w:lang w:val="sr-Cyrl-CS"/>
              </w:rPr>
            </w:pPr>
            <w:r w:rsidRPr="007E770D">
              <w:rPr>
                <w:rFonts w:eastAsia="Times New Roman" w:cstheme="minorHAnsi"/>
                <w:b w:val="0"/>
                <w:color w:val="auto"/>
                <w:sz w:val="18"/>
                <w:szCs w:val="18"/>
                <w:lang w:val="sr-Cyrl-CS"/>
              </w:rPr>
              <w:t>Фискална стратегија 2019–2021.</w:t>
            </w:r>
            <w:r w:rsidRPr="007E770D">
              <w:rPr>
                <w:rStyle w:val="FootnoteReference"/>
                <w:rFonts w:eastAsia="Times New Roman" w:cstheme="minorHAnsi"/>
                <w:b w:val="0"/>
                <w:color w:val="auto"/>
                <w:sz w:val="18"/>
                <w:szCs w:val="18"/>
                <w:lang w:val="sr-Cyrl-CS"/>
              </w:rPr>
              <w:footnoteReference w:id="10"/>
            </w:r>
          </w:p>
        </w:tc>
        <w:tc>
          <w:tcPr>
            <w:tcW w:w="707" w:type="pct"/>
            <w:tcBorders>
              <w:top w:val="single" w:sz="4" w:space="0" w:color="002060"/>
            </w:tcBorders>
            <w:shd w:val="clear" w:color="auto" w:fill="FFFFFF" w:themeFill="background1"/>
            <w:noWrap/>
            <w:hideMark/>
          </w:tcPr>
          <w:p w14:paraId="42B05561" w14:textId="77777777" w:rsidR="004044DC" w:rsidRPr="007E770D" w:rsidRDefault="004044DC" w:rsidP="00E4657F">
            <w:pPr>
              <w:keepNext/>
              <w:widowControl w:val="0"/>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auto"/>
                <w:sz w:val="18"/>
                <w:szCs w:val="18"/>
                <w:lang w:val="sr-Cyrl-CS"/>
              </w:rPr>
            </w:pPr>
          </w:p>
        </w:tc>
        <w:tc>
          <w:tcPr>
            <w:tcW w:w="707" w:type="pct"/>
            <w:tcBorders>
              <w:top w:val="single" w:sz="4" w:space="0" w:color="002060"/>
            </w:tcBorders>
            <w:shd w:val="clear" w:color="auto" w:fill="FFFFFF" w:themeFill="background1"/>
            <w:noWrap/>
            <w:hideMark/>
          </w:tcPr>
          <w:p w14:paraId="01C83CD0" w14:textId="77777777" w:rsidR="004044DC" w:rsidRPr="007E770D" w:rsidRDefault="004044DC" w:rsidP="00E4657F">
            <w:pPr>
              <w:keepNext/>
              <w:widowControl w:val="0"/>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auto"/>
                <w:sz w:val="18"/>
                <w:szCs w:val="18"/>
                <w:lang w:val="sr-Cyrl-CS"/>
              </w:rPr>
            </w:pPr>
          </w:p>
        </w:tc>
        <w:tc>
          <w:tcPr>
            <w:tcW w:w="707" w:type="pct"/>
            <w:tcBorders>
              <w:top w:val="single" w:sz="4" w:space="0" w:color="002060"/>
            </w:tcBorders>
            <w:shd w:val="clear" w:color="auto" w:fill="FFFFFF" w:themeFill="background1"/>
            <w:noWrap/>
            <w:hideMark/>
          </w:tcPr>
          <w:p w14:paraId="79D1B17B" w14:textId="77777777" w:rsidR="004044DC" w:rsidRPr="007E770D" w:rsidRDefault="004044DC" w:rsidP="00E4657F">
            <w:pPr>
              <w:keepNext/>
              <w:widowControl w:val="0"/>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auto"/>
                <w:sz w:val="18"/>
                <w:szCs w:val="18"/>
                <w:lang w:val="sr-Cyrl-CS"/>
              </w:rPr>
            </w:pPr>
          </w:p>
        </w:tc>
        <w:tc>
          <w:tcPr>
            <w:tcW w:w="707" w:type="pct"/>
            <w:tcBorders>
              <w:top w:val="single" w:sz="4" w:space="0" w:color="002060"/>
            </w:tcBorders>
            <w:shd w:val="clear" w:color="auto" w:fill="FFFFFF" w:themeFill="background1"/>
            <w:noWrap/>
            <w:hideMark/>
          </w:tcPr>
          <w:p w14:paraId="7C92A52E" w14:textId="77777777" w:rsidR="004044DC" w:rsidRPr="007E770D" w:rsidRDefault="004044DC" w:rsidP="00E4657F">
            <w:pPr>
              <w:keepNext/>
              <w:widowControl w:val="0"/>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auto"/>
                <w:sz w:val="18"/>
                <w:szCs w:val="18"/>
                <w:lang w:val="sr-Cyrl-CS"/>
              </w:rPr>
            </w:pPr>
          </w:p>
        </w:tc>
        <w:tc>
          <w:tcPr>
            <w:tcW w:w="707" w:type="pct"/>
            <w:tcBorders>
              <w:top w:val="single" w:sz="4" w:space="0" w:color="002060"/>
            </w:tcBorders>
            <w:shd w:val="clear" w:color="auto" w:fill="FFFFFF" w:themeFill="background1"/>
            <w:noWrap/>
            <w:hideMark/>
          </w:tcPr>
          <w:p w14:paraId="20D7E367" w14:textId="77777777" w:rsidR="004044DC" w:rsidRPr="007E770D" w:rsidRDefault="004044DC" w:rsidP="00E4657F">
            <w:pPr>
              <w:keepNext/>
              <w:widowControl w:val="0"/>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auto"/>
                <w:sz w:val="18"/>
                <w:szCs w:val="18"/>
                <w:lang w:val="sr-Cyrl-CS"/>
              </w:rPr>
            </w:pPr>
          </w:p>
        </w:tc>
      </w:tr>
      <w:tr w:rsidR="007E770D" w:rsidRPr="007E770D" w14:paraId="5300FD1F" w14:textId="77777777" w:rsidTr="00C130D2">
        <w:trPr>
          <w:trHeight w:val="241"/>
        </w:trPr>
        <w:tc>
          <w:tcPr>
            <w:cnfStyle w:val="001000000000" w:firstRow="0" w:lastRow="0" w:firstColumn="1" w:lastColumn="0" w:oddVBand="0" w:evenVBand="0" w:oddHBand="0" w:evenHBand="0" w:firstRowFirstColumn="0" w:firstRowLastColumn="0" w:lastRowFirstColumn="0" w:lastRowLastColumn="0"/>
            <w:tcW w:w="1464" w:type="pct"/>
            <w:shd w:val="clear" w:color="auto" w:fill="FFFFFF" w:themeFill="background1"/>
            <w:noWrap/>
            <w:hideMark/>
          </w:tcPr>
          <w:p w14:paraId="2D5497CB" w14:textId="77777777" w:rsidR="004044DC" w:rsidRPr="007E770D" w:rsidRDefault="004044DC" w:rsidP="00E4657F">
            <w:pPr>
              <w:keepNext/>
              <w:widowControl w:val="0"/>
              <w:shd w:val="clear" w:color="auto" w:fill="FFFFFF" w:themeFill="background1"/>
              <w:spacing w:line="276" w:lineRule="auto"/>
              <w:rPr>
                <w:rFonts w:eastAsia="Times New Roman" w:cstheme="minorHAnsi"/>
                <w:b w:val="0"/>
                <w:color w:val="auto"/>
                <w:sz w:val="18"/>
                <w:szCs w:val="18"/>
                <w:lang w:val="sr-Cyrl-CS"/>
              </w:rPr>
            </w:pPr>
            <w:r w:rsidRPr="007E770D">
              <w:rPr>
                <w:rFonts w:eastAsia="Times New Roman" w:cstheme="minorHAnsi"/>
                <w:b w:val="0"/>
                <w:color w:val="auto"/>
                <w:sz w:val="18"/>
                <w:szCs w:val="18"/>
                <w:lang w:val="sr-Cyrl-CS"/>
              </w:rPr>
              <w:t>Приходи</w:t>
            </w:r>
          </w:p>
        </w:tc>
        <w:tc>
          <w:tcPr>
            <w:tcW w:w="707" w:type="pct"/>
            <w:shd w:val="clear" w:color="auto" w:fill="FFFFFF" w:themeFill="background1"/>
            <w:noWrap/>
            <w:hideMark/>
          </w:tcPr>
          <w:p w14:paraId="21500790" w14:textId="77777777" w:rsidR="004044DC" w:rsidRPr="007E770D" w:rsidRDefault="004044DC" w:rsidP="00E4657F">
            <w:pPr>
              <w:keepNext/>
              <w:widowControl w:val="0"/>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color w:val="auto"/>
                <w:sz w:val="18"/>
                <w:szCs w:val="18"/>
                <w:lang w:val="sr-Cyrl-CS"/>
              </w:rPr>
              <w:t>41,1</w:t>
            </w:r>
          </w:p>
        </w:tc>
        <w:tc>
          <w:tcPr>
            <w:tcW w:w="707" w:type="pct"/>
            <w:shd w:val="clear" w:color="auto" w:fill="FFFFFF" w:themeFill="background1"/>
            <w:noWrap/>
            <w:hideMark/>
          </w:tcPr>
          <w:p w14:paraId="163ED75D" w14:textId="77777777" w:rsidR="004044DC" w:rsidRPr="007E770D" w:rsidRDefault="004044DC" w:rsidP="00E4657F">
            <w:pPr>
              <w:keepNext/>
              <w:widowControl w:val="0"/>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color w:val="auto"/>
                <w:sz w:val="18"/>
                <w:szCs w:val="18"/>
                <w:lang w:val="sr-Cyrl-CS"/>
              </w:rPr>
              <w:t>39,9</w:t>
            </w:r>
          </w:p>
        </w:tc>
        <w:tc>
          <w:tcPr>
            <w:tcW w:w="707" w:type="pct"/>
            <w:shd w:val="clear" w:color="auto" w:fill="FFFFFF" w:themeFill="background1"/>
            <w:noWrap/>
            <w:hideMark/>
          </w:tcPr>
          <w:p w14:paraId="03D8B92B" w14:textId="77777777" w:rsidR="004044DC" w:rsidRPr="007E770D" w:rsidRDefault="004044DC" w:rsidP="00E4657F">
            <w:pPr>
              <w:keepNext/>
              <w:widowControl w:val="0"/>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color w:val="auto"/>
                <w:sz w:val="18"/>
                <w:szCs w:val="18"/>
                <w:lang w:val="sr-Cyrl-CS"/>
              </w:rPr>
              <w:t>39,2</w:t>
            </w:r>
          </w:p>
        </w:tc>
        <w:tc>
          <w:tcPr>
            <w:tcW w:w="707" w:type="pct"/>
            <w:shd w:val="clear" w:color="auto" w:fill="FFFFFF" w:themeFill="background1"/>
            <w:noWrap/>
            <w:hideMark/>
          </w:tcPr>
          <w:p w14:paraId="2C446ACF" w14:textId="77777777" w:rsidR="004044DC" w:rsidRPr="007E770D" w:rsidRDefault="004044DC" w:rsidP="00E4657F">
            <w:pPr>
              <w:keepNext/>
              <w:widowControl w:val="0"/>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color w:val="auto"/>
                <w:sz w:val="18"/>
                <w:szCs w:val="18"/>
                <w:lang w:val="sr-Cyrl-CS"/>
              </w:rPr>
              <w:t>38,8</w:t>
            </w:r>
          </w:p>
        </w:tc>
        <w:tc>
          <w:tcPr>
            <w:tcW w:w="707" w:type="pct"/>
            <w:shd w:val="clear" w:color="auto" w:fill="FFFFFF" w:themeFill="background1"/>
            <w:noWrap/>
            <w:hideMark/>
          </w:tcPr>
          <w:p w14:paraId="57C245EA" w14:textId="77777777" w:rsidR="004044DC" w:rsidRPr="007E770D" w:rsidRDefault="004044DC" w:rsidP="00E4657F">
            <w:pPr>
              <w:keepNext/>
              <w:widowControl w:val="0"/>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color w:val="auto"/>
                <w:sz w:val="18"/>
                <w:szCs w:val="18"/>
                <w:lang w:val="sr-Cyrl-CS"/>
              </w:rPr>
              <w:t>–</w:t>
            </w:r>
          </w:p>
        </w:tc>
      </w:tr>
      <w:tr w:rsidR="007E770D" w:rsidRPr="007E770D" w14:paraId="204A28C6" w14:textId="77777777" w:rsidTr="00C130D2">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1464" w:type="pct"/>
            <w:shd w:val="clear" w:color="auto" w:fill="FFFFFF" w:themeFill="background1"/>
            <w:noWrap/>
            <w:hideMark/>
          </w:tcPr>
          <w:p w14:paraId="67FB634E" w14:textId="77777777" w:rsidR="004044DC" w:rsidRPr="007E770D" w:rsidRDefault="004044DC" w:rsidP="00E4657F">
            <w:pPr>
              <w:keepNext/>
              <w:widowControl w:val="0"/>
              <w:shd w:val="clear" w:color="auto" w:fill="FFFFFF" w:themeFill="background1"/>
              <w:spacing w:line="276" w:lineRule="auto"/>
              <w:rPr>
                <w:rFonts w:eastAsia="Times New Roman" w:cstheme="minorHAnsi"/>
                <w:b w:val="0"/>
                <w:color w:val="auto"/>
                <w:sz w:val="18"/>
                <w:szCs w:val="18"/>
                <w:lang w:val="sr-Cyrl-CS"/>
              </w:rPr>
            </w:pPr>
            <w:r w:rsidRPr="007E770D">
              <w:rPr>
                <w:rFonts w:eastAsia="Times New Roman" w:cstheme="minorHAnsi"/>
                <w:b w:val="0"/>
                <w:color w:val="auto"/>
                <w:sz w:val="18"/>
                <w:szCs w:val="18"/>
                <w:lang w:val="sr-Cyrl-CS"/>
              </w:rPr>
              <w:t>Расходи</w:t>
            </w:r>
          </w:p>
        </w:tc>
        <w:tc>
          <w:tcPr>
            <w:tcW w:w="707" w:type="pct"/>
            <w:shd w:val="clear" w:color="auto" w:fill="FFFFFF" w:themeFill="background1"/>
            <w:noWrap/>
            <w:hideMark/>
          </w:tcPr>
          <w:p w14:paraId="321D8765" w14:textId="77777777" w:rsidR="004044DC" w:rsidRPr="007E770D" w:rsidRDefault="004044DC" w:rsidP="00E4657F">
            <w:pPr>
              <w:keepNext/>
              <w:widowControl w:val="0"/>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color w:val="auto"/>
                <w:sz w:val="18"/>
                <w:szCs w:val="18"/>
                <w:lang w:val="sr-Cyrl-CS"/>
              </w:rPr>
              <w:t>40,6</w:t>
            </w:r>
          </w:p>
        </w:tc>
        <w:tc>
          <w:tcPr>
            <w:tcW w:w="707" w:type="pct"/>
            <w:shd w:val="clear" w:color="auto" w:fill="FFFFFF" w:themeFill="background1"/>
            <w:noWrap/>
            <w:hideMark/>
          </w:tcPr>
          <w:p w14:paraId="31E00249" w14:textId="77777777" w:rsidR="004044DC" w:rsidRPr="007E770D" w:rsidRDefault="004044DC" w:rsidP="00E4657F">
            <w:pPr>
              <w:keepNext/>
              <w:widowControl w:val="0"/>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color w:val="auto"/>
                <w:sz w:val="18"/>
                <w:szCs w:val="18"/>
                <w:lang w:val="sr-Cyrl-CS"/>
              </w:rPr>
              <w:t>40,4</w:t>
            </w:r>
          </w:p>
        </w:tc>
        <w:tc>
          <w:tcPr>
            <w:tcW w:w="707" w:type="pct"/>
            <w:shd w:val="clear" w:color="auto" w:fill="FFFFFF" w:themeFill="background1"/>
            <w:noWrap/>
            <w:hideMark/>
          </w:tcPr>
          <w:p w14:paraId="79C48721" w14:textId="77777777" w:rsidR="004044DC" w:rsidRPr="007E770D" w:rsidRDefault="004044DC" w:rsidP="00E4657F">
            <w:pPr>
              <w:keepNext/>
              <w:widowControl w:val="0"/>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color w:val="auto"/>
                <w:sz w:val="18"/>
                <w:szCs w:val="18"/>
                <w:lang w:val="sr-Cyrl-CS"/>
              </w:rPr>
              <w:t>39,7</w:t>
            </w:r>
          </w:p>
        </w:tc>
        <w:tc>
          <w:tcPr>
            <w:tcW w:w="707" w:type="pct"/>
            <w:shd w:val="clear" w:color="auto" w:fill="FFFFFF" w:themeFill="background1"/>
            <w:noWrap/>
            <w:hideMark/>
          </w:tcPr>
          <w:p w14:paraId="0380EA50" w14:textId="77777777" w:rsidR="004044DC" w:rsidRPr="007E770D" w:rsidRDefault="004044DC" w:rsidP="00E4657F">
            <w:pPr>
              <w:keepNext/>
              <w:widowControl w:val="0"/>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color w:val="auto"/>
                <w:sz w:val="18"/>
                <w:szCs w:val="18"/>
                <w:lang w:val="sr-Cyrl-CS"/>
              </w:rPr>
              <w:t>39,3</w:t>
            </w:r>
          </w:p>
        </w:tc>
        <w:tc>
          <w:tcPr>
            <w:tcW w:w="707" w:type="pct"/>
            <w:shd w:val="clear" w:color="auto" w:fill="FFFFFF" w:themeFill="background1"/>
            <w:noWrap/>
            <w:hideMark/>
          </w:tcPr>
          <w:p w14:paraId="03A9B324" w14:textId="77777777" w:rsidR="004044DC" w:rsidRPr="007E770D" w:rsidRDefault="004044DC" w:rsidP="00E4657F">
            <w:pPr>
              <w:keepNext/>
              <w:widowControl w:val="0"/>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color w:val="auto"/>
                <w:sz w:val="18"/>
                <w:szCs w:val="18"/>
                <w:lang w:val="sr-Cyrl-CS"/>
              </w:rPr>
              <w:t>–</w:t>
            </w:r>
          </w:p>
        </w:tc>
      </w:tr>
      <w:tr w:rsidR="007E770D" w:rsidRPr="007E770D" w14:paraId="7549AB98" w14:textId="77777777" w:rsidTr="00C130D2">
        <w:trPr>
          <w:trHeight w:val="241"/>
        </w:trPr>
        <w:tc>
          <w:tcPr>
            <w:cnfStyle w:val="001000000000" w:firstRow="0" w:lastRow="0" w:firstColumn="1" w:lastColumn="0" w:oddVBand="0" w:evenVBand="0" w:oddHBand="0" w:evenHBand="0" w:firstRowFirstColumn="0" w:firstRowLastColumn="0" w:lastRowFirstColumn="0" w:lastRowLastColumn="0"/>
            <w:tcW w:w="1464" w:type="pct"/>
            <w:shd w:val="clear" w:color="auto" w:fill="FFFFFF" w:themeFill="background1"/>
            <w:noWrap/>
            <w:hideMark/>
          </w:tcPr>
          <w:p w14:paraId="580AEC59" w14:textId="77777777" w:rsidR="004044DC" w:rsidRPr="007E770D" w:rsidRDefault="004044DC" w:rsidP="00E4657F">
            <w:pPr>
              <w:keepNext/>
              <w:widowControl w:val="0"/>
              <w:shd w:val="clear" w:color="auto" w:fill="FFFFFF" w:themeFill="background1"/>
              <w:spacing w:line="276" w:lineRule="auto"/>
              <w:rPr>
                <w:rFonts w:eastAsia="Times New Roman" w:cstheme="minorHAnsi"/>
                <w:b w:val="0"/>
                <w:color w:val="auto"/>
                <w:sz w:val="18"/>
                <w:szCs w:val="18"/>
                <w:lang w:val="sr-Cyrl-CS"/>
              </w:rPr>
            </w:pPr>
            <w:r w:rsidRPr="007E770D">
              <w:rPr>
                <w:rFonts w:eastAsia="Times New Roman" w:cstheme="minorHAnsi"/>
                <w:b w:val="0"/>
                <w:color w:val="auto"/>
                <w:sz w:val="18"/>
                <w:szCs w:val="18"/>
                <w:lang w:val="sr-Cyrl-CS"/>
              </w:rPr>
              <w:t>Резултат</w:t>
            </w:r>
          </w:p>
        </w:tc>
        <w:tc>
          <w:tcPr>
            <w:tcW w:w="707" w:type="pct"/>
            <w:shd w:val="clear" w:color="auto" w:fill="FFFFFF" w:themeFill="background1"/>
            <w:noWrap/>
            <w:hideMark/>
          </w:tcPr>
          <w:p w14:paraId="361A09EB" w14:textId="77777777" w:rsidR="004044DC" w:rsidRPr="007E770D" w:rsidRDefault="004044DC" w:rsidP="00E4657F">
            <w:pPr>
              <w:keepNext/>
              <w:widowControl w:val="0"/>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color w:val="auto"/>
                <w:sz w:val="18"/>
                <w:szCs w:val="18"/>
                <w:lang w:val="sr-Cyrl-CS"/>
              </w:rPr>
              <w:t>0,6</w:t>
            </w:r>
          </w:p>
        </w:tc>
        <w:tc>
          <w:tcPr>
            <w:tcW w:w="707" w:type="pct"/>
            <w:shd w:val="clear" w:color="auto" w:fill="FFFFFF" w:themeFill="background1"/>
            <w:noWrap/>
            <w:hideMark/>
          </w:tcPr>
          <w:p w14:paraId="1FFB5251" w14:textId="77777777" w:rsidR="004044DC" w:rsidRPr="007E770D" w:rsidRDefault="004044DC" w:rsidP="00E4657F">
            <w:pPr>
              <w:keepNext/>
              <w:widowControl w:val="0"/>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color w:val="auto"/>
                <w:sz w:val="18"/>
                <w:szCs w:val="18"/>
                <w:lang w:val="sr-Cyrl-CS"/>
              </w:rPr>
              <w:t>-0,5</w:t>
            </w:r>
          </w:p>
        </w:tc>
        <w:tc>
          <w:tcPr>
            <w:tcW w:w="707" w:type="pct"/>
            <w:shd w:val="clear" w:color="auto" w:fill="FFFFFF" w:themeFill="background1"/>
            <w:noWrap/>
            <w:hideMark/>
          </w:tcPr>
          <w:p w14:paraId="0791AE05" w14:textId="77777777" w:rsidR="004044DC" w:rsidRPr="007E770D" w:rsidRDefault="004044DC" w:rsidP="00E4657F">
            <w:pPr>
              <w:keepNext/>
              <w:widowControl w:val="0"/>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color w:val="auto"/>
                <w:sz w:val="18"/>
                <w:szCs w:val="18"/>
                <w:lang w:val="sr-Cyrl-CS"/>
              </w:rPr>
              <w:t>-0,5</w:t>
            </w:r>
          </w:p>
        </w:tc>
        <w:tc>
          <w:tcPr>
            <w:tcW w:w="707" w:type="pct"/>
            <w:shd w:val="clear" w:color="auto" w:fill="FFFFFF" w:themeFill="background1"/>
            <w:noWrap/>
            <w:hideMark/>
          </w:tcPr>
          <w:p w14:paraId="7ACD98F4" w14:textId="77777777" w:rsidR="004044DC" w:rsidRPr="007E770D" w:rsidRDefault="004044DC" w:rsidP="00E4657F">
            <w:pPr>
              <w:keepNext/>
              <w:widowControl w:val="0"/>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color w:val="auto"/>
                <w:sz w:val="18"/>
                <w:szCs w:val="18"/>
                <w:lang w:val="sr-Cyrl-CS"/>
              </w:rPr>
              <w:t>-0,5</w:t>
            </w:r>
          </w:p>
        </w:tc>
        <w:tc>
          <w:tcPr>
            <w:tcW w:w="707" w:type="pct"/>
            <w:shd w:val="clear" w:color="auto" w:fill="FFFFFF" w:themeFill="background1"/>
            <w:noWrap/>
            <w:hideMark/>
          </w:tcPr>
          <w:p w14:paraId="3C71D01D" w14:textId="77777777" w:rsidR="004044DC" w:rsidRPr="007E770D" w:rsidRDefault="004044DC" w:rsidP="00E4657F">
            <w:pPr>
              <w:keepNext/>
              <w:widowControl w:val="0"/>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color w:val="auto"/>
                <w:sz w:val="18"/>
                <w:szCs w:val="18"/>
                <w:lang w:val="sr-Cyrl-CS"/>
              </w:rPr>
              <w:t>–</w:t>
            </w:r>
          </w:p>
        </w:tc>
      </w:tr>
      <w:tr w:rsidR="007E770D" w:rsidRPr="007E770D" w14:paraId="3A27EC79" w14:textId="77777777" w:rsidTr="00C130D2">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1464" w:type="pct"/>
            <w:shd w:val="clear" w:color="auto" w:fill="FFFFFF" w:themeFill="background1"/>
            <w:noWrap/>
            <w:hideMark/>
          </w:tcPr>
          <w:p w14:paraId="2648D5DD" w14:textId="77777777" w:rsidR="004044DC" w:rsidRPr="007E770D" w:rsidRDefault="004044DC" w:rsidP="00E4657F">
            <w:pPr>
              <w:keepNext/>
              <w:widowControl w:val="0"/>
              <w:shd w:val="clear" w:color="auto" w:fill="FFFFFF" w:themeFill="background1"/>
              <w:spacing w:line="276" w:lineRule="auto"/>
              <w:rPr>
                <w:rFonts w:eastAsia="Times New Roman" w:cstheme="minorHAnsi"/>
                <w:b w:val="0"/>
                <w:color w:val="auto"/>
                <w:sz w:val="18"/>
                <w:szCs w:val="18"/>
                <w:lang w:val="sr-Cyrl-CS"/>
              </w:rPr>
            </w:pPr>
            <w:r w:rsidRPr="007E770D">
              <w:rPr>
                <w:rFonts w:eastAsia="Times New Roman" w:cstheme="minorHAnsi"/>
                <w:b w:val="0"/>
                <w:color w:val="auto"/>
                <w:sz w:val="18"/>
                <w:szCs w:val="18"/>
                <w:lang w:val="sr-Cyrl-CS"/>
              </w:rPr>
              <w:t>Фискална стратегија 2020–2022.</w:t>
            </w:r>
          </w:p>
        </w:tc>
        <w:tc>
          <w:tcPr>
            <w:tcW w:w="707" w:type="pct"/>
            <w:shd w:val="clear" w:color="auto" w:fill="FFFFFF" w:themeFill="background1"/>
            <w:noWrap/>
            <w:hideMark/>
          </w:tcPr>
          <w:p w14:paraId="53414BA3" w14:textId="77777777" w:rsidR="004044DC" w:rsidRPr="007E770D" w:rsidRDefault="004044DC" w:rsidP="00E4657F">
            <w:pPr>
              <w:keepNext/>
              <w:widowControl w:val="0"/>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auto"/>
                <w:sz w:val="18"/>
                <w:szCs w:val="18"/>
                <w:lang w:val="sr-Cyrl-CS"/>
              </w:rPr>
            </w:pPr>
          </w:p>
        </w:tc>
        <w:tc>
          <w:tcPr>
            <w:tcW w:w="707" w:type="pct"/>
            <w:shd w:val="clear" w:color="auto" w:fill="FFFFFF" w:themeFill="background1"/>
            <w:noWrap/>
            <w:hideMark/>
          </w:tcPr>
          <w:p w14:paraId="0AFF8994" w14:textId="77777777" w:rsidR="004044DC" w:rsidRPr="007E770D" w:rsidRDefault="004044DC" w:rsidP="00E4657F">
            <w:pPr>
              <w:keepNext/>
              <w:widowControl w:val="0"/>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auto"/>
                <w:sz w:val="18"/>
                <w:szCs w:val="18"/>
                <w:lang w:val="sr-Cyrl-CS"/>
              </w:rPr>
            </w:pPr>
          </w:p>
        </w:tc>
        <w:tc>
          <w:tcPr>
            <w:tcW w:w="707" w:type="pct"/>
            <w:shd w:val="clear" w:color="auto" w:fill="FFFFFF" w:themeFill="background1"/>
            <w:noWrap/>
            <w:hideMark/>
          </w:tcPr>
          <w:p w14:paraId="084DB2AF" w14:textId="77777777" w:rsidR="004044DC" w:rsidRPr="007E770D" w:rsidRDefault="004044DC" w:rsidP="00E4657F">
            <w:pPr>
              <w:keepNext/>
              <w:widowControl w:val="0"/>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auto"/>
                <w:sz w:val="18"/>
                <w:szCs w:val="18"/>
                <w:lang w:val="sr-Cyrl-CS"/>
              </w:rPr>
            </w:pPr>
          </w:p>
        </w:tc>
        <w:tc>
          <w:tcPr>
            <w:tcW w:w="707" w:type="pct"/>
            <w:shd w:val="clear" w:color="auto" w:fill="FFFFFF" w:themeFill="background1"/>
            <w:noWrap/>
            <w:hideMark/>
          </w:tcPr>
          <w:p w14:paraId="27CC94BB" w14:textId="77777777" w:rsidR="004044DC" w:rsidRPr="007E770D" w:rsidRDefault="004044DC" w:rsidP="00E4657F">
            <w:pPr>
              <w:keepNext/>
              <w:widowControl w:val="0"/>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auto"/>
                <w:sz w:val="18"/>
                <w:szCs w:val="18"/>
                <w:lang w:val="sr-Cyrl-CS"/>
              </w:rPr>
            </w:pPr>
          </w:p>
        </w:tc>
        <w:tc>
          <w:tcPr>
            <w:tcW w:w="707" w:type="pct"/>
            <w:shd w:val="clear" w:color="auto" w:fill="FFFFFF" w:themeFill="background1"/>
            <w:noWrap/>
            <w:hideMark/>
          </w:tcPr>
          <w:p w14:paraId="6E728367" w14:textId="77777777" w:rsidR="004044DC" w:rsidRPr="007E770D" w:rsidRDefault="004044DC" w:rsidP="00E4657F">
            <w:pPr>
              <w:keepNext/>
              <w:widowControl w:val="0"/>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auto"/>
                <w:sz w:val="18"/>
                <w:szCs w:val="18"/>
                <w:lang w:val="sr-Cyrl-CS"/>
              </w:rPr>
            </w:pPr>
          </w:p>
        </w:tc>
      </w:tr>
      <w:tr w:rsidR="007E770D" w:rsidRPr="007E770D" w14:paraId="618E8B98" w14:textId="77777777" w:rsidTr="00C130D2">
        <w:trPr>
          <w:trHeight w:val="241"/>
        </w:trPr>
        <w:tc>
          <w:tcPr>
            <w:cnfStyle w:val="001000000000" w:firstRow="0" w:lastRow="0" w:firstColumn="1" w:lastColumn="0" w:oddVBand="0" w:evenVBand="0" w:oddHBand="0" w:evenHBand="0" w:firstRowFirstColumn="0" w:firstRowLastColumn="0" w:lastRowFirstColumn="0" w:lastRowLastColumn="0"/>
            <w:tcW w:w="1464" w:type="pct"/>
            <w:shd w:val="clear" w:color="auto" w:fill="FFFFFF" w:themeFill="background1"/>
            <w:noWrap/>
            <w:hideMark/>
          </w:tcPr>
          <w:p w14:paraId="28A7A0B8" w14:textId="77777777" w:rsidR="004044DC" w:rsidRPr="007E770D" w:rsidRDefault="004044DC" w:rsidP="00E4657F">
            <w:pPr>
              <w:keepNext/>
              <w:widowControl w:val="0"/>
              <w:shd w:val="clear" w:color="auto" w:fill="FFFFFF" w:themeFill="background1"/>
              <w:spacing w:line="276" w:lineRule="auto"/>
              <w:rPr>
                <w:rFonts w:eastAsia="Times New Roman" w:cstheme="minorHAnsi"/>
                <w:b w:val="0"/>
                <w:color w:val="auto"/>
                <w:sz w:val="18"/>
                <w:szCs w:val="18"/>
                <w:lang w:val="sr-Cyrl-CS"/>
              </w:rPr>
            </w:pPr>
            <w:r w:rsidRPr="007E770D">
              <w:rPr>
                <w:rFonts w:eastAsia="Times New Roman" w:cstheme="minorHAnsi"/>
                <w:b w:val="0"/>
                <w:color w:val="auto"/>
                <w:sz w:val="18"/>
                <w:szCs w:val="18"/>
                <w:lang w:val="sr-Cyrl-CS"/>
              </w:rPr>
              <w:t>Приходи</w:t>
            </w:r>
          </w:p>
        </w:tc>
        <w:tc>
          <w:tcPr>
            <w:tcW w:w="707" w:type="pct"/>
            <w:shd w:val="clear" w:color="auto" w:fill="FFFFFF" w:themeFill="background1"/>
            <w:noWrap/>
            <w:hideMark/>
          </w:tcPr>
          <w:p w14:paraId="41CD869D" w14:textId="77777777" w:rsidR="004044DC" w:rsidRPr="007E770D" w:rsidRDefault="004044DC" w:rsidP="00E4657F">
            <w:pPr>
              <w:keepNext/>
              <w:widowControl w:val="0"/>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color w:val="auto"/>
                <w:sz w:val="18"/>
                <w:szCs w:val="18"/>
                <w:lang w:val="sr-Cyrl-CS"/>
              </w:rPr>
              <w:t>41,5</w:t>
            </w:r>
          </w:p>
        </w:tc>
        <w:tc>
          <w:tcPr>
            <w:tcW w:w="707" w:type="pct"/>
            <w:shd w:val="clear" w:color="auto" w:fill="FFFFFF" w:themeFill="background1"/>
            <w:noWrap/>
            <w:hideMark/>
          </w:tcPr>
          <w:p w14:paraId="04B211BA" w14:textId="77777777" w:rsidR="004044DC" w:rsidRPr="007E770D" w:rsidRDefault="004044DC" w:rsidP="00E4657F">
            <w:pPr>
              <w:keepNext/>
              <w:widowControl w:val="0"/>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color w:val="auto"/>
                <w:sz w:val="18"/>
                <w:szCs w:val="18"/>
                <w:lang w:val="sr-Cyrl-CS"/>
              </w:rPr>
              <w:t>41,4</w:t>
            </w:r>
          </w:p>
        </w:tc>
        <w:tc>
          <w:tcPr>
            <w:tcW w:w="707" w:type="pct"/>
            <w:shd w:val="clear" w:color="auto" w:fill="FFFFFF" w:themeFill="background1"/>
            <w:noWrap/>
            <w:hideMark/>
          </w:tcPr>
          <w:p w14:paraId="3E5EB422" w14:textId="081BDB29" w:rsidR="004044DC" w:rsidRPr="007E770D" w:rsidRDefault="00BE1556" w:rsidP="00E4657F">
            <w:pPr>
              <w:keepNext/>
              <w:widowControl w:val="0"/>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color w:val="auto"/>
                <w:sz w:val="18"/>
                <w:szCs w:val="18"/>
                <w:lang w:val="sr-Cyrl-CS"/>
              </w:rPr>
              <w:t>40,2</w:t>
            </w:r>
          </w:p>
        </w:tc>
        <w:tc>
          <w:tcPr>
            <w:tcW w:w="707" w:type="pct"/>
            <w:shd w:val="clear" w:color="auto" w:fill="FFFFFF" w:themeFill="background1"/>
            <w:noWrap/>
            <w:hideMark/>
          </w:tcPr>
          <w:p w14:paraId="52315298" w14:textId="77777777" w:rsidR="004044DC" w:rsidRPr="007E770D" w:rsidRDefault="004044DC" w:rsidP="00E4657F">
            <w:pPr>
              <w:keepNext/>
              <w:widowControl w:val="0"/>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color w:val="auto"/>
                <w:sz w:val="18"/>
                <w:szCs w:val="18"/>
                <w:lang w:val="sr-Cyrl-CS"/>
              </w:rPr>
              <w:t>39,4</w:t>
            </w:r>
          </w:p>
        </w:tc>
        <w:tc>
          <w:tcPr>
            <w:tcW w:w="707" w:type="pct"/>
            <w:shd w:val="clear" w:color="auto" w:fill="FFFFFF" w:themeFill="background1"/>
            <w:noWrap/>
            <w:hideMark/>
          </w:tcPr>
          <w:p w14:paraId="493A6DAE" w14:textId="77777777" w:rsidR="004044DC" w:rsidRPr="007E770D" w:rsidRDefault="004044DC" w:rsidP="00E4657F">
            <w:pPr>
              <w:keepNext/>
              <w:widowControl w:val="0"/>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color w:val="auto"/>
                <w:sz w:val="18"/>
                <w:szCs w:val="18"/>
                <w:lang w:val="sr-Cyrl-CS"/>
              </w:rPr>
              <w:t>38,7</w:t>
            </w:r>
          </w:p>
        </w:tc>
      </w:tr>
      <w:tr w:rsidR="007E770D" w:rsidRPr="007E770D" w14:paraId="24072BC9" w14:textId="77777777" w:rsidTr="00C130D2">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1464" w:type="pct"/>
            <w:shd w:val="clear" w:color="auto" w:fill="FFFFFF" w:themeFill="background1"/>
            <w:noWrap/>
            <w:hideMark/>
          </w:tcPr>
          <w:p w14:paraId="348E28D3" w14:textId="77777777" w:rsidR="004044DC" w:rsidRPr="007E770D" w:rsidRDefault="004044DC" w:rsidP="00E4657F">
            <w:pPr>
              <w:keepNext/>
              <w:widowControl w:val="0"/>
              <w:shd w:val="clear" w:color="auto" w:fill="FFFFFF" w:themeFill="background1"/>
              <w:spacing w:line="276" w:lineRule="auto"/>
              <w:rPr>
                <w:rFonts w:eastAsia="Times New Roman" w:cstheme="minorHAnsi"/>
                <w:b w:val="0"/>
                <w:color w:val="auto"/>
                <w:sz w:val="18"/>
                <w:szCs w:val="18"/>
                <w:lang w:val="sr-Cyrl-CS"/>
              </w:rPr>
            </w:pPr>
            <w:r w:rsidRPr="007E770D">
              <w:rPr>
                <w:rFonts w:eastAsia="Times New Roman" w:cstheme="minorHAnsi"/>
                <w:b w:val="0"/>
                <w:color w:val="auto"/>
                <w:sz w:val="18"/>
                <w:szCs w:val="18"/>
                <w:lang w:val="sr-Cyrl-CS"/>
              </w:rPr>
              <w:t>Расходи</w:t>
            </w:r>
          </w:p>
        </w:tc>
        <w:tc>
          <w:tcPr>
            <w:tcW w:w="707" w:type="pct"/>
            <w:shd w:val="clear" w:color="auto" w:fill="FFFFFF" w:themeFill="background1"/>
            <w:noWrap/>
            <w:hideMark/>
          </w:tcPr>
          <w:p w14:paraId="4CC101FD" w14:textId="77777777" w:rsidR="004044DC" w:rsidRPr="007E770D" w:rsidRDefault="004044DC" w:rsidP="00E4657F">
            <w:pPr>
              <w:keepNext/>
              <w:widowControl w:val="0"/>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color w:val="auto"/>
                <w:sz w:val="18"/>
                <w:szCs w:val="18"/>
                <w:lang w:val="sr-Cyrl-CS"/>
              </w:rPr>
              <w:t>40,9</w:t>
            </w:r>
          </w:p>
        </w:tc>
        <w:tc>
          <w:tcPr>
            <w:tcW w:w="707" w:type="pct"/>
            <w:shd w:val="clear" w:color="auto" w:fill="FFFFFF" w:themeFill="background1"/>
            <w:noWrap/>
            <w:hideMark/>
          </w:tcPr>
          <w:p w14:paraId="237630DC" w14:textId="77777777" w:rsidR="004044DC" w:rsidRPr="007E770D" w:rsidRDefault="004044DC" w:rsidP="00E4657F">
            <w:pPr>
              <w:keepNext/>
              <w:widowControl w:val="0"/>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color w:val="auto"/>
                <w:sz w:val="18"/>
                <w:szCs w:val="18"/>
                <w:lang w:val="sr-Cyrl-CS"/>
              </w:rPr>
              <w:t>41,9</w:t>
            </w:r>
          </w:p>
        </w:tc>
        <w:tc>
          <w:tcPr>
            <w:tcW w:w="707" w:type="pct"/>
            <w:shd w:val="clear" w:color="auto" w:fill="FFFFFF" w:themeFill="background1"/>
            <w:noWrap/>
            <w:hideMark/>
          </w:tcPr>
          <w:p w14:paraId="083D3B9F" w14:textId="10B11F53" w:rsidR="004044DC" w:rsidRPr="007E770D" w:rsidRDefault="00BE1556" w:rsidP="00E4657F">
            <w:pPr>
              <w:keepNext/>
              <w:widowControl w:val="0"/>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color w:val="auto"/>
                <w:sz w:val="18"/>
                <w:szCs w:val="18"/>
                <w:lang w:val="sr-Cyrl-CS"/>
              </w:rPr>
              <w:t>40,7</w:t>
            </w:r>
          </w:p>
        </w:tc>
        <w:tc>
          <w:tcPr>
            <w:tcW w:w="707" w:type="pct"/>
            <w:shd w:val="clear" w:color="auto" w:fill="FFFFFF" w:themeFill="background1"/>
            <w:noWrap/>
            <w:hideMark/>
          </w:tcPr>
          <w:p w14:paraId="3024F21E" w14:textId="77777777" w:rsidR="004044DC" w:rsidRPr="007E770D" w:rsidRDefault="004044DC" w:rsidP="00E4657F">
            <w:pPr>
              <w:keepNext/>
              <w:widowControl w:val="0"/>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color w:val="auto"/>
                <w:sz w:val="18"/>
                <w:szCs w:val="18"/>
                <w:lang w:val="sr-Cyrl-CS"/>
              </w:rPr>
              <w:t>39,9</w:t>
            </w:r>
          </w:p>
        </w:tc>
        <w:tc>
          <w:tcPr>
            <w:tcW w:w="707" w:type="pct"/>
            <w:shd w:val="clear" w:color="auto" w:fill="FFFFFF" w:themeFill="background1"/>
            <w:noWrap/>
            <w:hideMark/>
          </w:tcPr>
          <w:p w14:paraId="14693AF3" w14:textId="77777777" w:rsidR="004044DC" w:rsidRPr="007E770D" w:rsidRDefault="004044DC" w:rsidP="00E4657F">
            <w:pPr>
              <w:keepNext/>
              <w:widowControl w:val="0"/>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color w:val="auto"/>
                <w:sz w:val="18"/>
                <w:szCs w:val="18"/>
                <w:lang w:val="sr-Cyrl-CS"/>
              </w:rPr>
              <w:t>39,2</w:t>
            </w:r>
          </w:p>
        </w:tc>
      </w:tr>
      <w:tr w:rsidR="007E770D" w:rsidRPr="007E770D" w14:paraId="48D6EA55" w14:textId="77777777" w:rsidTr="00C130D2">
        <w:trPr>
          <w:trHeight w:val="241"/>
        </w:trPr>
        <w:tc>
          <w:tcPr>
            <w:cnfStyle w:val="001000000000" w:firstRow="0" w:lastRow="0" w:firstColumn="1" w:lastColumn="0" w:oddVBand="0" w:evenVBand="0" w:oddHBand="0" w:evenHBand="0" w:firstRowFirstColumn="0" w:firstRowLastColumn="0" w:lastRowFirstColumn="0" w:lastRowLastColumn="0"/>
            <w:tcW w:w="1464" w:type="pct"/>
            <w:shd w:val="clear" w:color="auto" w:fill="FFFFFF" w:themeFill="background1"/>
            <w:noWrap/>
            <w:hideMark/>
          </w:tcPr>
          <w:p w14:paraId="422777A4" w14:textId="77777777" w:rsidR="004044DC" w:rsidRPr="007E770D" w:rsidRDefault="004044DC" w:rsidP="00E4657F">
            <w:pPr>
              <w:keepNext/>
              <w:widowControl w:val="0"/>
              <w:shd w:val="clear" w:color="auto" w:fill="FFFFFF" w:themeFill="background1"/>
              <w:spacing w:line="276" w:lineRule="auto"/>
              <w:rPr>
                <w:rFonts w:eastAsia="Times New Roman" w:cstheme="minorHAnsi"/>
                <w:b w:val="0"/>
                <w:color w:val="auto"/>
                <w:sz w:val="18"/>
                <w:szCs w:val="18"/>
                <w:lang w:val="sr-Cyrl-CS"/>
              </w:rPr>
            </w:pPr>
            <w:r w:rsidRPr="007E770D">
              <w:rPr>
                <w:rFonts w:eastAsia="Times New Roman" w:cstheme="minorHAnsi"/>
                <w:b w:val="0"/>
                <w:color w:val="auto"/>
                <w:sz w:val="18"/>
                <w:szCs w:val="18"/>
                <w:lang w:val="sr-Cyrl-CS"/>
              </w:rPr>
              <w:t>Резултат</w:t>
            </w:r>
          </w:p>
        </w:tc>
        <w:tc>
          <w:tcPr>
            <w:tcW w:w="707" w:type="pct"/>
            <w:shd w:val="clear" w:color="auto" w:fill="FFFFFF" w:themeFill="background1"/>
            <w:noWrap/>
            <w:hideMark/>
          </w:tcPr>
          <w:p w14:paraId="7F259C33" w14:textId="77777777" w:rsidR="004044DC" w:rsidRPr="007E770D" w:rsidRDefault="004044DC" w:rsidP="00E4657F">
            <w:pPr>
              <w:keepNext/>
              <w:widowControl w:val="0"/>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color w:val="auto"/>
                <w:sz w:val="18"/>
                <w:szCs w:val="18"/>
                <w:lang w:val="sr-Cyrl-CS"/>
              </w:rPr>
              <w:t>0,6</w:t>
            </w:r>
          </w:p>
        </w:tc>
        <w:tc>
          <w:tcPr>
            <w:tcW w:w="707" w:type="pct"/>
            <w:shd w:val="clear" w:color="auto" w:fill="FFFFFF" w:themeFill="background1"/>
            <w:noWrap/>
            <w:hideMark/>
          </w:tcPr>
          <w:p w14:paraId="60E6579F" w14:textId="77777777" w:rsidR="004044DC" w:rsidRPr="007E770D" w:rsidRDefault="004044DC" w:rsidP="00E4657F">
            <w:pPr>
              <w:keepNext/>
              <w:widowControl w:val="0"/>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color w:val="auto"/>
                <w:sz w:val="18"/>
                <w:szCs w:val="18"/>
                <w:lang w:val="sr-Cyrl-CS"/>
              </w:rPr>
              <w:t>-0,5</w:t>
            </w:r>
          </w:p>
        </w:tc>
        <w:tc>
          <w:tcPr>
            <w:tcW w:w="707" w:type="pct"/>
            <w:shd w:val="clear" w:color="auto" w:fill="FFFFFF" w:themeFill="background1"/>
            <w:noWrap/>
            <w:hideMark/>
          </w:tcPr>
          <w:p w14:paraId="7FBC5BC7" w14:textId="77777777" w:rsidR="004044DC" w:rsidRPr="007E770D" w:rsidRDefault="004044DC" w:rsidP="00E4657F">
            <w:pPr>
              <w:keepNext/>
              <w:widowControl w:val="0"/>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color w:val="auto"/>
                <w:sz w:val="18"/>
                <w:szCs w:val="18"/>
                <w:lang w:val="sr-Cyrl-CS"/>
              </w:rPr>
              <w:t>-0,5</w:t>
            </w:r>
          </w:p>
        </w:tc>
        <w:tc>
          <w:tcPr>
            <w:tcW w:w="707" w:type="pct"/>
            <w:shd w:val="clear" w:color="auto" w:fill="FFFFFF" w:themeFill="background1"/>
            <w:noWrap/>
            <w:hideMark/>
          </w:tcPr>
          <w:p w14:paraId="7819EC82" w14:textId="77777777" w:rsidR="004044DC" w:rsidRPr="007E770D" w:rsidRDefault="004044DC" w:rsidP="00E4657F">
            <w:pPr>
              <w:keepNext/>
              <w:widowControl w:val="0"/>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color w:val="auto"/>
                <w:sz w:val="18"/>
                <w:szCs w:val="18"/>
                <w:lang w:val="sr-Cyrl-CS"/>
              </w:rPr>
              <w:t>-0,5</w:t>
            </w:r>
          </w:p>
        </w:tc>
        <w:tc>
          <w:tcPr>
            <w:tcW w:w="707" w:type="pct"/>
            <w:shd w:val="clear" w:color="auto" w:fill="FFFFFF" w:themeFill="background1"/>
            <w:noWrap/>
            <w:hideMark/>
          </w:tcPr>
          <w:p w14:paraId="159323F3" w14:textId="77777777" w:rsidR="004044DC" w:rsidRPr="007E770D" w:rsidRDefault="004044DC" w:rsidP="00E4657F">
            <w:pPr>
              <w:keepNext/>
              <w:widowControl w:val="0"/>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color w:val="auto"/>
                <w:sz w:val="18"/>
                <w:szCs w:val="18"/>
                <w:lang w:val="sr-Cyrl-CS"/>
              </w:rPr>
              <w:t>-0,5</w:t>
            </w:r>
          </w:p>
        </w:tc>
      </w:tr>
      <w:tr w:rsidR="007E770D" w:rsidRPr="007E770D" w14:paraId="60FA9175" w14:textId="77777777" w:rsidTr="00C130D2">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1464" w:type="pct"/>
            <w:shd w:val="clear" w:color="auto" w:fill="FFFFFF" w:themeFill="background1"/>
            <w:noWrap/>
            <w:hideMark/>
          </w:tcPr>
          <w:p w14:paraId="77E89C89" w14:textId="77777777" w:rsidR="004044DC" w:rsidRPr="007E770D" w:rsidRDefault="004044DC" w:rsidP="00E4657F">
            <w:pPr>
              <w:keepNext/>
              <w:widowControl w:val="0"/>
              <w:shd w:val="clear" w:color="auto" w:fill="FFFFFF" w:themeFill="background1"/>
              <w:spacing w:line="276" w:lineRule="auto"/>
              <w:rPr>
                <w:rFonts w:eastAsia="Times New Roman" w:cstheme="minorHAnsi"/>
                <w:b w:val="0"/>
                <w:color w:val="auto"/>
                <w:sz w:val="18"/>
                <w:szCs w:val="18"/>
                <w:lang w:val="sr-Cyrl-CS"/>
              </w:rPr>
            </w:pPr>
            <w:r w:rsidRPr="007E770D">
              <w:rPr>
                <w:rFonts w:eastAsia="Times New Roman" w:cstheme="minorHAnsi"/>
                <w:b w:val="0"/>
                <w:color w:val="auto"/>
                <w:sz w:val="18"/>
                <w:szCs w:val="18"/>
                <w:lang w:val="sr-Cyrl-CS"/>
              </w:rPr>
              <w:t>Разлика</w:t>
            </w:r>
          </w:p>
        </w:tc>
        <w:tc>
          <w:tcPr>
            <w:tcW w:w="707" w:type="pct"/>
            <w:shd w:val="clear" w:color="auto" w:fill="FFFFFF" w:themeFill="background1"/>
            <w:noWrap/>
            <w:hideMark/>
          </w:tcPr>
          <w:p w14:paraId="31CA35EC" w14:textId="77777777" w:rsidR="004044DC" w:rsidRPr="007E770D" w:rsidRDefault="004044DC" w:rsidP="00E4657F">
            <w:pPr>
              <w:keepNext/>
              <w:widowControl w:val="0"/>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auto"/>
                <w:sz w:val="18"/>
                <w:szCs w:val="18"/>
                <w:lang w:val="sr-Cyrl-CS"/>
              </w:rPr>
            </w:pPr>
          </w:p>
        </w:tc>
        <w:tc>
          <w:tcPr>
            <w:tcW w:w="707" w:type="pct"/>
            <w:shd w:val="clear" w:color="auto" w:fill="FFFFFF" w:themeFill="background1"/>
            <w:noWrap/>
            <w:hideMark/>
          </w:tcPr>
          <w:p w14:paraId="358365D8" w14:textId="77777777" w:rsidR="004044DC" w:rsidRPr="007E770D" w:rsidRDefault="004044DC" w:rsidP="00E4657F">
            <w:pPr>
              <w:keepNext/>
              <w:widowControl w:val="0"/>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auto"/>
                <w:sz w:val="18"/>
                <w:szCs w:val="18"/>
                <w:lang w:val="sr-Cyrl-CS"/>
              </w:rPr>
            </w:pPr>
          </w:p>
        </w:tc>
        <w:tc>
          <w:tcPr>
            <w:tcW w:w="707" w:type="pct"/>
            <w:shd w:val="clear" w:color="auto" w:fill="FFFFFF" w:themeFill="background1"/>
            <w:noWrap/>
            <w:hideMark/>
          </w:tcPr>
          <w:p w14:paraId="0CE6D169" w14:textId="77777777" w:rsidR="004044DC" w:rsidRPr="007E770D" w:rsidRDefault="004044DC" w:rsidP="00E4657F">
            <w:pPr>
              <w:keepNext/>
              <w:widowControl w:val="0"/>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auto"/>
                <w:sz w:val="18"/>
                <w:szCs w:val="18"/>
                <w:lang w:val="sr-Cyrl-CS"/>
              </w:rPr>
            </w:pPr>
          </w:p>
        </w:tc>
        <w:tc>
          <w:tcPr>
            <w:tcW w:w="707" w:type="pct"/>
            <w:shd w:val="clear" w:color="auto" w:fill="FFFFFF" w:themeFill="background1"/>
            <w:noWrap/>
            <w:hideMark/>
          </w:tcPr>
          <w:p w14:paraId="0DFC56A1" w14:textId="77777777" w:rsidR="004044DC" w:rsidRPr="007E770D" w:rsidRDefault="004044DC" w:rsidP="00E4657F">
            <w:pPr>
              <w:keepNext/>
              <w:widowControl w:val="0"/>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auto"/>
                <w:sz w:val="18"/>
                <w:szCs w:val="18"/>
                <w:lang w:val="sr-Cyrl-CS"/>
              </w:rPr>
            </w:pPr>
          </w:p>
        </w:tc>
        <w:tc>
          <w:tcPr>
            <w:tcW w:w="707" w:type="pct"/>
            <w:shd w:val="clear" w:color="auto" w:fill="FFFFFF" w:themeFill="background1"/>
            <w:noWrap/>
            <w:hideMark/>
          </w:tcPr>
          <w:p w14:paraId="24941BC8" w14:textId="77777777" w:rsidR="004044DC" w:rsidRPr="007E770D" w:rsidRDefault="004044DC" w:rsidP="00E4657F">
            <w:pPr>
              <w:keepNext/>
              <w:widowControl w:val="0"/>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auto"/>
                <w:sz w:val="18"/>
                <w:szCs w:val="18"/>
                <w:lang w:val="sr-Cyrl-CS"/>
              </w:rPr>
            </w:pPr>
          </w:p>
        </w:tc>
      </w:tr>
      <w:tr w:rsidR="007E770D" w:rsidRPr="007E770D" w14:paraId="7DBB1047" w14:textId="77777777" w:rsidTr="00C130D2">
        <w:trPr>
          <w:trHeight w:val="241"/>
        </w:trPr>
        <w:tc>
          <w:tcPr>
            <w:cnfStyle w:val="001000000000" w:firstRow="0" w:lastRow="0" w:firstColumn="1" w:lastColumn="0" w:oddVBand="0" w:evenVBand="0" w:oddHBand="0" w:evenHBand="0" w:firstRowFirstColumn="0" w:firstRowLastColumn="0" w:lastRowFirstColumn="0" w:lastRowLastColumn="0"/>
            <w:tcW w:w="1464" w:type="pct"/>
            <w:shd w:val="clear" w:color="auto" w:fill="FFFFFF" w:themeFill="background1"/>
            <w:noWrap/>
            <w:hideMark/>
          </w:tcPr>
          <w:p w14:paraId="07AB327D" w14:textId="77777777" w:rsidR="004044DC" w:rsidRPr="007E770D" w:rsidRDefault="004044DC" w:rsidP="00E4657F">
            <w:pPr>
              <w:keepNext/>
              <w:widowControl w:val="0"/>
              <w:shd w:val="clear" w:color="auto" w:fill="FFFFFF" w:themeFill="background1"/>
              <w:spacing w:line="276" w:lineRule="auto"/>
              <w:rPr>
                <w:rFonts w:eastAsia="Times New Roman" w:cstheme="minorHAnsi"/>
                <w:b w:val="0"/>
                <w:color w:val="auto"/>
                <w:sz w:val="18"/>
                <w:szCs w:val="18"/>
                <w:lang w:val="sr-Cyrl-CS"/>
              </w:rPr>
            </w:pPr>
            <w:r w:rsidRPr="007E770D">
              <w:rPr>
                <w:rFonts w:eastAsia="Times New Roman" w:cstheme="minorHAnsi"/>
                <w:b w:val="0"/>
                <w:color w:val="auto"/>
                <w:sz w:val="18"/>
                <w:szCs w:val="18"/>
                <w:lang w:val="sr-Cyrl-CS"/>
              </w:rPr>
              <w:t>Приходи</w:t>
            </w:r>
          </w:p>
        </w:tc>
        <w:tc>
          <w:tcPr>
            <w:tcW w:w="707" w:type="pct"/>
            <w:shd w:val="clear" w:color="auto" w:fill="FFFFFF" w:themeFill="background1"/>
            <w:noWrap/>
            <w:hideMark/>
          </w:tcPr>
          <w:p w14:paraId="4DBC97FC" w14:textId="77777777" w:rsidR="004044DC" w:rsidRPr="007E770D" w:rsidRDefault="004044DC" w:rsidP="00E4657F">
            <w:pPr>
              <w:keepNext/>
              <w:widowControl w:val="0"/>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bCs/>
                <w:color w:val="auto"/>
                <w:sz w:val="18"/>
                <w:szCs w:val="18"/>
                <w:lang w:val="sr-Cyrl-CS"/>
              </w:rPr>
              <w:t>0,4</w:t>
            </w:r>
          </w:p>
        </w:tc>
        <w:tc>
          <w:tcPr>
            <w:tcW w:w="707" w:type="pct"/>
            <w:shd w:val="clear" w:color="auto" w:fill="FFFFFF" w:themeFill="background1"/>
            <w:noWrap/>
            <w:hideMark/>
          </w:tcPr>
          <w:p w14:paraId="571F8FB0" w14:textId="77777777" w:rsidR="004044DC" w:rsidRPr="007E770D" w:rsidRDefault="004044DC" w:rsidP="00E4657F">
            <w:pPr>
              <w:keepNext/>
              <w:widowControl w:val="0"/>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bCs/>
                <w:color w:val="auto"/>
                <w:sz w:val="18"/>
                <w:szCs w:val="18"/>
                <w:lang w:val="sr-Cyrl-CS"/>
              </w:rPr>
              <w:t>1,5</w:t>
            </w:r>
          </w:p>
        </w:tc>
        <w:tc>
          <w:tcPr>
            <w:tcW w:w="707" w:type="pct"/>
            <w:shd w:val="clear" w:color="auto" w:fill="FFFFFF" w:themeFill="background1"/>
            <w:noWrap/>
            <w:hideMark/>
          </w:tcPr>
          <w:p w14:paraId="70D8376A" w14:textId="4B48B616" w:rsidR="004044DC" w:rsidRPr="007E770D" w:rsidRDefault="00BE1556" w:rsidP="00E4657F">
            <w:pPr>
              <w:keepNext/>
              <w:widowControl w:val="0"/>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bCs/>
                <w:color w:val="auto"/>
                <w:sz w:val="18"/>
                <w:szCs w:val="18"/>
                <w:lang w:val="sr-Cyrl-CS"/>
              </w:rPr>
              <w:t>1,0</w:t>
            </w:r>
          </w:p>
        </w:tc>
        <w:tc>
          <w:tcPr>
            <w:tcW w:w="707" w:type="pct"/>
            <w:shd w:val="clear" w:color="auto" w:fill="FFFFFF" w:themeFill="background1"/>
            <w:noWrap/>
            <w:hideMark/>
          </w:tcPr>
          <w:p w14:paraId="31D2CD9A" w14:textId="77777777" w:rsidR="004044DC" w:rsidRPr="007E770D" w:rsidRDefault="004044DC" w:rsidP="00E4657F">
            <w:pPr>
              <w:keepNext/>
              <w:widowControl w:val="0"/>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bCs/>
                <w:color w:val="auto"/>
                <w:sz w:val="18"/>
                <w:szCs w:val="18"/>
                <w:lang w:val="sr-Cyrl-CS"/>
              </w:rPr>
              <w:t>0,6</w:t>
            </w:r>
          </w:p>
        </w:tc>
        <w:tc>
          <w:tcPr>
            <w:tcW w:w="707" w:type="pct"/>
            <w:shd w:val="clear" w:color="auto" w:fill="FFFFFF" w:themeFill="background1"/>
            <w:noWrap/>
            <w:hideMark/>
          </w:tcPr>
          <w:p w14:paraId="7F265C97" w14:textId="77777777" w:rsidR="004044DC" w:rsidRPr="007E770D" w:rsidRDefault="004044DC" w:rsidP="00E4657F">
            <w:pPr>
              <w:keepNext/>
              <w:widowControl w:val="0"/>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bCs/>
                <w:color w:val="auto"/>
                <w:sz w:val="18"/>
                <w:szCs w:val="18"/>
                <w:lang w:val="sr-Cyrl-CS"/>
              </w:rPr>
              <w:t>–</w:t>
            </w:r>
          </w:p>
        </w:tc>
      </w:tr>
      <w:tr w:rsidR="007E770D" w:rsidRPr="007E770D" w14:paraId="2C01AF8C" w14:textId="77777777" w:rsidTr="00C130D2">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1464" w:type="pct"/>
            <w:tcBorders>
              <w:bottom w:val="nil"/>
            </w:tcBorders>
            <w:shd w:val="clear" w:color="auto" w:fill="FFFFFF" w:themeFill="background1"/>
            <w:noWrap/>
            <w:hideMark/>
          </w:tcPr>
          <w:p w14:paraId="0C6C64B7" w14:textId="77777777" w:rsidR="004044DC" w:rsidRPr="007E770D" w:rsidRDefault="004044DC" w:rsidP="00E4657F">
            <w:pPr>
              <w:keepNext/>
              <w:widowControl w:val="0"/>
              <w:shd w:val="clear" w:color="auto" w:fill="FFFFFF" w:themeFill="background1"/>
              <w:spacing w:line="276" w:lineRule="auto"/>
              <w:rPr>
                <w:rFonts w:eastAsia="Times New Roman" w:cstheme="minorHAnsi"/>
                <w:b w:val="0"/>
                <w:color w:val="auto"/>
                <w:sz w:val="18"/>
                <w:szCs w:val="18"/>
                <w:lang w:val="sr-Cyrl-CS"/>
              </w:rPr>
            </w:pPr>
            <w:r w:rsidRPr="007E770D">
              <w:rPr>
                <w:rFonts w:eastAsia="Times New Roman" w:cstheme="minorHAnsi"/>
                <w:b w:val="0"/>
                <w:color w:val="auto"/>
                <w:sz w:val="18"/>
                <w:szCs w:val="18"/>
                <w:lang w:val="sr-Cyrl-CS"/>
              </w:rPr>
              <w:t>Расходи</w:t>
            </w:r>
          </w:p>
        </w:tc>
        <w:tc>
          <w:tcPr>
            <w:tcW w:w="707" w:type="pct"/>
            <w:tcBorders>
              <w:bottom w:val="nil"/>
            </w:tcBorders>
            <w:shd w:val="clear" w:color="auto" w:fill="FFFFFF" w:themeFill="background1"/>
            <w:noWrap/>
            <w:hideMark/>
          </w:tcPr>
          <w:p w14:paraId="356069C4" w14:textId="77777777" w:rsidR="004044DC" w:rsidRPr="007E770D" w:rsidRDefault="004044DC" w:rsidP="00E4657F">
            <w:pPr>
              <w:keepNext/>
              <w:widowControl w:val="0"/>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bCs/>
                <w:color w:val="auto"/>
                <w:sz w:val="18"/>
                <w:szCs w:val="18"/>
                <w:lang w:val="sr-Cyrl-CS"/>
              </w:rPr>
              <w:t>0,4</w:t>
            </w:r>
          </w:p>
        </w:tc>
        <w:tc>
          <w:tcPr>
            <w:tcW w:w="707" w:type="pct"/>
            <w:tcBorders>
              <w:bottom w:val="nil"/>
            </w:tcBorders>
            <w:shd w:val="clear" w:color="auto" w:fill="FFFFFF" w:themeFill="background1"/>
            <w:noWrap/>
            <w:hideMark/>
          </w:tcPr>
          <w:p w14:paraId="4EC66143" w14:textId="77777777" w:rsidR="004044DC" w:rsidRPr="007E770D" w:rsidRDefault="004044DC" w:rsidP="00E4657F">
            <w:pPr>
              <w:keepNext/>
              <w:widowControl w:val="0"/>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bCs/>
                <w:color w:val="auto"/>
                <w:sz w:val="18"/>
                <w:szCs w:val="18"/>
                <w:lang w:val="sr-Cyrl-CS"/>
              </w:rPr>
              <w:t>1,5</w:t>
            </w:r>
          </w:p>
        </w:tc>
        <w:tc>
          <w:tcPr>
            <w:tcW w:w="707" w:type="pct"/>
            <w:tcBorders>
              <w:bottom w:val="nil"/>
            </w:tcBorders>
            <w:shd w:val="clear" w:color="auto" w:fill="FFFFFF" w:themeFill="background1"/>
            <w:noWrap/>
            <w:hideMark/>
          </w:tcPr>
          <w:p w14:paraId="2B8E381C" w14:textId="680E3C1D" w:rsidR="004044DC" w:rsidRPr="007E770D" w:rsidRDefault="00BE1556" w:rsidP="00E4657F">
            <w:pPr>
              <w:keepNext/>
              <w:widowControl w:val="0"/>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bCs/>
                <w:color w:val="auto"/>
                <w:sz w:val="18"/>
                <w:szCs w:val="18"/>
                <w:lang w:val="sr-Cyrl-CS"/>
              </w:rPr>
              <w:t>1,0</w:t>
            </w:r>
          </w:p>
        </w:tc>
        <w:tc>
          <w:tcPr>
            <w:tcW w:w="707" w:type="pct"/>
            <w:tcBorders>
              <w:bottom w:val="nil"/>
            </w:tcBorders>
            <w:shd w:val="clear" w:color="auto" w:fill="FFFFFF" w:themeFill="background1"/>
            <w:noWrap/>
            <w:hideMark/>
          </w:tcPr>
          <w:p w14:paraId="0A0B4BD0" w14:textId="77777777" w:rsidR="004044DC" w:rsidRPr="007E770D" w:rsidRDefault="004044DC" w:rsidP="00E4657F">
            <w:pPr>
              <w:keepNext/>
              <w:widowControl w:val="0"/>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bCs/>
                <w:color w:val="auto"/>
                <w:sz w:val="18"/>
                <w:szCs w:val="18"/>
                <w:lang w:val="sr-Cyrl-CS"/>
              </w:rPr>
              <w:t>0,6</w:t>
            </w:r>
          </w:p>
        </w:tc>
        <w:tc>
          <w:tcPr>
            <w:tcW w:w="707" w:type="pct"/>
            <w:tcBorders>
              <w:bottom w:val="nil"/>
            </w:tcBorders>
            <w:shd w:val="clear" w:color="auto" w:fill="FFFFFF" w:themeFill="background1"/>
            <w:noWrap/>
            <w:hideMark/>
          </w:tcPr>
          <w:p w14:paraId="6E682288" w14:textId="77777777" w:rsidR="004044DC" w:rsidRPr="007E770D" w:rsidRDefault="004044DC" w:rsidP="00E4657F">
            <w:pPr>
              <w:keepNext/>
              <w:widowControl w:val="0"/>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bCs/>
                <w:color w:val="auto"/>
                <w:sz w:val="18"/>
                <w:szCs w:val="18"/>
                <w:lang w:val="sr-Cyrl-CS"/>
              </w:rPr>
              <w:t>–</w:t>
            </w:r>
          </w:p>
        </w:tc>
      </w:tr>
      <w:tr w:rsidR="007E770D" w:rsidRPr="007E770D" w14:paraId="0A4A54C4" w14:textId="77777777" w:rsidTr="00C130D2">
        <w:trPr>
          <w:trHeight w:val="241"/>
        </w:trPr>
        <w:tc>
          <w:tcPr>
            <w:cnfStyle w:val="001000000000" w:firstRow="0" w:lastRow="0" w:firstColumn="1" w:lastColumn="0" w:oddVBand="0" w:evenVBand="0" w:oddHBand="0" w:evenHBand="0" w:firstRowFirstColumn="0" w:firstRowLastColumn="0" w:lastRowFirstColumn="0" w:lastRowLastColumn="0"/>
            <w:tcW w:w="1464" w:type="pct"/>
            <w:tcBorders>
              <w:top w:val="nil"/>
              <w:bottom w:val="single" w:sz="4" w:space="0" w:color="002060"/>
            </w:tcBorders>
            <w:shd w:val="clear" w:color="auto" w:fill="FFFFFF" w:themeFill="background1"/>
            <w:noWrap/>
            <w:hideMark/>
          </w:tcPr>
          <w:p w14:paraId="57B85650" w14:textId="77777777" w:rsidR="004044DC" w:rsidRPr="007E770D" w:rsidRDefault="004044DC" w:rsidP="00E4657F">
            <w:pPr>
              <w:keepNext/>
              <w:widowControl w:val="0"/>
              <w:shd w:val="clear" w:color="auto" w:fill="FFFFFF" w:themeFill="background1"/>
              <w:spacing w:line="276" w:lineRule="auto"/>
              <w:rPr>
                <w:rFonts w:eastAsia="Times New Roman" w:cstheme="minorHAnsi"/>
                <w:b w:val="0"/>
                <w:color w:val="auto"/>
                <w:sz w:val="18"/>
                <w:szCs w:val="18"/>
                <w:lang w:val="sr-Cyrl-CS"/>
              </w:rPr>
            </w:pPr>
            <w:r w:rsidRPr="007E770D">
              <w:rPr>
                <w:rFonts w:eastAsia="Times New Roman" w:cstheme="minorHAnsi"/>
                <w:b w:val="0"/>
                <w:color w:val="auto"/>
                <w:sz w:val="18"/>
                <w:szCs w:val="18"/>
                <w:lang w:val="sr-Cyrl-CS"/>
              </w:rPr>
              <w:t>Резултат</w:t>
            </w:r>
          </w:p>
        </w:tc>
        <w:tc>
          <w:tcPr>
            <w:tcW w:w="707" w:type="pct"/>
            <w:tcBorders>
              <w:top w:val="nil"/>
              <w:bottom w:val="single" w:sz="4" w:space="0" w:color="002060"/>
            </w:tcBorders>
            <w:shd w:val="clear" w:color="auto" w:fill="FFFFFF" w:themeFill="background1"/>
            <w:noWrap/>
            <w:hideMark/>
          </w:tcPr>
          <w:p w14:paraId="55D42DB4" w14:textId="77777777" w:rsidR="004044DC" w:rsidRPr="007E770D" w:rsidRDefault="004044DC" w:rsidP="00E4657F">
            <w:pPr>
              <w:keepNext/>
              <w:widowControl w:val="0"/>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bCs/>
                <w:color w:val="auto"/>
                <w:sz w:val="18"/>
                <w:szCs w:val="18"/>
                <w:lang w:val="sr-Cyrl-CS"/>
              </w:rPr>
              <w:t>0,0</w:t>
            </w:r>
          </w:p>
        </w:tc>
        <w:tc>
          <w:tcPr>
            <w:tcW w:w="707" w:type="pct"/>
            <w:tcBorders>
              <w:top w:val="nil"/>
              <w:bottom w:val="single" w:sz="4" w:space="0" w:color="002060"/>
            </w:tcBorders>
            <w:shd w:val="clear" w:color="auto" w:fill="FFFFFF" w:themeFill="background1"/>
            <w:noWrap/>
            <w:hideMark/>
          </w:tcPr>
          <w:p w14:paraId="47EA28C8" w14:textId="77777777" w:rsidR="004044DC" w:rsidRPr="007E770D" w:rsidRDefault="004044DC" w:rsidP="00E4657F">
            <w:pPr>
              <w:keepNext/>
              <w:widowControl w:val="0"/>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bCs/>
                <w:color w:val="auto"/>
                <w:sz w:val="18"/>
                <w:szCs w:val="18"/>
                <w:lang w:val="sr-Cyrl-CS"/>
              </w:rPr>
              <w:t>0,0</w:t>
            </w:r>
          </w:p>
        </w:tc>
        <w:tc>
          <w:tcPr>
            <w:tcW w:w="707" w:type="pct"/>
            <w:tcBorders>
              <w:top w:val="nil"/>
              <w:bottom w:val="single" w:sz="4" w:space="0" w:color="002060"/>
            </w:tcBorders>
            <w:shd w:val="clear" w:color="auto" w:fill="FFFFFF" w:themeFill="background1"/>
            <w:noWrap/>
            <w:hideMark/>
          </w:tcPr>
          <w:p w14:paraId="7D2B6B0D" w14:textId="77777777" w:rsidR="004044DC" w:rsidRPr="007E770D" w:rsidRDefault="004044DC" w:rsidP="00E4657F">
            <w:pPr>
              <w:keepNext/>
              <w:widowControl w:val="0"/>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bCs/>
                <w:color w:val="auto"/>
                <w:sz w:val="18"/>
                <w:szCs w:val="18"/>
                <w:lang w:val="sr-Cyrl-CS"/>
              </w:rPr>
              <w:t>0,0</w:t>
            </w:r>
          </w:p>
        </w:tc>
        <w:tc>
          <w:tcPr>
            <w:tcW w:w="707" w:type="pct"/>
            <w:tcBorders>
              <w:top w:val="nil"/>
              <w:bottom w:val="single" w:sz="4" w:space="0" w:color="002060"/>
            </w:tcBorders>
            <w:shd w:val="clear" w:color="auto" w:fill="FFFFFF" w:themeFill="background1"/>
            <w:noWrap/>
            <w:hideMark/>
          </w:tcPr>
          <w:p w14:paraId="05B6CF3B" w14:textId="77777777" w:rsidR="004044DC" w:rsidRPr="007E770D" w:rsidRDefault="004044DC" w:rsidP="00E4657F">
            <w:pPr>
              <w:keepNext/>
              <w:widowControl w:val="0"/>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bCs/>
                <w:color w:val="auto"/>
                <w:sz w:val="18"/>
                <w:szCs w:val="18"/>
                <w:lang w:val="sr-Cyrl-CS"/>
              </w:rPr>
              <w:t>0,0</w:t>
            </w:r>
          </w:p>
        </w:tc>
        <w:tc>
          <w:tcPr>
            <w:tcW w:w="707" w:type="pct"/>
            <w:tcBorders>
              <w:top w:val="nil"/>
              <w:bottom w:val="single" w:sz="4" w:space="0" w:color="002060"/>
            </w:tcBorders>
            <w:shd w:val="clear" w:color="auto" w:fill="FFFFFF" w:themeFill="background1"/>
            <w:noWrap/>
            <w:hideMark/>
          </w:tcPr>
          <w:p w14:paraId="5138C780" w14:textId="77777777" w:rsidR="004044DC" w:rsidRPr="007E770D" w:rsidRDefault="004044DC" w:rsidP="00E4657F">
            <w:pPr>
              <w:keepNext/>
              <w:widowControl w:val="0"/>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auto"/>
                <w:sz w:val="18"/>
                <w:szCs w:val="18"/>
                <w:lang w:val="sr-Cyrl-CS"/>
              </w:rPr>
            </w:pPr>
            <w:r w:rsidRPr="007E770D">
              <w:rPr>
                <w:rFonts w:eastAsia="Times New Roman" w:cstheme="minorHAnsi"/>
                <w:bCs/>
                <w:color w:val="auto"/>
                <w:sz w:val="18"/>
                <w:szCs w:val="18"/>
                <w:lang w:val="sr-Cyrl-CS"/>
              </w:rPr>
              <w:t>–</w:t>
            </w:r>
          </w:p>
        </w:tc>
      </w:tr>
    </w:tbl>
    <w:p w14:paraId="60A29FD2" w14:textId="77777777" w:rsidR="004044DC" w:rsidRPr="007E770D" w:rsidRDefault="004044DC" w:rsidP="00E4657F">
      <w:pPr>
        <w:spacing w:before="40" w:after="120" w:line="276" w:lineRule="auto"/>
        <w:rPr>
          <w:rFonts w:cstheme="minorHAnsi"/>
          <w:color w:val="auto"/>
          <w:sz w:val="16"/>
          <w:szCs w:val="20"/>
          <w:lang w:val="sr-Cyrl-CS"/>
        </w:rPr>
      </w:pPr>
      <w:r w:rsidRPr="007E770D">
        <w:rPr>
          <w:rFonts w:eastAsia="Calibri" w:cstheme="minorHAnsi"/>
          <w:bCs/>
          <w:color w:val="auto"/>
          <w:sz w:val="16"/>
          <w:szCs w:val="20"/>
          <w:lang w:val="sr-Cyrl-CS" w:eastAsia="ja-JP"/>
        </w:rPr>
        <w:t xml:space="preserve">Извор: </w:t>
      </w:r>
      <w:r w:rsidRPr="007E770D">
        <w:rPr>
          <w:rFonts w:cstheme="minorHAnsi"/>
          <w:color w:val="auto"/>
          <w:sz w:val="16"/>
          <w:szCs w:val="20"/>
          <w:lang w:val="sr-Cyrl-CS"/>
        </w:rPr>
        <w:t>Министарство финансија</w:t>
      </w:r>
    </w:p>
    <w:p w14:paraId="59DA131B" w14:textId="77777777" w:rsidR="004044DC" w:rsidRPr="007E770D" w:rsidRDefault="004044DC" w:rsidP="00E4657F">
      <w:pPr>
        <w:spacing w:line="276" w:lineRule="auto"/>
        <w:ind w:firstLine="720"/>
        <w:rPr>
          <w:rFonts w:cstheme="minorHAnsi"/>
          <w:bCs/>
          <w:color w:val="auto"/>
          <w:szCs w:val="20"/>
          <w:lang w:val="sr-Cyrl-CS"/>
        </w:rPr>
        <w:sectPr w:rsidR="004044DC" w:rsidRPr="007E770D" w:rsidSect="00BA4876">
          <w:type w:val="continuous"/>
          <w:pgSz w:w="12240" w:h="15840"/>
          <w:pgMar w:top="1440" w:right="1440" w:bottom="1440" w:left="1440" w:header="720" w:footer="720" w:gutter="0"/>
          <w:cols w:space="720"/>
          <w:docGrid w:linePitch="360"/>
        </w:sectPr>
      </w:pPr>
    </w:p>
    <w:p w14:paraId="1E1BC828" w14:textId="77777777" w:rsidR="004044DC" w:rsidRPr="007E770D" w:rsidRDefault="004044DC" w:rsidP="00E4657F">
      <w:pPr>
        <w:spacing w:line="276" w:lineRule="auto"/>
        <w:rPr>
          <w:rFonts w:cstheme="minorHAnsi"/>
          <w:bCs/>
          <w:color w:val="auto"/>
          <w:szCs w:val="20"/>
          <w:lang w:val="sr-Cyrl-CS"/>
        </w:rPr>
      </w:pPr>
      <w:r w:rsidRPr="007E770D">
        <w:rPr>
          <w:rFonts w:cstheme="minorHAnsi"/>
          <w:bCs/>
          <w:color w:val="auto"/>
          <w:szCs w:val="20"/>
          <w:lang w:val="sr-Cyrl-CS"/>
        </w:rPr>
        <w:t>Привредни раст у периоду 2019–2022. годинe није промењен у односу на претходни програм тако да су све макроекономске претпоставке везане за фискални оквир углавном непромењене или промењене у мањој мери. Ниво прихода и расхода у смислу учешћа у БДП је повећан.</w:t>
      </w:r>
    </w:p>
    <w:p w14:paraId="2ADA55BD" w14:textId="77777777" w:rsidR="004044DC" w:rsidRPr="007E770D" w:rsidRDefault="004044DC" w:rsidP="00E4657F">
      <w:pPr>
        <w:spacing w:line="276" w:lineRule="auto"/>
        <w:rPr>
          <w:rFonts w:cstheme="minorHAnsi"/>
          <w:bCs/>
          <w:color w:val="auto"/>
          <w:szCs w:val="20"/>
          <w:lang w:val="sr-Cyrl-CS"/>
        </w:rPr>
      </w:pPr>
      <w:r w:rsidRPr="007E770D">
        <w:rPr>
          <w:rFonts w:cstheme="minorHAnsi"/>
          <w:bCs/>
          <w:color w:val="auto"/>
          <w:szCs w:val="20"/>
          <w:lang w:val="sr-Cyrl-CS"/>
        </w:rPr>
        <w:t>Ниво прихода у 2019. години је повећан услед већег остварења прихода у базној 2018. години и прилива једнократних пореских и непореских прихода у 2019. години. У наредним годинама ниво прихода је повећан за структурни део повећања прихода из 2019. године.</w:t>
      </w:r>
    </w:p>
    <w:p w14:paraId="1517F7C6" w14:textId="77777777" w:rsidR="004044DC" w:rsidRPr="007E770D" w:rsidRDefault="004044DC" w:rsidP="00E4657F">
      <w:pPr>
        <w:spacing w:line="276" w:lineRule="auto"/>
        <w:rPr>
          <w:rFonts w:cstheme="minorHAnsi"/>
          <w:bCs/>
          <w:color w:val="auto"/>
          <w:szCs w:val="20"/>
          <w:lang w:val="sr-Cyrl-CS"/>
        </w:rPr>
      </w:pPr>
      <w:r w:rsidRPr="007E770D">
        <w:rPr>
          <w:rFonts w:cstheme="minorHAnsi"/>
          <w:bCs/>
          <w:color w:val="auto"/>
          <w:szCs w:val="20"/>
          <w:lang w:val="sr-Cyrl-CS"/>
        </w:rPr>
        <w:t>На расходној страни у 2019. години извршење расхода ће бити нешто веће од планираног и то углавном као последица снажног раста капиталних инвестиција и једнократног повећања субвенција. У наредном периоду очекује се наставак успостављене динамике реализације јавних пројеката, те ће фискални простор, настао бољом наплатом прихода, у највећој мери бити искоришћен за додатно повећање капиталних улагањa.</w:t>
      </w:r>
    </w:p>
    <w:p w14:paraId="53891EAD" w14:textId="77777777" w:rsidR="004044DC" w:rsidRPr="007E770D" w:rsidRDefault="004044DC" w:rsidP="00E4657F">
      <w:pPr>
        <w:spacing w:line="276" w:lineRule="auto"/>
        <w:rPr>
          <w:rFonts w:cstheme="minorHAnsi"/>
          <w:bCs/>
          <w:color w:val="auto"/>
          <w:szCs w:val="20"/>
          <w:lang w:val="sr-Cyrl-CS"/>
        </w:rPr>
        <w:sectPr w:rsidR="004044DC" w:rsidRPr="007E770D" w:rsidSect="00BA4876">
          <w:type w:val="continuous"/>
          <w:pgSz w:w="12240" w:h="15840"/>
          <w:pgMar w:top="1440" w:right="1440" w:bottom="1440" w:left="1440" w:header="720" w:footer="720" w:gutter="0"/>
          <w:cols w:num="2" w:space="720"/>
          <w:docGrid w:linePitch="360"/>
        </w:sectPr>
      </w:pPr>
    </w:p>
    <w:p w14:paraId="7E92E813" w14:textId="77777777" w:rsidR="00187838" w:rsidRPr="007E770D" w:rsidRDefault="00187838" w:rsidP="00E4657F">
      <w:pPr>
        <w:keepNext/>
        <w:keepLines/>
        <w:spacing w:before="240" w:after="240"/>
        <w:jc w:val="center"/>
        <w:outlineLvl w:val="1"/>
        <w:rPr>
          <w:rFonts w:eastAsia="Calibri" w:cstheme="minorHAnsi"/>
          <w:b/>
          <w:color w:val="auto"/>
          <w:sz w:val="24"/>
          <w:szCs w:val="26"/>
          <w:lang w:val="sr-Cyrl-CS"/>
        </w:rPr>
      </w:pPr>
      <w:bookmarkStart w:id="20" w:name="_Toc23342469"/>
      <w:r w:rsidRPr="007E770D">
        <w:rPr>
          <w:rFonts w:eastAsia="Calibri" w:cstheme="minorHAnsi"/>
          <w:b/>
          <w:color w:val="auto"/>
          <w:sz w:val="24"/>
          <w:szCs w:val="26"/>
          <w:lang w:val="sr-Cyrl-CS"/>
        </w:rPr>
        <w:t>5. Фискални ризици</w:t>
      </w:r>
      <w:bookmarkEnd w:id="20"/>
    </w:p>
    <w:p w14:paraId="64DE1D0E" w14:textId="77777777" w:rsidR="00187838" w:rsidRPr="007E770D" w:rsidRDefault="00187838" w:rsidP="00E4657F">
      <w:pPr>
        <w:spacing w:after="240"/>
        <w:rPr>
          <w:color w:val="auto"/>
          <w:lang w:val="sr-Cyrl-CS"/>
        </w:rPr>
        <w:sectPr w:rsidR="00187838" w:rsidRPr="007E770D" w:rsidSect="00BA4876">
          <w:headerReference w:type="even" r:id="rId134"/>
          <w:headerReference w:type="default" r:id="rId135"/>
          <w:footerReference w:type="even" r:id="rId136"/>
          <w:footerReference w:type="default" r:id="rId137"/>
          <w:headerReference w:type="first" r:id="rId138"/>
          <w:type w:val="continuous"/>
          <w:pgSz w:w="12240" w:h="15840"/>
          <w:pgMar w:top="1440" w:right="1440" w:bottom="1440" w:left="1440" w:header="720" w:footer="720" w:gutter="0"/>
          <w:cols w:space="720"/>
          <w:docGrid w:linePitch="360"/>
        </w:sectPr>
      </w:pPr>
    </w:p>
    <w:p w14:paraId="380DA18A" w14:textId="77777777" w:rsidR="00187838" w:rsidRPr="007E770D" w:rsidRDefault="00187838" w:rsidP="00E4657F">
      <w:pPr>
        <w:spacing w:after="24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У</w:t>
      </w:r>
      <w:r w:rsidRPr="007E770D">
        <w:rPr>
          <w:rFonts w:eastAsia="MS PGothic" w:cstheme="minorHAnsi"/>
          <w:b/>
          <w:color w:val="auto"/>
          <w:lang w:val="sr-Cyrl-CS" w:eastAsia="ja-JP"/>
        </w:rPr>
        <w:t xml:space="preserve"> </w:t>
      </w:r>
      <w:r w:rsidRPr="007E770D">
        <w:rPr>
          <w:rFonts w:eastAsia="Calibri" w:cstheme="minorHAnsi"/>
          <w:color w:val="auto"/>
          <w:szCs w:val="20"/>
          <w:lang w:val="sr-Cyrl-CS" w:eastAsia="ja-JP"/>
        </w:rPr>
        <w:t xml:space="preserve">претходној деценији Република Србија суочила се са реализацијом бројних ризика који су озбиљно угрозили њену фискалну позицију. Финансијска криза и рецесија погоршале су стање јавних финансија, узрокујући високе дефиците и убрзан раст јавног дуга. Глобална финансијска криза, као спољни фактор, активирала је и унутрашње ризике, те су отплате по основу гарантованих кредита, извршења судских одлука, решавања питања државних финансијских институција и преузимање обавеза јавних предузећа у јавни дуг, додатно погоршали фискалну позицију. Република Србија се у 2014. </w:t>
      </w:r>
      <w:r w:rsidRPr="007E770D">
        <w:rPr>
          <w:rFonts w:eastAsia="Calibri" w:cstheme="minorHAnsi"/>
          <w:color w:val="auto"/>
          <w:szCs w:val="20"/>
          <w:lang w:val="sr-Cyrl-CS" w:eastAsia="ja-JP"/>
        </w:rPr>
        <w:t>години суочила и са катастрофалним последицама поплава. Укупна штета (са губицима) процењена је на више од 1,7 млрд евра</w:t>
      </w:r>
      <w:r w:rsidRPr="007E770D">
        <w:rPr>
          <w:rFonts w:eastAsia="Calibri" w:cstheme="minorHAnsi"/>
          <w:color w:val="auto"/>
          <w:szCs w:val="20"/>
          <w:vertAlign w:val="superscript"/>
          <w:lang w:val="sr-Cyrl-CS" w:eastAsia="ja-JP"/>
        </w:rPr>
        <w:footnoteReference w:id="11"/>
      </w:r>
      <w:r w:rsidRPr="007E770D">
        <w:rPr>
          <w:rFonts w:eastAsia="Calibri" w:cstheme="minorHAnsi"/>
          <w:color w:val="auto"/>
          <w:szCs w:val="20"/>
          <w:lang w:val="sr-Cyrl-CS" w:eastAsia="ja-JP"/>
        </w:rPr>
        <w:t>.</w:t>
      </w:r>
    </w:p>
    <w:p w14:paraId="7DFB03D8" w14:textId="77777777" w:rsidR="00187838" w:rsidRPr="007E770D" w:rsidRDefault="00187838"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Као средњорочни циљ фискалне политике Влада је дефинисала низак и одржив дефицит од 0,5% БДП, који обезбеђује даље смањење јавног дуга. Како је у претходном трогодишњем периоду успешно спроведен програм фискалне консолидације, обезбеђена стабилност јавних финансија и смањено учешће јавног дуга, као циљ фискалне политике у наредном периоду дефинисано је одржање фискалне стабилности</w:t>
      </w:r>
      <w:r w:rsidRPr="007E770D">
        <w:rPr>
          <w:rFonts w:eastAsia="MS PGothic" w:cstheme="minorHAnsi"/>
          <w:color w:val="auto"/>
          <w:lang w:val="sr-Cyrl-CS" w:eastAsia="ja-JP"/>
        </w:rPr>
        <w:t xml:space="preserve">, уз </w:t>
      </w:r>
      <w:r w:rsidRPr="007E770D">
        <w:rPr>
          <w:rFonts w:eastAsia="MS PGothic" w:cstheme="minorHAnsi"/>
          <w:color w:val="auto"/>
          <w:lang w:val="sr-Cyrl-CS" w:eastAsia="ja-JP"/>
        </w:rPr>
        <w:lastRenderedPageBreak/>
        <w:t xml:space="preserve">спровођење мера које би пружиле подршку привредном расту. Посебна пажња мора се посветити управљању фискалним ризицима чија реализација може угрозити остварење постављеног средњорочног циља фискалне </w:t>
      </w:r>
      <w:r w:rsidRPr="007E770D">
        <w:rPr>
          <w:rFonts w:eastAsia="Calibri" w:cstheme="minorHAnsi"/>
          <w:color w:val="auto"/>
          <w:szCs w:val="20"/>
          <w:lang w:val="sr-Cyrl-CS" w:eastAsia="ja-JP"/>
        </w:rPr>
        <w:t>политике.</w:t>
      </w:r>
    </w:p>
    <w:p w14:paraId="21CF7812" w14:textId="77777777" w:rsidR="00187838" w:rsidRPr="007E770D" w:rsidRDefault="00187838"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Фискални ризици представљају изложеност јавних финансија одређеним околностима које могу проузроковати одступања од пројектованог фискалног оквира. До одступања може доћи у приходима, расходима, фискалном резултату, као и у имовини и обавезама државе, у односу на оно што је планирано и очекивано. На спољашње ризике, попут природних катастрофа или глобалних финансијских криза, Влада не може да утиче, али могуће је дефинисати излазне стратегије које би ублажиле њихово дејство (очување стабилности у добрим временима како би у условима рецесије или кризе фискална политика имала простора за адекватан одговор, осигурање у случају природних катастрофа и сл.). Унутрашњи ризици, односно њихова материјализација последица су активности у јавном сектору, те се на вероватноћу њихове реализације може утицати одлукама и политикама Владе.</w:t>
      </w:r>
    </w:p>
    <w:p w14:paraId="2F3E1518" w14:textId="77777777" w:rsidR="00187838" w:rsidRPr="007E770D" w:rsidRDefault="00187838"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Идентификација највећих фискалних ризика који могу утицати на државне финансије у средњем року полазна је тачка у бољем управљању фискалним ризицима. О одређеним фискалним ризицима постоје детаљни подаци и лако се може идентификовати да ли ће и са коликом вероватноћом утицати на фискалне агрегате у средњем року. За друге, пак, не постоје довољно детаљни подаци, али и само њихово идентификовање подиже свест о могућности да у наредном периоду доведу до одступања од планираног фискалног оквира.</w:t>
      </w:r>
    </w:p>
    <w:p w14:paraId="7BBC094A" w14:textId="77777777" w:rsidR="00187838" w:rsidRPr="007E770D" w:rsidRDefault="00187838" w:rsidP="00E4657F">
      <w:pPr>
        <w:spacing w:after="120" w:line="276" w:lineRule="auto"/>
        <w:rPr>
          <w:rFonts w:eastAsia="Calibri" w:cstheme="minorHAnsi"/>
          <w:color w:val="auto"/>
          <w:spacing w:val="-4"/>
          <w:szCs w:val="20"/>
          <w:lang w:val="sr-Cyrl-CS" w:eastAsia="ja-JP"/>
        </w:rPr>
      </w:pPr>
      <w:r w:rsidRPr="007E770D">
        <w:rPr>
          <w:rFonts w:eastAsia="Calibri" w:cstheme="minorHAnsi"/>
          <w:color w:val="auto"/>
          <w:szCs w:val="20"/>
          <w:lang w:val="sr-Cyrl-CS" w:eastAsia="ja-JP"/>
        </w:rPr>
        <w:t xml:space="preserve">Министарство финансија има водећу улогу у управљању фискалним ризицима. Као кључна институција за средњорочно макроекономско и фискално планирање, формулацију и управљање буџетом, Министарство финансија мора имати и водећу улогу у успостављању институционалне и законске структуре, те изградњи капацитета </w:t>
      </w:r>
      <w:r w:rsidRPr="007E770D">
        <w:rPr>
          <w:rFonts w:eastAsia="Calibri" w:cstheme="minorHAnsi"/>
          <w:color w:val="auto"/>
          <w:szCs w:val="20"/>
          <w:lang w:val="sr-Cyrl-CS" w:eastAsia="ja-JP"/>
        </w:rPr>
        <w:t xml:space="preserve">неопходних за управљање фискалним ризицима. Основана је организациона јединица за управљање фискалним ризицима у Министарству финансија која ће радити на јачању законске регулативе и методолошког оквира, изградњи капацитета, те развијању техничких алата и модела неопходних за праћење и процену фискалних ризика. Коначно, резултат ових активности биће идентификација и процена ризика и предлагање излазних стратегија, као помоћ Влади у очувању стабилности јавних </w:t>
      </w:r>
      <w:r w:rsidRPr="007E770D">
        <w:rPr>
          <w:rFonts w:eastAsia="Calibri" w:cstheme="minorHAnsi"/>
          <w:color w:val="auto"/>
          <w:spacing w:val="-4"/>
          <w:szCs w:val="20"/>
          <w:lang w:val="sr-Cyrl-CS" w:eastAsia="ja-JP"/>
        </w:rPr>
        <w:t>финансија што је кључни циљ фискалне политике и један од основних предуслова за динамичнији привредни раст.</w:t>
      </w:r>
    </w:p>
    <w:p w14:paraId="77BD5856" w14:textId="77777777" w:rsidR="00187838" w:rsidRPr="007E770D" w:rsidRDefault="00187838" w:rsidP="00E4657F">
      <w:pPr>
        <w:spacing w:after="120"/>
        <w:jc w:val="left"/>
        <w:rPr>
          <w:rFonts w:cstheme="minorHAnsi"/>
          <w:b/>
          <w:bCs/>
          <w:color w:val="auto"/>
          <w:sz w:val="22"/>
          <w:szCs w:val="20"/>
          <w:lang w:val="sr-Cyrl-CS"/>
        </w:rPr>
      </w:pPr>
      <w:r w:rsidRPr="007E770D">
        <w:rPr>
          <w:rFonts w:cstheme="minorHAnsi"/>
          <w:b/>
          <w:bCs/>
          <w:color w:val="auto"/>
          <w:sz w:val="22"/>
          <w:szCs w:val="20"/>
          <w:lang w:val="sr-Cyrl-CS"/>
        </w:rPr>
        <w:t>Макроекономске претпоставке и осетљивост фискалних агрегата</w:t>
      </w:r>
    </w:p>
    <w:p w14:paraId="35F2D035" w14:textId="77777777" w:rsidR="00187838" w:rsidRPr="007E770D" w:rsidRDefault="00187838"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Одступања макроекономских претпоставки од основног сценарија могу довести до одступања фискалних агрегата од пројектованог нивоа.</w:t>
      </w:r>
    </w:p>
    <w:p w14:paraId="3F2A498F" w14:textId="77777777" w:rsidR="00187838" w:rsidRPr="007E770D" w:rsidRDefault="00187838"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Негативни сценарио који у наредном периоду подразумева пад привредне активности или мањи раст, довео би до значајног смањења прилива капитала и смањења спољнотрговинске размене. У том случају дошло би до мањих прихода, и последично већег дефицита, уколико се не би ишло на додатно прилагођавање на расходној страни. У складу са оценама осетљивости фискалног баланса, свака промена реалног раста за 1 п. п. БДП доводи до промене фискалног резултата од око 0,36% БДП. У случају да се у наредном трогодишњем периоду остваре ниже стопе реалног раста БДП (по 1 п. п. мање просечно годишње) од планираних, кумулативно повећање фискалног дефицита би износило преко 50 млрд динара.</w:t>
      </w:r>
    </w:p>
    <w:p w14:paraId="5454D7A7" w14:textId="77777777" w:rsidR="00187838" w:rsidRPr="007E770D" w:rsidRDefault="00187838" w:rsidP="00E4657F">
      <w:pPr>
        <w:spacing w:after="120" w:line="276" w:lineRule="auto"/>
        <w:rPr>
          <w:rFonts w:eastAsia="Calibri" w:cstheme="minorHAnsi"/>
          <w:color w:val="auto"/>
          <w:szCs w:val="20"/>
          <w:lang w:val="sr-Cyrl-CS" w:eastAsia="ja-JP"/>
        </w:rPr>
      </w:pPr>
      <w:r w:rsidRPr="007E770D">
        <w:rPr>
          <w:rFonts w:eastAsia="Calibri" w:cstheme="minorHAnsi"/>
          <w:color w:val="auto"/>
          <w:spacing w:val="-4"/>
          <w:szCs w:val="20"/>
          <w:lang w:val="sr-Cyrl-CS" w:eastAsia="ja-JP"/>
        </w:rPr>
        <w:t>Инфлација је основна детерминанта опште макроекономске стабилности. Услед модификације фискалних правила о индексацији плата и пензија, у наредном периоду инфлација ће у мањој мери опредељивати кретање укупног нивоа расхода, него што је то био случај</w:t>
      </w:r>
      <w:r w:rsidRPr="007E770D">
        <w:rPr>
          <w:rFonts w:eastAsia="Calibri" w:cstheme="minorHAnsi"/>
          <w:color w:val="auto"/>
          <w:spacing w:val="-4"/>
          <w:lang w:val="sr-Cyrl-CS" w:eastAsia="ja-JP"/>
        </w:rPr>
        <w:t xml:space="preserve"> у ранијем периоду.</w:t>
      </w:r>
      <w:r w:rsidRPr="007E770D">
        <w:rPr>
          <w:rFonts w:eastAsia="Calibri" w:cstheme="minorHAnsi"/>
          <w:color w:val="auto"/>
          <w:lang w:val="sr-Cyrl-CS" w:eastAsia="ja-JP"/>
        </w:rPr>
        <w:t xml:space="preserve"> Што се тиче приходне стране утицај инфлације на индиректне порезе може бити краткорочно повољан, али услед неминовног </w:t>
      </w:r>
      <w:r w:rsidRPr="007E770D">
        <w:rPr>
          <w:rFonts w:eastAsia="Calibri" w:cstheme="minorHAnsi"/>
          <w:color w:val="auto"/>
          <w:szCs w:val="20"/>
          <w:lang w:val="sr-Cyrl-CS" w:eastAsia="ja-JP"/>
        </w:rPr>
        <w:t xml:space="preserve">прилагођавања реалног нивоа </w:t>
      </w:r>
      <w:r w:rsidRPr="007E770D">
        <w:rPr>
          <w:rFonts w:eastAsia="Calibri" w:cstheme="minorHAnsi"/>
          <w:color w:val="auto"/>
          <w:szCs w:val="20"/>
          <w:lang w:val="sr-Cyrl-CS" w:eastAsia="ja-JP"/>
        </w:rPr>
        <w:lastRenderedPageBreak/>
        <w:t>потрошње тај ефекат се губи уколико је ниво дохотка ограничен. Сличан краткорочни ефекат има и девизни курс. Поједине приходне ставке се усклађују годишње са инфлацијом (углавном непорески приходи и висина појединих акцизних стопа), па са те стране постоји одређени ризик, али услед ниских пројектованих вредности инфлације он није висок. Инфлација са друге стране може индиректно да утиче на висину дефицита и јавног дуга. У случају да се креће значајно изнад таргетираних вредности, током процеса усклађивања релевантних каматних стопа, може доћи до повећања каматних стопа на јавни дуг. Са друге стране индекс потрошачких цена великим делом утиче на кретање укупног дефлатора БДП, самим тим и на висину номиналног БДП, као имениоца учешћа дефицита и јавног дуга у бруто домаћем производу.</w:t>
      </w:r>
    </w:p>
    <w:p w14:paraId="55E2004D" w14:textId="77777777" w:rsidR="00187838" w:rsidRPr="007E770D" w:rsidRDefault="00187838"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На издатке за камате, осим висине и структуре јавног дуга утичу и фактори као што су девизни курс и каматне стопе на међународном и домаћем тржишту. С обзиром на непредвидивост кретања појединих варијабли, могуће је повећање потребних средстава за камате у наредном периоду. Каматна политика коју воде одређене међународне институције (ФЕД, ЕЦБ итд.) може утицати на општи ниво каматних стопа на међународном тржишту, што за Републику Србију као малу отворену економију представља додатни фискални ризик.</w:t>
      </w:r>
    </w:p>
    <w:p w14:paraId="5A32739F" w14:textId="77777777" w:rsidR="00187838" w:rsidRPr="007E770D" w:rsidRDefault="00187838" w:rsidP="00E4657F">
      <w:pPr>
        <w:spacing w:after="120" w:line="276" w:lineRule="auto"/>
        <w:jc w:val="left"/>
        <w:rPr>
          <w:rFonts w:cstheme="minorHAnsi"/>
          <w:b/>
          <w:bCs/>
          <w:color w:val="auto"/>
          <w:sz w:val="22"/>
          <w:szCs w:val="20"/>
          <w:lang w:val="sr-Cyrl-CS"/>
        </w:rPr>
      </w:pPr>
      <w:r w:rsidRPr="007E770D">
        <w:rPr>
          <w:rFonts w:cstheme="minorHAnsi"/>
          <w:b/>
          <w:bCs/>
          <w:color w:val="auto"/>
          <w:sz w:val="22"/>
          <w:szCs w:val="20"/>
          <w:lang w:val="sr-Cyrl-CS"/>
        </w:rPr>
        <w:t>Државне гаранције</w:t>
      </w:r>
    </w:p>
    <w:p w14:paraId="5C8A78F2" w14:textId="77777777" w:rsidR="00187838" w:rsidRPr="007E770D" w:rsidRDefault="00187838"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 xml:space="preserve">Гаранције издате од стране државе утичу на висину јавног дуга, али и на висину дефицита, уколико отплату по кредиту уместо првобитног </w:t>
      </w:r>
      <w:r w:rsidRPr="007E770D">
        <w:rPr>
          <w:rFonts w:eastAsia="Calibri" w:cstheme="minorHAnsi"/>
          <w:color w:val="auto"/>
          <w:szCs w:val="20"/>
          <w:lang w:val="sr-Cyrl-CS" w:eastAsia="ja-JP"/>
        </w:rPr>
        <w:t>дужника преузме држава. Издате гаранције су према дефиницији одређеној Законом о јавном дугу</w:t>
      </w:r>
      <w:r w:rsidRPr="007E770D">
        <w:rPr>
          <w:rFonts w:eastAsia="Calibri" w:cstheme="minorHAnsi"/>
          <w:color w:val="auto"/>
          <w:szCs w:val="20"/>
          <w:vertAlign w:val="superscript"/>
          <w:lang w:val="sr-Cyrl-CS" w:eastAsia="ja-JP"/>
        </w:rPr>
        <w:footnoteReference w:id="12"/>
      </w:r>
      <w:r w:rsidRPr="007E770D">
        <w:rPr>
          <w:rFonts w:eastAsia="Calibri" w:cstheme="minorHAnsi"/>
          <w:color w:val="auto"/>
          <w:szCs w:val="20"/>
          <w:lang w:val="sr-Cyrl-CS" w:eastAsia="ja-JP"/>
        </w:rPr>
        <w:t xml:space="preserve"> део индиректних обавеза и у укупном износу се укључују у јавни дуг</w:t>
      </w:r>
      <w:r w:rsidRPr="007E770D">
        <w:rPr>
          <w:rFonts w:eastAsia="Calibri" w:cstheme="minorHAnsi"/>
          <w:color w:val="auto"/>
          <w:szCs w:val="20"/>
          <w:vertAlign w:val="superscript"/>
          <w:lang w:val="sr-Cyrl-CS" w:eastAsia="ja-JP"/>
        </w:rPr>
        <w:footnoteReference w:id="13"/>
      </w:r>
      <w:r w:rsidRPr="007E770D">
        <w:rPr>
          <w:rFonts w:eastAsia="Calibri" w:cstheme="minorHAnsi"/>
          <w:color w:val="auto"/>
          <w:szCs w:val="20"/>
          <w:lang w:val="sr-Cyrl-CS" w:eastAsia="ja-JP"/>
        </w:rPr>
        <w:t>. Ограничења постављена на издавање нових гаранција дала су резултате те се учешће индиректних обавеза у укупном јавном дугу смањује. Индиректне обавезе (издате гаранције од стране Републике Србије) су учествовале са 6,6% у укупном јавном дугу, према националној методологији, на крају 2018. године. Учешће ових обавеза у јавном дугу опада и у текућој години, те на крају јуна 2019. године оне чине 6,5% укупног јавног дуга. Највеће учешће ових обавеза у јавном дугу, нешто изнад 14% у просеку забележено је између 2009. и 2013. године.</w:t>
      </w:r>
    </w:p>
    <w:p w14:paraId="474EC21E" w14:textId="77777777" w:rsidR="00187838" w:rsidRPr="007E770D" w:rsidRDefault="00187838" w:rsidP="00E4657F">
      <w:pPr>
        <w:spacing w:after="120" w:line="276" w:lineRule="auto"/>
        <w:jc w:val="center"/>
        <w:rPr>
          <w:color w:val="auto"/>
          <w:lang w:val="sr-Cyrl-CS"/>
        </w:rPr>
      </w:pPr>
      <w:r w:rsidRPr="007E770D">
        <w:rPr>
          <w:rFonts w:cstheme="minorHAnsi"/>
          <w:b/>
          <w:color w:val="auto"/>
          <w:lang w:val="sr-Cyrl-CS"/>
        </w:rPr>
        <w:t>Учешће индиректног дуга у укупном јавном дугу Републике Србије</w:t>
      </w:r>
    </w:p>
    <w:p w14:paraId="3379C973" w14:textId="77777777" w:rsidR="00187838" w:rsidRPr="007E770D" w:rsidRDefault="00187838" w:rsidP="00E4657F">
      <w:pPr>
        <w:spacing w:after="120" w:line="276" w:lineRule="auto"/>
        <w:jc w:val="center"/>
        <w:rPr>
          <w:rFonts w:cstheme="minorHAnsi"/>
          <w:b/>
          <w:color w:val="auto"/>
          <w:lang w:val="sr-Cyrl-CS" w:eastAsia="sr-Cyrl-RS"/>
        </w:rPr>
      </w:pPr>
      <w:r w:rsidRPr="007E770D">
        <w:rPr>
          <w:rFonts w:cstheme="minorHAnsi"/>
          <w:b/>
          <w:noProof/>
          <w:color w:val="auto"/>
        </w:rPr>
        <w:drawing>
          <wp:inline distT="0" distB="0" distL="0" distR="0" wp14:anchorId="0E279CB6" wp14:editId="20B398A2">
            <wp:extent cx="2760980" cy="1590579"/>
            <wp:effectExtent l="0" t="0" r="127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2796740" cy="1611180"/>
                    </a:xfrm>
                    <a:prstGeom prst="rect">
                      <a:avLst/>
                    </a:prstGeom>
                    <a:noFill/>
                  </pic:spPr>
                </pic:pic>
              </a:graphicData>
            </a:graphic>
          </wp:inline>
        </w:drawing>
      </w:r>
    </w:p>
    <w:p w14:paraId="6231FE5E" w14:textId="77777777" w:rsidR="00187838" w:rsidRPr="007E770D" w:rsidRDefault="00187838" w:rsidP="00E4657F">
      <w:pPr>
        <w:spacing w:after="120" w:line="276" w:lineRule="auto"/>
        <w:rPr>
          <w:rFonts w:cstheme="minorHAnsi"/>
          <w:b/>
          <w:color w:val="auto"/>
          <w:lang w:val="sr-Cyrl-CS" w:eastAsia="sr-Cyrl-RS"/>
        </w:rPr>
        <w:sectPr w:rsidR="00187838" w:rsidRPr="007E770D" w:rsidSect="00E4657F">
          <w:type w:val="continuous"/>
          <w:pgSz w:w="12240" w:h="15840"/>
          <w:pgMar w:top="1440" w:right="1440" w:bottom="1440" w:left="1440" w:header="720" w:footer="720" w:gutter="0"/>
          <w:cols w:num="2" w:space="720"/>
          <w:docGrid w:linePitch="360"/>
        </w:sectPr>
      </w:pPr>
      <w:r w:rsidRPr="007E770D">
        <w:rPr>
          <w:rFonts w:eastAsia="Calibri" w:cstheme="minorHAnsi"/>
          <w:color w:val="auto"/>
          <w:szCs w:val="20"/>
          <w:lang w:val="sr-Cyrl-CS" w:eastAsia="ja-JP"/>
        </w:rPr>
        <w:t>На крају 2018. године стање дуга по основу издатих гаранција износило је 1,5 млрд евра, односно 3,5% БДП. Стање дуга по овом основу смањено је за близу 240 милиона евра у односу на крај 2017. године. До јуна текуће године стање дуга по гаранцијама повећано је за 3,2 милиона евра, у односу на крај 2018. године.</w:t>
      </w:r>
    </w:p>
    <w:p w14:paraId="32F841D4" w14:textId="77777777" w:rsidR="00187838" w:rsidRPr="007E770D" w:rsidRDefault="00187838" w:rsidP="00E4657F">
      <w:pPr>
        <w:jc w:val="center"/>
        <w:rPr>
          <w:rFonts w:eastAsia="Times New Roman" w:cstheme="minorHAnsi"/>
          <w:b/>
          <w:bCs/>
          <w:color w:val="auto"/>
          <w:lang w:val="sr-Cyrl-CS" w:eastAsia="ja-JP"/>
        </w:rPr>
      </w:pPr>
    </w:p>
    <w:p w14:paraId="79022825" w14:textId="77777777" w:rsidR="00187838" w:rsidRPr="007E770D" w:rsidRDefault="00187838" w:rsidP="00E4657F">
      <w:pPr>
        <w:jc w:val="center"/>
        <w:rPr>
          <w:rFonts w:eastAsia="Times New Roman" w:cstheme="minorHAnsi"/>
          <w:b/>
          <w:bCs/>
          <w:color w:val="auto"/>
          <w:lang w:val="sr-Cyrl-CS" w:eastAsia="ja-JP"/>
        </w:rPr>
      </w:pPr>
    </w:p>
    <w:p w14:paraId="62CB143E" w14:textId="77777777" w:rsidR="00187838" w:rsidRPr="007E770D" w:rsidRDefault="00187838" w:rsidP="00E4657F">
      <w:pPr>
        <w:jc w:val="center"/>
        <w:rPr>
          <w:rFonts w:eastAsia="Times New Roman" w:cstheme="minorHAnsi"/>
          <w:b/>
          <w:bCs/>
          <w:color w:val="auto"/>
          <w:lang w:val="sr-Cyrl-CS" w:eastAsia="ja-JP"/>
        </w:rPr>
      </w:pPr>
    </w:p>
    <w:p w14:paraId="23D471A8" w14:textId="77777777" w:rsidR="00187838" w:rsidRPr="007E770D" w:rsidRDefault="00187838">
      <w:pPr>
        <w:jc w:val="left"/>
        <w:rPr>
          <w:rFonts w:eastAsia="Times New Roman" w:cstheme="minorHAnsi"/>
          <w:b/>
          <w:bCs/>
          <w:color w:val="auto"/>
          <w:lang w:val="sr-Cyrl-CS" w:eastAsia="ja-JP"/>
        </w:rPr>
      </w:pPr>
      <w:r w:rsidRPr="007E770D">
        <w:rPr>
          <w:rFonts w:eastAsia="Times New Roman" w:cstheme="minorHAnsi"/>
          <w:b/>
          <w:bCs/>
          <w:color w:val="auto"/>
          <w:lang w:val="sr-Cyrl-CS" w:eastAsia="ja-JP"/>
        </w:rPr>
        <w:br w:type="page"/>
      </w:r>
    </w:p>
    <w:p w14:paraId="2818F96C" w14:textId="77777777" w:rsidR="00187838" w:rsidRPr="007E770D" w:rsidRDefault="00187838" w:rsidP="00E4657F">
      <w:pPr>
        <w:jc w:val="center"/>
        <w:rPr>
          <w:rFonts w:eastAsia="Times New Roman" w:cstheme="minorHAnsi"/>
          <w:b/>
          <w:bCs/>
          <w:color w:val="auto"/>
          <w:lang w:val="sr-Cyrl-CS" w:eastAsia="ja-JP"/>
        </w:rPr>
      </w:pPr>
      <w:r w:rsidRPr="007E770D">
        <w:rPr>
          <w:rFonts w:eastAsia="Times New Roman" w:cstheme="minorHAnsi"/>
          <w:b/>
          <w:bCs/>
          <w:color w:val="auto"/>
          <w:lang w:val="sr-Cyrl-CS" w:eastAsia="ja-JP"/>
        </w:rPr>
        <w:lastRenderedPageBreak/>
        <w:t>Табела 12. Стање дуга по основу издатих гаранција у мил. евра</w:t>
      </w:r>
    </w:p>
    <w:tbl>
      <w:tblPr>
        <w:tblW w:w="9823" w:type="dxa"/>
        <w:tblLook w:val="04A0" w:firstRow="1" w:lastRow="0" w:firstColumn="1" w:lastColumn="0" w:noHBand="0" w:noVBand="1"/>
      </w:tblPr>
      <w:tblGrid>
        <w:gridCol w:w="7656"/>
        <w:gridCol w:w="2167"/>
      </w:tblGrid>
      <w:tr w:rsidR="007E770D" w:rsidRPr="007E770D" w14:paraId="7EC33F60" w14:textId="77777777" w:rsidTr="00E4657F">
        <w:trPr>
          <w:trHeight w:val="20"/>
        </w:trPr>
        <w:tc>
          <w:tcPr>
            <w:tcW w:w="7656" w:type="dxa"/>
            <w:tcBorders>
              <w:top w:val="single" w:sz="8" w:space="0" w:color="002060"/>
              <w:left w:val="nil"/>
              <w:bottom w:val="single" w:sz="8" w:space="0" w:color="002060"/>
              <w:right w:val="nil"/>
            </w:tcBorders>
            <w:shd w:val="clear" w:color="auto" w:fill="auto"/>
            <w:noWrap/>
            <w:vAlign w:val="center"/>
            <w:hideMark/>
          </w:tcPr>
          <w:p w14:paraId="61257155"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Корисник</w:t>
            </w:r>
          </w:p>
        </w:tc>
        <w:tc>
          <w:tcPr>
            <w:tcW w:w="2167" w:type="dxa"/>
            <w:tcBorders>
              <w:top w:val="single" w:sz="8" w:space="0" w:color="002060"/>
              <w:left w:val="nil"/>
              <w:bottom w:val="single" w:sz="8" w:space="0" w:color="002060"/>
              <w:right w:val="nil"/>
            </w:tcBorders>
            <w:shd w:val="clear" w:color="auto" w:fill="auto"/>
            <w:vAlign w:val="center"/>
            <w:hideMark/>
          </w:tcPr>
          <w:p w14:paraId="7479C68F"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30.6.2019.</w:t>
            </w:r>
          </w:p>
        </w:tc>
      </w:tr>
      <w:tr w:rsidR="007E770D" w:rsidRPr="007E770D" w14:paraId="33F27C43" w14:textId="77777777" w:rsidTr="00E4657F">
        <w:trPr>
          <w:trHeight w:val="20"/>
        </w:trPr>
        <w:tc>
          <w:tcPr>
            <w:tcW w:w="7656" w:type="dxa"/>
            <w:tcBorders>
              <w:top w:val="nil"/>
              <w:left w:val="nil"/>
              <w:bottom w:val="nil"/>
              <w:right w:val="nil"/>
            </w:tcBorders>
            <w:shd w:val="clear" w:color="auto" w:fill="auto"/>
            <w:noWrap/>
            <w:vAlign w:val="center"/>
            <w:hideMark/>
          </w:tcPr>
          <w:p w14:paraId="23634794" w14:textId="76F0A635"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 xml:space="preserve">ЈП </w:t>
            </w:r>
            <w:r w:rsidR="00342910">
              <w:rPr>
                <w:rFonts w:ascii="Calibri" w:eastAsia="Times New Roman" w:hAnsi="Calibri" w:cs="Calibri"/>
                <w:color w:val="auto"/>
                <w:sz w:val="18"/>
                <w:szCs w:val="18"/>
                <w:lang w:val="sr-Cyrl-CS" w:eastAsia="sr-Cyrl-RS"/>
              </w:rPr>
              <w:t>„</w:t>
            </w:r>
            <w:r w:rsidRPr="007E770D">
              <w:rPr>
                <w:rFonts w:ascii="Calibri" w:eastAsia="Times New Roman" w:hAnsi="Calibri" w:cs="Calibri"/>
                <w:color w:val="auto"/>
                <w:sz w:val="18"/>
                <w:szCs w:val="18"/>
                <w:lang w:val="sr-Cyrl-CS" w:eastAsia="sr-Cyrl-RS"/>
              </w:rPr>
              <w:t>Србијагас</w:t>
            </w:r>
            <w:r w:rsidR="00342910">
              <w:rPr>
                <w:rFonts w:ascii="Calibri" w:eastAsia="Times New Roman" w:hAnsi="Calibri" w:cs="Calibri"/>
                <w:color w:val="auto"/>
                <w:sz w:val="18"/>
                <w:szCs w:val="18"/>
                <w:lang w:val="sr-Cyrl-CS" w:eastAsia="sr-Cyrl-RS"/>
              </w:rPr>
              <w:t>”</w:t>
            </w:r>
            <w:r w:rsidRPr="007E770D">
              <w:rPr>
                <w:rFonts w:ascii="Calibri" w:eastAsia="Times New Roman" w:hAnsi="Calibri" w:cs="Calibri"/>
                <w:color w:val="auto"/>
                <w:sz w:val="18"/>
                <w:szCs w:val="18"/>
                <w:lang w:val="sr-Cyrl-CS" w:eastAsia="sr-Cyrl-RS"/>
              </w:rPr>
              <w:t xml:space="preserve"> </w:t>
            </w:r>
          </w:p>
        </w:tc>
        <w:tc>
          <w:tcPr>
            <w:tcW w:w="2167" w:type="dxa"/>
            <w:tcBorders>
              <w:top w:val="nil"/>
              <w:left w:val="nil"/>
              <w:bottom w:val="nil"/>
              <w:right w:val="nil"/>
            </w:tcBorders>
            <w:shd w:val="clear" w:color="auto" w:fill="auto"/>
            <w:noWrap/>
            <w:vAlign w:val="center"/>
            <w:hideMark/>
          </w:tcPr>
          <w:p w14:paraId="32BDBC6D"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202,8</w:t>
            </w:r>
          </w:p>
        </w:tc>
      </w:tr>
      <w:tr w:rsidR="007E770D" w:rsidRPr="007E770D" w14:paraId="6BF09704" w14:textId="77777777" w:rsidTr="00E4657F">
        <w:trPr>
          <w:trHeight w:val="20"/>
        </w:trPr>
        <w:tc>
          <w:tcPr>
            <w:tcW w:w="7656" w:type="dxa"/>
            <w:tcBorders>
              <w:top w:val="nil"/>
              <w:left w:val="nil"/>
              <w:bottom w:val="nil"/>
              <w:right w:val="nil"/>
            </w:tcBorders>
            <w:shd w:val="clear" w:color="auto" w:fill="auto"/>
            <w:noWrap/>
            <w:vAlign w:val="center"/>
            <w:hideMark/>
          </w:tcPr>
          <w:p w14:paraId="7895E7EF" w14:textId="4F72EADD"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 xml:space="preserve">ЈП </w:t>
            </w:r>
            <w:r w:rsidR="00342910">
              <w:rPr>
                <w:rFonts w:ascii="Calibri" w:eastAsia="Times New Roman" w:hAnsi="Calibri" w:cs="Calibri"/>
                <w:color w:val="auto"/>
                <w:sz w:val="18"/>
                <w:szCs w:val="18"/>
                <w:lang w:val="sr-Cyrl-CS" w:eastAsia="sr-Cyrl-RS"/>
              </w:rPr>
              <w:t>„</w:t>
            </w:r>
            <w:r w:rsidRPr="007E770D">
              <w:rPr>
                <w:rFonts w:ascii="Calibri" w:eastAsia="Times New Roman" w:hAnsi="Calibri" w:cs="Calibri"/>
                <w:color w:val="auto"/>
                <w:sz w:val="18"/>
                <w:szCs w:val="18"/>
                <w:lang w:val="sr-Cyrl-CS" w:eastAsia="sr-Cyrl-RS"/>
              </w:rPr>
              <w:t>Путеви Србије</w:t>
            </w:r>
            <w:r w:rsidR="00342910">
              <w:rPr>
                <w:rFonts w:ascii="Calibri" w:eastAsia="Times New Roman" w:hAnsi="Calibri" w:cs="Calibri"/>
                <w:color w:val="auto"/>
                <w:sz w:val="18"/>
                <w:szCs w:val="18"/>
                <w:lang w:val="sr-Cyrl-CS" w:eastAsia="sr-Cyrl-RS"/>
              </w:rPr>
              <w:t>”</w:t>
            </w:r>
          </w:p>
        </w:tc>
        <w:tc>
          <w:tcPr>
            <w:tcW w:w="2167" w:type="dxa"/>
            <w:tcBorders>
              <w:top w:val="nil"/>
              <w:left w:val="nil"/>
              <w:bottom w:val="nil"/>
              <w:right w:val="nil"/>
            </w:tcBorders>
            <w:shd w:val="clear" w:color="auto" w:fill="auto"/>
            <w:noWrap/>
            <w:vAlign w:val="center"/>
            <w:hideMark/>
          </w:tcPr>
          <w:p w14:paraId="29EFB49C"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331,6</w:t>
            </w:r>
          </w:p>
        </w:tc>
      </w:tr>
      <w:tr w:rsidR="007E770D" w:rsidRPr="007E770D" w14:paraId="6DE6179F" w14:textId="77777777" w:rsidTr="00E4657F">
        <w:trPr>
          <w:trHeight w:val="20"/>
        </w:trPr>
        <w:tc>
          <w:tcPr>
            <w:tcW w:w="7656" w:type="dxa"/>
            <w:tcBorders>
              <w:top w:val="nil"/>
              <w:left w:val="nil"/>
              <w:bottom w:val="nil"/>
              <w:right w:val="nil"/>
            </w:tcBorders>
            <w:shd w:val="clear" w:color="auto" w:fill="auto"/>
            <w:noWrap/>
            <w:vAlign w:val="center"/>
            <w:hideMark/>
          </w:tcPr>
          <w:p w14:paraId="07DE6633"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АД Железнице Србије</w:t>
            </w:r>
          </w:p>
        </w:tc>
        <w:tc>
          <w:tcPr>
            <w:tcW w:w="2167" w:type="dxa"/>
            <w:tcBorders>
              <w:top w:val="nil"/>
              <w:left w:val="nil"/>
              <w:bottom w:val="nil"/>
              <w:right w:val="nil"/>
            </w:tcBorders>
            <w:shd w:val="clear" w:color="auto" w:fill="auto"/>
            <w:noWrap/>
            <w:vAlign w:val="center"/>
            <w:hideMark/>
          </w:tcPr>
          <w:p w14:paraId="7A035BCF"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210,7</w:t>
            </w:r>
          </w:p>
        </w:tc>
      </w:tr>
      <w:tr w:rsidR="007E770D" w:rsidRPr="007E770D" w14:paraId="4AE245FC" w14:textId="77777777" w:rsidTr="00E4657F">
        <w:trPr>
          <w:trHeight w:val="20"/>
        </w:trPr>
        <w:tc>
          <w:tcPr>
            <w:tcW w:w="7656" w:type="dxa"/>
            <w:tcBorders>
              <w:top w:val="nil"/>
              <w:left w:val="nil"/>
              <w:bottom w:val="nil"/>
              <w:right w:val="nil"/>
            </w:tcBorders>
            <w:shd w:val="clear" w:color="auto" w:fill="auto"/>
            <w:noWrap/>
            <w:vAlign w:val="center"/>
            <w:hideMark/>
          </w:tcPr>
          <w:p w14:paraId="2F251FAE"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АД Инфраструктура Србија</w:t>
            </w:r>
          </w:p>
        </w:tc>
        <w:tc>
          <w:tcPr>
            <w:tcW w:w="2167" w:type="dxa"/>
            <w:tcBorders>
              <w:top w:val="nil"/>
              <w:left w:val="nil"/>
              <w:bottom w:val="nil"/>
              <w:right w:val="nil"/>
            </w:tcBorders>
            <w:shd w:val="clear" w:color="auto" w:fill="auto"/>
            <w:noWrap/>
            <w:vAlign w:val="center"/>
            <w:hideMark/>
          </w:tcPr>
          <w:p w14:paraId="3E3D25DC"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49,5</w:t>
            </w:r>
          </w:p>
        </w:tc>
      </w:tr>
      <w:tr w:rsidR="007E770D" w:rsidRPr="007E770D" w14:paraId="494B5A21" w14:textId="77777777" w:rsidTr="00E4657F">
        <w:trPr>
          <w:trHeight w:val="20"/>
        </w:trPr>
        <w:tc>
          <w:tcPr>
            <w:tcW w:w="7656" w:type="dxa"/>
            <w:tcBorders>
              <w:top w:val="nil"/>
              <w:left w:val="nil"/>
              <w:bottom w:val="nil"/>
              <w:right w:val="nil"/>
            </w:tcBorders>
            <w:shd w:val="clear" w:color="auto" w:fill="auto"/>
            <w:noWrap/>
            <w:vAlign w:val="center"/>
            <w:hideMark/>
          </w:tcPr>
          <w:p w14:paraId="65A39EF3" w14:textId="69CF25D1" w:rsidR="00187838" w:rsidRPr="007E770D" w:rsidRDefault="00342910" w:rsidP="00E4657F">
            <w:pPr>
              <w:spacing w:after="0" w:line="240" w:lineRule="auto"/>
              <w:rPr>
                <w:rFonts w:ascii="Calibri" w:eastAsia="Times New Roman" w:hAnsi="Calibri" w:cs="Calibri"/>
                <w:color w:val="auto"/>
                <w:sz w:val="18"/>
                <w:szCs w:val="18"/>
                <w:lang w:val="sr-Cyrl-CS" w:eastAsia="sr-Cyrl-RS"/>
              </w:rPr>
            </w:pPr>
            <w:r>
              <w:rPr>
                <w:rFonts w:ascii="Calibri" w:eastAsia="Times New Roman" w:hAnsi="Calibri" w:cs="Calibri"/>
                <w:color w:val="auto"/>
                <w:sz w:val="18"/>
                <w:szCs w:val="18"/>
                <w:lang w:val="sr-Cyrl-CS" w:eastAsia="sr-Cyrl-RS"/>
              </w:rPr>
              <w:t>„</w:t>
            </w:r>
            <w:r w:rsidR="00187838" w:rsidRPr="007E770D">
              <w:rPr>
                <w:rFonts w:ascii="Calibri" w:eastAsia="Times New Roman" w:hAnsi="Calibri" w:cs="Calibri"/>
                <w:color w:val="auto"/>
                <w:sz w:val="18"/>
                <w:szCs w:val="18"/>
                <w:lang w:val="sr-Cyrl-CS" w:eastAsia="sr-Cyrl-RS"/>
              </w:rPr>
              <w:t>Србија</w:t>
            </w:r>
            <w:r>
              <w:rPr>
                <w:rFonts w:ascii="Calibri" w:eastAsia="Times New Roman" w:hAnsi="Calibri" w:cs="Calibri"/>
                <w:color w:val="auto"/>
                <w:sz w:val="18"/>
                <w:szCs w:val="18"/>
                <w:lang w:val="sr-Cyrl-CS" w:eastAsia="sr-Cyrl-RS"/>
              </w:rPr>
              <w:t xml:space="preserve"> </w:t>
            </w:r>
            <w:r w:rsidRPr="007E770D">
              <w:rPr>
                <w:rFonts w:ascii="Calibri" w:eastAsia="Times New Roman" w:hAnsi="Calibri" w:cs="Calibri"/>
                <w:color w:val="auto"/>
                <w:sz w:val="18"/>
                <w:szCs w:val="18"/>
                <w:lang w:val="sr-Cyrl-CS" w:eastAsia="sr-Cyrl-RS"/>
              </w:rPr>
              <w:t>Воз</w:t>
            </w:r>
            <w:r>
              <w:rPr>
                <w:rFonts w:ascii="Calibri" w:eastAsia="Times New Roman" w:hAnsi="Calibri" w:cs="Calibri"/>
                <w:color w:val="auto"/>
                <w:sz w:val="18"/>
                <w:szCs w:val="18"/>
                <w:lang w:val="sr-Cyrl-CS" w:eastAsia="sr-Cyrl-RS"/>
              </w:rPr>
              <w:t>”</w:t>
            </w:r>
            <w:r w:rsidRPr="007E770D">
              <w:rPr>
                <w:rFonts w:ascii="Calibri" w:eastAsia="Times New Roman" w:hAnsi="Calibri" w:cs="Calibri"/>
                <w:color w:val="auto"/>
                <w:sz w:val="18"/>
                <w:szCs w:val="18"/>
                <w:lang w:val="sr-Cyrl-CS" w:eastAsia="sr-Cyrl-RS"/>
              </w:rPr>
              <w:t xml:space="preserve"> </w:t>
            </w:r>
            <w:r w:rsidR="00187838" w:rsidRPr="007E770D">
              <w:rPr>
                <w:rFonts w:ascii="Calibri" w:eastAsia="Times New Roman" w:hAnsi="Calibri" w:cs="Calibri"/>
                <w:color w:val="auto"/>
                <w:sz w:val="18"/>
                <w:szCs w:val="18"/>
                <w:lang w:val="sr-Cyrl-CS" w:eastAsia="sr-Cyrl-RS"/>
              </w:rPr>
              <w:t>а.д</w:t>
            </w:r>
          </w:p>
        </w:tc>
        <w:tc>
          <w:tcPr>
            <w:tcW w:w="2167" w:type="dxa"/>
            <w:tcBorders>
              <w:top w:val="nil"/>
              <w:left w:val="nil"/>
              <w:bottom w:val="nil"/>
              <w:right w:val="nil"/>
            </w:tcBorders>
            <w:shd w:val="clear" w:color="auto" w:fill="auto"/>
            <w:noWrap/>
            <w:vAlign w:val="center"/>
            <w:hideMark/>
          </w:tcPr>
          <w:p w14:paraId="5115B847"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3,6</w:t>
            </w:r>
          </w:p>
        </w:tc>
      </w:tr>
      <w:tr w:rsidR="007E770D" w:rsidRPr="007E770D" w14:paraId="11F54402" w14:textId="77777777" w:rsidTr="00E4657F">
        <w:trPr>
          <w:trHeight w:val="20"/>
        </w:trPr>
        <w:tc>
          <w:tcPr>
            <w:tcW w:w="7656" w:type="dxa"/>
            <w:tcBorders>
              <w:top w:val="nil"/>
              <w:left w:val="nil"/>
              <w:bottom w:val="nil"/>
              <w:right w:val="nil"/>
            </w:tcBorders>
            <w:shd w:val="clear" w:color="auto" w:fill="auto"/>
            <w:noWrap/>
            <w:vAlign w:val="center"/>
            <w:hideMark/>
          </w:tcPr>
          <w:p w14:paraId="6ACD71C3" w14:textId="16ABE098" w:rsidR="00187838" w:rsidRPr="007E770D" w:rsidRDefault="00342910" w:rsidP="00E4657F">
            <w:pPr>
              <w:spacing w:after="0" w:line="240" w:lineRule="auto"/>
              <w:rPr>
                <w:rFonts w:ascii="Calibri" w:eastAsia="Times New Roman" w:hAnsi="Calibri" w:cs="Calibri"/>
                <w:color w:val="auto"/>
                <w:sz w:val="18"/>
                <w:szCs w:val="18"/>
                <w:lang w:val="sr-Cyrl-CS" w:eastAsia="sr-Cyrl-RS"/>
              </w:rPr>
            </w:pPr>
            <w:r>
              <w:rPr>
                <w:rFonts w:ascii="Calibri" w:eastAsia="Times New Roman" w:hAnsi="Calibri" w:cs="Calibri"/>
                <w:color w:val="auto"/>
                <w:sz w:val="18"/>
                <w:szCs w:val="18"/>
                <w:lang w:val="sr-Cyrl-CS" w:eastAsia="sr-Cyrl-RS"/>
              </w:rPr>
              <w:t>„</w:t>
            </w:r>
            <w:r w:rsidR="00187838" w:rsidRPr="007E770D">
              <w:rPr>
                <w:rFonts w:ascii="Calibri" w:eastAsia="Times New Roman" w:hAnsi="Calibri" w:cs="Calibri"/>
                <w:color w:val="auto"/>
                <w:sz w:val="18"/>
                <w:szCs w:val="18"/>
                <w:lang w:val="sr-Cyrl-CS" w:eastAsia="sr-Cyrl-RS"/>
              </w:rPr>
              <w:t>Србија Карго</w:t>
            </w:r>
            <w:r>
              <w:rPr>
                <w:rFonts w:ascii="Calibri" w:eastAsia="Times New Roman" w:hAnsi="Calibri" w:cs="Calibri"/>
                <w:color w:val="auto"/>
                <w:sz w:val="18"/>
                <w:szCs w:val="18"/>
                <w:lang w:val="sr-Cyrl-CS" w:eastAsia="sr-Cyrl-RS"/>
              </w:rPr>
              <w:t>”</w:t>
            </w:r>
            <w:r w:rsidR="00187838" w:rsidRPr="007E770D">
              <w:rPr>
                <w:rFonts w:ascii="Calibri" w:eastAsia="Times New Roman" w:hAnsi="Calibri" w:cs="Calibri"/>
                <w:color w:val="auto"/>
                <w:sz w:val="18"/>
                <w:szCs w:val="18"/>
                <w:lang w:val="sr-Cyrl-CS" w:eastAsia="sr-Cyrl-RS"/>
              </w:rPr>
              <w:t xml:space="preserve"> а.д.</w:t>
            </w:r>
          </w:p>
        </w:tc>
        <w:tc>
          <w:tcPr>
            <w:tcW w:w="2167" w:type="dxa"/>
            <w:tcBorders>
              <w:top w:val="nil"/>
              <w:left w:val="nil"/>
              <w:bottom w:val="nil"/>
              <w:right w:val="nil"/>
            </w:tcBorders>
            <w:shd w:val="clear" w:color="auto" w:fill="auto"/>
            <w:noWrap/>
            <w:vAlign w:val="center"/>
            <w:hideMark/>
          </w:tcPr>
          <w:p w14:paraId="66923482"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34,8</w:t>
            </w:r>
          </w:p>
        </w:tc>
      </w:tr>
      <w:tr w:rsidR="007E770D" w:rsidRPr="007E770D" w14:paraId="7B155E88" w14:textId="77777777" w:rsidTr="00E4657F">
        <w:trPr>
          <w:trHeight w:val="20"/>
        </w:trPr>
        <w:tc>
          <w:tcPr>
            <w:tcW w:w="7656" w:type="dxa"/>
            <w:tcBorders>
              <w:top w:val="nil"/>
              <w:left w:val="nil"/>
              <w:bottom w:val="nil"/>
              <w:right w:val="nil"/>
            </w:tcBorders>
            <w:shd w:val="clear" w:color="auto" w:fill="auto"/>
            <w:noWrap/>
            <w:vAlign w:val="center"/>
            <w:hideMark/>
          </w:tcPr>
          <w:p w14:paraId="093EBFF8"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Air Serbia</w:t>
            </w:r>
          </w:p>
        </w:tc>
        <w:tc>
          <w:tcPr>
            <w:tcW w:w="2167" w:type="dxa"/>
            <w:tcBorders>
              <w:top w:val="nil"/>
              <w:left w:val="nil"/>
              <w:bottom w:val="nil"/>
              <w:right w:val="nil"/>
            </w:tcBorders>
            <w:shd w:val="clear" w:color="auto" w:fill="auto"/>
            <w:noWrap/>
            <w:vAlign w:val="center"/>
            <w:hideMark/>
          </w:tcPr>
          <w:p w14:paraId="47574C42"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1,1</w:t>
            </w:r>
          </w:p>
        </w:tc>
      </w:tr>
      <w:tr w:rsidR="007E770D" w:rsidRPr="007E770D" w14:paraId="0ED0E168" w14:textId="77777777" w:rsidTr="00E4657F">
        <w:trPr>
          <w:trHeight w:val="20"/>
        </w:trPr>
        <w:tc>
          <w:tcPr>
            <w:tcW w:w="7656" w:type="dxa"/>
            <w:tcBorders>
              <w:top w:val="nil"/>
              <w:left w:val="nil"/>
              <w:bottom w:val="nil"/>
              <w:right w:val="nil"/>
            </w:tcBorders>
            <w:shd w:val="clear" w:color="auto" w:fill="auto"/>
            <w:noWrap/>
            <w:vAlign w:val="center"/>
            <w:hideMark/>
          </w:tcPr>
          <w:p w14:paraId="7DD89072" w14:textId="4717925A" w:rsidR="00187838" w:rsidRPr="007E770D" w:rsidRDefault="00342910" w:rsidP="00E4657F">
            <w:pPr>
              <w:spacing w:after="0" w:line="240" w:lineRule="auto"/>
              <w:rPr>
                <w:rFonts w:ascii="Calibri" w:eastAsia="Times New Roman" w:hAnsi="Calibri" w:cs="Calibri"/>
                <w:color w:val="auto"/>
                <w:sz w:val="18"/>
                <w:szCs w:val="18"/>
                <w:lang w:val="sr-Cyrl-CS" w:eastAsia="sr-Cyrl-RS"/>
              </w:rPr>
            </w:pPr>
            <w:r>
              <w:rPr>
                <w:rFonts w:ascii="Calibri" w:eastAsia="Times New Roman" w:hAnsi="Calibri" w:cs="Calibri"/>
                <w:color w:val="auto"/>
                <w:sz w:val="18"/>
                <w:szCs w:val="18"/>
                <w:lang w:val="sr-Cyrl-CS" w:eastAsia="sr-Cyrl-RS"/>
              </w:rPr>
              <w:t>„</w:t>
            </w:r>
            <w:r w:rsidR="00187838" w:rsidRPr="007E770D">
              <w:rPr>
                <w:rFonts w:ascii="Calibri" w:eastAsia="Times New Roman" w:hAnsi="Calibri" w:cs="Calibri"/>
                <w:color w:val="auto"/>
                <w:sz w:val="18"/>
                <w:szCs w:val="18"/>
                <w:lang w:val="sr-Cyrl-CS" w:eastAsia="sr-Cyrl-RS"/>
              </w:rPr>
              <w:t>Галеника</w:t>
            </w:r>
            <w:r>
              <w:rPr>
                <w:rFonts w:ascii="Calibri" w:eastAsia="Times New Roman" w:hAnsi="Calibri" w:cs="Calibri"/>
                <w:color w:val="auto"/>
                <w:sz w:val="18"/>
                <w:szCs w:val="18"/>
                <w:lang w:val="sr-Cyrl-CS" w:eastAsia="sr-Cyrl-RS"/>
              </w:rPr>
              <w:t>”</w:t>
            </w:r>
            <w:r w:rsidR="00187838" w:rsidRPr="007E770D">
              <w:rPr>
                <w:rFonts w:ascii="Calibri" w:eastAsia="Times New Roman" w:hAnsi="Calibri" w:cs="Calibri"/>
                <w:color w:val="auto"/>
                <w:sz w:val="18"/>
                <w:szCs w:val="18"/>
                <w:lang w:val="sr-Cyrl-CS" w:eastAsia="sr-Cyrl-RS"/>
              </w:rPr>
              <w:t xml:space="preserve"> а.д.</w:t>
            </w:r>
          </w:p>
        </w:tc>
        <w:tc>
          <w:tcPr>
            <w:tcW w:w="2167" w:type="dxa"/>
            <w:tcBorders>
              <w:top w:val="nil"/>
              <w:left w:val="nil"/>
              <w:bottom w:val="nil"/>
              <w:right w:val="nil"/>
            </w:tcBorders>
            <w:shd w:val="clear" w:color="auto" w:fill="auto"/>
            <w:noWrap/>
            <w:vAlign w:val="center"/>
            <w:hideMark/>
          </w:tcPr>
          <w:p w14:paraId="782A6E28"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1,3</w:t>
            </w:r>
          </w:p>
        </w:tc>
      </w:tr>
      <w:tr w:rsidR="007E770D" w:rsidRPr="007E770D" w14:paraId="01C678DA" w14:textId="77777777" w:rsidTr="00E4657F">
        <w:trPr>
          <w:trHeight w:val="20"/>
        </w:trPr>
        <w:tc>
          <w:tcPr>
            <w:tcW w:w="7656" w:type="dxa"/>
            <w:tcBorders>
              <w:top w:val="nil"/>
              <w:left w:val="nil"/>
              <w:bottom w:val="nil"/>
              <w:right w:val="nil"/>
            </w:tcBorders>
            <w:shd w:val="clear" w:color="auto" w:fill="auto"/>
            <w:noWrap/>
            <w:vAlign w:val="center"/>
            <w:hideMark/>
          </w:tcPr>
          <w:p w14:paraId="7E640368" w14:textId="452CBD79"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 xml:space="preserve">ЈП </w:t>
            </w:r>
            <w:r w:rsidR="00342910">
              <w:rPr>
                <w:rFonts w:ascii="Calibri" w:eastAsia="Times New Roman" w:hAnsi="Calibri" w:cs="Calibri"/>
                <w:color w:val="auto"/>
                <w:sz w:val="18"/>
                <w:szCs w:val="18"/>
                <w:lang w:val="sr-Cyrl-CS" w:eastAsia="sr-Cyrl-RS"/>
              </w:rPr>
              <w:t>„</w:t>
            </w:r>
            <w:r w:rsidRPr="007E770D">
              <w:rPr>
                <w:rFonts w:ascii="Calibri" w:eastAsia="Times New Roman" w:hAnsi="Calibri" w:cs="Calibri"/>
                <w:color w:val="auto"/>
                <w:sz w:val="18"/>
                <w:szCs w:val="18"/>
                <w:lang w:val="sr-Cyrl-CS" w:eastAsia="sr-Cyrl-RS"/>
              </w:rPr>
              <w:t>Електропривреда Србије</w:t>
            </w:r>
            <w:r w:rsidR="00342910">
              <w:rPr>
                <w:rFonts w:ascii="Calibri" w:eastAsia="Times New Roman" w:hAnsi="Calibri" w:cs="Calibri"/>
                <w:color w:val="auto"/>
                <w:sz w:val="18"/>
                <w:szCs w:val="18"/>
                <w:lang w:val="sr-Cyrl-CS" w:eastAsia="sr-Cyrl-RS"/>
              </w:rPr>
              <w:t>”</w:t>
            </w:r>
          </w:p>
        </w:tc>
        <w:tc>
          <w:tcPr>
            <w:tcW w:w="2167" w:type="dxa"/>
            <w:tcBorders>
              <w:top w:val="nil"/>
              <w:left w:val="nil"/>
              <w:bottom w:val="nil"/>
              <w:right w:val="nil"/>
            </w:tcBorders>
            <w:shd w:val="clear" w:color="auto" w:fill="auto"/>
            <w:noWrap/>
            <w:vAlign w:val="center"/>
            <w:hideMark/>
          </w:tcPr>
          <w:p w14:paraId="5DE3A890"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386,7</w:t>
            </w:r>
          </w:p>
        </w:tc>
      </w:tr>
      <w:tr w:rsidR="007E770D" w:rsidRPr="007E770D" w14:paraId="183C60AB" w14:textId="77777777" w:rsidTr="00E4657F">
        <w:trPr>
          <w:trHeight w:val="20"/>
        </w:trPr>
        <w:tc>
          <w:tcPr>
            <w:tcW w:w="7656" w:type="dxa"/>
            <w:tcBorders>
              <w:top w:val="nil"/>
              <w:left w:val="nil"/>
              <w:bottom w:val="nil"/>
              <w:right w:val="nil"/>
            </w:tcBorders>
            <w:shd w:val="clear" w:color="auto" w:fill="auto"/>
            <w:noWrap/>
            <w:vAlign w:val="center"/>
            <w:hideMark/>
          </w:tcPr>
          <w:p w14:paraId="3617032F" w14:textId="2EA5D360" w:rsidR="00187838" w:rsidRPr="007E770D" w:rsidRDefault="00342910" w:rsidP="00E4657F">
            <w:pPr>
              <w:spacing w:after="0" w:line="240" w:lineRule="auto"/>
              <w:rPr>
                <w:rFonts w:ascii="Calibri" w:eastAsia="Times New Roman" w:hAnsi="Calibri" w:cs="Calibri"/>
                <w:color w:val="auto"/>
                <w:sz w:val="18"/>
                <w:szCs w:val="18"/>
                <w:lang w:val="sr-Cyrl-CS" w:eastAsia="sr-Cyrl-RS"/>
              </w:rPr>
            </w:pPr>
            <w:r>
              <w:rPr>
                <w:rFonts w:ascii="Calibri" w:eastAsia="Times New Roman" w:hAnsi="Calibri" w:cs="Calibri"/>
                <w:color w:val="auto"/>
                <w:sz w:val="18"/>
                <w:szCs w:val="18"/>
                <w:lang w:val="sr-Cyrl-CS" w:eastAsia="sr-Cyrl-RS"/>
              </w:rPr>
              <w:t>„</w:t>
            </w:r>
            <w:r w:rsidR="00187838" w:rsidRPr="007E770D">
              <w:rPr>
                <w:rFonts w:ascii="Calibri" w:eastAsia="Times New Roman" w:hAnsi="Calibri" w:cs="Calibri"/>
                <w:color w:val="auto"/>
                <w:sz w:val="18"/>
                <w:szCs w:val="18"/>
                <w:lang w:val="sr-Cyrl-CS" w:eastAsia="sr-Cyrl-RS"/>
              </w:rPr>
              <w:t>Електромрежа Србије</w:t>
            </w:r>
            <w:r>
              <w:rPr>
                <w:rFonts w:ascii="Calibri" w:eastAsia="Times New Roman" w:hAnsi="Calibri" w:cs="Calibri"/>
                <w:color w:val="auto"/>
                <w:sz w:val="18"/>
                <w:szCs w:val="18"/>
                <w:lang w:val="sr-Cyrl-CS" w:eastAsia="sr-Cyrl-RS"/>
              </w:rPr>
              <w:t>” а.д.</w:t>
            </w:r>
          </w:p>
        </w:tc>
        <w:tc>
          <w:tcPr>
            <w:tcW w:w="2167" w:type="dxa"/>
            <w:tcBorders>
              <w:top w:val="nil"/>
              <w:left w:val="nil"/>
              <w:bottom w:val="nil"/>
              <w:right w:val="nil"/>
            </w:tcBorders>
            <w:shd w:val="clear" w:color="auto" w:fill="auto"/>
            <w:noWrap/>
            <w:vAlign w:val="center"/>
            <w:hideMark/>
          </w:tcPr>
          <w:p w14:paraId="2BE20090"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35,1</w:t>
            </w:r>
          </w:p>
        </w:tc>
      </w:tr>
      <w:tr w:rsidR="007E770D" w:rsidRPr="007E770D" w14:paraId="51E675DD" w14:textId="77777777" w:rsidTr="00E4657F">
        <w:trPr>
          <w:trHeight w:val="20"/>
        </w:trPr>
        <w:tc>
          <w:tcPr>
            <w:tcW w:w="7656" w:type="dxa"/>
            <w:tcBorders>
              <w:top w:val="nil"/>
              <w:left w:val="nil"/>
              <w:bottom w:val="nil"/>
              <w:right w:val="nil"/>
            </w:tcBorders>
            <w:shd w:val="clear" w:color="auto" w:fill="auto"/>
            <w:noWrap/>
            <w:vAlign w:val="center"/>
            <w:hideMark/>
          </w:tcPr>
          <w:p w14:paraId="5F55371E" w14:textId="3F2D65AE" w:rsidR="00187838" w:rsidRPr="007E770D" w:rsidRDefault="00187838" w:rsidP="003E166B">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 xml:space="preserve">Јединице локалне </w:t>
            </w:r>
            <w:r w:rsidR="003E166B" w:rsidRPr="007E770D">
              <w:rPr>
                <w:rFonts w:ascii="Calibri" w:eastAsia="Times New Roman" w:hAnsi="Calibri" w:cs="Calibri"/>
                <w:color w:val="auto"/>
                <w:sz w:val="18"/>
                <w:szCs w:val="18"/>
                <w:lang w:val="sr-Cyrl-CS" w:eastAsia="sr-Cyrl-RS"/>
              </w:rPr>
              <w:t xml:space="preserve">самоуправе </w:t>
            </w:r>
            <w:r w:rsidRPr="007E770D">
              <w:rPr>
                <w:rFonts w:ascii="Calibri" w:eastAsia="Times New Roman" w:hAnsi="Calibri" w:cs="Calibri"/>
                <w:color w:val="auto"/>
                <w:sz w:val="18"/>
                <w:szCs w:val="18"/>
                <w:lang w:val="sr-Cyrl-CS" w:eastAsia="sr-Cyrl-RS"/>
              </w:rPr>
              <w:t>(градови и општине)</w:t>
            </w:r>
          </w:p>
        </w:tc>
        <w:tc>
          <w:tcPr>
            <w:tcW w:w="2167" w:type="dxa"/>
            <w:tcBorders>
              <w:top w:val="nil"/>
              <w:left w:val="nil"/>
              <w:bottom w:val="nil"/>
              <w:right w:val="nil"/>
            </w:tcBorders>
            <w:shd w:val="clear" w:color="auto" w:fill="auto"/>
            <w:noWrap/>
            <w:vAlign w:val="center"/>
            <w:hideMark/>
          </w:tcPr>
          <w:p w14:paraId="6330602C"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215,7</w:t>
            </w:r>
          </w:p>
        </w:tc>
      </w:tr>
      <w:tr w:rsidR="007E770D" w:rsidRPr="007E770D" w14:paraId="66E55E40" w14:textId="77777777" w:rsidTr="00E4657F">
        <w:trPr>
          <w:trHeight w:val="20"/>
        </w:trPr>
        <w:tc>
          <w:tcPr>
            <w:tcW w:w="7656" w:type="dxa"/>
            <w:tcBorders>
              <w:top w:val="nil"/>
              <w:left w:val="nil"/>
              <w:bottom w:val="nil"/>
              <w:right w:val="nil"/>
            </w:tcBorders>
            <w:shd w:val="clear" w:color="auto" w:fill="auto"/>
            <w:noWrap/>
            <w:vAlign w:val="center"/>
            <w:hideMark/>
          </w:tcPr>
          <w:p w14:paraId="11447F1F"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ФИАТ Аутомобили Србија ДОО</w:t>
            </w:r>
          </w:p>
        </w:tc>
        <w:tc>
          <w:tcPr>
            <w:tcW w:w="2167" w:type="dxa"/>
            <w:tcBorders>
              <w:top w:val="nil"/>
              <w:left w:val="nil"/>
              <w:bottom w:val="nil"/>
              <w:right w:val="nil"/>
            </w:tcBorders>
            <w:shd w:val="clear" w:color="auto" w:fill="auto"/>
            <w:noWrap/>
            <w:vAlign w:val="center"/>
            <w:hideMark/>
          </w:tcPr>
          <w:p w14:paraId="0BCD87F4"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17,9</w:t>
            </w:r>
          </w:p>
        </w:tc>
      </w:tr>
      <w:tr w:rsidR="007E770D" w:rsidRPr="007E770D" w14:paraId="36688025" w14:textId="77777777" w:rsidTr="00E4657F">
        <w:trPr>
          <w:trHeight w:val="20"/>
        </w:trPr>
        <w:tc>
          <w:tcPr>
            <w:tcW w:w="7656" w:type="dxa"/>
            <w:tcBorders>
              <w:top w:val="nil"/>
              <w:left w:val="nil"/>
              <w:bottom w:val="nil"/>
              <w:right w:val="nil"/>
            </w:tcBorders>
            <w:shd w:val="clear" w:color="auto" w:fill="auto"/>
            <w:noWrap/>
            <w:vAlign w:val="center"/>
            <w:hideMark/>
          </w:tcPr>
          <w:p w14:paraId="085DA973"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РТБ Бор</w:t>
            </w:r>
          </w:p>
        </w:tc>
        <w:tc>
          <w:tcPr>
            <w:tcW w:w="2167" w:type="dxa"/>
            <w:tcBorders>
              <w:top w:val="nil"/>
              <w:left w:val="nil"/>
              <w:bottom w:val="nil"/>
              <w:right w:val="nil"/>
            </w:tcBorders>
            <w:shd w:val="clear" w:color="auto" w:fill="auto"/>
            <w:noWrap/>
            <w:vAlign w:val="center"/>
            <w:hideMark/>
          </w:tcPr>
          <w:p w14:paraId="0C3A5F59"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0,0</w:t>
            </w:r>
          </w:p>
        </w:tc>
      </w:tr>
      <w:tr w:rsidR="007E770D" w:rsidRPr="007E770D" w14:paraId="2975C161" w14:textId="77777777" w:rsidTr="00E4657F">
        <w:trPr>
          <w:trHeight w:val="20"/>
        </w:trPr>
        <w:tc>
          <w:tcPr>
            <w:tcW w:w="7656" w:type="dxa"/>
            <w:tcBorders>
              <w:top w:val="nil"/>
              <w:left w:val="nil"/>
              <w:bottom w:val="nil"/>
              <w:right w:val="nil"/>
            </w:tcBorders>
            <w:shd w:val="clear" w:color="auto" w:fill="auto"/>
            <w:noWrap/>
            <w:vAlign w:val="center"/>
            <w:hideMark/>
          </w:tcPr>
          <w:p w14:paraId="6208E8BA" w14:textId="6A1F9B85"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 xml:space="preserve">ЈП </w:t>
            </w:r>
            <w:r w:rsidR="00342910">
              <w:rPr>
                <w:rFonts w:ascii="Calibri" w:eastAsia="Times New Roman" w:hAnsi="Calibri" w:cs="Calibri"/>
                <w:color w:val="auto"/>
                <w:sz w:val="18"/>
                <w:szCs w:val="18"/>
                <w:lang w:val="sr-Cyrl-CS" w:eastAsia="sr-Cyrl-RS"/>
              </w:rPr>
              <w:t>„</w:t>
            </w:r>
            <w:r w:rsidRPr="007E770D">
              <w:rPr>
                <w:rFonts w:ascii="Calibri" w:eastAsia="Times New Roman" w:hAnsi="Calibri" w:cs="Calibri"/>
                <w:color w:val="auto"/>
                <w:sz w:val="18"/>
                <w:szCs w:val="18"/>
                <w:lang w:val="sr-Cyrl-CS" w:eastAsia="sr-Cyrl-RS"/>
              </w:rPr>
              <w:t>Југоимпорт – СДПР</w:t>
            </w:r>
            <w:r w:rsidR="00342910">
              <w:rPr>
                <w:rFonts w:ascii="Calibri" w:eastAsia="Times New Roman" w:hAnsi="Calibri" w:cs="Calibri"/>
                <w:color w:val="auto"/>
                <w:sz w:val="18"/>
                <w:szCs w:val="18"/>
                <w:lang w:val="sr-Cyrl-CS" w:eastAsia="sr-Cyrl-RS"/>
              </w:rPr>
              <w:t>”</w:t>
            </w:r>
          </w:p>
        </w:tc>
        <w:tc>
          <w:tcPr>
            <w:tcW w:w="2167" w:type="dxa"/>
            <w:tcBorders>
              <w:top w:val="nil"/>
              <w:left w:val="nil"/>
              <w:bottom w:val="nil"/>
              <w:right w:val="nil"/>
            </w:tcBorders>
            <w:shd w:val="clear" w:color="auto" w:fill="auto"/>
            <w:noWrap/>
            <w:vAlign w:val="center"/>
            <w:hideMark/>
          </w:tcPr>
          <w:p w14:paraId="0AD506E2"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13,2</w:t>
            </w:r>
          </w:p>
        </w:tc>
      </w:tr>
      <w:tr w:rsidR="007E770D" w:rsidRPr="007E770D" w14:paraId="49491E5B" w14:textId="77777777" w:rsidTr="00E4657F">
        <w:trPr>
          <w:trHeight w:val="20"/>
        </w:trPr>
        <w:tc>
          <w:tcPr>
            <w:tcW w:w="7656" w:type="dxa"/>
            <w:tcBorders>
              <w:top w:val="nil"/>
              <w:left w:val="nil"/>
              <w:bottom w:val="nil"/>
              <w:right w:val="nil"/>
            </w:tcBorders>
            <w:shd w:val="clear" w:color="auto" w:fill="auto"/>
            <w:noWrap/>
            <w:vAlign w:val="center"/>
            <w:hideMark/>
          </w:tcPr>
          <w:p w14:paraId="25885F56"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Агенција за контролу летења Србије и Црне Горе</w:t>
            </w:r>
          </w:p>
        </w:tc>
        <w:tc>
          <w:tcPr>
            <w:tcW w:w="2167" w:type="dxa"/>
            <w:tcBorders>
              <w:top w:val="nil"/>
              <w:left w:val="nil"/>
              <w:bottom w:val="nil"/>
              <w:right w:val="nil"/>
            </w:tcBorders>
            <w:shd w:val="clear" w:color="auto" w:fill="auto"/>
            <w:noWrap/>
            <w:vAlign w:val="center"/>
            <w:hideMark/>
          </w:tcPr>
          <w:p w14:paraId="7BBE2973"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4,7</w:t>
            </w:r>
          </w:p>
        </w:tc>
      </w:tr>
      <w:tr w:rsidR="007E770D" w:rsidRPr="007E770D" w14:paraId="65D10167" w14:textId="77777777" w:rsidTr="00E4657F">
        <w:trPr>
          <w:trHeight w:val="20"/>
        </w:trPr>
        <w:tc>
          <w:tcPr>
            <w:tcW w:w="7656" w:type="dxa"/>
            <w:tcBorders>
              <w:top w:val="nil"/>
              <w:left w:val="nil"/>
              <w:bottom w:val="nil"/>
              <w:right w:val="nil"/>
            </w:tcBorders>
            <w:shd w:val="clear" w:color="auto" w:fill="auto"/>
            <w:noWrap/>
            <w:vAlign w:val="center"/>
            <w:hideMark/>
          </w:tcPr>
          <w:p w14:paraId="151E7363"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АД Аеродром „Никола Теслаˮ</w:t>
            </w:r>
          </w:p>
        </w:tc>
        <w:tc>
          <w:tcPr>
            <w:tcW w:w="2167" w:type="dxa"/>
            <w:tcBorders>
              <w:top w:val="nil"/>
              <w:left w:val="nil"/>
              <w:bottom w:val="nil"/>
              <w:right w:val="nil"/>
            </w:tcBorders>
            <w:shd w:val="clear" w:color="auto" w:fill="auto"/>
            <w:noWrap/>
            <w:vAlign w:val="center"/>
            <w:hideMark/>
          </w:tcPr>
          <w:p w14:paraId="4C3D46C6"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4,4</w:t>
            </w:r>
          </w:p>
        </w:tc>
      </w:tr>
      <w:tr w:rsidR="007E770D" w:rsidRPr="007E770D" w14:paraId="1153EB5B" w14:textId="77777777" w:rsidTr="00E4657F">
        <w:trPr>
          <w:trHeight w:val="20"/>
        </w:trPr>
        <w:tc>
          <w:tcPr>
            <w:tcW w:w="7656" w:type="dxa"/>
            <w:tcBorders>
              <w:top w:val="nil"/>
              <w:left w:val="nil"/>
              <w:bottom w:val="nil"/>
              <w:right w:val="nil"/>
            </w:tcBorders>
            <w:shd w:val="clear" w:color="auto" w:fill="auto"/>
            <w:noWrap/>
            <w:vAlign w:val="center"/>
            <w:hideMark/>
          </w:tcPr>
          <w:p w14:paraId="1E2FC6B4" w14:textId="3D7AF5AE" w:rsidR="00187838" w:rsidRPr="007E770D" w:rsidRDefault="00342910" w:rsidP="00E4657F">
            <w:pPr>
              <w:spacing w:after="0" w:line="240" w:lineRule="auto"/>
              <w:rPr>
                <w:rFonts w:ascii="Calibri" w:eastAsia="Times New Roman" w:hAnsi="Calibri" w:cs="Calibri"/>
                <w:color w:val="auto"/>
                <w:sz w:val="18"/>
                <w:szCs w:val="18"/>
                <w:lang w:val="sr-Cyrl-CS" w:eastAsia="sr-Cyrl-RS"/>
              </w:rPr>
            </w:pPr>
            <w:r>
              <w:rPr>
                <w:rFonts w:ascii="Calibri" w:eastAsia="Times New Roman" w:hAnsi="Calibri" w:cs="Calibri"/>
                <w:color w:val="auto"/>
                <w:sz w:val="18"/>
                <w:szCs w:val="18"/>
                <w:lang w:val="sr-Cyrl-CS" w:eastAsia="sr-Cyrl-RS"/>
              </w:rPr>
              <w:t>„</w:t>
            </w:r>
            <w:r w:rsidR="00187838" w:rsidRPr="007E770D">
              <w:rPr>
                <w:rFonts w:ascii="Calibri" w:eastAsia="Times New Roman" w:hAnsi="Calibri" w:cs="Calibri"/>
                <w:color w:val="auto"/>
                <w:sz w:val="18"/>
                <w:szCs w:val="18"/>
                <w:lang w:val="sr-Cyrl-CS" w:eastAsia="sr-Cyrl-RS"/>
              </w:rPr>
              <w:t>ЈАТ Техника</w:t>
            </w:r>
            <w:r>
              <w:rPr>
                <w:rFonts w:ascii="Calibri" w:eastAsia="Times New Roman" w:hAnsi="Calibri" w:cs="Calibri"/>
                <w:color w:val="auto"/>
                <w:sz w:val="18"/>
                <w:szCs w:val="18"/>
                <w:lang w:val="sr-Cyrl-CS" w:eastAsia="sr-Cyrl-RS"/>
              </w:rPr>
              <w:t>”</w:t>
            </w:r>
            <w:r w:rsidR="00187838" w:rsidRPr="007E770D">
              <w:rPr>
                <w:rFonts w:ascii="Calibri" w:eastAsia="Times New Roman" w:hAnsi="Calibri" w:cs="Calibri"/>
                <w:color w:val="auto"/>
                <w:sz w:val="18"/>
                <w:szCs w:val="18"/>
                <w:lang w:val="sr-Cyrl-CS" w:eastAsia="sr-Cyrl-RS"/>
              </w:rPr>
              <w:t xml:space="preserve"> д.о.о.</w:t>
            </w:r>
          </w:p>
        </w:tc>
        <w:tc>
          <w:tcPr>
            <w:tcW w:w="2167" w:type="dxa"/>
            <w:tcBorders>
              <w:top w:val="nil"/>
              <w:left w:val="nil"/>
              <w:bottom w:val="nil"/>
              <w:right w:val="nil"/>
            </w:tcBorders>
            <w:shd w:val="clear" w:color="auto" w:fill="auto"/>
            <w:noWrap/>
            <w:vAlign w:val="center"/>
            <w:hideMark/>
          </w:tcPr>
          <w:p w14:paraId="29E6ABA7"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3,3</w:t>
            </w:r>
          </w:p>
        </w:tc>
      </w:tr>
      <w:tr w:rsidR="007E770D" w:rsidRPr="007E770D" w14:paraId="05648299" w14:textId="77777777" w:rsidTr="00E4657F">
        <w:trPr>
          <w:trHeight w:val="20"/>
        </w:trPr>
        <w:tc>
          <w:tcPr>
            <w:tcW w:w="7656" w:type="dxa"/>
            <w:tcBorders>
              <w:top w:val="nil"/>
              <w:left w:val="nil"/>
              <w:bottom w:val="nil"/>
              <w:right w:val="nil"/>
            </w:tcBorders>
            <w:shd w:val="clear" w:color="auto" w:fill="auto"/>
            <w:noWrap/>
            <w:vAlign w:val="center"/>
            <w:hideMark/>
          </w:tcPr>
          <w:p w14:paraId="5B78B2B0" w14:textId="1AD3805F"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 xml:space="preserve">ЈП </w:t>
            </w:r>
            <w:r w:rsidR="00342910">
              <w:rPr>
                <w:rFonts w:ascii="Calibri" w:eastAsia="Times New Roman" w:hAnsi="Calibri" w:cs="Calibri"/>
                <w:color w:val="auto"/>
                <w:sz w:val="18"/>
                <w:szCs w:val="18"/>
                <w:lang w:val="sr-Cyrl-CS" w:eastAsia="sr-Cyrl-RS"/>
              </w:rPr>
              <w:t>„</w:t>
            </w:r>
            <w:r w:rsidRPr="007E770D">
              <w:rPr>
                <w:rFonts w:ascii="Calibri" w:eastAsia="Times New Roman" w:hAnsi="Calibri" w:cs="Calibri"/>
                <w:color w:val="auto"/>
                <w:sz w:val="18"/>
                <w:szCs w:val="18"/>
                <w:lang w:val="sr-Cyrl-CS" w:eastAsia="sr-Cyrl-RS"/>
              </w:rPr>
              <w:t>Емисиона техника и везе</w:t>
            </w:r>
            <w:r w:rsidR="00342910">
              <w:rPr>
                <w:rFonts w:ascii="Calibri" w:eastAsia="Times New Roman" w:hAnsi="Calibri" w:cs="Calibri"/>
                <w:color w:val="auto"/>
                <w:sz w:val="18"/>
                <w:szCs w:val="18"/>
                <w:lang w:val="sr-Cyrl-CS" w:eastAsia="sr-Cyrl-RS"/>
              </w:rPr>
              <w:t>”</w:t>
            </w:r>
          </w:p>
        </w:tc>
        <w:tc>
          <w:tcPr>
            <w:tcW w:w="2167" w:type="dxa"/>
            <w:tcBorders>
              <w:top w:val="nil"/>
              <w:left w:val="nil"/>
              <w:bottom w:val="nil"/>
              <w:right w:val="nil"/>
            </w:tcBorders>
            <w:shd w:val="clear" w:color="auto" w:fill="auto"/>
            <w:noWrap/>
            <w:vAlign w:val="center"/>
            <w:hideMark/>
          </w:tcPr>
          <w:p w14:paraId="406BDF5B"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11,2</w:t>
            </w:r>
          </w:p>
        </w:tc>
      </w:tr>
      <w:tr w:rsidR="007E770D" w:rsidRPr="007E770D" w14:paraId="1E5CB278" w14:textId="77777777" w:rsidTr="00E4657F">
        <w:trPr>
          <w:trHeight w:val="20"/>
        </w:trPr>
        <w:tc>
          <w:tcPr>
            <w:tcW w:w="7656" w:type="dxa"/>
            <w:tcBorders>
              <w:top w:val="nil"/>
              <w:left w:val="nil"/>
              <w:bottom w:val="single" w:sz="8" w:space="0" w:color="002060"/>
              <w:right w:val="nil"/>
            </w:tcBorders>
            <w:shd w:val="clear" w:color="auto" w:fill="auto"/>
            <w:noWrap/>
            <w:vAlign w:val="center"/>
            <w:hideMark/>
          </w:tcPr>
          <w:p w14:paraId="7BF2E791"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УКУПНО</w:t>
            </w:r>
          </w:p>
        </w:tc>
        <w:tc>
          <w:tcPr>
            <w:tcW w:w="2167" w:type="dxa"/>
            <w:tcBorders>
              <w:top w:val="nil"/>
              <w:left w:val="nil"/>
              <w:bottom w:val="single" w:sz="8" w:space="0" w:color="002060"/>
              <w:right w:val="nil"/>
            </w:tcBorders>
            <w:shd w:val="clear" w:color="auto" w:fill="auto"/>
            <w:noWrap/>
            <w:vAlign w:val="center"/>
            <w:hideMark/>
          </w:tcPr>
          <w:p w14:paraId="30AAAA86"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 xml:space="preserve">1.527,3 </w:t>
            </w:r>
          </w:p>
        </w:tc>
      </w:tr>
    </w:tbl>
    <w:p w14:paraId="65376CA0" w14:textId="77777777" w:rsidR="00187838" w:rsidRPr="007E770D" w:rsidRDefault="00187838" w:rsidP="00E4657F">
      <w:pPr>
        <w:spacing w:before="40" w:after="120" w:line="276" w:lineRule="auto"/>
        <w:rPr>
          <w:rFonts w:eastAsia="MS PGothic" w:cstheme="minorHAnsi"/>
          <w:color w:val="auto"/>
          <w:sz w:val="16"/>
          <w:lang w:val="sr-Cyrl-CS" w:eastAsia="ja-JP"/>
        </w:rPr>
      </w:pPr>
      <w:r w:rsidRPr="007E770D">
        <w:rPr>
          <w:rFonts w:eastAsia="MS PGothic" w:cstheme="minorHAnsi"/>
          <w:color w:val="auto"/>
          <w:sz w:val="16"/>
          <w:lang w:val="sr-Cyrl-CS" w:eastAsia="ja-JP"/>
        </w:rPr>
        <w:t>Извор: Министарство финансија, Управа за јавни дуг</w:t>
      </w:r>
    </w:p>
    <w:p w14:paraId="1A4F1776" w14:textId="77777777" w:rsidR="00187838" w:rsidRPr="007E770D" w:rsidRDefault="00187838" w:rsidP="00E4657F">
      <w:pPr>
        <w:spacing w:after="120" w:line="276" w:lineRule="auto"/>
        <w:rPr>
          <w:rFonts w:eastAsia="MS PGothic" w:cstheme="minorHAnsi"/>
          <w:b/>
          <w:color w:val="auto"/>
          <w:lang w:val="sr-Cyrl-CS" w:eastAsia="ja-JP"/>
        </w:rPr>
        <w:sectPr w:rsidR="00187838" w:rsidRPr="007E770D" w:rsidSect="00BA4876">
          <w:type w:val="continuous"/>
          <w:pgSz w:w="12240" w:h="15840"/>
          <w:pgMar w:top="1440" w:right="1440" w:bottom="1440" w:left="1440" w:header="720" w:footer="720" w:gutter="0"/>
          <w:cols w:space="720"/>
          <w:docGrid w:linePitch="360"/>
        </w:sectPr>
      </w:pPr>
    </w:p>
    <w:p w14:paraId="6743BB78" w14:textId="77777777" w:rsidR="00187838" w:rsidRPr="007E770D" w:rsidRDefault="00187838" w:rsidP="00E4657F">
      <w:pPr>
        <w:spacing w:after="0" w:line="276" w:lineRule="auto"/>
        <w:rPr>
          <w:rFonts w:eastAsia="Calibri" w:cstheme="minorHAnsi"/>
          <w:color w:val="auto"/>
          <w:sz w:val="16"/>
          <w:szCs w:val="20"/>
          <w:lang w:val="sr-Cyrl-CS" w:eastAsia="ja-JP"/>
        </w:rPr>
      </w:pPr>
    </w:p>
    <w:p w14:paraId="2C7BCDE0" w14:textId="77777777" w:rsidR="00187838" w:rsidRPr="007E770D" w:rsidRDefault="00187838" w:rsidP="00E4657F">
      <w:pPr>
        <w:spacing w:after="120" w:line="276" w:lineRule="auto"/>
        <w:rPr>
          <w:rFonts w:eastAsia="MS PGothic" w:cstheme="minorHAnsi"/>
          <w:color w:val="auto"/>
          <w:lang w:val="sr-Cyrl-CS" w:eastAsia="ja-JP"/>
        </w:rPr>
      </w:pPr>
      <w:r w:rsidRPr="007E770D">
        <w:rPr>
          <w:rFonts w:eastAsia="Calibri" w:cstheme="minorHAnsi"/>
          <w:color w:val="auto"/>
          <w:szCs w:val="20"/>
          <w:lang w:val="sr-Cyrl-CS" w:eastAsia="ja-JP"/>
        </w:rPr>
        <w:t>Укупна отплата главнице по основу гарантованих кредита у 2018. години износила је 23,6 млрд динара. Рачуноводствена методологија, до 2014. године, није у расходе</w:t>
      </w:r>
      <w:r w:rsidRPr="007E770D">
        <w:rPr>
          <w:rFonts w:eastAsia="MS PGothic" w:cstheme="minorHAnsi"/>
          <w:color w:val="auto"/>
          <w:lang w:val="sr-Cyrl-CS" w:eastAsia="ja-JP"/>
        </w:rPr>
        <w:t xml:space="preserve"> укључивала отплате по основу гаранција</w:t>
      </w:r>
      <w:r w:rsidRPr="007E770D">
        <w:rPr>
          <w:rFonts w:eastAsia="MS PGothic" w:cstheme="minorHAnsi"/>
          <w:color w:val="auto"/>
          <w:vertAlign w:val="superscript"/>
          <w:lang w:val="sr-Cyrl-CS" w:eastAsia="ja-JP"/>
        </w:rPr>
        <w:footnoteReference w:id="14"/>
      </w:r>
      <w:r w:rsidRPr="007E770D">
        <w:rPr>
          <w:rFonts w:eastAsia="MS PGothic" w:cstheme="minorHAnsi"/>
          <w:color w:val="auto"/>
          <w:lang w:val="sr-Cyrl-CS" w:eastAsia="ja-JP"/>
        </w:rPr>
        <w:t>. Од 2014. године део ових расхода је укључен у расходе буџета</w:t>
      </w:r>
      <w:r w:rsidRPr="007E770D">
        <w:rPr>
          <w:rFonts w:eastAsia="MS PGothic" w:cstheme="minorHAnsi"/>
          <w:color w:val="auto"/>
          <w:vertAlign w:val="superscript"/>
          <w:lang w:val="sr-Cyrl-CS" w:eastAsia="ja-JP"/>
        </w:rPr>
        <w:footnoteReference w:id="15"/>
      </w:r>
      <w:r w:rsidRPr="007E770D">
        <w:rPr>
          <w:rFonts w:eastAsia="MS PGothic" w:cstheme="minorHAnsi"/>
          <w:color w:val="auto"/>
          <w:lang w:val="sr-Cyrl-CS" w:eastAsia="ja-JP"/>
        </w:rPr>
        <w:t>. Независно од буџетског и рачуноводственог приказа, дуг који уместо главног дужника плаћа држава повећава укупне потребе за задуживањем.</w:t>
      </w:r>
    </w:p>
    <w:p w14:paraId="2495D7B4" w14:textId="77777777" w:rsidR="00187838" w:rsidRPr="007E770D" w:rsidRDefault="00187838" w:rsidP="00E4657F">
      <w:pPr>
        <w:spacing w:after="0" w:line="276" w:lineRule="auto"/>
        <w:jc w:val="center"/>
        <w:rPr>
          <w:rFonts w:cstheme="minorHAnsi"/>
          <w:b/>
          <w:color w:val="auto"/>
          <w:sz w:val="16"/>
          <w:lang w:val="sr-Cyrl-CS"/>
        </w:rPr>
      </w:pPr>
      <w:r w:rsidRPr="007E770D">
        <w:rPr>
          <w:rFonts w:cstheme="minorHAnsi"/>
          <w:b/>
          <w:color w:val="auto"/>
          <w:lang w:val="sr-Cyrl-CS"/>
        </w:rPr>
        <w:br w:type="column"/>
      </w:r>
    </w:p>
    <w:p w14:paraId="2380D940" w14:textId="77777777" w:rsidR="00187838" w:rsidRPr="007E770D" w:rsidRDefault="00187838" w:rsidP="00E4657F">
      <w:pPr>
        <w:spacing w:after="60" w:line="276" w:lineRule="auto"/>
        <w:jc w:val="center"/>
        <w:rPr>
          <w:rFonts w:cstheme="minorHAnsi"/>
          <w:b/>
          <w:color w:val="auto"/>
          <w:lang w:val="sr-Cyrl-CS"/>
        </w:rPr>
      </w:pPr>
      <w:r w:rsidRPr="007E770D">
        <w:rPr>
          <w:rFonts w:cstheme="minorHAnsi"/>
          <w:b/>
          <w:color w:val="auto"/>
          <w:lang w:val="sr-Cyrl-CS"/>
        </w:rPr>
        <w:t>Отплата дуга по основу активираних гаранција, млрд динара</w:t>
      </w:r>
    </w:p>
    <w:p w14:paraId="211B4352" w14:textId="77777777" w:rsidR="00187838" w:rsidRPr="007E770D" w:rsidRDefault="00187838" w:rsidP="00E4657F">
      <w:pPr>
        <w:spacing w:after="120" w:line="276" w:lineRule="auto"/>
        <w:jc w:val="center"/>
        <w:rPr>
          <w:rFonts w:cstheme="minorHAnsi"/>
          <w:b/>
          <w:color w:val="auto"/>
          <w:lang w:val="sr-Cyrl-CS"/>
        </w:rPr>
      </w:pPr>
      <w:r w:rsidRPr="007E770D">
        <w:rPr>
          <w:rFonts w:cstheme="minorHAnsi"/>
          <w:b/>
          <w:noProof/>
          <w:color w:val="auto"/>
        </w:rPr>
        <w:drawing>
          <wp:inline distT="0" distB="0" distL="0" distR="0" wp14:anchorId="24F34044" wp14:editId="22F53A23">
            <wp:extent cx="3000375" cy="2533650"/>
            <wp:effectExtent l="0" t="0" r="952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3013483" cy="2544719"/>
                    </a:xfrm>
                    <a:prstGeom prst="rect">
                      <a:avLst/>
                    </a:prstGeom>
                    <a:noFill/>
                  </pic:spPr>
                </pic:pic>
              </a:graphicData>
            </a:graphic>
          </wp:inline>
        </w:drawing>
      </w:r>
    </w:p>
    <w:p w14:paraId="2DF256D0" w14:textId="77777777" w:rsidR="00187838" w:rsidRPr="007E770D" w:rsidRDefault="00187838" w:rsidP="00E4657F">
      <w:pPr>
        <w:spacing w:line="276" w:lineRule="auto"/>
        <w:rPr>
          <w:rFonts w:eastAsia="MS PGothic" w:cstheme="minorHAnsi"/>
          <w:color w:val="auto"/>
          <w:lang w:val="sr-Cyrl-CS" w:eastAsia="ja-JP"/>
        </w:rPr>
        <w:sectPr w:rsidR="00187838" w:rsidRPr="007E770D" w:rsidSect="00E4657F">
          <w:type w:val="continuous"/>
          <w:pgSz w:w="12240" w:h="15840"/>
          <w:pgMar w:top="1440" w:right="1440" w:bottom="1440" w:left="1440" w:header="720" w:footer="720" w:gutter="0"/>
          <w:cols w:num="2" w:space="720"/>
          <w:docGrid w:linePitch="360"/>
          <w15:footnoteColumns w:val="1"/>
        </w:sectPr>
      </w:pPr>
    </w:p>
    <w:p w14:paraId="44F941FA" w14:textId="77777777" w:rsidR="00187838" w:rsidRPr="007E770D" w:rsidRDefault="00187838" w:rsidP="00E4657F">
      <w:pPr>
        <w:rPr>
          <w:rFonts w:eastAsia="Times New Roman" w:cstheme="minorHAnsi"/>
          <w:b/>
          <w:bCs/>
          <w:color w:val="auto"/>
          <w:lang w:val="sr-Cyrl-CS" w:eastAsia="ja-JP"/>
        </w:rPr>
      </w:pPr>
    </w:p>
    <w:p w14:paraId="2964FA8C" w14:textId="77777777" w:rsidR="00187838" w:rsidRPr="007E770D" w:rsidRDefault="00187838" w:rsidP="00E4657F">
      <w:pPr>
        <w:jc w:val="center"/>
        <w:rPr>
          <w:rFonts w:eastAsia="Times New Roman" w:cstheme="minorHAnsi"/>
          <w:b/>
          <w:bCs/>
          <w:color w:val="auto"/>
          <w:lang w:val="sr-Cyrl-CS" w:eastAsia="ja-JP"/>
        </w:rPr>
      </w:pPr>
    </w:p>
    <w:p w14:paraId="21ECA7D3" w14:textId="77777777" w:rsidR="00187838" w:rsidRPr="007E770D" w:rsidRDefault="00187838" w:rsidP="00E4657F">
      <w:pPr>
        <w:jc w:val="center"/>
        <w:rPr>
          <w:rFonts w:eastAsia="Times New Roman" w:cstheme="minorHAnsi"/>
          <w:b/>
          <w:bCs/>
          <w:color w:val="auto"/>
          <w:lang w:val="sr-Cyrl-CS" w:eastAsia="ja-JP"/>
        </w:rPr>
      </w:pPr>
      <w:r w:rsidRPr="007E770D">
        <w:rPr>
          <w:rFonts w:eastAsia="Times New Roman" w:cstheme="minorHAnsi"/>
          <w:b/>
          <w:bCs/>
          <w:color w:val="auto"/>
          <w:lang w:val="sr-Cyrl-CS" w:eastAsia="ja-JP"/>
        </w:rPr>
        <w:lastRenderedPageBreak/>
        <w:t>Табела 13. Укупно плаћене обавезе по основу гаранција по корисницима, млрд динара</w:t>
      </w:r>
    </w:p>
    <w:tbl>
      <w:tblPr>
        <w:tblW w:w="9600" w:type="dxa"/>
        <w:tblLayout w:type="fixed"/>
        <w:tblLook w:val="04A0" w:firstRow="1" w:lastRow="0" w:firstColumn="1" w:lastColumn="0" w:noHBand="0" w:noVBand="1"/>
      </w:tblPr>
      <w:tblGrid>
        <w:gridCol w:w="2127"/>
        <w:gridCol w:w="1228"/>
        <w:gridCol w:w="1228"/>
        <w:gridCol w:w="1229"/>
        <w:gridCol w:w="1262"/>
        <w:gridCol w:w="1263"/>
        <w:gridCol w:w="1263"/>
      </w:tblGrid>
      <w:tr w:rsidR="007E770D" w:rsidRPr="007E770D" w14:paraId="64E70A5E" w14:textId="77777777" w:rsidTr="00E4657F">
        <w:trPr>
          <w:trHeight w:val="234"/>
        </w:trPr>
        <w:tc>
          <w:tcPr>
            <w:tcW w:w="2127" w:type="dxa"/>
            <w:tcBorders>
              <w:top w:val="single" w:sz="8" w:space="0" w:color="002060"/>
              <w:left w:val="nil"/>
              <w:bottom w:val="single" w:sz="8" w:space="0" w:color="FFFFFF"/>
              <w:right w:val="nil"/>
            </w:tcBorders>
            <w:shd w:val="clear" w:color="auto" w:fill="auto"/>
            <w:noWrap/>
            <w:vAlign w:val="center"/>
            <w:hideMark/>
          </w:tcPr>
          <w:p w14:paraId="0EEF10C3"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 </w:t>
            </w:r>
          </w:p>
        </w:tc>
        <w:tc>
          <w:tcPr>
            <w:tcW w:w="3685" w:type="dxa"/>
            <w:gridSpan w:val="3"/>
            <w:tcBorders>
              <w:top w:val="single" w:sz="8" w:space="0" w:color="002060"/>
              <w:left w:val="nil"/>
              <w:bottom w:val="single" w:sz="8" w:space="0" w:color="002060"/>
              <w:right w:val="nil"/>
            </w:tcBorders>
            <w:shd w:val="clear" w:color="auto" w:fill="auto"/>
            <w:noWrap/>
            <w:vAlign w:val="center"/>
            <w:hideMark/>
          </w:tcPr>
          <w:p w14:paraId="0462CAC8"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2018</w:t>
            </w:r>
          </w:p>
        </w:tc>
        <w:tc>
          <w:tcPr>
            <w:tcW w:w="3788" w:type="dxa"/>
            <w:gridSpan w:val="3"/>
            <w:tcBorders>
              <w:top w:val="single" w:sz="8" w:space="0" w:color="002060"/>
              <w:left w:val="nil"/>
              <w:bottom w:val="single" w:sz="8" w:space="0" w:color="002060"/>
              <w:right w:val="nil"/>
            </w:tcBorders>
            <w:shd w:val="clear" w:color="auto" w:fill="auto"/>
            <w:noWrap/>
            <w:vAlign w:val="center"/>
            <w:hideMark/>
          </w:tcPr>
          <w:p w14:paraId="5D0A0823"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2019 (до 30.06.)</w:t>
            </w:r>
          </w:p>
        </w:tc>
      </w:tr>
      <w:tr w:rsidR="007E770D" w:rsidRPr="007E770D" w14:paraId="14F7EF23" w14:textId="77777777" w:rsidTr="00E4657F">
        <w:trPr>
          <w:trHeight w:val="234"/>
        </w:trPr>
        <w:tc>
          <w:tcPr>
            <w:tcW w:w="2127" w:type="dxa"/>
            <w:tcBorders>
              <w:top w:val="nil"/>
              <w:left w:val="nil"/>
              <w:bottom w:val="single" w:sz="8" w:space="0" w:color="002060"/>
              <w:right w:val="nil"/>
            </w:tcBorders>
            <w:shd w:val="clear" w:color="auto" w:fill="auto"/>
            <w:noWrap/>
            <w:vAlign w:val="center"/>
            <w:hideMark/>
          </w:tcPr>
          <w:p w14:paraId="0E85A852"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Корисник</w:t>
            </w:r>
          </w:p>
        </w:tc>
        <w:tc>
          <w:tcPr>
            <w:tcW w:w="1228" w:type="dxa"/>
            <w:tcBorders>
              <w:top w:val="nil"/>
              <w:left w:val="nil"/>
              <w:bottom w:val="single" w:sz="8" w:space="0" w:color="002060"/>
              <w:right w:val="nil"/>
            </w:tcBorders>
            <w:shd w:val="clear" w:color="auto" w:fill="auto"/>
            <w:noWrap/>
            <w:vAlign w:val="center"/>
            <w:hideMark/>
          </w:tcPr>
          <w:p w14:paraId="3897020B"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Главница</w:t>
            </w:r>
          </w:p>
        </w:tc>
        <w:tc>
          <w:tcPr>
            <w:tcW w:w="1228" w:type="dxa"/>
            <w:tcBorders>
              <w:top w:val="nil"/>
              <w:left w:val="nil"/>
              <w:bottom w:val="single" w:sz="8" w:space="0" w:color="002060"/>
              <w:right w:val="nil"/>
            </w:tcBorders>
            <w:shd w:val="clear" w:color="auto" w:fill="auto"/>
            <w:noWrap/>
            <w:vAlign w:val="center"/>
            <w:hideMark/>
          </w:tcPr>
          <w:p w14:paraId="143638F0"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Камата</w:t>
            </w:r>
          </w:p>
        </w:tc>
        <w:tc>
          <w:tcPr>
            <w:tcW w:w="1229" w:type="dxa"/>
            <w:tcBorders>
              <w:top w:val="nil"/>
              <w:left w:val="nil"/>
              <w:bottom w:val="single" w:sz="8" w:space="0" w:color="002060"/>
              <w:right w:val="nil"/>
            </w:tcBorders>
            <w:shd w:val="clear" w:color="auto" w:fill="auto"/>
            <w:noWrap/>
            <w:vAlign w:val="center"/>
            <w:hideMark/>
          </w:tcPr>
          <w:p w14:paraId="7F3319F6"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Укупно</w:t>
            </w:r>
          </w:p>
        </w:tc>
        <w:tc>
          <w:tcPr>
            <w:tcW w:w="1262" w:type="dxa"/>
            <w:tcBorders>
              <w:top w:val="nil"/>
              <w:left w:val="nil"/>
              <w:bottom w:val="single" w:sz="8" w:space="0" w:color="002060"/>
              <w:right w:val="nil"/>
            </w:tcBorders>
            <w:shd w:val="clear" w:color="auto" w:fill="auto"/>
            <w:noWrap/>
            <w:vAlign w:val="center"/>
            <w:hideMark/>
          </w:tcPr>
          <w:p w14:paraId="6677FD35"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Главница</w:t>
            </w:r>
          </w:p>
        </w:tc>
        <w:tc>
          <w:tcPr>
            <w:tcW w:w="1263" w:type="dxa"/>
            <w:tcBorders>
              <w:top w:val="nil"/>
              <w:left w:val="nil"/>
              <w:bottom w:val="single" w:sz="8" w:space="0" w:color="002060"/>
              <w:right w:val="nil"/>
            </w:tcBorders>
            <w:shd w:val="clear" w:color="auto" w:fill="auto"/>
            <w:noWrap/>
            <w:vAlign w:val="center"/>
            <w:hideMark/>
          </w:tcPr>
          <w:p w14:paraId="2439CA6C"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Камата</w:t>
            </w:r>
          </w:p>
        </w:tc>
        <w:tc>
          <w:tcPr>
            <w:tcW w:w="1263" w:type="dxa"/>
            <w:tcBorders>
              <w:top w:val="nil"/>
              <w:left w:val="nil"/>
              <w:bottom w:val="single" w:sz="8" w:space="0" w:color="002060"/>
              <w:right w:val="nil"/>
            </w:tcBorders>
            <w:shd w:val="clear" w:color="auto" w:fill="auto"/>
            <w:noWrap/>
            <w:vAlign w:val="center"/>
            <w:hideMark/>
          </w:tcPr>
          <w:p w14:paraId="581767DA"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Укупно</w:t>
            </w:r>
          </w:p>
        </w:tc>
      </w:tr>
      <w:tr w:rsidR="007E770D" w:rsidRPr="007E770D" w14:paraId="36468C83" w14:textId="77777777" w:rsidTr="00E4657F">
        <w:trPr>
          <w:trHeight w:val="278"/>
        </w:trPr>
        <w:tc>
          <w:tcPr>
            <w:tcW w:w="2127" w:type="dxa"/>
            <w:tcBorders>
              <w:top w:val="nil"/>
              <w:left w:val="nil"/>
              <w:bottom w:val="nil"/>
              <w:right w:val="nil"/>
            </w:tcBorders>
            <w:shd w:val="clear" w:color="auto" w:fill="auto"/>
            <w:noWrap/>
            <w:vAlign w:val="center"/>
            <w:hideMark/>
          </w:tcPr>
          <w:p w14:paraId="069DDC7F" w14:textId="470E581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 xml:space="preserve">ЈП </w:t>
            </w:r>
            <w:r w:rsidR="00342910">
              <w:rPr>
                <w:rFonts w:ascii="Calibri" w:eastAsia="Times New Roman" w:hAnsi="Calibri" w:cs="Calibri"/>
                <w:color w:val="auto"/>
                <w:sz w:val="18"/>
                <w:szCs w:val="18"/>
                <w:lang w:val="sr-Cyrl-CS" w:eastAsia="sr-Cyrl-RS"/>
              </w:rPr>
              <w:t>„</w:t>
            </w:r>
            <w:r w:rsidRPr="007E770D">
              <w:rPr>
                <w:rFonts w:ascii="Calibri" w:eastAsia="Times New Roman" w:hAnsi="Calibri" w:cs="Calibri"/>
                <w:color w:val="auto"/>
                <w:sz w:val="18"/>
                <w:szCs w:val="18"/>
                <w:lang w:val="sr-Cyrl-CS" w:eastAsia="sr-Cyrl-RS"/>
              </w:rPr>
              <w:t>Србијагас</w:t>
            </w:r>
            <w:r w:rsidR="00342910">
              <w:rPr>
                <w:rFonts w:ascii="Calibri" w:eastAsia="Times New Roman" w:hAnsi="Calibri" w:cs="Calibri"/>
                <w:color w:val="auto"/>
                <w:sz w:val="18"/>
                <w:szCs w:val="18"/>
                <w:lang w:val="sr-Cyrl-CS" w:eastAsia="sr-Cyrl-RS"/>
              </w:rPr>
              <w:t>”</w:t>
            </w:r>
            <w:r w:rsidRPr="007E770D">
              <w:rPr>
                <w:rFonts w:ascii="Calibri" w:eastAsia="Times New Roman" w:hAnsi="Calibri" w:cs="Calibri"/>
                <w:color w:val="auto"/>
                <w:sz w:val="18"/>
                <w:szCs w:val="18"/>
                <w:lang w:val="sr-Cyrl-CS" w:eastAsia="sr-Cyrl-RS"/>
              </w:rPr>
              <w:t xml:space="preserve"> </w:t>
            </w:r>
          </w:p>
        </w:tc>
        <w:tc>
          <w:tcPr>
            <w:tcW w:w="1228" w:type="dxa"/>
            <w:tcBorders>
              <w:top w:val="nil"/>
              <w:left w:val="nil"/>
              <w:bottom w:val="nil"/>
              <w:right w:val="nil"/>
            </w:tcBorders>
            <w:shd w:val="clear" w:color="auto" w:fill="auto"/>
            <w:noWrap/>
            <w:vAlign w:val="center"/>
            <w:hideMark/>
          </w:tcPr>
          <w:p w14:paraId="7120B240"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13,6</w:t>
            </w:r>
          </w:p>
        </w:tc>
        <w:tc>
          <w:tcPr>
            <w:tcW w:w="1228" w:type="dxa"/>
            <w:tcBorders>
              <w:top w:val="nil"/>
              <w:left w:val="nil"/>
              <w:bottom w:val="nil"/>
              <w:right w:val="nil"/>
            </w:tcBorders>
            <w:shd w:val="clear" w:color="auto" w:fill="auto"/>
            <w:noWrap/>
            <w:vAlign w:val="center"/>
            <w:hideMark/>
          </w:tcPr>
          <w:p w14:paraId="0E633159"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0,3</w:t>
            </w:r>
          </w:p>
        </w:tc>
        <w:tc>
          <w:tcPr>
            <w:tcW w:w="1229" w:type="dxa"/>
            <w:tcBorders>
              <w:top w:val="nil"/>
              <w:left w:val="nil"/>
              <w:bottom w:val="nil"/>
              <w:right w:val="nil"/>
            </w:tcBorders>
            <w:shd w:val="clear" w:color="auto" w:fill="auto"/>
            <w:noWrap/>
            <w:vAlign w:val="center"/>
            <w:hideMark/>
          </w:tcPr>
          <w:p w14:paraId="0E68CC9F"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13,9</w:t>
            </w:r>
          </w:p>
        </w:tc>
        <w:tc>
          <w:tcPr>
            <w:tcW w:w="1262" w:type="dxa"/>
            <w:tcBorders>
              <w:top w:val="nil"/>
              <w:left w:val="nil"/>
              <w:bottom w:val="nil"/>
              <w:right w:val="nil"/>
            </w:tcBorders>
            <w:shd w:val="clear" w:color="auto" w:fill="auto"/>
            <w:noWrap/>
            <w:vAlign w:val="center"/>
            <w:hideMark/>
          </w:tcPr>
          <w:p w14:paraId="657EA675"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2,2</w:t>
            </w:r>
          </w:p>
        </w:tc>
        <w:tc>
          <w:tcPr>
            <w:tcW w:w="1263" w:type="dxa"/>
            <w:tcBorders>
              <w:top w:val="nil"/>
              <w:left w:val="nil"/>
              <w:bottom w:val="nil"/>
              <w:right w:val="nil"/>
            </w:tcBorders>
            <w:shd w:val="clear" w:color="auto" w:fill="auto"/>
            <w:noWrap/>
            <w:vAlign w:val="center"/>
            <w:hideMark/>
          </w:tcPr>
          <w:p w14:paraId="46C4C745"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0,0</w:t>
            </w:r>
          </w:p>
        </w:tc>
        <w:tc>
          <w:tcPr>
            <w:tcW w:w="1263" w:type="dxa"/>
            <w:tcBorders>
              <w:top w:val="nil"/>
              <w:left w:val="nil"/>
              <w:bottom w:val="nil"/>
              <w:right w:val="nil"/>
            </w:tcBorders>
            <w:shd w:val="clear" w:color="auto" w:fill="auto"/>
            <w:noWrap/>
            <w:vAlign w:val="center"/>
            <w:hideMark/>
          </w:tcPr>
          <w:p w14:paraId="061D8A12"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2,3</w:t>
            </w:r>
          </w:p>
        </w:tc>
      </w:tr>
      <w:tr w:rsidR="007E770D" w:rsidRPr="007E770D" w14:paraId="0E538AD0" w14:textId="77777777" w:rsidTr="00E4657F">
        <w:trPr>
          <w:trHeight w:val="278"/>
        </w:trPr>
        <w:tc>
          <w:tcPr>
            <w:tcW w:w="2127" w:type="dxa"/>
            <w:tcBorders>
              <w:top w:val="nil"/>
              <w:left w:val="nil"/>
              <w:bottom w:val="nil"/>
              <w:right w:val="nil"/>
            </w:tcBorders>
            <w:shd w:val="clear" w:color="auto" w:fill="auto"/>
            <w:noWrap/>
            <w:vAlign w:val="center"/>
            <w:hideMark/>
          </w:tcPr>
          <w:p w14:paraId="4B894B5D" w14:textId="3F30B955"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 xml:space="preserve">ЈП </w:t>
            </w:r>
            <w:r w:rsidR="00342910">
              <w:rPr>
                <w:rFonts w:ascii="Calibri" w:eastAsia="Times New Roman" w:hAnsi="Calibri" w:cs="Calibri"/>
                <w:color w:val="auto"/>
                <w:sz w:val="18"/>
                <w:szCs w:val="18"/>
                <w:lang w:val="sr-Cyrl-CS" w:eastAsia="sr-Cyrl-RS"/>
              </w:rPr>
              <w:t>„</w:t>
            </w:r>
            <w:r w:rsidRPr="007E770D">
              <w:rPr>
                <w:rFonts w:ascii="Calibri" w:eastAsia="Times New Roman" w:hAnsi="Calibri" w:cs="Calibri"/>
                <w:color w:val="auto"/>
                <w:sz w:val="18"/>
                <w:szCs w:val="18"/>
                <w:lang w:val="sr-Cyrl-CS" w:eastAsia="sr-Cyrl-RS"/>
              </w:rPr>
              <w:t>Путеви Србије</w:t>
            </w:r>
            <w:r w:rsidR="00342910">
              <w:rPr>
                <w:rFonts w:ascii="Calibri" w:eastAsia="Times New Roman" w:hAnsi="Calibri" w:cs="Calibri"/>
                <w:color w:val="auto"/>
                <w:sz w:val="18"/>
                <w:szCs w:val="18"/>
                <w:lang w:val="sr-Cyrl-CS" w:eastAsia="sr-Cyrl-RS"/>
              </w:rPr>
              <w:t>”</w:t>
            </w:r>
          </w:p>
        </w:tc>
        <w:tc>
          <w:tcPr>
            <w:tcW w:w="1228" w:type="dxa"/>
            <w:tcBorders>
              <w:top w:val="nil"/>
              <w:left w:val="nil"/>
              <w:bottom w:val="nil"/>
              <w:right w:val="nil"/>
            </w:tcBorders>
            <w:shd w:val="clear" w:color="auto" w:fill="auto"/>
            <w:noWrap/>
            <w:vAlign w:val="center"/>
            <w:hideMark/>
          </w:tcPr>
          <w:p w14:paraId="6D1D1D74"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3,9</w:t>
            </w:r>
          </w:p>
        </w:tc>
        <w:tc>
          <w:tcPr>
            <w:tcW w:w="1228" w:type="dxa"/>
            <w:tcBorders>
              <w:top w:val="nil"/>
              <w:left w:val="nil"/>
              <w:bottom w:val="nil"/>
              <w:right w:val="nil"/>
            </w:tcBorders>
            <w:shd w:val="clear" w:color="auto" w:fill="auto"/>
            <w:noWrap/>
            <w:vAlign w:val="center"/>
            <w:hideMark/>
          </w:tcPr>
          <w:p w14:paraId="10FFCFD9"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1,4</w:t>
            </w:r>
          </w:p>
        </w:tc>
        <w:tc>
          <w:tcPr>
            <w:tcW w:w="1229" w:type="dxa"/>
            <w:tcBorders>
              <w:top w:val="nil"/>
              <w:left w:val="nil"/>
              <w:bottom w:val="nil"/>
              <w:right w:val="nil"/>
            </w:tcBorders>
            <w:shd w:val="clear" w:color="auto" w:fill="auto"/>
            <w:noWrap/>
            <w:vAlign w:val="center"/>
            <w:hideMark/>
          </w:tcPr>
          <w:p w14:paraId="40D5701A"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5,3</w:t>
            </w:r>
          </w:p>
        </w:tc>
        <w:tc>
          <w:tcPr>
            <w:tcW w:w="1262" w:type="dxa"/>
            <w:tcBorders>
              <w:top w:val="nil"/>
              <w:left w:val="nil"/>
              <w:bottom w:val="nil"/>
              <w:right w:val="nil"/>
            </w:tcBorders>
            <w:shd w:val="clear" w:color="auto" w:fill="auto"/>
            <w:noWrap/>
            <w:vAlign w:val="center"/>
            <w:hideMark/>
          </w:tcPr>
          <w:p w14:paraId="573A7F18"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2,0</w:t>
            </w:r>
          </w:p>
        </w:tc>
        <w:tc>
          <w:tcPr>
            <w:tcW w:w="1263" w:type="dxa"/>
            <w:tcBorders>
              <w:top w:val="nil"/>
              <w:left w:val="nil"/>
              <w:bottom w:val="nil"/>
              <w:right w:val="nil"/>
            </w:tcBorders>
            <w:shd w:val="clear" w:color="auto" w:fill="auto"/>
            <w:noWrap/>
            <w:vAlign w:val="center"/>
            <w:hideMark/>
          </w:tcPr>
          <w:p w14:paraId="7A2A99E6"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0,7</w:t>
            </w:r>
          </w:p>
        </w:tc>
        <w:tc>
          <w:tcPr>
            <w:tcW w:w="1263" w:type="dxa"/>
            <w:tcBorders>
              <w:top w:val="nil"/>
              <w:left w:val="nil"/>
              <w:bottom w:val="nil"/>
              <w:right w:val="nil"/>
            </w:tcBorders>
            <w:shd w:val="clear" w:color="auto" w:fill="auto"/>
            <w:noWrap/>
            <w:vAlign w:val="center"/>
            <w:hideMark/>
          </w:tcPr>
          <w:p w14:paraId="4F5F191F"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2,7</w:t>
            </w:r>
          </w:p>
        </w:tc>
      </w:tr>
      <w:tr w:rsidR="007E770D" w:rsidRPr="007E770D" w14:paraId="4B9B89D8" w14:textId="77777777" w:rsidTr="00E4657F">
        <w:trPr>
          <w:trHeight w:val="278"/>
        </w:trPr>
        <w:tc>
          <w:tcPr>
            <w:tcW w:w="2127" w:type="dxa"/>
            <w:tcBorders>
              <w:top w:val="nil"/>
              <w:left w:val="nil"/>
              <w:bottom w:val="nil"/>
              <w:right w:val="nil"/>
            </w:tcBorders>
            <w:shd w:val="clear" w:color="auto" w:fill="auto"/>
            <w:noWrap/>
            <w:vAlign w:val="center"/>
            <w:hideMark/>
          </w:tcPr>
          <w:p w14:paraId="36010B28"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Железнице Србије а. д.</w:t>
            </w:r>
          </w:p>
        </w:tc>
        <w:tc>
          <w:tcPr>
            <w:tcW w:w="1228" w:type="dxa"/>
            <w:tcBorders>
              <w:top w:val="nil"/>
              <w:left w:val="nil"/>
              <w:bottom w:val="nil"/>
              <w:right w:val="nil"/>
            </w:tcBorders>
            <w:shd w:val="clear" w:color="auto" w:fill="auto"/>
            <w:noWrap/>
            <w:vAlign w:val="center"/>
            <w:hideMark/>
          </w:tcPr>
          <w:p w14:paraId="6115BCD8"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3,7</w:t>
            </w:r>
          </w:p>
        </w:tc>
        <w:tc>
          <w:tcPr>
            <w:tcW w:w="1228" w:type="dxa"/>
            <w:tcBorders>
              <w:top w:val="nil"/>
              <w:left w:val="nil"/>
              <w:bottom w:val="nil"/>
              <w:right w:val="nil"/>
            </w:tcBorders>
            <w:shd w:val="clear" w:color="auto" w:fill="auto"/>
            <w:noWrap/>
            <w:vAlign w:val="center"/>
            <w:hideMark/>
          </w:tcPr>
          <w:p w14:paraId="19FA96F8"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0,6</w:t>
            </w:r>
          </w:p>
        </w:tc>
        <w:tc>
          <w:tcPr>
            <w:tcW w:w="1229" w:type="dxa"/>
            <w:tcBorders>
              <w:top w:val="nil"/>
              <w:left w:val="nil"/>
              <w:bottom w:val="nil"/>
              <w:right w:val="nil"/>
            </w:tcBorders>
            <w:shd w:val="clear" w:color="auto" w:fill="auto"/>
            <w:noWrap/>
            <w:vAlign w:val="center"/>
            <w:hideMark/>
          </w:tcPr>
          <w:p w14:paraId="3D7E5C2B"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4,2</w:t>
            </w:r>
          </w:p>
        </w:tc>
        <w:tc>
          <w:tcPr>
            <w:tcW w:w="1262" w:type="dxa"/>
            <w:tcBorders>
              <w:top w:val="nil"/>
              <w:left w:val="nil"/>
              <w:bottom w:val="nil"/>
              <w:right w:val="nil"/>
            </w:tcBorders>
            <w:shd w:val="clear" w:color="auto" w:fill="auto"/>
            <w:noWrap/>
            <w:vAlign w:val="center"/>
            <w:hideMark/>
          </w:tcPr>
          <w:p w14:paraId="33A2C0AD"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2,3</w:t>
            </w:r>
          </w:p>
        </w:tc>
        <w:tc>
          <w:tcPr>
            <w:tcW w:w="1263" w:type="dxa"/>
            <w:tcBorders>
              <w:top w:val="nil"/>
              <w:left w:val="nil"/>
              <w:bottom w:val="nil"/>
              <w:right w:val="nil"/>
            </w:tcBorders>
            <w:shd w:val="clear" w:color="auto" w:fill="auto"/>
            <w:noWrap/>
            <w:vAlign w:val="center"/>
            <w:hideMark/>
          </w:tcPr>
          <w:p w14:paraId="05C68BA3"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0,3</w:t>
            </w:r>
          </w:p>
        </w:tc>
        <w:tc>
          <w:tcPr>
            <w:tcW w:w="1263" w:type="dxa"/>
            <w:tcBorders>
              <w:top w:val="nil"/>
              <w:left w:val="nil"/>
              <w:bottom w:val="nil"/>
              <w:right w:val="nil"/>
            </w:tcBorders>
            <w:shd w:val="clear" w:color="auto" w:fill="auto"/>
            <w:noWrap/>
            <w:vAlign w:val="center"/>
            <w:hideMark/>
          </w:tcPr>
          <w:p w14:paraId="2CE79713"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2,5</w:t>
            </w:r>
          </w:p>
        </w:tc>
      </w:tr>
      <w:tr w:rsidR="007E770D" w:rsidRPr="007E770D" w14:paraId="6D363F27" w14:textId="77777777" w:rsidTr="00E4657F">
        <w:trPr>
          <w:trHeight w:val="278"/>
        </w:trPr>
        <w:tc>
          <w:tcPr>
            <w:tcW w:w="2127" w:type="dxa"/>
            <w:tcBorders>
              <w:top w:val="nil"/>
              <w:left w:val="nil"/>
              <w:bottom w:val="nil"/>
              <w:right w:val="nil"/>
            </w:tcBorders>
            <w:shd w:val="clear" w:color="auto" w:fill="auto"/>
            <w:noWrap/>
            <w:vAlign w:val="center"/>
            <w:hideMark/>
          </w:tcPr>
          <w:p w14:paraId="29040A6C"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ЈАТ</w:t>
            </w:r>
          </w:p>
        </w:tc>
        <w:tc>
          <w:tcPr>
            <w:tcW w:w="1228" w:type="dxa"/>
            <w:tcBorders>
              <w:top w:val="nil"/>
              <w:left w:val="nil"/>
              <w:bottom w:val="nil"/>
              <w:right w:val="nil"/>
            </w:tcBorders>
            <w:shd w:val="clear" w:color="auto" w:fill="auto"/>
            <w:noWrap/>
            <w:vAlign w:val="center"/>
            <w:hideMark/>
          </w:tcPr>
          <w:p w14:paraId="1B109ABE"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1,2</w:t>
            </w:r>
          </w:p>
        </w:tc>
        <w:tc>
          <w:tcPr>
            <w:tcW w:w="1228" w:type="dxa"/>
            <w:tcBorders>
              <w:top w:val="nil"/>
              <w:left w:val="nil"/>
              <w:bottom w:val="nil"/>
              <w:right w:val="nil"/>
            </w:tcBorders>
            <w:shd w:val="clear" w:color="auto" w:fill="auto"/>
            <w:noWrap/>
            <w:vAlign w:val="center"/>
            <w:hideMark/>
          </w:tcPr>
          <w:p w14:paraId="670D25C4"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0,0</w:t>
            </w:r>
          </w:p>
        </w:tc>
        <w:tc>
          <w:tcPr>
            <w:tcW w:w="1229" w:type="dxa"/>
            <w:tcBorders>
              <w:top w:val="nil"/>
              <w:left w:val="nil"/>
              <w:bottom w:val="nil"/>
              <w:right w:val="nil"/>
            </w:tcBorders>
            <w:shd w:val="clear" w:color="auto" w:fill="auto"/>
            <w:noWrap/>
            <w:vAlign w:val="center"/>
            <w:hideMark/>
          </w:tcPr>
          <w:p w14:paraId="7E6EB9A0"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1,2</w:t>
            </w:r>
          </w:p>
        </w:tc>
        <w:tc>
          <w:tcPr>
            <w:tcW w:w="1262" w:type="dxa"/>
            <w:tcBorders>
              <w:top w:val="nil"/>
              <w:left w:val="nil"/>
              <w:bottom w:val="nil"/>
              <w:right w:val="nil"/>
            </w:tcBorders>
            <w:shd w:val="clear" w:color="auto" w:fill="auto"/>
            <w:noWrap/>
            <w:vAlign w:val="center"/>
            <w:hideMark/>
          </w:tcPr>
          <w:p w14:paraId="78D41EC4"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0,1</w:t>
            </w:r>
          </w:p>
        </w:tc>
        <w:tc>
          <w:tcPr>
            <w:tcW w:w="1263" w:type="dxa"/>
            <w:tcBorders>
              <w:top w:val="nil"/>
              <w:left w:val="nil"/>
              <w:bottom w:val="nil"/>
              <w:right w:val="nil"/>
            </w:tcBorders>
            <w:shd w:val="clear" w:color="auto" w:fill="auto"/>
            <w:noWrap/>
            <w:vAlign w:val="center"/>
            <w:hideMark/>
          </w:tcPr>
          <w:p w14:paraId="7CAD37EA"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0,0</w:t>
            </w:r>
          </w:p>
        </w:tc>
        <w:tc>
          <w:tcPr>
            <w:tcW w:w="1263" w:type="dxa"/>
            <w:tcBorders>
              <w:top w:val="nil"/>
              <w:left w:val="nil"/>
              <w:bottom w:val="nil"/>
              <w:right w:val="nil"/>
            </w:tcBorders>
            <w:shd w:val="clear" w:color="auto" w:fill="auto"/>
            <w:noWrap/>
            <w:vAlign w:val="center"/>
            <w:hideMark/>
          </w:tcPr>
          <w:p w14:paraId="1C470FCF"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0,1</w:t>
            </w:r>
          </w:p>
        </w:tc>
      </w:tr>
      <w:tr w:rsidR="007E770D" w:rsidRPr="007E770D" w14:paraId="28A0F7EB" w14:textId="77777777" w:rsidTr="00E4657F">
        <w:trPr>
          <w:trHeight w:val="278"/>
        </w:trPr>
        <w:tc>
          <w:tcPr>
            <w:tcW w:w="2127" w:type="dxa"/>
            <w:tcBorders>
              <w:top w:val="nil"/>
              <w:left w:val="nil"/>
              <w:bottom w:val="nil"/>
              <w:right w:val="nil"/>
            </w:tcBorders>
            <w:shd w:val="clear" w:color="auto" w:fill="auto"/>
            <w:noWrap/>
            <w:vAlign w:val="center"/>
            <w:hideMark/>
          </w:tcPr>
          <w:p w14:paraId="5521BBE5" w14:textId="5D78FCE4" w:rsidR="00187838" w:rsidRPr="007E770D" w:rsidRDefault="00342910" w:rsidP="00E4657F">
            <w:pPr>
              <w:spacing w:after="0" w:line="240" w:lineRule="auto"/>
              <w:rPr>
                <w:rFonts w:ascii="Calibri" w:eastAsia="Times New Roman" w:hAnsi="Calibri" w:cs="Calibri"/>
                <w:color w:val="auto"/>
                <w:sz w:val="18"/>
                <w:szCs w:val="18"/>
                <w:lang w:val="sr-Cyrl-CS" w:eastAsia="sr-Cyrl-RS"/>
              </w:rPr>
            </w:pPr>
            <w:r>
              <w:rPr>
                <w:rFonts w:ascii="Calibri" w:eastAsia="Times New Roman" w:hAnsi="Calibri" w:cs="Calibri"/>
                <w:color w:val="auto"/>
                <w:sz w:val="18"/>
                <w:szCs w:val="18"/>
                <w:lang w:val="sr-Cyrl-CS" w:eastAsia="sr-Cyrl-RS"/>
              </w:rPr>
              <w:t>„</w:t>
            </w:r>
            <w:r w:rsidR="00187838" w:rsidRPr="007E770D">
              <w:rPr>
                <w:rFonts w:ascii="Calibri" w:eastAsia="Times New Roman" w:hAnsi="Calibri" w:cs="Calibri"/>
                <w:color w:val="auto"/>
                <w:sz w:val="18"/>
                <w:szCs w:val="18"/>
                <w:lang w:val="sr-Cyrl-CS" w:eastAsia="sr-Cyrl-RS"/>
              </w:rPr>
              <w:t>Галеника</w:t>
            </w:r>
            <w:r>
              <w:rPr>
                <w:rFonts w:ascii="Calibri" w:eastAsia="Times New Roman" w:hAnsi="Calibri" w:cs="Calibri"/>
                <w:color w:val="auto"/>
                <w:sz w:val="18"/>
                <w:szCs w:val="18"/>
                <w:lang w:val="sr-Cyrl-CS" w:eastAsia="sr-Cyrl-RS"/>
              </w:rPr>
              <w:t>”</w:t>
            </w:r>
            <w:r w:rsidR="00187838" w:rsidRPr="007E770D">
              <w:rPr>
                <w:rFonts w:ascii="Calibri" w:eastAsia="Times New Roman" w:hAnsi="Calibri" w:cs="Calibri"/>
                <w:color w:val="auto"/>
                <w:sz w:val="18"/>
                <w:szCs w:val="18"/>
                <w:lang w:val="sr-Cyrl-CS" w:eastAsia="sr-Cyrl-RS"/>
              </w:rPr>
              <w:t xml:space="preserve"> а. д.</w:t>
            </w:r>
          </w:p>
        </w:tc>
        <w:tc>
          <w:tcPr>
            <w:tcW w:w="1228" w:type="dxa"/>
            <w:tcBorders>
              <w:top w:val="nil"/>
              <w:left w:val="nil"/>
              <w:bottom w:val="nil"/>
              <w:right w:val="nil"/>
            </w:tcBorders>
            <w:shd w:val="clear" w:color="auto" w:fill="auto"/>
            <w:noWrap/>
            <w:vAlign w:val="center"/>
            <w:hideMark/>
          </w:tcPr>
          <w:p w14:paraId="0A321C6F"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1,0</w:t>
            </w:r>
          </w:p>
        </w:tc>
        <w:tc>
          <w:tcPr>
            <w:tcW w:w="1228" w:type="dxa"/>
            <w:tcBorders>
              <w:top w:val="nil"/>
              <w:left w:val="nil"/>
              <w:bottom w:val="nil"/>
              <w:right w:val="nil"/>
            </w:tcBorders>
            <w:shd w:val="clear" w:color="auto" w:fill="auto"/>
            <w:noWrap/>
            <w:vAlign w:val="center"/>
            <w:hideMark/>
          </w:tcPr>
          <w:p w14:paraId="3F797271"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0,0</w:t>
            </w:r>
          </w:p>
        </w:tc>
        <w:tc>
          <w:tcPr>
            <w:tcW w:w="1229" w:type="dxa"/>
            <w:tcBorders>
              <w:top w:val="nil"/>
              <w:left w:val="nil"/>
              <w:bottom w:val="nil"/>
              <w:right w:val="nil"/>
            </w:tcBorders>
            <w:shd w:val="clear" w:color="auto" w:fill="auto"/>
            <w:noWrap/>
            <w:vAlign w:val="center"/>
            <w:hideMark/>
          </w:tcPr>
          <w:p w14:paraId="312821A8"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1,0</w:t>
            </w:r>
          </w:p>
        </w:tc>
        <w:tc>
          <w:tcPr>
            <w:tcW w:w="1262" w:type="dxa"/>
            <w:tcBorders>
              <w:top w:val="nil"/>
              <w:left w:val="nil"/>
              <w:bottom w:val="nil"/>
              <w:right w:val="nil"/>
            </w:tcBorders>
            <w:shd w:val="clear" w:color="auto" w:fill="auto"/>
            <w:noWrap/>
            <w:vAlign w:val="center"/>
            <w:hideMark/>
          </w:tcPr>
          <w:p w14:paraId="6BA0043E"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0,3</w:t>
            </w:r>
          </w:p>
        </w:tc>
        <w:tc>
          <w:tcPr>
            <w:tcW w:w="1263" w:type="dxa"/>
            <w:tcBorders>
              <w:top w:val="nil"/>
              <w:left w:val="nil"/>
              <w:bottom w:val="nil"/>
              <w:right w:val="nil"/>
            </w:tcBorders>
            <w:shd w:val="clear" w:color="auto" w:fill="auto"/>
            <w:noWrap/>
            <w:vAlign w:val="center"/>
            <w:hideMark/>
          </w:tcPr>
          <w:p w14:paraId="74CFB309"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0,0</w:t>
            </w:r>
          </w:p>
        </w:tc>
        <w:tc>
          <w:tcPr>
            <w:tcW w:w="1263" w:type="dxa"/>
            <w:tcBorders>
              <w:top w:val="nil"/>
              <w:left w:val="nil"/>
              <w:bottom w:val="nil"/>
              <w:right w:val="nil"/>
            </w:tcBorders>
            <w:shd w:val="clear" w:color="auto" w:fill="auto"/>
            <w:noWrap/>
            <w:vAlign w:val="center"/>
            <w:hideMark/>
          </w:tcPr>
          <w:p w14:paraId="5F144B7E"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0,3</w:t>
            </w:r>
          </w:p>
        </w:tc>
      </w:tr>
      <w:tr w:rsidR="007E770D" w:rsidRPr="007E770D" w14:paraId="61CE5C5F" w14:textId="77777777" w:rsidTr="00E4657F">
        <w:trPr>
          <w:trHeight w:val="278"/>
        </w:trPr>
        <w:tc>
          <w:tcPr>
            <w:tcW w:w="2127" w:type="dxa"/>
            <w:tcBorders>
              <w:top w:val="nil"/>
              <w:left w:val="nil"/>
              <w:bottom w:val="nil"/>
              <w:right w:val="nil"/>
            </w:tcBorders>
            <w:shd w:val="clear" w:color="auto" w:fill="auto"/>
            <w:noWrap/>
            <w:vAlign w:val="center"/>
            <w:hideMark/>
          </w:tcPr>
          <w:p w14:paraId="4253AF5D"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Други корисници</w:t>
            </w:r>
          </w:p>
        </w:tc>
        <w:tc>
          <w:tcPr>
            <w:tcW w:w="1228" w:type="dxa"/>
            <w:tcBorders>
              <w:top w:val="nil"/>
              <w:left w:val="nil"/>
              <w:bottom w:val="nil"/>
              <w:right w:val="nil"/>
            </w:tcBorders>
            <w:shd w:val="clear" w:color="auto" w:fill="auto"/>
            <w:noWrap/>
            <w:vAlign w:val="center"/>
            <w:hideMark/>
          </w:tcPr>
          <w:p w14:paraId="1F7B5715"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0,3</w:t>
            </w:r>
          </w:p>
        </w:tc>
        <w:tc>
          <w:tcPr>
            <w:tcW w:w="1228" w:type="dxa"/>
            <w:tcBorders>
              <w:top w:val="nil"/>
              <w:left w:val="nil"/>
              <w:bottom w:val="nil"/>
              <w:right w:val="nil"/>
            </w:tcBorders>
            <w:shd w:val="clear" w:color="auto" w:fill="auto"/>
            <w:noWrap/>
            <w:vAlign w:val="center"/>
            <w:hideMark/>
          </w:tcPr>
          <w:p w14:paraId="59C8815E"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0,0</w:t>
            </w:r>
          </w:p>
        </w:tc>
        <w:tc>
          <w:tcPr>
            <w:tcW w:w="1229" w:type="dxa"/>
            <w:tcBorders>
              <w:top w:val="nil"/>
              <w:left w:val="nil"/>
              <w:bottom w:val="nil"/>
              <w:right w:val="nil"/>
            </w:tcBorders>
            <w:shd w:val="clear" w:color="auto" w:fill="auto"/>
            <w:noWrap/>
            <w:vAlign w:val="center"/>
            <w:hideMark/>
          </w:tcPr>
          <w:p w14:paraId="7C17CA96"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0,3</w:t>
            </w:r>
          </w:p>
        </w:tc>
        <w:tc>
          <w:tcPr>
            <w:tcW w:w="1262" w:type="dxa"/>
            <w:tcBorders>
              <w:top w:val="nil"/>
              <w:left w:val="nil"/>
              <w:bottom w:val="nil"/>
              <w:right w:val="nil"/>
            </w:tcBorders>
            <w:shd w:val="clear" w:color="auto" w:fill="auto"/>
            <w:noWrap/>
            <w:vAlign w:val="center"/>
            <w:hideMark/>
          </w:tcPr>
          <w:p w14:paraId="37C3DBB9"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0,1</w:t>
            </w:r>
          </w:p>
        </w:tc>
        <w:tc>
          <w:tcPr>
            <w:tcW w:w="1263" w:type="dxa"/>
            <w:tcBorders>
              <w:top w:val="nil"/>
              <w:left w:val="nil"/>
              <w:bottom w:val="nil"/>
              <w:right w:val="nil"/>
            </w:tcBorders>
            <w:shd w:val="clear" w:color="auto" w:fill="auto"/>
            <w:noWrap/>
            <w:vAlign w:val="center"/>
            <w:hideMark/>
          </w:tcPr>
          <w:p w14:paraId="6FD10C2A"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0,0</w:t>
            </w:r>
          </w:p>
        </w:tc>
        <w:tc>
          <w:tcPr>
            <w:tcW w:w="1263" w:type="dxa"/>
            <w:tcBorders>
              <w:top w:val="nil"/>
              <w:left w:val="nil"/>
              <w:bottom w:val="nil"/>
              <w:right w:val="nil"/>
            </w:tcBorders>
            <w:shd w:val="clear" w:color="auto" w:fill="auto"/>
            <w:noWrap/>
            <w:vAlign w:val="center"/>
            <w:hideMark/>
          </w:tcPr>
          <w:p w14:paraId="41CC9DCB"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0,1</w:t>
            </w:r>
          </w:p>
        </w:tc>
      </w:tr>
      <w:tr w:rsidR="007E770D" w:rsidRPr="007E770D" w14:paraId="5E939F36" w14:textId="77777777" w:rsidTr="00E4657F">
        <w:trPr>
          <w:trHeight w:val="278"/>
        </w:trPr>
        <w:tc>
          <w:tcPr>
            <w:tcW w:w="2127" w:type="dxa"/>
            <w:tcBorders>
              <w:top w:val="nil"/>
              <w:left w:val="nil"/>
              <w:bottom w:val="single" w:sz="8" w:space="0" w:color="002060"/>
              <w:right w:val="nil"/>
            </w:tcBorders>
            <w:shd w:val="clear" w:color="auto" w:fill="auto"/>
            <w:noWrap/>
            <w:vAlign w:val="center"/>
            <w:hideMark/>
          </w:tcPr>
          <w:p w14:paraId="44BA8A5E"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УКУПНО</w:t>
            </w:r>
          </w:p>
        </w:tc>
        <w:tc>
          <w:tcPr>
            <w:tcW w:w="1228" w:type="dxa"/>
            <w:tcBorders>
              <w:top w:val="nil"/>
              <w:left w:val="nil"/>
              <w:bottom w:val="single" w:sz="8" w:space="0" w:color="002060"/>
              <w:right w:val="nil"/>
            </w:tcBorders>
            <w:shd w:val="clear" w:color="auto" w:fill="auto"/>
            <w:noWrap/>
            <w:vAlign w:val="center"/>
            <w:hideMark/>
          </w:tcPr>
          <w:p w14:paraId="435B1A88"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23,6</w:t>
            </w:r>
          </w:p>
        </w:tc>
        <w:tc>
          <w:tcPr>
            <w:tcW w:w="1228" w:type="dxa"/>
            <w:tcBorders>
              <w:top w:val="nil"/>
              <w:left w:val="nil"/>
              <w:bottom w:val="single" w:sz="8" w:space="0" w:color="002060"/>
              <w:right w:val="nil"/>
            </w:tcBorders>
            <w:shd w:val="clear" w:color="auto" w:fill="auto"/>
            <w:noWrap/>
            <w:vAlign w:val="center"/>
            <w:hideMark/>
          </w:tcPr>
          <w:p w14:paraId="191599D7"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2,4</w:t>
            </w:r>
          </w:p>
        </w:tc>
        <w:tc>
          <w:tcPr>
            <w:tcW w:w="1229" w:type="dxa"/>
            <w:tcBorders>
              <w:top w:val="nil"/>
              <w:left w:val="nil"/>
              <w:bottom w:val="single" w:sz="8" w:space="0" w:color="002060"/>
              <w:right w:val="nil"/>
            </w:tcBorders>
            <w:shd w:val="clear" w:color="auto" w:fill="auto"/>
            <w:noWrap/>
            <w:vAlign w:val="center"/>
            <w:hideMark/>
          </w:tcPr>
          <w:p w14:paraId="6CBB9D0D"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26,0</w:t>
            </w:r>
          </w:p>
        </w:tc>
        <w:tc>
          <w:tcPr>
            <w:tcW w:w="1262" w:type="dxa"/>
            <w:tcBorders>
              <w:top w:val="nil"/>
              <w:left w:val="nil"/>
              <w:bottom w:val="single" w:sz="8" w:space="0" w:color="002060"/>
              <w:right w:val="nil"/>
            </w:tcBorders>
            <w:shd w:val="clear" w:color="auto" w:fill="auto"/>
            <w:noWrap/>
            <w:vAlign w:val="center"/>
            <w:hideMark/>
          </w:tcPr>
          <w:p w14:paraId="7484F4A7"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7,1</w:t>
            </w:r>
          </w:p>
        </w:tc>
        <w:tc>
          <w:tcPr>
            <w:tcW w:w="1263" w:type="dxa"/>
            <w:tcBorders>
              <w:top w:val="nil"/>
              <w:left w:val="nil"/>
              <w:bottom w:val="single" w:sz="8" w:space="0" w:color="002060"/>
              <w:right w:val="nil"/>
            </w:tcBorders>
            <w:shd w:val="clear" w:color="auto" w:fill="auto"/>
            <w:noWrap/>
            <w:vAlign w:val="center"/>
            <w:hideMark/>
          </w:tcPr>
          <w:p w14:paraId="2BAAB177"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1,0</w:t>
            </w:r>
          </w:p>
        </w:tc>
        <w:tc>
          <w:tcPr>
            <w:tcW w:w="1263" w:type="dxa"/>
            <w:tcBorders>
              <w:top w:val="nil"/>
              <w:left w:val="nil"/>
              <w:bottom w:val="single" w:sz="8" w:space="0" w:color="002060"/>
              <w:right w:val="nil"/>
            </w:tcBorders>
            <w:shd w:val="clear" w:color="auto" w:fill="auto"/>
            <w:noWrap/>
            <w:vAlign w:val="center"/>
            <w:hideMark/>
          </w:tcPr>
          <w:p w14:paraId="4E66F361"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8,1</w:t>
            </w:r>
          </w:p>
        </w:tc>
      </w:tr>
    </w:tbl>
    <w:p w14:paraId="604FC5B0" w14:textId="77777777" w:rsidR="00187838" w:rsidRPr="007E770D" w:rsidRDefault="00187838" w:rsidP="00E4657F">
      <w:pPr>
        <w:spacing w:before="40" w:after="120" w:line="276" w:lineRule="auto"/>
        <w:jc w:val="left"/>
        <w:rPr>
          <w:rFonts w:cstheme="minorHAnsi"/>
          <w:color w:val="auto"/>
          <w:lang w:val="sr-Cyrl-CS"/>
        </w:rPr>
        <w:sectPr w:rsidR="00187838" w:rsidRPr="007E770D" w:rsidSect="00BA4876">
          <w:type w:val="continuous"/>
          <w:pgSz w:w="12240" w:h="15840"/>
          <w:pgMar w:top="1440" w:right="1440" w:bottom="1440" w:left="1440" w:header="720" w:footer="720" w:gutter="0"/>
          <w:cols w:space="720"/>
          <w:docGrid w:linePitch="360"/>
        </w:sectPr>
      </w:pPr>
      <w:r w:rsidRPr="007E770D">
        <w:rPr>
          <w:rFonts w:eastAsia="MS PGothic" w:cstheme="minorHAnsi"/>
          <w:color w:val="auto"/>
          <w:sz w:val="16"/>
          <w:lang w:val="sr-Cyrl-CS" w:eastAsia="ja-JP"/>
        </w:rPr>
        <w:t>Извор: Министарство финансија</w:t>
      </w:r>
    </w:p>
    <w:p w14:paraId="6F5FE06E" w14:textId="77777777" w:rsidR="00187838" w:rsidRPr="007E770D" w:rsidRDefault="00187838"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План отплате по основу гаранција (укупно главница и камата) у буџету за 2019. годину износи 19 млрд динара, од чега се у расходе који утичу на резултат укључује 12 млрд динара за отплату главнице по гаранцијама. Закључно са 30. јуном 2019. године укупна отплата по основу гарантованих кредита износила је 8,1 млрд динара.</w:t>
      </w:r>
    </w:p>
    <w:p w14:paraId="4C31C097" w14:textId="77777777" w:rsidR="00187838" w:rsidRPr="007E770D" w:rsidRDefault="00187838"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 xml:space="preserve">Растући индиректни дуг, те укључивање дела отплата по основу гаранција у буџетске расходе, и повећање дефицита по том основу, повећали су свест о растућим фискалним ризицима који произилазе по основу издатих гаранција. Стога су предузете активности које ограничавају издавање нових гаранција. Изменама Закона о јавном дугу забрањено је издавање нових гаранција за кредите за потребе ликвидности. Изменама Закона о Фонду за развој Републике Србије онемогућено је даље давање контрагаранција за </w:t>
      </w:r>
      <w:r w:rsidRPr="007E770D">
        <w:rPr>
          <w:rFonts w:eastAsia="Calibri" w:cstheme="minorHAnsi"/>
          <w:color w:val="auto"/>
          <w:szCs w:val="20"/>
          <w:lang w:val="sr-Cyrl-CS" w:eastAsia="ja-JP"/>
        </w:rPr>
        <w:t>гаранције издате од стране Фонда за развој Републике Србије.</w:t>
      </w:r>
    </w:p>
    <w:p w14:paraId="2BB63899" w14:textId="77777777" w:rsidR="00187838" w:rsidRPr="007E770D" w:rsidRDefault="00187838"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Поред ограничења у издавању државних гаранција кључни корак у смањењу и отклањању фискалних ризика по овом основу је у реформи државних и јавних предузећа, корисника гаранција, како би били способни да отплаћују своје кредите. Већи број предузећа, која су и највећи корисници гаранција, налазе се у процесу реструктурирања, односно спровођења планова реструктурирања урађених у сарадњи са међународним финансијским институцијама.</w:t>
      </w:r>
    </w:p>
    <w:p w14:paraId="08A613F6" w14:textId="77777777" w:rsidR="00187838" w:rsidRPr="007E770D" w:rsidRDefault="00187838"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Годишњим буџетом за 2019. годину планирано је издавање гаранција највише до 61,6 млрд динара и то за кредите намењене реализацији инфраструктурних пројеката.</w:t>
      </w:r>
    </w:p>
    <w:p w14:paraId="665877B1" w14:textId="77777777" w:rsidR="00187838" w:rsidRPr="007E770D" w:rsidRDefault="00187838" w:rsidP="00E4657F">
      <w:pPr>
        <w:spacing w:after="120" w:line="276" w:lineRule="auto"/>
        <w:rPr>
          <w:rFonts w:eastAsia="MS PGothic" w:cstheme="minorHAnsi"/>
          <w:b/>
          <w:color w:val="auto"/>
          <w:lang w:val="sr-Cyrl-CS" w:eastAsia="ja-JP"/>
        </w:rPr>
      </w:pPr>
    </w:p>
    <w:p w14:paraId="6AF4AB66" w14:textId="77777777" w:rsidR="00187838" w:rsidRPr="007E770D" w:rsidRDefault="00187838" w:rsidP="00E4657F">
      <w:pPr>
        <w:spacing w:line="276" w:lineRule="auto"/>
        <w:rPr>
          <w:rFonts w:eastAsia="MS PGothic" w:cstheme="minorHAnsi"/>
          <w:b/>
          <w:color w:val="auto"/>
          <w:lang w:val="sr-Cyrl-CS" w:eastAsia="ja-JP"/>
        </w:rPr>
        <w:sectPr w:rsidR="00187838" w:rsidRPr="007E770D" w:rsidSect="00BA4876">
          <w:type w:val="continuous"/>
          <w:pgSz w:w="12240" w:h="15840"/>
          <w:pgMar w:top="1440" w:right="1440" w:bottom="1440" w:left="1440" w:header="720" w:footer="720" w:gutter="0"/>
          <w:cols w:num="2" w:space="720"/>
          <w:docGrid w:linePitch="360"/>
        </w:sectPr>
      </w:pPr>
    </w:p>
    <w:p w14:paraId="476049B0" w14:textId="77777777" w:rsidR="00187838" w:rsidRPr="007E770D" w:rsidRDefault="00187838" w:rsidP="00E4657F">
      <w:pPr>
        <w:jc w:val="center"/>
        <w:rPr>
          <w:rFonts w:eastAsia="MS PGothic" w:cstheme="minorHAnsi"/>
          <w:b/>
          <w:color w:val="auto"/>
          <w:lang w:val="sr-Cyrl-CS" w:eastAsia="ja-JP"/>
        </w:rPr>
      </w:pPr>
    </w:p>
    <w:p w14:paraId="53F7B27D" w14:textId="77777777" w:rsidR="00187838" w:rsidRPr="007E770D" w:rsidRDefault="00187838" w:rsidP="00E4657F">
      <w:pPr>
        <w:jc w:val="center"/>
        <w:rPr>
          <w:rFonts w:eastAsia="MS PGothic" w:cstheme="minorHAnsi"/>
          <w:b/>
          <w:color w:val="auto"/>
          <w:lang w:val="sr-Cyrl-CS" w:eastAsia="ja-JP"/>
        </w:rPr>
      </w:pPr>
    </w:p>
    <w:p w14:paraId="60873F2C" w14:textId="77777777" w:rsidR="00187838" w:rsidRPr="007E770D" w:rsidRDefault="00187838" w:rsidP="00E4657F">
      <w:pPr>
        <w:jc w:val="center"/>
        <w:rPr>
          <w:rFonts w:eastAsia="MS PGothic" w:cstheme="minorHAnsi"/>
          <w:b/>
          <w:color w:val="auto"/>
          <w:lang w:val="sr-Cyrl-CS" w:eastAsia="ja-JP"/>
        </w:rPr>
      </w:pPr>
    </w:p>
    <w:p w14:paraId="3F8F6C0D" w14:textId="77777777" w:rsidR="00187838" w:rsidRPr="007E770D" w:rsidRDefault="00187838" w:rsidP="00E4657F">
      <w:pPr>
        <w:jc w:val="center"/>
        <w:rPr>
          <w:rFonts w:eastAsia="MS PGothic" w:cstheme="minorHAnsi"/>
          <w:b/>
          <w:color w:val="auto"/>
          <w:lang w:val="sr-Cyrl-CS" w:eastAsia="ja-JP"/>
        </w:rPr>
      </w:pPr>
    </w:p>
    <w:p w14:paraId="7C310C3B" w14:textId="77777777" w:rsidR="00187838" w:rsidRPr="007E770D" w:rsidRDefault="00187838" w:rsidP="00E4657F">
      <w:pPr>
        <w:jc w:val="center"/>
        <w:rPr>
          <w:rFonts w:eastAsia="MS PGothic" w:cstheme="minorHAnsi"/>
          <w:b/>
          <w:color w:val="auto"/>
          <w:lang w:val="sr-Cyrl-CS" w:eastAsia="ja-JP"/>
        </w:rPr>
      </w:pPr>
    </w:p>
    <w:p w14:paraId="00AF27A7" w14:textId="77777777" w:rsidR="00187838" w:rsidRPr="007E770D" w:rsidRDefault="00187838" w:rsidP="00E4657F">
      <w:pPr>
        <w:jc w:val="center"/>
        <w:rPr>
          <w:rFonts w:eastAsia="MS PGothic" w:cstheme="minorHAnsi"/>
          <w:b/>
          <w:color w:val="auto"/>
          <w:lang w:val="sr-Cyrl-CS" w:eastAsia="ja-JP"/>
        </w:rPr>
      </w:pPr>
    </w:p>
    <w:p w14:paraId="5A90DAA7" w14:textId="77777777" w:rsidR="00187838" w:rsidRPr="007E770D" w:rsidRDefault="00187838" w:rsidP="00E4657F">
      <w:pPr>
        <w:jc w:val="center"/>
        <w:rPr>
          <w:rFonts w:eastAsia="MS PGothic" w:cstheme="minorHAnsi"/>
          <w:b/>
          <w:color w:val="auto"/>
          <w:lang w:val="sr-Cyrl-CS" w:eastAsia="ja-JP"/>
        </w:rPr>
      </w:pPr>
    </w:p>
    <w:p w14:paraId="02212039" w14:textId="77777777" w:rsidR="00187838" w:rsidRPr="007E770D" w:rsidRDefault="00187838" w:rsidP="00E4657F">
      <w:pPr>
        <w:jc w:val="center"/>
        <w:rPr>
          <w:rFonts w:eastAsia="MS PGothic" w:cstheme="minorHAnsi"/>
          <w:b/>
          <w:color w:val="auto"/>
          <w:lang w:val="sr-Cyrl-CS" w:eastAsia="ja-JP"/>
        </w:rPr>
      </w:pPr>
    </w:p>
    <w:p w14:paraId="4BDDEAB2" w14:textId="77777777" w:rsidR="00187838" w:rsidRPr="007E770D" w:rsidRDefault="00187838" w:rsidP="00E4657F">
      <w:pPr>
        <w:rPr>
          <w:rFonts w:eastAsia="MS PGothic" w:cstheme="minorHAnsi"/>
          <w:b/>
          <w:color w:val="auto"/>
          <w:lang w:val="sr-Cyrl-CS" w:eastAsia="ja-JP"/>
        </w:rPr>
      </w:pPr>
    </w:p>
    <w:p w14:paraId="1B818D27" w14:textId="77777777" w:rsidR="00187838" w:rsidRPr="007E770D" w:rsidRDefault="00187838">
      <w:pPr>
        <w:jc w:val="left"/>
        <w:rPr>
          <w:rFonts w:eastAsia="MS PGothic" w:cstheme="minorHAnsi"/>
          <w:b/>
          <w:color w:val="auto"/>
          <w:lang w:val="sr-Cyrl-CS" w:eastAsia="ja-JP"/>
        </w:rPr>
      </w:pPr>
      <w:r w:rsidRPr="007E770D">
        <w:rPr>
          <w:rFonts w:eastAsia="MS PGothic" w:cstheme="minorHAnsi"/>
          <w:b/>
          <w:color w:val="auto"/>
          <w:lang w:val="sr-Cyrl-CS" w:eastAsia="ja-JP"/>
        </w:rPr>
        <w:br w:type="page"/>
      </w:r>
    </w:p>
    <w:p w14:paraId="5410DD85" w14:textId="77777777" w:rsidR="00187838" w:rsidRPr="007E770D" w:rsidRDefault="00187838" w:rsidP="00E4657F">
      <w:pPr>
        <w:jc w:val="center"/>
        <w:rPr>
          <w:rFonts w:eastAsia="MS PGothic" w:cstheme="minorHAnsi"/>
          <w:b/>
          <w:color w:val="auto"/>
          <w:lang w:val="sr-Cyrl-CS" w:eastAsia="ja-JP"/>
        </w:rPr>
      </w:pPr>
      <w:r w:rsidRPr="007E770D">
        <w:rPr>
          <w:rFonts w:eastAsia="MS PGothic" w:cstheme="minorHAnsi"/>
          <w:b/>
          <w:color w:val="auto"/>
          <w:lang w:val="sr-Cyrl-CS" w:eastAsia="ja-JP"/>
        </w:rPr>
        <w:lastRenderedPageBreak/>
        <w:t>Табела 14. План издавања гаранција у 2019. години</w:t>
      </w:r>
    </w:p>
    <w:tbl>
      <w:tblPr>
        <w:tblW w:w="9897" w:type="dxa"/>
        <w:tblLook w:val="04A0" w:firstRow="1" w:lastRow="0" w:firstColumn="1" w:lastColumn="0" w:noHBand="0" w:noVBand="1"/>
      </w:tblPr>
      <w:tblGrid>
        <w:gridCol w:w="869"/>
        <w:gridCol w:w="5357"/>
        <w:gridCol w:w="1356"/>
        <w:gridCol w:w="1144"/>
        <w:gridCol w:w="1171"/>
      </w:tblGrid>
      <w:tr w:rsidR="007E770D" w:rsidRPr="007E770D" w14:paraId="45DE7FCA" w14:textId="77777777" w:rsidTr="00E4657F">
        <w:trPr>
          <w:trHeight w:val="220"/>
        </w:trPr>
        <w:tc>
          <w:tcPr>
            <w:tcW w:w="881" w:type="dxa"/>
            <w:vMerge w:val="restart"/>
            <w:tcBorders>
              <w:top w:val="single" w:sz="8" w:space="0" w:color="002060"/>
              <w:left w:val="nil"/>
              <w:bottom w:val="single" w:sz="8" w:space="0" w:color="002060"/>
              <w:right w:val="nil"/>
            </w:tcBorders>
            <w:shd w:val="clear" w:color="auto" w:fill="auto"/>
            <w:vAlign w:val="center"/>
            <w:hideMark/>
          </w:tcPr>
          <w:p w14:paraId="260F14AE"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Ред. Број</w:t>
            </w:r>
          </w:p>
        </w:tc>
        <w:tc>
          <w:tcPr>
            <w:tcW w:w="5496" w:type="dxa"/>
            <w:vMerge w:val="restart"/>
            <w:tcBorders>
              <w:top w:val="single" w:sz="8" w:space="0" w:color="002060"/>
              <w:left w:val="nil"/>
              <w:bottom w:val="single" w:sz="8" w:space="0" w:color="002060"/>
              <w:right w:val="nil"/>
            </w:tcBorders>
            <w:shd w:val="clear" w:color="auto" w:fill="auto"/>
            <w:vAlign w:val="center"/>
            <w:hideMark/>
          </w:tcPr>
          <w:p w14:paraId="2B991720"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 </w:t>
            </w:r>
          </w:p>
        </w:tc>
        <w:tc>
          <w:tcPr>
            <w:tcW w:w="1300" w:type="dxa"/>
            <w:vMerge w:val="restart"/>
            <w:tcBorders>
              <w:top w:val="single" w:sz="8" w:space="0" w:color="002060"/>
              <w:left w:val="nil"/>
              <w:bottom w:val="single" w:sz="8" w:space="0" w:color="002060"/>
              <w:right w:val="nil"/>
            </w:tcBorders>
            <w:shd w:val="clear" w:color="auto" w:fill="auto"/>
            <w:vAlign w:val="center"/>
            <w:hideMark/>
          </w:tcPr>
          <w:p w14:paraId="2B18FE25"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Износ у динарима</w:t>
            </w:r>
          </w:p>
        </w:tc>
        <w:tc>
          <w:tcPr>
            <w:tcW w:w="1097" w:type="dxa"/>
            <w:vMerge w:val="restart"/>
            <w:tcBorders>
              <w:top w:val="single" w:sz="8" w:space="0" w:color="002060"/>
              <w:left w:val="nil"/>
              <w:bottom w:val="single" w:sz="8" w:space="0" w:color="002060"/>
              <w:right w:val="nil"/>
            </w:tcBorders>
            <w:shd w:val="clear" w:color="auto" w:fill="auto"/>
            <w:vAlign w:val="center"/>
            <w:hideMark/>
          </w:tcPr>
          <w:p w14:paraId="78DA8AE9"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Оригинална валута</w:t>
            </w:r>
          </w:p>
        </w:tc>
        <w:tc>
          <w:tcPr>
            <w:tcW w:w="1123" w:type="dxa"/>
            <w:vMerge w:val="restart"/>
            <w:tcBorders>
              <w:top w:val="single" w:sz="8" w:space="0" w:color="002060"/>
              <w:left w:val="nil"/>
              <w:bottom w:val="single" w:sz="8" w:space="0" w:color="002060"/>
              <w:right w:val="nil"/>
            </w:tcBorders>
            <w:shd w:val="clear" w:color="auto" w:fill="auto"/>
            <w:vAlign w:val="center"/>
            <w:hideMark/>
          </w:tcPr>
          <w:p w14:paraId="730FF2B2"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Износ у оригиналној валути</w:t>
            </w:r>
          </w:p>
        </w:tc>
      </w:tr>
      <w:tr w:rsidR="007E770D" w:rsidRPr="007E770D" w14:paraId="55E93742" w14:textId="77777777" w:rsidTr="00E4657F">
        <w:trPr>
          <w:trHeight w:val="468"/>
        </w:trPr>
        <w:tc>
          <w:tcPr>
            <w:tcW w:w="881" w:type="dxa"/>
            <w:vMerge/>
            <w:tcBorders>
              <w:top w:val="single" w:sz="8" w:space="0" w:color="002060"/>
              <w:left w:val="nil"/>
              <w:bottom w:val="single" w:sz="8" w:space="0" w:color="002060"/>
              <w:right w:val="nil"/>
            </w:tcBorders>
            <w:vAlign w:val="center"/>
            <w:hideMark/>
          </w:tcPr>
          <w:p w14:paraId="03D93C3B" w14:textId="77777777" w:rsidR="00187838" w:rsidRPr="007E770D" w:rsidRDefault="00187838" w:rsidP="00E4657F">
            <w:pPr>
              <w:spacing w:after="0" w:line="240" w:lineRule="auto"/>
              <w:jc w:val="left"/>
              <w:rPr>
                <w:rFonts w:ascii="Calibri" w:eastAsia="Times New Roman" w:hAnsi="Calibri" w:cs="Calibri"/>
                <w:color w:val="auto"/>
                <w:sz w:val="18"/>
                <w:szCs w:val="18"/>
                <w:lang w:val="sr-Cyrl-CS" w:eastAsia="sr-Cyrl-RS"/>
              </w:rPr>
            </w:pPr>
          </w:p>
        </w:tc>
        <w:tc>
          <w:tcPr>
            <w:tcW w:w="5496" w:type="dxa"/>
            <w:vMerge/>
            <w:tcBorders>
              <w:top w:val="single" w:sz="8" w:space="0" w:color="002060"/>
              <w:left w:val="nil"/>
              <w:bottom w:val="single" w:sz="8" w:space="0" w:color="002060"/>
              <w:right w:val="nil"/>
            </w:tcBorders>
            <w:vAlign w:val="center"/>
            <w:hideMark/>
          </w:tcPr>
          <w:p w14:paraId="3FE860BA" w14:textId="77777777" w:rsidR="00187838" w:rsidRPr="007E770D" w:rsidRDefault="00187838" w:rsidP="00E4657F">
            <w:pPr>
              <w:spacing w:after="0" w:line="240" w:lineRule="auto"/>
              <w:jc w:val="left"/>
              <w:rPr>
                <w:rFonts w:ascii="Calibri" w:eastAsia="Times New Roman" w:hAnsi="Calibri" w:cs="Calibri"/>
                <w:color w:val="auto"/>
                <w:sz w:val="18"/>
                <w:szCs w:val="18"/>
                <w:lang w:val="sr-Cyrl-CS" w:eastAsia="sr-Cyrl-RS"/>
              </w:rPr>
            </w:pPr>
          </w:p>
        </w:tc>
        <w:tc>
          <w:tcPr>
            <w:tcW w:w="1300" w:type="dxa"/>
            <w:vMerge/>
            <w:tcBorders>
              <w:top w:val="single" w:sz="8" w:space="0" w:color="002060"/>
              <w:left w:val="nil"/>
              <w:bottom w:val="single" w:sz="8" w:space="0" w:color="002060"/>
              <w:right w:val="nil"/>
            </w:tcBorders>
            <w:vAlign w:val="center"/>
            <w:hideMark/>
          </w:tcPr>
          <w:p w14:paraId="50D38960" w14:textId="77777777" w:rsidR="00187838" w:rsidRPr="007E770D" w:rsidRDefault="00187838" w:rsidP="00E4657F">
            <w:pPr>
              <w:spacing w:after="0" w:line="240" w:lineRule="auto"/>
              <w:jc w:val="left"/>
              <w:rPr>
                <w:rFonts w:ascii="Calibri" w:eastAsia="Times New Roman" w:hAnsi="Calibri" w:cs="Calibri"/>
                <w:color w:val="auto"/>
                <w:sz w:val="18"/>
                <w:szCs w:val="18"/>
                <w:lang w:val="sr-Cyrl-CS" w:eastAsia="sr-Cyrl-RS"/>
              </w:rPr>
            </w:pPr>
          </w:p>
        </w:tc>
        <w:tc>
          <w:tcPr>
            <w:tcW w:w="1097" w:type="dxa"/>
            <w:vMerge/>
            <w:tcBorders>
              <w:top w:val="single" w:sz="8" w:space="0" w:color="002060"/>
              <w:left w:val="nil"/>
              <w:bottom w:val="single" w:sz="8" w:space="0" w:color="002060"/>
              <w:right w:val="nil"/>
            </w:tcBorders>
            <w:vAlign w:val="center"/>
            <w:hideMark/>
          </w:tcPr>
          <w:p w14:paraId="5E49FE7E" w14:textId="77777777" w:rsidR="00187838" w:rsidRPr="007E770D" w:rsidRDefault="00187838" w:rsidP="00E4657F">
            <w:pPr>
              <w:spacing w:after="0" w:line="240" w:lineRule="auto"/>
              <w:jc w:val="left"/>
              <w:rPr>
                <w:rFonts w:ascii="Calibri" w:eastAsia="Times New Roman" w:hAnsi="Calibri" w:cs="Calibri"/>
                <w:color w:val="auto"/>
                <w:sz w:val="18"/>
                <w:szCs w:val="18"/>
                <w:lang w:val="sr-Cyrl-CS" w:eastAsia="sr-Cyrl-RS"/>
              </w:rPr>
            </w:pPr>
          </w:p>
        </w:tc>
        <w:tc>
          <w:tcPr>
            <w:tcW w:w="1123" w:type="dxa"/>
            <w:vMerge/>
            <w:tcBorders>
              <w:top w:val="single" w:sz="8" w:space="0" w:color="002060"/>
              <w:left w:val="nil"/>
              <w:bottom w:val="single" w:sz="8" w:space="0" w:color="002060"/>
              <w:right w:val="nil"/>
            </w:tcBorders>
            <w:vAlign w:val="center"/>
            <w:hideMark/>
          </w:tcPr>
          <w:p w14:paraId="57B500B6" w14:textId="77777777" w:rsidR="00187838" w:rsidRPr="007E770D" w:rsidRDefault="00187838" w:rsidP="00E4657F">
            <w:pPr>
              <w:spacing w:after="0" w:line="240" w:lineRule="auto"/>
              <w:jc w:val="left"/>
              <w:rPr>
                <w:rFonts w:ascii="Calibri" w:eastAsia="Times New Roman" w:hAnsi="Calibri" w:cs="Calibri"/>
                <w:color w:val="auto"/>
                <w:sz w:val="18"/>
                <w:szCs w:val="18"/>
                <w:lang w:val="sr-Cyrl-CS" w:eastAsia="sr-Cyrl-RS"/>
              </w:rPr>
            </w:pPr>
          </w:p>
        </w:tc>
      </w:tr>
      <w:tr w:rsidR="007E770D" w:rsidRPr="007E770D" w14:paraId="4455F0F8" w14:textId="77777777" w:rsidTr="00E4657F">
        <w:trPr>
          <w:trHeight w:val="423"/>
        </w:trPr>
        <w:tc>
          <w:tcPr>
            <w:tcW w:w="881" w:type="dxa"/>
            <w:vMerge/>
            <w:tcBorders>
              <w:top w:val="single" w:sz="8" w:space="0" w:color="002060"/>
              <w:left w:val="nil"/>
              <w:bottom w:val="single" w:sz="8" w:space="0" w:color="002060"/>
              <w:right w:val="nil"/>
            </w:tcBorders>
            <w:vAlign w:val="center"/>
            <w:hideMark/>
          </w:tcPr>
          <w:p w14:paraId="6EF9C374" w14:textId="77777777" w:rsidR="00187838" w:rsidRPr="007E770D" w:rsidRDefault="00187838" w:rsidP="00E4657F">
            <w:pPr>
              <w:spacing w:after="0" w:line="240" w:lineRule="auto"/>
              <w:jc w:val="left"/>
              <w:rPr>
                <w:rFonts w:ascii="Calibri" w:eastAsia="Times New Roman" w:hAnsi="Calibri" w:cs="Calibri"/>
                <w:color w:val="auto"/>
                <w:sz w:val="18"/>
                <w:szCs w:val="18"/>
                <w:lang w:val="sr-Cyrl-CS" w:eastAsia="sr-Cyrl-RS"/>
              </w:rPr>
            </w:pPr>
          </w:p>
        </w:tc>
        <w:tc>
          <w:tcPr>
            <w:tcW w:w="5496" w:type="dxa"/>
            <w:vMerge/>
            <w:tcBorders>
              <w:top w:val="single" w:sz="8" w:space="0" w:color="002060"/>
              <w:left w:val="nil"/>
              <w:bottom w:val="single" w:sz="8" w:space="0" w:color="002060"/>
              <w:right w:val="nil"/>
            </w:tcBorders>
            <w:vAlign w:val="center"/>
            <w:hideMark/>
          </w:tcPr>
          <w:p w14:paraId="7ECC293B" w14:textId="77777777" w:rsidR="00187838" w:rsidRPr="007E770D" w:rsidRDefault="00187838" w:rsidP="00E4657F">
            <w:pPr>
              <w:spacing w:after="0" w:line="240" w:lineRule="auto"/>
              <w:jc w:val="left"/>
              <w:rPr>
                <w:rFonts w:ascii="Calibri" w:eastAsia="Times New Roman" w:hAnsi="Calibri" w:cs="Calibri"/>
                <w:color w:val="auto"/>
                <w:sz w:val="18"/>
                <w:szCs w:val="18"/>
                <w:lang w:val="sr-Cyrl-CS" w:eastAsia="sr-Cyrl-RS"/>
              </w:rPr>
            </w:pPr>
          </w:p>
        </w:tc>
        <w:tc>
          <w:tcPr>
            <w:tcW w:w="1300" w:type="dxa"/>
            <w:vMerge/>
            <w:tcBorders>
              <w:top w:val="single" w:sz="8" w:space="0" w:color="002060"/>
              <w:left w:val="nil"/>
              <w:bottom w:val="single" w:sz="8" w:space="0" w:color="002060"/>
              <w:right w:val="nil"/>
            </w:tcBorders>
            <w:vAlign w:val="center"/>
            <w:hideMark/>
          </w:tcPr>
          <w:p w14:paraId="7956B271" w14:textId="77777777" w:rsidR="00187838" w:rsidRPr="007E770D" w:rsidRDefault="00187838" w:rsidP="00E4657F">
            <w:pPr>
              <w:spacing w:after="0" w:line="240" w:lineRule="auto"/>
              <w:jc w:val="left"/>
              <w:rPr>
                <w:rFonts w:ascii="Calibri" w:eastAsia="Times New Roman" w:hAnsi="Calibri" w:cs="Calibri"/>
                <w:color w:val="auto"/>
                <w:sz w:val="18"/>
                <w:szCs w:val="18"/>
                <w:lang w:val="sr-Cyrl-CS" w:eastAsia="sr-Cyrl-RS"/>
              </w:rPr>
            </w:pPr>
          </w:p>
        </w:tc>
        <w:tc>
          <w:tcPr>
            <w:tcW w:w="1097" w:type="dxa"/>
            <w:vMerge/>
            <w:tcBorders>
              <w:top w:val="single" w:sz="8" w:space="0" w:color="002060"/>
              <w:left w:val="nil"/>
              <w:bottom w:val="single" w:sz="8" w:space="0" w:color="002060"/>
              <w:right w:val="nil"/>
            </w:tcBorders>
            <w:vAlign w:val="center"/>
            <w:hideMark/>
          </w:tcPr>
          <w:p w14:paraId="0E089C8E" w14:textId="77777777" w:rsidR="00187838" w:rsidRPr="007E770D" w:rsidRDefault="00187838" w:rsidP="00E4657F">
            <w:pPr>
              <w:spacing w:after="0" w:line="240" w:lineRule="auto"/>
              <w:jc w:val="left"/>
              <w:rPr>
                <w:rFonts w:ascii="Calibri" w:eastAsia="Times New Roman" w:hAnsi="Calibri" w:cs="Calibri"/>
                <w:color w:val="auto"/>
                <w:sz w:val="18"/>
                <w:szCs w:val="18"/>
                <w:lang w:val="sr-Cyrl-CS" w:eastAsia="sr-Cyrl-RS"/>
              </w:rPr>
            </w:pPr>
          </w:p>
        </w:tc>
        <w:tc>
          <w:tcPr>
            <w:tcW w:w="1123" w:type="dxa"/>
            <w:vMerge/>
            <w:tcBorders>
              <w:top w:val="single" w:sz="8" w:space="0" w:color="002060"/>
              <w:left w:val="nil"/>
              <w:bottom w:val="single" w:sz="8" w:space="0" w:color="002060"/>
              <w:right w:val="nil"/>
            </w:tcBorders>
            <w:vAlign w:val="center"/>
            <w:hideMark/>
          </w:tcPr>
          <w:p w14:paraId="7B6A9EAB" w14:textId="77777777" w:rsidR="00187838" w:rsidRPr="007E770D" w:rsidRDefault="00187838" w:rsidP="00E4657F">
            <w:pPr>
              <w:spacing w:after="0" w:line="240" w:lineRule="auto"/>
              <w:jc w:val="left"/>
              <w:rPr>
                <w:rFonts w:ascii="Calibri" w:eastAsia="Times New Roman" w:hAnsi="Calibri" w:cs="Calibri"/>
                <w:color w:val="auto"/>
                <w:sz w:val="18"/>
                <w:szCs w:val="18"/>
                <w:lang w:val="sr-Cyrl-CS" w:eastAsia="sr-Cyrl-RS"/>
              </w:rPr>
            </w:pPr>
          </w:p>
        </w:tc>
      </w:tr>
      <w:tr w:rsidR="007E770D" w:rsidRPr="007E770D" w14:paraId="352EB025" w14:textId="77777777" w:rsidTr="00E4657F">
        <w:trPr>
          <w:trHeight w:val="406"/>
        </w:trPr>
        <w:tc>
          <w:tcPr>
            <w:tcW w:w="881" w:type="dxa"/>
            <w:tcBorders>
              <w:top w:val="nil"/>
              <w:left w:val="nil"/>
              <w:bottom w:val="nil"/>
              <w:right w:val="nil"/>
            </w:tcBorders>
            <w:shd w:val="clear" w:color="000000" w:fill="E7E6E6"/>
            <w:vAlign w:val="center"/>
            <w:hideMark/>
          </w:tcPr>
          <w:p w14:paraId="300A34D5"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I.</w:t>
            </w:r>
          </w:p>
        </w:tc>
        <w:tc>
          <w:tcPr>
            <w:tcW w:w="5496" w:type="dxa"/>
            <w:tcBorders>
              <w:top w:val="nil"/>
              <w:left w:val="nil"/>
              <w:bottom w:val="nil"/>
              <w:right w:val="nil"/>
            </w:tcBorders>
            <w:shd w:val="clear" w:color="000000" w:fill="E7E6E6"/>
            <w:vAlign w:val="center"/>
            <w:hideMark/>
          </w:tcPr>
          <w:p w14:paraId="1299A7F2"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Европској банци за обнову и развој</w:t>
            </w:r>
          </w:p>
        </w:tc>
        <w:tc>
          <w:tcPr>
            <w:tcW w:w="1300" w:type="dxa"/>
            <w:tcBorders>
              <w:top w:val="nil"/>
              <w:left w:val="nil"/>
              <w:bottom w:val="nil"/>
              <w:right w:val="nil"/>
            </w:tcBorders>
            <w:shd w:val="clear" w:color="000000" w:fill="E7E6E6"/>
            <w:vAlign w:val="center"/>
            <w:hideMark/>
          </w:tcPr>
          <w:p w14:paraId="2BCCBD37"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 </w:t>
            </w:r>
          </w:p>
        </w:tc>
        <w:tc>
          <w:tcPr>
            <w:tcW w:w="1097" w:type="dxa"/>
            <w:tcBorders>
              <w:top w:val="nil"/>
              <w:left w:val="nil"/>
              <w:bottom w:val="nil"/>
              <w:right w:val="nil"/>
            </w:tcBorders>
            <w:shd w:val="clear" w:color="000000" w:fill="E7E6E6"/>
            <w:vAlign w:val="center"/>
            <w:hideMark/>
          </w:tcPr>
          <w:p w14:paraId="6883B9B3"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 </w:t>
            </w:r>
          </w:p>
        </w:tc>
        <w:tc>
          <w:tcPr>
            <w:tcW w:w="1123" w:type="dxa"/>
            <w:tcBorders>
              <w:top w:val="nil"/>
              <w:left w:val="nil"/>
              <w:bottom w:val="nil"/>
              <w:right w:val="nil"/>
            </w:tcBorders>
            <w:shd w:val="clear" w:color="000000" w:fill="E7E6E6"/>
            <w:vAlign w:val="center"/>
            <w:hideMark/>
          </w:tcPr>
          <w:p w14:paraId="2077F640"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 </w:t>
            </w:r>
          </w:p>
        </w:tc>
      </w:tr>
      <w:tr w:rsidR="007E770D" w:rsidRPr="007E770D" w14:paraId="4020F1B4" w14:textId="77777777" w:rsidTr="00E4657F">
        <w:trPr>
          <w:trHeight w:val="797"/>
        </w:trPr>
        <w:tc>
          <w:tcPr>
            <w:tcW w:w="881" w:type="dxa"/>
            <w:tcBorders>
              <w:top w:val="nil"/>
              <w:left w:val="nil"/>
              <w:bottom w:val="nil"/>
              <w:right w:val="nil"/>
            </w:tcBorders>
            <w:shd w:val="clear" w:color="auto" w:fill="auto"/>
            <w:vAlign w:val="center"/>
            <w:hideMark/>
          </w:tcPr>
          <w:p w14:paraId="5B284C70"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 xml:space="preserve">1. </w:t>
            </w:r>
          </w:p>
        </w:tc>
        <w:tc>
          <w:tcPr>
            <w:tcW w:w="5496" w:type="dxa"/>
            <w:tcBorders>
              <w:top w:val="nil"/>
              <w:left w:val="nil"/>
              <w:bottom w:val="nil"/>
              <w:right w:val="nil"/>
            </w:tcBorders>
            <w:shd w:val="clear" w:color="auto" w:fill="auto"/>
            <w:vAlign w:val="center"/>
            <w:hideMark/>
          </w:tcPr>
          <w:p w14:paraId="34094C17" w14:textId="77777777" w:rsidR="00187838" w:rsidRPr="007E770D" w:rsidRDefault="00187838" w:rsidP="00E4657F">
            <w:pPr>
              <w:spacing w:after="0" w:line="240" w:lineRule="auto"/>
              <w:jc w:val="lef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Акционарско друштво за железнички превоз путника „Србија Воз”, Београд – (Пројекат набавке електромоторних гарнитура за регионални саобраћај)</w:t>
            </w:r>
          </w:p>
        </w:tc>
        <w:tc>
          <w:tcPr>
            <w:tcW w:w="1300" w:type="dxa"/>
            <w:tcBorders>
              <w:top w:val="nil"/>
              <w:left w:val="nil"/>
              <w:bottom w:val="nil"/>
              <w:right w:val="nil"/>
            </w:tcBorders>
            <w:shd w:val="clear" w:color="auto" w:fill="auto"/>
            <w:vAlign w:val="center"/>
            <w:hideMark/>
          </w:tcPr>
          <w:p w14:paraId="63B8DB4E"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11.880.000.000</w:t>
            </w:r>
          </w:p>
        </w:tc>
        <w:tc>
          <w:tcPr>
            <w:tcW w:w="1097" w:type="dxa"/>
            <w:tcBorders>
              <w:top w:val="nil"/>
              <w:left w:val="nil"/>
              <w:bottom w:val="nil"/>
              <w:right w:val="nil"/>
            </w:tcBorders>
            <w:shd w:val="clear" w:color="auto" w:fill="auto"/>
            <w:vAlign w:val="center"/>
            <w:hideMark/>
          </w:tcPr>
          <w:p w14:paraId="45C22E14"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EUR</w:t>
            </w:r>
          </w:p>
        </w:tc>
        <w:tc>
          <w:tcPr>
            <w:tcW w:w="1123" w:type="dxa"/>
            <w:tcBorders>
              <w:top w:val="nil"/>
              <w:left w:val="nil"/>
              <w:bottom w:val="nil"/>
              <w:right w:val="nil"/>
            </w:tcBorders>
            <w:shd w:val="clear" w:color="auto" w:fill="auto"/>
            <w:vAlign w:val="center"/>
            <w:hideMark/>
          </w:tcPr>
          <w:p w14:paraId="456EA0F0"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100.000.000</w:t>
            </w:r>
          </w:p>
        </w:tc>
      </w:tr>
      <w:tr w:rsidR="007E770D" w:rsidRPr="007E770D" w14:paraId="533E0352" w14:textId="77777777" w:rsidTr="00E4657F">
        <w:trPr>
          <w:trHeight w:val="332"/>
        </w:trPr>
        <w:tc>
          <w:tcPr>
            <w:tcW w:w="881" w:type="dxa"/>
            <w:tcBorders>
              <w:top w:val="nil"/>
              <w:left w:val="nil"/>
              <w:bottom w:val="nil"/>
              <w:right w:val="nil"/>
            </w:tcBorders>
            <w:shd w:val="clear" w:color="auto" w:fill="auto"/>
            <w:vAlign w:val="center"/>
            <w:hideMark/>
          </w:tcPr>
          <w:p w14:paraId="4AE54A0D"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p>
        </w:tc>
        <w:tc>
          <w:tcPr>
            <w:tcW w:w="5496" w:type="dxa"/>
            <w:tcBorders>
              <w:top w:val="nil"/>
              <w:left w:val="nil"/>
              <w:bottom w:val="nil"/>
              <w:right w:val="nil"/>
            </w:tcBorders>
            <w:shd w:val="clear" w:color="auto" w:fill="auto"/>
            <w:vAlign w:val="center"/>
            <w:hideMark/>
          </w:tcPr>
          <w:p w14:paraId="5956AF62"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Укупно:</w:t>
            </w:r>
          </w:p>
        </w:tc>
        <w:tc>
          <w:tcPr>
            <w:tcW w:w="1300" w:type="dxa"/>
            <w:tcBorders>
              <w:top w:val="nil"/>
              <w:left w:val="nil"/>
              <w:bottom w:val="nil"/>
              <w:right w:val="nil"/>
            </w:tcBorders>
            <w:shd w:val="clear" w:color="auto" w:fill="auto"/>
            <w:vAlign w:val="center"/>
            <w:hideMark/>
          </w:tcPr>
          <w:p w14:paraId="6D933A8F"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11.880.000.000</w:t>
            </w:r>
          </w:p>
        </w:tc>
        <w:tc>
          <w:tcPr>
            <w:tcW w:w="1097" w:type="dxa"/>
            <w:tcBorders>
              <w:top w:val="nil"/>
              <w:left w:val="nil"/>
              <w:bottom w:val="nil"/>
              <w:right w:val="nil"/>
            </w:tcBorders>
            <w:shd w:val="clear" w:color="auto" w:fill="auto"/>
            <w:vAlign w:val="center"/>
            <w:hideMark/>
          </w:tcPr>
          <w:p w14:paraId="443A78BC"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EUR</w:t>
            </w:r>
          </w:p>
        </w:tc>
        <w:tc>
          <w:tcPr>
            <w:tcW w:w="1123" w:type="dxa"/>
            <w:tcBorders>
              <w:top w:val="nil"/>
              <w:left w:val="nil"/>
              <w:bottom w:val="nil"/>
              <w:right w:val="nil"/>
            </w:tcBorders>
            <w:shd w:val="clear" w:color="auto" w:fill="auto"/>
            <w:vAlign w:val="center"/>
            <w:hideMark/>
          </w:tcPr>
          <w:p w14:paraId="123696A5"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100.000.000</w:t>
            </w:r>
          </w:p>
        </w:tc>
      </w:tr>
      <w:tr w:rsidR="007E770D" w:rsidRPr="007E770D" w14:paraId="0D9E26C9" w14:textId="77777777" w:rsidTr="00E4657F">
        <w:trPr>
          <w:trHeight w:val="428"/>
        </w:trPr>
        <w:tc>
          <w:tcPr>
            <w:tcW w:w="881" w:type="dxa"/>
            <w:tcBorders>
              <w:top w:val="nil"/>
              <w:left w:val="nil"/>
              <w:bottom w:val="nil"/>
              <w:right w:val="nil"/>
            </w:tcBorders>
            <w:shd w:val="clear" w:color="000000" w:fill="E7E6E6"/>
            <w:vAlign w:val="center"/>
            <w:hideMark/>
          </w:tcPr>
          <w:p w14:paraId="0D12304B"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II.</w:t>
            </w:r>
          </w:p>
        </w:tc>
        <w:tc>
          <w:tcPr>
            <w:tcW w:w="5496" w:type="dxa"/>
            <w:tcBorders>
              <w:top w:val="nil"/>
              <w:left w:val="nil"/>
              <w:bottom w:val="nil"/>
              <w:right w:val="nil"/>
            </w:tcBorders>
            <w:shd w:val="clear" w:color="000000" w:fill="E7E6E6"/>
            <w:vAlign w:val="center"/>
            <w:hideMark/>
          </w:tcPr>
          <w:p w14:paraId="0DD35603"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Немачкој развојној банци (KfW)</w:t>
            </w:r>
          </w:p>
        </w:tc>
        <w:tc>
          <w:tcPr>
            <w:tcW w:w="1300" w:type="dxa"/>
            <w:tcBorders>
              <w:top w:val="nil"/>
              <w:left w:val="nil"/>
              <w:bottom w:val="nil"/>
              <w:right w:val="nil"/>
            </w:tcBorders>
            <w:shd w:val="clear" w:color="000000" w:fill="E7E6E6"/>
            <w:vAlign w:val="center"/>
            <w:hideMark/>
          </w:tcPr>
          <w:p w14:paraId="7F975D5E"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 </w:t>
            </w:r>
          </w:p>
        </w:tc>
        <w:tc>
          <w:tcPr>
            <w:tcW w:w="1097" w:type="dxa"/>
            <w:tcBorders>
              <w:top w:val="nil"/>
              <w:left w:val="nil"/>
              <w:bottom w:val="nil"/>
              <w:right w:val="nil"/>
            </w:tcBorders>
            <w:shd w:val="clear" w:color="000000" w:fill="E7E6E6"/>
            <w:vAlign w:val="center"/>
            <w:hideMark/>
          </w:tcPr>
          <w:p w14:paraId="6CE5ECC3"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 </w:t>
            </w:r>
          </w:p>
        </w:tc>
        <w:tc>
          <w:tcPr>
            <w:tcW w:w="1123" w:type="dxa"/>
            <w:tcBorders>
              <w:top w:val="nil"/>
              <w:left w:val="nil"/>
              <w:bottom w:val="nil"/>
              <w:right w:val="nil"/>
            </w:tcBorders>
            <w:shd w:val="clear" w:color="000000" w:fill="E7E6E6"/>
            <w:vAlign w:val="center"/>
            <w:hideMark/>
          </w:tcPr>
          <w:p w14:paraId="4BB8DA5E"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 </w:t>
            </w:r>
          </w:p>
        </w:tc>
      </w:tr>
      <w:tr w:rsidR="007E770D" w:rsidRPr="007E770D" w14:paraId="0582F3FE" w14:textId="77777777" w:rsidTr="00E4657F">
        <w:trPr>
          <w:trHeight w:val="797"/>
        </w:trPr>
        <w:tc>
          <w:tcPr>
            <w:tcW w:w="881" w:type="dxa"/>
            <w:tcBorders>
              <w:top w:val="nil"/>
              <w:left w:val="nil"/>
              <w:bottom w:val="nil"/>
              <w:right w:val="nil"/>
            </w:tcBorders>
            <w:shd w:val="clear" w:color="auto" w:fill="auto"/>
            <w:vAlign w:val="center"/>
            <w:hideMark/>
          </w:tcPr>
          <w:p w14:paraId="0742B04F"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w:t>
            </w:r>
          </w:p>
        </w:tc>
        <w:tc>
          <w:tcPr>
            <w:tcW w:w="5496" w:type="dxa"/>
            <w:tcBorders>
              <w:top w:val="nil"/>
              <w:left w:val="nil"/>
              <w:bottom w:val="nil"/>
              <w:right w:val="nil"/>
            </w:tcBorders>
            <w:shd w:val="clear" w:color="auto" w:fill="auto"/>
            <w:vAlign w:val="center"/>
            <w:hideMark/>
          </w:tcPr>
          <w:p w14:paraId="24727E86" w14:textId="77777777" w:rsidR="00187838" w:rsidRPr="007E770D" w:rsidRDefault="00187838" w:rsidP="00E4657F">
            <w:pPr>
              <w:spacing w:after="0" w:line="240" w:lineRule="auto"/>
              <w:jc w:val="lef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АД „Електромрежа Србије” – Трансбалкански коридор Обреновац–Бајина Башта/Бајина Башта–Пљевља (Црна Гора)–Вишеград (Босна и Херцеговина)</w:t>
            </w:r>
          </w:p>
        </w:tc>
        <w:tc>
          <w:tcPr>
            <w:tcW w:w="1300" w:type="dxa"/>
            <w:tcBorders>
              <w:top w:val="nil"/>
              <w:left w:val="nil"/>
              <w:bottom w:val="nil"/>
              <w:right w:val="nil"/>
            </w:tcBorders>
            <w:shd w:val="clear" w:color="auto" w:fill="auto"/>
            <w:vAlign w:val="center"/>
            <w:hideMark/>
          </w:tcPr>
          <w:p w14:paraId="576C9A84"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4.752.000.000</w:t>
            </w:r>
          </w:p>
        </w:tc>
        <w:tc>
          <w:tcPr>
            <w:tcW w:w="1097" w:type="dxa"/>
            <w:tcBorders>
              <w:top w:val="nil"/>
              <w:left w:val="nil"/>
              <w:bottom w:val="nil"/>
              <w:right w:val="nil"/>
            </w:tcBorders>
            <w:shd w:val="clear" w:color="auto" w:fill="auto"/>
            <w:vAlign w:val="center"/>
            <w:hideMark/>
          </w:tcPr>
          <w:p w14:paraId="7C70B0DC"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EUR</w:t>
            </w:r>
          </w:p>
        </w:tc>
        <w:tc>
          <w:tcPr>
            <w:tcW w:w="1123" w:type="dxa"/>
            <w:tcBorders>
              <w:top w:val="nil"/>
              <w:left w:val="nil"/>
              <w:bottom w:val="nil"/>
              <w:right w:val="nil"/>
            </w:tcBorders>
            <w:shd w:val="clear" w:color="auto" w:fill="auto"/>
            <w:vAlign w:val="center"/>
            <w:hideMark/>
          </w:tcPr>
          <w:p w14:paraId="0A3DF23E"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40.000.000</w:t>
            </w:r>
          </w:p>
        </w:tc>
      </w:tr>
      <w:tr w:rsidR="007E770D" w:rsidRPr="007E770D" w14:paraId="0716A8E8" w14:textId="77777777" w:rsidTr="00E4657F">
        <w:trPr>
          <w:trHeight w:val="428"/>
        </w:trPr>
        <w:tc>
          <w:tcPr>
            <w:tcW w:w="881" w:type="dxa"/>
            <w:tcBorders>
              <w:top w:val="nil"/>
              <w:left w:val="nil"/>
              <w:bottom w:val="nil"/>
              <w:right w:val="nil"/>
            </w:tcBorders>
            <w:shd w:val="clear" w:color="auto" w:fill="auto"/>
            <w:vAlign w:val="center"/>
            <w:hideMark/>
          </w:tcPr>
          <w:p w14:paraId="0BD704FC"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p>
        </w:tc>
        <w:tc>
          <w:tcPr>
            <w:tcW w:w="5496" w:type="dxa"/>
            <w:tcBorders>
              <w:top w:val="nil"/>
              <w:left w:val="nil"/>
              <w:bottom w:val="nil"/>
              <w:right w:val="nil"/>
            </w:tcBorders>
            <w:shd w:val="clear" w:color="auto" w:fill="auto"/>
            <w:vAlign w:val="center"/>
            <w:hideMark/>
          </w:tcPr>
          <w:p w14:paraId="52E6E361"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Укупно:</w:t>
            </w:r>
          </w:p>
        </w:tc>
        <w:tc>
          <w:tcPr>
            <w:tcW w:w="1300" w:type="dxa"/>
            <w:tcBorders>
              <w:top w:val="nil"/>
              <w:left w:val="nil"/>
              <w:bottom w:val="nil"/>
              <w:right w:val="nil"/>
            </w:tcBorders>
            <w:shd w:val="clear" w:color="auto" w:fill="auto"/>
            <w:vAlign w:val="center"/>
            <w:hideMark/>
          </w:tcPr>
          <w:p w14:paraId="7EADE40A"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4.752.000.000</w:t>
            </w:r>
          </w:p>
        </w:tc>
        <w:tc>
          <w:tcPr>
            <w:tcW w:w="1097" w:type="dxa"/>
            <w:tcBorders>
              <w:top w:val="nil"/>
              <w:left w:val="nil"/>
              <w:bottom w:val="nil"/>
              <w:right w:val="nil"/>
            </w:tcBorders>
            <w:shd w:val="clear" w:color="auto" w:fill="auto"/>
            <w:vAlign w:val="center"/>
            <w:hideMark/>
          </w:tcPr>
          <w:p w14:paraId="701251BC"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EUR</w:t>
            </w:r>
          </w:p>
        </w:tc>
        <w:tc>
          <w:tcPr>
            <w:tcW w:w="1123" w:type="dxa"/>
            <w:tcBorders>
              <w:top w:val="nil"/>
              <w:left w:val="nil"/>
              <w:bottom w:val="nil"/>
              <w:right w:val="nil"/>
            </w:tcBorders>
            <w:shd w:val="clear" w:color="auto" w:fill="auto"/>
            <w:vAlign w:val="center"/>
            <w:hideMark/>
          </w:tcPr>
          <w:p w14:paraId="09D68E1D"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40.000.000</w:t>
            </w:r>
          </w:p>
        </w:tc>
      </w:tr>
      <w:tr w:rsidR="007E770D" w:rsidRPr="007E770D" w14:paraId="0BAF58E7" w14:textId="77777777" w:rsidTr="00E4657F">
        <w:trPr>
          <w:trHeight w:val="398"/>
        </w:trPr>
        <w:tc>
          <w:tcPr>
            <w:tcW w:w="881" w:type="dxa"/>
            <w:tcBorders>
              <w:top w:val="nil"/>
              <w:left w:val="nil"/>
              <w:bottom w:val="nil"/>
              <w:right w:val="nil"/>
            </w:tcBorders>
            <w:shd w:val="clear" w:color="000000" w:fill="E7E6E6"/>
            <w:vAlign w:val="center"/>
            <w:hideMark/>
          </w:tcPr>
          <w:p w14:paraId="0B5A92DE"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III.</w:t>
            </w:r>
          </w:p>
        </w:tc>
        <w:tc>
          <w:tcPr>
            <w:tcW w:w="5496" w:type="dxa"/>
            <w:tcBorders>
              <w:top w:val="nil"/>
              <w:left w:val="nil"/>
              <w:bottom w:val="nil"/>
              <w:right w:val="nil"/>
            </w:tcBorders>
            <w:shd w:val="clear" w:color="000000" w:fill="E7E6E6"/>
            <w:vAlign w:val="center"/>
            <w:hideMark/>
          </w:tcPr>
          <w:p w14:paraId="2CC1062C"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Европској инвестиционој банци</w:t>
            </w:r>
          </w:p>
        </w:tc>
        <w:tc>
          <w:tcPr>
            <w:tcW w:w="1300" w:type="dxa"/>
            <w:tcBorders>
              <w:top w:val="nil"/>
              <w:left w:val="nil"/>
              <w:bottom w:val="nil"/>
              <w:right w:val="nil"/>
            </w:tcBorders>
            <w:shd w:val="clear" w:color="000000" w:fill="E7E6E6"/>
            <w:vAlign w:val="center"/>
            <w:hideMark/>
          </w:tcPr>
          <w:p w14:paraId="04169051"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 </w:t>
            </w:r>
          </w:p>
        </w:tc>
        <w:tc>
          <w:tcPr>
            <w:tcW w:w="1097" w:type="dxa"/>
            <w:tcBorders>
              <w:top w:val="nil"/>
              <w:left w:val="nil"/>
              <w:bottom w:val="nil"/>
              <w:right w:val="nil"/>
            </w:tcBorders>
            <w:shd w:val="clear" w:color="000000" w:fill="E7E6E6"/>
            <w:vAlign w:val="center"/>
            <w:hideMark/>
          </w:tcPr>
          <w:p w14:paraId="70AB2E18"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 </w:t>
            </w:r>
          </w:p>
        </w:tc>
        <w:tc>
          <w:tcPr>
            <w:tcW w:w="1123" w:type="dxa"/>
            <w:tcBorders>
              <w:top w:val="nil"/>
              <w:left w:val="nil"/>
              <w:bottom w:val="nil"/>
              <w:right w:val="nil"/>
            </w:tcBorders>
            <w:shd w:val="clear" w:color="000000" w:fill="E7E6E6"/>
            <w:vAlign w:val="center"/>
            <w:hideMark/>
          </w:tcPr>
          <w:p w14:paraId="7214312C"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 </w:t>
            </w:r>
          </w:p>
        </w:tc>
      </w:tr>
      <w:tr w:rsidR="007E770D" w:rsidRPr="007E770D" w14:paraId="13361383" w14:textId="77777777" w:rsidTr="00E4657F">
        <w:trPr>
          <w:trHeight w:val="1328"/>
        </w:trPr>
        <w:tc>
          <w:tcPr>
            <w:tcW w:w="881" w:type="dxa"/>
            <w:tcBorders>
              <w:top w:val="nil"/>
              <w:left w:val="nil"/>
              <w:bottom w:val="nil"/>
              <w:right w:val="nil"/>
            </w:tcBorders>
            <w:shd w:val="clear" w:color="auto" w:fill="auto"/>
            <w:vAlign w:val="center"/>
            <w:hideMark/>
          </w:tcPr>
          <w:p w14:paraId="60F24964"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w:t>
            </w:r>
          </w:p>
        </w:tc>
        <w:tc>
          <w:tcPr>
            <w:tcW w:w="5496" w:type="dxa"/>
            <w:tcBorders>
              <w:top w:val="nil"/>
              <w:left w:val="nil"/>
              <w:bottom w:val="nil"/>
              <w:right w:val="nil"/>
            </w:tcBorders>
            <w:shd w:val="clear" w:color="auto" w:fill="auto"/>
            <w:vAlign w:val="center"/>
            <w:hideMark/>
          </w:tcPr>
          <w:p w14:paraId="49F6795D" w14:textId="77777777" w:rsidR="00187838" w:rsidRPr="007E770D" w:rsidRDefault="00187838" w:rsidP="00E4657F">
            <w:pPr>
              <w:spacing w:after="0" w:line="240" w:lineRule="auto"/>
              <w:jc w:val="lef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Акционарско друштво за управљање јавном железничком инфраструктуром „Инфраструктура железнице Србије”, Београд – Пројекат реконструкције и изградње другог колосека на прузи Београд–Младеновац–Ниш–Прешево–државна граница, деоница Сталаћ–Ђунис</w:t>
            </w:r>
          </w:p>
        </w:tc>
        <w:tc>
          <w:tcPr>
            <w:tcW w:w="1300" w:type="dxa"/>
            <w:tcBorders>
              <w:top w:val="nil"/>
              <w:left w:val="nil"/>
              <w:bottom w:val="nil"/>
              <w:right w:val="nil"/>
            </w:tcBorders>
            <w:shd w:val="clear" w:color="auto" w:fill="auto"/>
            <w:vAlign w:val="center"/>
            <w:hideMark/>
          </w:tcPr>
          <w:p w14:paraId="0F9ABE2E"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11.880.000.000</w:t>
            </w:r>
          </w:p>
        </w:tc>
        <w:tc>
          <w:tcPr>
            <w:tcW w:w="1097" w:type="dxa"/>
            <w:tcBorders>
              <w:top w:val="nil"/>
              <w:left w:val="nil"/>
              <w:bottom w:val="nil"/>
              <w:right w:val="nil"/>
            </w:tcBorders>
            <w:shd w:val="clear" w:color="auto" w:fill="auto"/>
            <w:vAlign w:val="center"/>
            <w:hideMark/>
          </w:tcPr>
          <w:p w14:paraId="3E7E9293"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EUR</w:t>
            </w:r>
          </w:p>
        </w:tc>
        <w:tc>
          <w:tcPr>
            <w:tcW w:w="1123" w:type="dxa"/>
            <w:tcBorders>
              <w:top w:val="nil"/>
              <w:left w:val="nil"/>
              <w:bottom w:val="nil"/>
              <w:right w:val="nil"/>
            </w:tcBorders>
            <w:shd w:val="clear" w:color="auto" w:fill="auto"/>
            <w:vAlign w:val="center"/>
            <w:hideMark/>
          </w:tcPr>
          <w:p w14:paraId="18C9DD28"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100.000.000</w:t>
            </w:r>
          </w:p>
        </w:tc>
      </w:tr>
      <w:tr w:rsidR="007E770D" w:rsidRPr="007E770D" w14:paraId="0DDC07D8" w14:textId="77777777" w:rsidTr="00E4657F">
        <w:trPr>
          <w:trHeight w:val="332"/>
        </w:trPr>
        <w:tc>
          <w:tcPr>
            <w:tcW w:w="881" w:type="dxa"/>
            <w:tcBorders>
              <w:top w:val="nil"/>
              <w:left w:val="nil"/>
              <w:bottom w:val="nil"/>
              <w:right w:val="nil"/>
            </w:tcBorders>
            <w:shd w:val="clear" w:color="auto" w:fill="auto"/>
            <w:vAlign w:val="center"/>
            <w:hideMark/>
          </w:tcPr>
          <w:p w14:paraId="1C97431D"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p>
        </w:tc>
        <w:tc>
          <w:tcPr>
            <w:tcW w:w="5496" w:type="dxa"/>
            <w:tcBorders>
              <w:top w:val="nil"/>
              <w:left w:val="nil"/>
              <w:bottom w:val="nil"/>
              <w:right w:val="nil"/>
            </w:tcBorders>
            <w:shd w:val="clear" w:color="auto" w:fill="auto"/>
            <w:vAlign w:val="center"/>
            <w:hideMark/>
          </w:tcPr>
          <w:p w14:paraId="71F65DB0"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Укупно:</w:t>
            </w:r>
          </w:p>
        </w:tc>
        <w:tc>
          <w:tcPr>
            <w:tcW w:w="1300" w:type="dxa"/>
            <w:tcBorders>
              <w:top w:val="nil"/>
              <w:left w:val="nil"/>
              <w:bottom w:val="nil"/>
              <w:right w:val="nil"/>
            </w:tcBorders>
            <w:shd w:val="clear" w:color="auto" w:fill="auto"/>
            <w:vAlign w:val="center"/>
            <w:hideMark/>
          </w:tcPr>
          <w:p w14:paraId="137524F2"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11.880.000.000</w:t>
            </w:r>
          </w:p>
        </w:tc>
        <w:tc>
          <w:tcPr>
            <w:tcW w:w="1097" w:type="dxa"/>
            <w:tcBorders>
              <w:top w:val="nil"/>
              <w:left w:val="nil"/>
              <w:bottom w:val="nil"/>
              <w:right w:val="nil"/>
            </w:tcBorders>
            <w:shd w:val="clear" w:color="auto" w:fill="auto"/>
            <w:vAlign w:val="center"/>
            <w:hideMark/>
          </w:tcPr>
          <w:p w14:paraId="10172312"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EUR</w:t>
            </w:r>
          </w:p>
        </w:tc>
        <w:tc>
          <w:tcPr>
            <w:tcW w:w="1123" w:type="dxa"/>
            <w:tcBorders>
              <w:top w:val="nil"/>
              <w:left w:val="nil"/>
              <w:bottom w:val="nil"/>
              <w:right w:val="nil"/>
            </w:tcBorders>
            <w:shd w:val="clear" w:color="auto" w:fill="auto"/>
            <w:vAlign w:val="center"/>
            <w:hideMark/>
          </w:tcPr>
          <w:p w14:paraId="62A92422"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100.000.000</w:t>
            </w:r>
          </w:p>
        </w:tc>
      </w:tr>
      <w:tr w:rsidR="007E770D" w:rsidRPr="007E770D" w14:paraId="2294F66E" w14:textId="77777777" w:rsidTr="00E4657F">
        <w:trPr>
          <w:trHeight w:val="428"/>
        </w:trPr>
        <w:tc>
          <w:tcPr>
            <w:tcW w:w="881" w:type="dxa"/>
            <w:tcBorders>
              <w:top w:val="nil"/>
              <w:left w:val="nil"/>
              <w:bottom w:val="nil"/>
              <w:right w:val="nil"/>
            </w:tcBorders>
            <w:shd w:val="clear" w:color="000000" w:fill="E7E6E6"/>
            <w:vAlign w:val="center"/>
            <w:hideMark/>
          </w:tcPr>
          <w:p w14:paraId="4D2594A1"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IV.</w:t>
            </w:r>
          </w:p>
        </w:tc>
        <w:tc>
          <w:tcPr>
            <w:tcW w:w="5496" w:type="dxa"/>
            <w:tcBorders>
              <w:top w:val="nil"/>
              <w:left w:val="nil"/>
              <w:bottom w:val="nil"/>
              <w:right w:val="nil"/>
            </w:tcBorders>
            <w:shd w:val="clear" w:color="000000" w:fill="E7E6E6"/>
            <w:vAlign w:val="center"/>
            <w:hideMark/>
          </w:tcPr>
          <w:p w14:paraId="35C3AFF1"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Пословним банкама</w:t>
            </w:r>
          </w:p>
        </w:tc>
        <w:tc>
          <w:tcPr>
            <w:tcW w:w="1300" w:type="dxa"/>
            <w:tcBorders>
              <w:top w:val="nil"/>
              <w:left w:val="nil"/>
              <w:bottom w:val="nil"/>
              <w:right w:val="nil"/>
            </w:tcBorders>
            <w:shd w:val="clear" w:color="000000" w:fill="E7E6E6"/>
            <w:vAlign w:val="center"/>
            <w:hideMark/>
          </w:tcPr>
          <w:p w14:paraId="2F418705" w14:textId="77777777" w:rsidR="00187838" w:rsidRPr="007E770D" w:rsidRDefault="00187838" w:rsidP="00E4657F">
            <w:pPr>
              <w:spacing w:after="0" w:line="240" w:lineRule="auto"/>
              <w:jc w:val="left"/>
              <w:rPr>
                <w:rFonts w:ascii="Calibri" w:eastAsia="Times New Roman" w:hAnsi="Calibri" w:cs="Calibri"/>
                <w:color w:val="auto"/>
                <w:sz w:val="22"/>
                <w:lang w:val="sr-Cyrl-CS" w:eastAsia="sr-Cyrl-RS"/>
              </w:rPr>
            </w:pPr>
            <w:r w:rsidRPr="007E770D">
              <w:rPr>
                <w:rFonts w:ascii="Calibri" w:eastAsia="Times New Roman" w:hAnsi="Calibri" w:cs="Calibri"/>
                <w:color w:val="auto"/>
                <w:sz w:val="22"/>
                <w:lang w:val="sr-Cyrl-CS" w:eastAsia="sr-Cyrl-RS"/>
              </w:rPr>
              <w:t> </w:t>
            </w:r>
          </w:p>
        </w:tc>
        <w:tc>
          <w:tcPr>
            <w:tcW w:w="1097" w:type="dxa"/>
            <w:tcBorders>
              <w:top w:val="nil"/>
              <w:left w:val="nil"/>
              <w:bottom w:val="nil"/>
              <w:right w:val="nil"/>
            </w:tcBorders>
            <w:shd w:val="clear" w:color="000000" w:fill="E7E6E6"/>
            <w:vAlign w:val="bottom"/>
            <w:hideMark/>
          </w:tcPr>
          <w:p w14:paraId="7FE595D1" w14:textId="77777777" w:rsidR="00187838" w:rsidRPr="007E770D" w:rsidRDefault="00187838" w:rsidP="00E4657F">
            <w:pPr>
              <w:spacing w:after="0" w:line="240" w:lineRule="auto"/>
              <w:jc w:val="left"/>
              <w:rPr>
                <w:rFonts w:ascii="Calibri" w:eastAsia="Times New Roman" w:hAnsi="Calibri" w:cs="Calibri"/>
                <w:color w:val="auto"/>
                <w:sz w:val="22"/>
                <w:lang w:val="sr-Cyrl-CS" w:eastAsia="sr-Cyrl-RS"/>
              </w:rPr>
            </w:pPr>
            <w:r w:rsidRPr="007E770D">
              <w:rPr>
                <w:rFonts w:ascii="Calibri" w:eastAsia="Times New Roman" w:hAnsi="Calibri" w:cs="Calibri"/>
                <w:color w:val="auto"/>
                <w:sz w:val="22"/>
                <w:lang w:val="sr-Cyrl-CS" w:eastAsia="sr-Cyrl-RS"/>
              </w:rPr>
              <w:t> </w:t>
            </w:r>
          </w:p>
        </w:tc>
        <w:tc>
          <w:tcPr>
            <w:tcW w:w="1123" w:type="dxa"/>
            <w:tcBorders>
              <w:top w:val="nil"/>
              <w:left w:val="nil"/>
              <w:bottom w:val="nil"/>
              <w:right w:val="nil"/>
            </w:tcBorders>
            <w:shd w:val="clear" w:color="000000" w:fill="E7E6E6"/>
            <w:vAlign w:val="center"/>
            <w:hideMark/>
          </w:tcPr>
          <w:p w14:paraId="25B16C50" w14:textId="77777777" w:rsidR="00187838" w:rsidRPr="007E770D" w:rsidRDefault="00187838" w:rsidP="00E4657F">
            <w:pPr>
              <w:spacing w:after="0" w:line="240" w:lineRule="auto"/>
              <w:jc w:val="left"/>
              <w:rPr>
                <w:rFonts w:ascii="Calibri" w:eastAsia="Times New Roman" w:hAnsi="Calibri" w:cs="Calibri"/>
                <w:color w:val="auto"/>
                <w:sz w:val="22"/>
                <w:lang w:val="sr-Cyrl-CS" w:eastAsia="sr-Cyrl-RS"/>
              </w:rPr>
            </w:pPr>
            <w:r w:rsidRPr="007E770D">
              <w:rPr>
                <w:rFonts w:ascii="Calibri" w:eastAsia="Times New Roman" w:hAnsi="Calibri" w:cs="Calibri"/>
                <w:color w:val="auto"/>
                <w:sz w:val="22"/>
                <w:lang w:val="sr-Cyrl-CS" w:eastAsia="sr-Cyrl-RS"/>
              </w:rPr>
              <w:t> </w:t>
            </w:r>
          </w:p>
        </w:tc>
      </w:tr>
      <w:tr w:rsidR="007E770D" w:rsidRPr="007E770D" w14:paraId="5EF6360E" w14:textId="77777777" w:rsidTr="00E4657F">
        <w:trPr>
          <w:trHeight w:val="531"/>
        </w:trPr>
        <w:tc>
          <w:tcPr>
            <w:tcW w:w="881" w:type="dxa"/>
            <w:tcBorders>
              <w:top w:val="nil"/>
              <w:left w:val="nil"/>
              <w:bottom w:val="nil"/>
              <w:right w:val="nil"/>
            </w:tcBorders>
            <w:shd w:val="clear" w:color="auto" w:fill="auto"/>
            <w:vAlign w:val="center"/>
            <w:hideMark/>
          </w:tcPr>
          <w:p w14:paraId="47BEAABC"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w:t>
            </w:r>
          </w:p>
        </w:tc>
        <w:tc>
          <w:tcPr>
            <w:tcW w:w="5496" w:type="dxa"/>
            <w:tcBorders>
              <w:top w:val="nil"/>
              <w:left w:val="nil"/>
              <w:bottom w:val="nil"/>
              <w:right w:val="nil"/>
            </w:tcBorders>
            <w:shd w:val="clear" w:color="auto" w:fill="auto"/>
            <w:vAlign w:val="center"/>
            <w:hideMark/>
          </w:tcPr>
          <w:p w14:paraId="78A8C0CA"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ЈП „Србијагас” – Изградња разводног гасовода Александровац–Брус–Копаоник-Рашка–Нови Пазар–Тутин (III фаза)</w:t>
            </w:r>
          </w:p>
        </w:tc>
        <w:tc>
          <w:tcPr>
            <w:tcW w:w="1300" w:type="dxa"/>
            <w:tcBorders>
              <w:top w:val="nil"/>
              <w:left w:val="nil"/>
              <w:bottom w:val="nil"/>
              <w:right w:val="nil"/>
            </w:tcBorders>
            <w:shd w:val="clear" w:color="auto" w:fill="auto"/>
            <w:vAlign w:val="center"/>
            <w:hideMark/>
          </w:tcPr>
          <w:p w14:paraId="7CF9050F"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2.376.000.000</w:t>
            </w:r>
          </w:p>
        </w:tc>
        <w:tc>
          <w:tcPr>
            <w:tcW w:w="1097" w:type="dxa"/>
            <w:tcBorders>
              <w:top w:val="nil"/>
              <w:left w:val="nil"/>
              <w:bottom w:val="nil"/>
              <w:right w:val="nil"/>
            </w:tcBorders>
            <w:shd w:val="clear" w:color="auto" w:fill="auto"/>
            <w:vAlign w:val="center"/>
            <w:hideMark/>
          </w:tcPr>
          <w:p w14:paraId="7843FE11"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EUR</w:t>
            </w:r>
          </w:p>
        </w:tc>
        <w:tc>
          <w:tcPr>
            <w:tcW w:w="1123" w:type="dxa"/>
            <w:tcBorders>
              <w:top w:val="nil"/>
              <w:left w:val="nil"/>
              <w:bottom w:val="nil"/>
              <w:right w:val="nil"/>
            </w:tcBorders>
            <w:shd w:val="clear" w:color="auto" w:fill="auto"/>
            <w:vAlign w:val="center"/>
            <w:hideMark/>
          </w:tcPr>
          <w:p w14:paraId="6376C87C"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20.000.000</w:t>
            </w:r>
          </w:p>
        </w:tc>
      </w:tr>
      <w:tr w:rsidR="007E770D" w:rsidRPr="007E770D" w14:paraId="2E1AF4AB" w14:textId="77777777" w:rsidTr="00E4657F">
        <w:trPr>
          <w:trHeight w:val="1063"/>
        </w:trPr>
        <w:tc>
          <w:tcPr>
            <w:tcW w:w="881" w:type="dxa"/>
            <w:tcBorders>
              <w:top w:val="nil"/>
              <w:left w:val="nil"/>
              <w:bottom w:val="nil"/>
              <w:right w:val="nil"/>
            </w:tcBorders>
            <w:shd w:val="clear" w:color="auto" w:fill="auto"/>
            <w:vAlign w:val="center"/>
            <w:hideMark/>
          </w:tcPr>
          <w:p w14:paraId="26849E57"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 xml:space="preserve">2. </w:t>
            </w:r>
          </w:p>
        </w:tc>
        <w:tc>
          <w:tcPr>
            <w:tcW w:w="5496" w:type="dxa"/>
            <w:tcBorders>
              <w:top w:val="nil"/>
              <w:left w:val="nil"/>
              <w:bottom w:val="nil"/>
              <w:right w:val="nil"/>
            </w:tcBorders>
            <w:shd w:val="clear" w:color="auto" w:fill="auto"/>
            <w:vAlign w:val="center"/>
            <w:hideMark/>
          </w:tcPr>
          <w:p w14:paraId="48BB2E9F" w14:textId="77777777" w:rsidR="00187838" w:rsidRPr="007E770D" w:rsidRDefault="00187838" w:rsidP="00E4657F">
            <w:pPr>
              <w:spacing w:after="0" w:line="240" w:lineRule="auto"/>
              <w:jc w:val="lef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ЈП „Србијагас” – Изградња гасовода на територији Рeпублике Србије од границе са Републиком Бугарском до границе са Мађарском и другим суседним земљама са Републиком Србијом кроз улагање у капитал акционарског друштва South Stream Serbia AG, Zug, Швајцарска</w:t>
            </w:r>
          </w:p>
        </w:tc>
        <w:tc>
          <w:tcPr>
            <w:tcW w:w="1300" w:type="dxa"/>
            <w:tcBorders>
              <w:top w:val="nil"/>
              <w:left w:val="nil"/>
              <w:bottom w:val="nil"/>
              <w:right w:val="nil"/>
            </w:tcBorders>
            <w:shd w:val="clear" w:color="auto" w:fill="auto"/>
            <w:vAlign w:val="center"/>
            <w:hideMark/>
          </w:tcPr>
          <w:p w14:paraId="4FF85A62"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8.316.000.000</w:t>
            </w:r>
          </w:p>
        </w:tc>
        <w:tc>
          <w:tcPr>
            <w:tcW w:w="1097" w:type="dxa"/>
            <w:tcBorders>
              <w:top w:val="nil"/>
              <w:left w:val="nil"/>
              <w:bottom w:val="nil"/>
              <w:right w:val="nil"/>
            </w:tcBorders>
            <w:shd w:val="clear" w:color="auto" w:fill="auto"/>
            <w:vAlign w:val="center"/>
            <w:hideMark/>
          </w:tcPr>
          <w:p w14:paraId="05B04C87"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EUR</w:t>
            </w:r>
          </w:p>
        </w:tc>
        <w:tc>
          <w:tcPr>
            <w:tcW w:w="1123" w:type="dxa"/>
            <w:tcBorders>
              <w:top w:val="nil"/>
              <w:left w:val="nil"/>
              <w:bottom w:val="nil"/>
              <w:right w:val="nil"/>
            </w:tcBorders>
            <w:shd w:val="clear" w:color="auto" w:fill="auto"/>
            <w:vAlign w:val="center"/>
            <w:hideMark/>
          </w:tcPr>
          <w:p w14:paraId="5774923C"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70.000.000</w:t>
            </w:r>
          </w:p>
        </w:tc>
      </w:tr>
      <w:tr w:rsidR="007E770D" w:rsidRPr="007E770D" w14:paraId="400D2865" w14:textId="77777777" w:rsidTr="00E4657F">
        <w:trPr>
          <w:trHeight w:val="332"/>
        </w:trPr>
        <w:tc>
          <w:tcPr>
            <w:tcW w:w="881" w:type="dxa"/>
            <w:tcBorders>
              <w:top w:val="nil"/>
              <w:left w:val="nil"/>
              <w:bottom w:val="nil"/>
              <w:right w:val="nil"/>
            </w:tcBorders>
            <w:shd w:val="clear" w:color="auto" w:fill="auto"/>
            <w:vAlign w:val="center"/>
            <w:hideMark/>
          </w:tcPr>
          <w:p w14:paraId="5B291B09"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3.</w:t>
            </w:r>
          </w:p>
        </w:tc>
        <w:tc>
          <w:tcPr>
            <w:tcW w:w="5496" w:type="dxa"/>
            <w:tcBorders>
              <w:top w:val="nil"/>
              <w:left w:val="nil"/>
              <w:bottom w:val="nil"/>
              <w:right w:val="nil"/>
            </w:tcBorders>
            <w:shd w:val="clear" w:color="auto" w:fill="auto"/>
            <w:vAlign w:val="center"/>
            <w:hideMark/>
          </w:tcPr>
          <w:p w14:paraId="52FF1D15" w14:textId="77777777" w:rsidR="00187838" w:rsidRPr="007E770D" w:rsidRDefault="00187838" w:rsidP="00E4657F">
            <w:pPr>
              <w:spacing w:after="0" w:line="240" w:lineRule="auto"/>
              <w:jc w:val="lef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ЈП „Електропривреда Србије” –Одсумпоравање ТЕНТ Б</w:t>
            </w:r>
          </w:p>
        </w:tc>
        <w:tc>
          <w:tcPr>
            <w:tcW w:w="1300" w:type="dxa"/>
            <w:tcBorders>
              <w:top w:val="nil"/>
              <w:left w:val="nil"/>
              <w:bottom w:val="nil"/>
              <w:right w:val="nil"/>
            </w:tcBorders>
            <w:shd w:val="clear" w:color="auto" w:fill="auto"/>
            <w:vAlign w:val="center"/>
            <w:hideMark/>
          </w:tcPr>
          <w:p w14:paraId="200B8F4A"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16.038.000.000</w:t>
            </w:r>
          </w:p>
        </w:tc>
        <w:tc>
          <w:tcPr>
            <w:tcW w:w="1097" w:type="dxa"/>
            <w:tcBorders>
              <w:top w:val="nil"/>
              <w:left w:val="nil"/>
              <w:bottom w:val="nil"/>
              <w:right w:val="nil"/>
            </w:tcBorders>
            <w:shd w:val="clear" w:color="auto" w:fill="auto"/>
            <w:vAlign w:val="center"/>
            <w:hideMark/>
          </w:tcPr>
          <w:p w14:paraId="7684C97E"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EUR</w:t>
            </w:r>
          </w:p>
        </w:tc>
        <w:tc>
          <w:tcPr>
            <w:tcW w:w="1123" w:type="dxa"/>
            <w:tcBorders>
              <w:top w:val="nil"/>
              <w:left w:val="nil"/>
              <w:bottom w:val="nil"/>
              <w:right w:val="nil"/>
            </w:tcBorders>
            <w:shd w:val="clear" w:color="auto" w:fill="auto"/>
            <w:vAlign w:val="center"/>
            <w:hideMark/>
          </w:tcPr>
          <w:p w14:paraId="5F32EF24"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135.000.000</w:t>
            </w:r>
          </w:p>
        </w:tc>
      </w:tr>
      <w:tr w:rsidR="007E770D" w:rsidRPr="007E770D" w14:paraId="5B13C667" w14:textId="77777777" w:rsidTr="00E4657F">
        <w:trPr>
          <w:trHeight w:val="332"/>
        </w:trPr>
        <w:tc>
          <w:tcPr>
            <w:tcW w:w="881" w:type="dxa"/>
            <w:tcBorders>
              <w:top w:val="nil"/>
              <w:left w:val="nil"/>
              <w:bottom w:val="nil"/>
              <w:right w:val="nil"/>
            </w:tcBorders>
            <w:shd w:val="clear" w:color="auto" w:fill="auto"/>
            <w:vAlign w:val="center"/>
            <w:hideMark/>
          </w:tcPr>
          <w:p w14:paraId="53D38F3F"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p>
        </w:tc>
        <w:tc>
          <w:tcPr>
            <w:tcW w:w="5496" w:type="dxa"/>
            <w:tcBorders>
              <w:top w:val="nil"/>
              <w:left w:val="nil"/>
              <w:bottom w:val="nil"/>
              <w:right w:val="nil"/>
            </w:tcBorders>
            <w:shd w:val="clear" w:color="auto" w:fill="auto"/>
            <w:vAlign w:val="center"/>
            <w:hideMark/>
          </w:tcPr>
          <w:p w14:paraId="762B3495"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Укупно:</w:t>
            </w:r>
          </w:p>
        </w:tc>
        <w:tc>
          <w:tcPr>
            <w:tcW w:w="1300" w:type="dxa"/>
            <w:tcBorders>
              <w:top w:val="nil"/>
              <w:left w:val="nil"/>
              <w:bottom w:val="nil"/>
              <w:right w:val="nil"/>
            </w:tcBorders>
            <w:shd w:val="clear" w:color="auto" w:fill="auto"/>
            <w:vAlign w:val="center"/>
            <w:hideMark/>
          </w:tcPr>
          <w:p w14:paraId="728D2A04"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26.730.000.000</w:t>
            </w:r>
          </w:p>
        </w:tc>
        <w:tc>
          <w:tcPr>
            <w:tcW w:w="1097" w:type="dxa"/>
            <w:tcBorders>
              <w:top w:val="nil"/>
              <w:left w:val="nil"/>
              <w:bottom w:val="nil"/>
              <w:right w:val="nil"/>
            </w:tcBorders>
            <w:shd w:val="clear" w:color="auto" w:fill="auto"/>
            <w:vAlign w:val="center"/>
            <w:hideMark/>
          </w:tcPr>
          <w:p w14:paraId="2C91DF41"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EUR</w:t>
            </w:r>
          </w:p>
        </w:tc>
        <w:tc>
          <w:tcPr>
            <w:tcW w:w="1123" w:type="dxa"/>
            <w:tcBorders>
              <w:top w:val="nil"/>
              <w:left w:val="nil"/>
              <w:bottom w:val="nil"/>
              <w:right w:val="nil"/>
            </w:tcBorders>
            <w:shd w:val="clear" w:color="auto" w:fill="auto"/>
            <w:vAlign w:val="center"/>
            <w:hideMark/>
          </w:tcPr>
          <w:p w14:paraId="732E8791"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225.000.000</w:t>
            </w:r>
          </w:p>
        </w:tc>
      </w:tr>
      <w:tr w:rsidR="007E770D" w:rsidRPr="007E770D" w14:paraId="18115C01" w14:textId="77777777" w:rsidTr="00E4657F">
        <w:trPr>
          <w:trHeight w:val="428"/>
        </w:trPr>
        <w:tc>
          <w:tcPr>
            <w:tcW w:w="881" w:type="dxa"/>
            <w:tcBorders>
              <w:top w:val="nil"/>
              <w:left w:val="nil"/>
              <w:bottom w:val="nil"/>
              <w:right w:val="nil"/>
            </w:tcBorders>
            <w:shd w:val="clear" w:color="auto" w:fill="E7E6E6" w:themeFill="background2"/>
            <w:vAlign w:val="center"/>
            <w:hideMark/>
          </w:tcPr>
          <w:p w14:paraId="20AF39A8"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V.</w:t>
            </w:r>
          </w:p>
        </w:tc>
        <w:tc>
          <w:tcPr>
            <w:tcW w:w="5496" w:type="dxa"/>
            <w:tcBorders>
              <w:top w:val="nil"/>
              <w:left w:val="nil"/>
              <w:bottom w:val="nil"/>
              <w:right w:val="nil"/>
            </w:tcBorders>
            <w:shd w:val="clear" w:color="auto" w:fill="E7E6E6" w:themeFill="background2"/>
            <w:vAlign w:val="center"/>
            <w:hideMark/>
          </w:tcPr>
          <w:p w14:paraId="7D43AC82"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Кувајтски фонд за арапски економски развој</w:t>
            </w:r>
          </w:p>
        </w:tc>
        <w:tc>
          <w:tcPr>
            <w:tcW w:w="1300" w:type="dxa"/>
            <w:tcBorders>
              <w:top w:val="nil"/>
              <w:left w:val="nil"/>
              <w:bottom w:val="nil"/>
              <w:right w:val="nil"/>
            </w:tcBorders>
            <w:shd w:val="clear" w:color="auto" w:fill="E7E6E6" w:themeFill="background2"/>
            <w:vAlign w:val="bottom"/>
            <w:hideMark/>
          </w:tcPr>
          <w:p w14:paraId="283DE632"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p>
        </w:tc>
        <w:tc>
          <w:tcPr>
            <w:tcW w:w="1097" w:type="dxa"/>
            <w:tcBorders>
              <w:top w:val="nil"/>
              <w:left w:val="nil"/>
              <w:bottom w:val="nil"/>
              <w:right w:val="nil"/>
            </w:tcBorders>
            <w:shd w:val="clear" w:color="auto" w:fill="E7E6E6" w:themeFill="background2"/>
            <w:vAlign w:val="bottom"/>
            <w:hideMark/>
          </w:tcPr>
          <w:p w14:paraId="69B4E673" w14:textId="77777777" w:rsidR="00187838" w:rsidRPr="007E770D" w:rsidRDefault="00187838" w:rsidP="00E4657F">
            <w:pPr>
              <w:spacing w:after="0" w:line="240" w:lineRule="auto"/>
              <w:jc w:val="left"/>
              <w:rPr>
                <w:rFonts w:ascii="Times New Roman" w:eastAsia="Times New Roman" w:hAnsi="Times New Roman" w:cs="Times New Roman"/>
                <w:color w:val="auto"/>
                <w:szCs w:val="20"/>
                <w:lang w:val="sr-Cyrl-CS" w:eastAsia="sr-Cyrl-RS"/>
              </w:rPr>
            </w:pPr>
          </w:p>
        </w:tc>
        <w:tc>
          <w:tcPr>
            <w:tcW w:w="1123" w:type="dxa"/>
            <w:tcBorders>
              <w:top w:val="nil"/>
              <w:left w:val="nil"/>
              <w:bottom w:val="nil"/>
              <w:right w:val="nil"/>
            </w:tcBorders>
            <w:shd w:val="clear" w:color="auto" w:fill="E7E6E6" w:themeFill="background2"/>
            <w:vAlign w:val="bottom"/>
            <w:hideMark/>
          </w:tcPr>
          <w:p w14:paraId="5BF9C542" w14:textId="77777777" w:rsidR="00187838" w:rsidRPr="007E770D" w:rsidRDefault="00187838" w:rsidP="00E4657F">
            <w:pPr>
              <w:spacing w:after="0" w:line="240" w:lineRule="auto"/>
              <w:jc w:val="left"/>
              <w:rPr>
                <w:rFonts w:ascii="Times New Roman" w:eastAsia="Times New Roman" w:hAnsi="Times New Roman" w:cs="Times New Roman"/>
                <w:color w:val="auto"/>
                <w:szCs w:val="20"/>
                <w:lang w:val="sr-Cyrl-CS" w:eastAsia="sr-Cyrl-RS"/>
              </w:rPr>
            </w:pPr>
          </w:p>
        </w:tc>
      </w:tr>
      <w:tr w:rsidR="007E770D" w:rsidRPr="007E770D" w14:paraId="35B2F60B" w14:textId="77777777" w:rsidTr="00E4657F">
        <w:trPr>
          <w:trHeight w:val="797"/>
        </w:trPr>
        <w:tc>
          <w:tcPr>
            <w:tcW w:w="881" w:type="dxa"/>
            <w:tcBorders>
              <w:top w:val="nil"/>
              <w:left w:val="nil"/>
              <w:bottom w:val="nil"/>
              <w:right w:val="nil"/>
            </w:tcBorders>
            <w:shd w:val="clear" w:color="auto" w:fill="auto"/>
            <w:vAlign w:val="center"/>
            <w:hideMark/>
          </w:tcPr>
          <w:p w14:paraId="6D0362D5"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w:t>
            </w:r>
          </w:p>
        </w:tc>
        <w:tc>
          <w:tcPr>
            <w:tcW w:w="5496" w:type="dxa"/>
            <w:tcBorders>
              <w:top w:val="nil"/>
              <w:left w:val="nil"/>
              <w:bottom w:val="nil"/>
              <w:right w:val="nil"/>
            </w:tcBorders>
            <w:shd w:val="clear" w:color="auto" w:fill="auto"/>
            <w:vAlign w:val="center"/>
            <w:hideMark/>
          </w:tcPr>
          <w:p w14:paraId="35F388BB" w14:textId="77777777" w:rsidR="00187838" w:rsidRPr="007E770D" w:rsidRDefault="00187838" w:rsidP="00E4657F">
            <w:pPr>
              <w:spacing w:after="0" w:line="240" w:lineRule="auto"/>
              <w:jc w:val="lef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Акционарско друштво за управљање јавном железничком инфраструктуром „Инфраструктура железнице Србијеˮ – Изградња станичне зграде железничке станице Београд Центар – Фаза II</w:t>
            </w:r>
          </w:p>
        </w:tc>
        <w:tc>
          <w:tcPr>
            <w:tcW w:w="1300" w:type="dxa"/>
            <w:tcBorders>
              <w:top w:val="nil"/>
              <w:left w:val="nil"/>
              <w:bottom w:val="nil"/>
              <w:right w:val="nil"/>
            </w:tcBorders>
            <w:shd w:val="clear" w:color="auto" w:fill="auto"/>
            <w:vAlign w:val="center"/>
            <w:hideMark/>
          </w:tcPr>
          <w:p w14:paraId="5AD13171"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6.378.022.800</w:t>
            </w:r>
          </w:p>
        </w:tc>
        <w:tc>
          <w:tcPr>
            <w:tcW w:w="1097" w:type="dxa"/>
            <w:tcBorders>
              <w:top w:val="nil"/>
              <w:left w:val="nil"/>
              <w:bottom w:val="nil"/>
              <w:right w:val="nil"/>
            </w:tcBorders>
            <w:shd w:val="clear" w:color="auto" w:fill="auto"/>
            <w:vAlign w:val="center"/>
            <w:hideMark/>
          </w:tcPr>
          <w:p w14:paraId="2662AF24"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KWD</w:t>
            </w:r>
          </w:p>
        </w:tc>
        <w:tc>
          <w:tcPr>
            <w:tcW w:w="1123" w:type="dxa"/>
            <w:tcBorders>
              <w:top w:val="nil"/>
              <w:left w:val="nil"/>
              <w:bottom w:val="nil"/>
              <w:right w:val="nil"/>
            </w:tcBorders>
            <w:shd w:val="clear" w:color="auto" w:fill="auto"/>
            <w:vAlign w:val="center"/>
            <w:hideMark/>
          </w:tcPr>
          <w:p w14:paraId="32E5D1EB"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18.000.000</w:t>
            </w:r>
          </w:p>
        </w:tc>
      </w:tr>
      <w:tr w:rsidR="007E770D" w:rsidRPr="007E770D" w14:paraId="0B11EAB0" w14:textId="77777777" w:rsidTr="00E4657F">
        <w:trPr>
          <w:trHeight w:val="332"/>
        </w:trPr>
        <w:tc>
          <w:tcPr>
            <w:tcW w:w="881" w:type="dxa"/>
            <w:tcBorders>
              <w:top w:val="nil"/>
              <w:left w:val="nil"/>
              <w:bottom w:val="nil"/>
              <w:right w:val="nil"/>
            </w:tcBorders>
            <w:shd w:val="clear" w:color="auto" w:fill="auto"/>
            <w:vAlign w:val="center"/>
            <w:hideMark/>
          </w:tcPr>
          <w:p w14:paraId="2D95DD63"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p>
        </w:tc>
        <w:tc>
          <w:tcPr>
            <w:tcW w:w="5496" w:type="dxa"/>
            <w:tcBorders>
              <w:top w:val="nil"/>
              <w:left w:val="nil"/>
              <w:bottom w:val="nil"/>
              <w:right w:val="nil"/>
            </w:tcBorders>
            <w:shd w:val="clear" w:color="auto" w:fill="auto"/>
            <w:vAlign w:val="center"/>
            <w:hideMark/>
          </w:tcPr>
          <w:p w14:paraId="695AED30"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Укупно:</w:t>
            </w:r>
          </w:p>
        </w:tc>
        <w:tc>
          <w:tcPr>
            <w:tcW w:w="1300" w:type="dxa"/>
            <w:tcBorders>
              <w:top w:val="nil"/>
              <w:left w:val="nil"/>
              <w:bottom w:val="nil"/>
              <w:right w:val="nil"/>
            </w:tcBorders>
            <w:shd w:val="clear" w:color="auto" w:fill="auto"/>
            <w:vAlign w:val="center"/>
            <w:hideMark/>
          </w:tcPr>
          <w:p w14:paraId="604A3C8D"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6.378.022.800</w:t>
            </w:r>
          </w:p>
        </w:tc>
        <w:tc>
          <w:tcPr>
            <w:tcW w:w="1097" w:type="dxa"/>
            <w:tcBorders>
              <w:top w:val="nil"/>
              <w:left w:val="nil"/>
              <w:bottom w:val="nil"/>
              <w:right w:val="nil"/>
            </w:tcBorders>
            <w:shd w:val="clear" w:color="auto" w:fill="auto"/>
            <w:vAlign w:val="center"/>
            <w:hideMark/>
          </w:tcPr>
          <w:p w14:paraId="1B01DF91"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KWD</w:t>
            </w:r>
          </w:p>
        </w:tc>
        <w:tc>
          <w:tcPr>
            <w:tcW w:w="1123" w:type="dxa"/>
            <w:tcBorders>
              <w:top w:val="nil"/>
              <w:left w:val="nil"/>
              <w:bottom w:val="nil"/>
              <w:right w:val="nil"/>
            </w:tcBorders>
            <w:shd w:val="clear" w:color="auto" w:fill="auto"/>
            <w:vAlign w:val="center"/>
            <w:hideMark/>
          </w:tcPr>
          <w:p w14:paraId="31EA7832"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18.000.000</w:t>
            </w:r>
          </w:p>
        </w:tc>
      </w:tr>
      <w:tr w:rsidR="007E770D" w:rsidRPr="007E770D" w14:paraId="2D57FD61" w14:textId="77777777" w:rsidTr="00E4657F">
        <w:trPr>
          <w:trHeight w:val="332"/>
        </w:trPr>
        <w:tc>
          <w:tcPr>
            <w:tcW w:w="881" w:type="dxa"/>
            <w:tcBorders>
              <w:top w:val="nil"/>
              <w:left w:val="nil"/>
              <w:bottom w:val="nil"/>
              <w:right w:val="nil"/>
            </w:tcBorders>
            <w:shd w:val="clear" w:color="000000" w:fill="E7E6E6"/>
            <w:vAlign w:val="center"/>
            <w:hideMark/>
          </w:tcPr>
          <w:p w14:paraId="49651138"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 </w:t>
            </w:r>
          </w:p>
        </w:tc>
        <w:tc>
          <w:tcPr>
            <w:tcW w:w="5496" w:type="dxa"/>
            <w:vMerge w:val="restart"/>
            <w:tcBorders>
              <w:top w:val="nil"/>
              <w:left w:val="nil"/>
              <w:bottom w:val="single" w:sz="8" w:space="0" w:color="002060"/>
              <w:right w:val="nil"/>
            </w:tcBorders>
            <w:shd w:val="clear" w:color="000000" w:fill="E7E6E6"/>
            <w:vAlign w:val="center"/>
            <w:hideMark/>
          </w:tcPr>
          <w:p w14:paraId="45525C6C"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УКУПНО:</w:t>
            </w:r>
          </w:p>
        </w:tc>
        <w:tc>
          <w:tcPr>
            <w:tcW w:w="1300" w:type="dxa"/>
            <w:tcBorders>
              <w:top w:val="nil"/>
              <w:left w:val="nil"/>
              <w:bottom w:val="nil"/>
              <w:right w:val="nil"/>
            </w:tcBorders>
            <w:shd w:val="clear" w:color="000000" w:fill="E7E6E6"/>
            <w:vAlign w:val="bottom"/>
            <w:hideMark/>
          </w:tcPr>
          <w:p w14:paraId="03B0753A" w14:textId="77777777" w:rsidR="00187838" w:rsidRPr="007E770D" w:rsidRDefault="00187838" w:rsidP="00E4657F">
            <w:pPr>
              <w:spacing w:after="0" w:line="240" w:lineRule="auto"/>
              <w:jc w:val="left"/>
              <w:rPr>
                <w:rFonts w:ascii="Calibri" w:eastAsia="Times New Roman" w:hAnsi="Calibri" w:cs="Calibri"/>
                <w:color w:val="auto"/>
                <w:sz w:val="22"/>
                <w:lang w:val="sr-Cyrl-CS" w:eastAsia="sr-Cyrl-RS"/>
              </w:rPr>
            </w:pPr>
            <w:r w:rsidRPr="007E770D">
              <w:rPr>
                <w:rFonts w:ascii="Calibri" w:eastAsia="Times New Roman" w:hAnsi="Calibri" w:cs="Calibri"/>
                <w:color w:val="auto"/>
                <w:sz w:val="22"/>
                <w:lang w:val="sr-Cyrl-CS" w:eastAsia="sr-Cyrl-RS"/>
              </w:rPr>
              <w:t> </w:t>
            </w:r>
          </w:p>
        </w:tc>
        <w:tc>
          <w:tcPr>
            <w:tcW w:w="1097" w:type="dxa"/>
            <w:tcBorders>
              <w:top w:val="nil"/>
              <w:left w:val="nil"/>
              <w:bottom w:val="nil"/>
              <w:right w:val="nil"/>
            </w:tcBorders>
            <w:shd w:val="clear" w:color="000000" w:fill="E7E6E6"/>
            <w:vAlign w:val="center"/>
            <w:hideMark/>
          </w:tcPr>
          <w:p w14:paraId="238DEB51"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EUR</w:t>
            </w:r>
          </w:p>
        </w:tc>
        <w:tc>
          <w:tcPr>
            <w:tcW w:w="1123" w:type="dxa"/>
            <w:tcBorders>
              <w:top w:val="nil"/>
              <w:left w:val="nil"/>
              <w:bottom w:val="nil"/>
              <w:right w:val="nil"/>
            </w:tcBorders>
            <w:shd w:val="clear" w:color="000000" w:fill="E7E6E6"/>
            <w:vAlign w:val="center"/>
            <w:hideMark/>
          </w:tcPr>
          <w:p w14:paraId="16895393"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465.000.000</w:t>
            </w:r>
          </w:p>
        </w:tc>
      </w:tr>
      <w:tr w:rsidR="007E770D" w:rsidRPr="007E770D" w14:paraId="19935FE8" w14:textId="77777777" w:rsidTr="00E4657F">
        <w:trPr>
          <w:trHeight w:val="348"/>
        </w:trPr>
        <w:tc>
          <w:tcPr>
            <w:tcW w:w="881" w:type="dxa"/>
            <w:tcBorders>
              <w:top w:val="nil"/>
              <w:left w:val="nil"/>
              <w:bottom w:val="single" w:sz="8" w:space="0" w:color="002060"/>
              <w:right w:val="nil"/>
            </w:tcBorders>
            <w:shd w:val="clear" w:color="000000" w:fill="E7E6E6"/>
            <w:vAlign w:val="center"/>
            <w:hideMark/>
          </w:tcPr>
          <w:p w14:paraId="23A036F3"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 </w:t>
            </w:r>
          </w:p>
        </w:tc>
        <w:tc>
          <w:tcPr>
            <w:tcW w:w="5496" w:type="dxa"/>
            <w:vMerge/>
            <w:tcBorders>
              <w:top w:val="nil"/>
              <w:left w:val="nil"/>
              <w:bottom w:val="single" w:sz="8" w:space="0" w:color="002060"/>
              <w:right w:val="nil"/>
            </w:tcBorders>
            <w:vAlign w:val="center"/>
            <w:hideMark/>
          </w:tcPr>
          <w:p w14:paraId="5468D168" w14:textId="77777777" w:rsidR="00187838" w:rsidRPr="007E770D" w:rsidRDefault="00187838" w:rsidP="00E4657F">
            <w:pPr>
              <w:spacing w:after="0" w:line="240" w:lineRule="auto"/>
              <w:jc w:val="left"/>
              <w:rPr>
                <w:rFonts w:ascii="Calibri" w:eastAsia="Times New Roman" w:hAnsi="Calibri" w:cs="Calibri"/>
                <w:color w:val="auto"/>
                <w:sz w:val="18"/>
                <w:szCs w:val="18"/>
                <w:lang w:val="sr-Cyrl-CS" w:eastAsia="sr-Cyrl-RS"/>
              </w:rPr>
            </w:pPr>
          </w:p>
        </w:tc>
        <w:tc>
          <w:tcPr>
            <w:tcW w:w="1300" w:type="dxa"/>
            <w:tcBorders>
              <w:top w:val="nil"/>
              <w:left w:val="nil"/>
              <w:bottom w:val="single" w:sz="8" w:space="0" w:color="002060"/>
              <w:right w:val="nil"/>
            </w:tcBorders>
            <w:shd w:val="clear" w:color="000000" w:fill="E7E6E6"/>
            <w:vAlign w:val="center"/>
            <w:hideMark/>
          </w:tcPr>
          <w:p w14:paraId="54366769"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61.620.022.800</w:t>
            </w:r>
          </w:p>
        </w:tc>
        <w:tc>
          <w:tcPr>
            <w:tcW w:w="1097" w:type="dxa"/>
            <w:tcBorders>
              <w:top w:val="nil"/>
              <w:left w:val="nil"/>
              <w:bottom w:val="single" w:sz="8" w:space="0" w:color="002060"/>
              <w:right w:val="nil"/>
            </w:tcBorders>
            <w:shd w:val="clear" w:color="000000" w:fill="E7E6E6"/>
            <w:vAlign w:val="center"/>
            <w:hideMark/>
          </w:tcPr>
          <w:p w14:paraId="4629FED0"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KWD</w:t>
            </w:r>
          </w:p>
        </w:tc>
        <w:tc>
          <w:tcPr>
            <w:tcW w:w="1123" w:type="dxa"/>
            <w:tcBorders>
              <w:top w:val="nil"/>
              <w:left w:val="nil"/>
              <w:bottom w:val="single" w:sz="8" w:space="0" w:color="002060"/>
              <w:right w:val="nil"/>
            </w:tcBorders>
            <w:shd w:val="clear" w:color="000000" w:fill="E7E6E6"/>
            <w:vAlign w:val="center"/>
            <w:hideMark/>
          </w:tcPr>
          <w:p w14:paraId="542138F8"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18.000.000</w:t>
            </w:r>
          </w:p>
        </w:tc>
      </w:tr>
    </w:tbl>
    <w:p w14:paraId="45D30AA4" w14:textId="77777777" w:rsidR="00187838" w:rsidRPr="007E770D" w:rsidRDefault="00187838" w:rsidP="00E4657F">
      <w:pPr>
        <w:spacing w:before="40" w:after="120" w:line="276" w:lineRule="auto"/>
        <w:rPr>
          <w:rFonts w:eastAsia="Calibri" w:cstheme="minorHAnsi"/>
          <w:color w:val="auto"/>
          <w:sz w:val="16"/>
          <w:lang w:val="sr-Cyrl-CS"/>
        </w:rPr>
      </w:pPr>
      <w:r w:rsidRPr="007E770D">
        <w:rPr>
          <w:rFonts w:eastAsia="Calibri" w:cstheme="minorHAnsi"/>
          <w:color w:val="auto"/>
          <w:sz w:val="16"/>
          <w:lang w:val="sr-Cyrl-CS"/>
        </w:rPr>
        <w:t>Извор: Министарство финансија</w:t>
      </w:r>
    </w:p>
    <w:p w14:paraId="4C4C1ABB" w14:textId="77777777" w:rsidR="00187838" w:rsidRPr="007E770D" w:rsidRDefault="00187838" w:rsidP="00E4657F">
      <w:pPr>
        <w:spacing w:line="276" w:lineRule="auto"/>
        <w:rPr>
          <w:rFonts w:eastAsia="MS PGothic" w:cstheme="minorHAnsi"/>
          <w:b/>
          <w:color w:val="auto"/>
          <w:sz w:val="16"/>
          <w:lang w:val="sr-Cyrl-CS" w:eastAsia="ja-JP"/>
        </w:rPr>
        <w:sectPr w:rsidR="00187838" w:rsidRPr="007E770D" w:rsidSect="00BA4876">
          <w:type w:val="continuous"/>
          <w:pgSz w:w="12240" w:h="15840"/>
          <w:pgMar w:top="1440" w:right="1440" w:bottom="1440" w:left="1440" w:header="720" w:footer="720" w:gutter="0"/>
          <w:cols w:space="720"/>
          <w:docGrid w:linePitch="360"/>
        </w:sectPr>
      </w:pPr>
    </w:p>
    <w:p w14:paraId="1EAA5A04" w14:textId="77777777" w:rsidR="00187838" w:rsidRPr="007E770D" w:rsidRDefault="00187838" w:rsidP="00E4657F">
      <w:pPr>
        <w:spacing w:after="120" w:line="276" w:lineRule="auto"/>
        <w:rPr>
          <w:rFonts w:eastAsia="MS PGothic" w:cstheme="minorHAnsi"/>
          <w:color w:val="auto"/>
          <w:lang w:val="sr-Cyrl-CS" w:eastAsia="ja-JP"/>
        </w:rPr>
      </w:pPr>
    </w:p>
    <w:p w14:paraId="084C1C61" w14:textId="77777777" w:rsidR="00187838" w:rsidRPr="007E770D" w:rsidRDefault="00187838" w:rsidP="00E4657F">
      <w:pPr>
        <w:spacing w:after="120" w:line="276" w:lineRule="auto"/>
        <w:rPr>
          <w:rFonts w:eastAsia="MS PGothic" w:cstheme="minorHAnsi"/>
          <w:color w:val="auto"/>
          <w:lang w:val="sr-Cyrl-CS" w:eastAsia="ja-JP"/>
        </w:rPr>
      </w:pPr>
    </w:p>
    <w:p w14:paraId="6AE96F4E" w14:textId="77777777" w:rsidR="00187838" w:rsidRPr="007E770D" w:rsidRDefault="00187838" w:rsidP="00E4657F">
      <w:pPr>
        <w:spacing w:after="120" w:line="276" w:lineRule="auto"/>
        <w:rPr>
          <w:rFonts w:eastAsia="MS PGothic" w:cstheme="minorHAnsi"/>
          <w:color w:val="auto"/>
          <w:lang w:val="sr-Cyrl-CS" w:eastAsia="ja-JP"/>
        </w:rPr>
      </w:pPr>
      <w:r w:rsidRPr="007E770D">
        <w:rPr>
          <w:rFonts w:eastAsia="MS PGothic" w:cstheme="minorHAnsi"/>
          <w:color w:val="auto"/>
          <w:lang w:val="sr-Cyrl-CS" w:eastAsia="ja-JP"/>
        </w:rPr>
        <w:lastRenderedPageBreak/>
        <w:t>У наредним годинама планирана је отплата по основу гаранција, али са опадајућим трендом тако да њихово учешће у БДП опада са 0,2% БДП у 2019. години на 0,1% БДП у 2022. години.</w:t>
      </w:r>
    </w:p>
    <w:p w14:paraId="185FFAC6" w14:textId="77777777" w:rsidR="00187838" w:rsidRPr="007E770D" w:rsidRDefault="00187838"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Структурне реформе јавних и државних предузећа, њихово оспособљавање за тржишну утакмицу и финансијску одрживост, с једне стране, и ограничено и циљано издавање нових гаранција, с друге стране, допринеће умањењу фискалних ризика по овом основу и одржавању расхода у планираним, тј. пројектованим оквирима у наредном средњорочном периоду.</w:t>
      </w:r>
    </w:p>
    <w:p w14:paraId="35244616" w14:textId="77777777" w:rsidR="00187838" w:rsidRPr="007E770D" w:rsidRDefault="00187838" w:rsidP="00E4657F">
      <w:pPr>
        <w:spacing w:after="120" w:line="276" w:lineRule="auto"/>
        <w:jc w:val="left"/>
        <w:rPr>
          <w:rFonts w:cstheme="minorHAnsi"/>
          <w:b/>
          <w:bCs/>
          <w:color w:val="auto"/>
          <w:sz w:val="22"/>
          <w:lang w:val="sr-Cyrl-CS"/>
        </w:rPr>
      </w:pPr>
      <w:r w:rsidRPr="007E770D">
        <w:rPr>
          <w:rFonts w:cstheme="minorHAnsi"/>
          <w:b/>
          <w:bCs/>
          <w:color w:val="auto"/>
          <w:sz w:val="22"/>
          <w:lang w:val="sr-Cyrl-CS"/>
        </w:rPr>
        <w:t>Јавна предузећа</w:t>
      </w:r>
    </w:p>
    <w:p w14:paraId="4BA190C2" w14:textId="36EE56EF" w:rsidR="00187838" w:rsidRPr="007E770D" w:rsidRDefault="00187838"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 xml:space="preserve">Пословање јавних предузећа представља значајан извор фискалних ризика, како на страни буџетских прихода, тако и на страни расхода. Јавна предузећа се у пословању суочавају са бројним проблемима, од наплате потраживања, до редовног измиривања обавеза према повериоцима, држави и запосленима и сл. Држава као оснивач и њихов једини власник је одговорна за пословање и њихово је последње уточиште у случају неликвидности. Постоји неколико канала кроз које се могу материјализовати фискални ризици везани за пословање јавних предузећа. Највећи, али не и једини ризик, су државне </w:t>
      </w:r>
      <w:r w:rsidRPr="007E770D">
        <w:rPr>
          <w:rFonts w:eastAsia="Calibri" w:cstheme="minorHAnsi"/>
          <w:color w:val="auto"/>
          <w:szCs w:val="20"/>
          <w:lang w:val="sr-Cyrl-CS" w:eastAsia="ja-JP"/>
        </w:rPr>
        <w:t>гаранције дате за кредите јавних предузећа. Одрживост, ефикасност и профитабилност јавних предузећа утичу на приходе буџета, односно на износ добити коју уплаћују у буџет. Квалитет производа и услуга које обезбеђују јавна предузећа утичу на ефикасност и профитабилност приватног сектора и у крајњој инстанци на ниво пореза које уплаћују у буџет.</w:t>
      </w:r>
    </w:p>
    <w:p w14:paraId="103B495B" w14:textId="77777777" w:rsidR="00187838" w:rsidRPr="007E770D" w:rsidRDefault="00187838"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Јавна предузећа представљају значајан сегмент српске привреде који запошљава око 71 хиљаду људи. Јавна предузећа се оснивају као друштва за обављање делатности од општег интереса. Њихов рад уређен је Законом о јавним предузећима, који је усвојен у фебруару 2016. године, као и подсекторским законима који дефинишу специфична подручја која нису обухваћена Законом о јавним предузећима (Закон о енергетици, Закон о привредним друштвима и др).</w:t>
      </w:r>
    </w:p>
    <w:p w14:paraId="4D79EA98" w14:textId="77777777" w:rsidR="00187838" w:rsidRPr="007E770D" w:rsidRDefault="00187838" w:rsidP="00E4657F">
      <w:pPr>
        <w:spacing w:after="120" w:line="276" w:lineRule="auto"/>
        <w:jc w:val="left"/>
        <w:rPr>
          <w:rFonts w:cstheme="minorHAnsi"/>
          <w:b/>
          <w:bCs/>
          <w:color w:val="auto"/>
          <w:sz w:val="22"/>
          <w:szCs w:val="20"/>
          <w:lang w:val="sr-Cyrl-CS"/>
        </w:rPr>
      </w:pPr>
      <w:r w:rsidRPr="007E770D">
        <w:rPr>
          <w:rFonts w:cstheme="minorHAnsi"/>
          <w:b/>
          <w:bCs/>
          <w:color w:val="auto"/>
          <w:sz w:val="22"/>
          <w:szCs w:val="20"/>
          <w:lang w:val="sr-Cyrl-CS"/>
        </w:rPr>
        <w:t>Кључни финансијски показатељи пословања јавних предузећа</w:t>
      </w:r>
    </w:p>
    <w:p w14:paraId="5929AE72" w14:textId="77777777" w:rsidR="00187838" w:rsidRPr="007E770D" w:rsidRDefault="00187838" w:rsidP="00E4657F">
      <w:pPr>
        <w:spacing w:after="120" w:line="276" w:lineRule="auto"/>
        <w:rPr>
          <w:rFonts w:cstheme="minorHAnsi"/>
          <w:bCs/>
          <w:color w:val="auto"/>
          <w:sz w:val="22"/>
          <w:szCs w:val="20"/>
          <w:lang w:val="sr-Cyrl-CS"/>
        </w:rPr>
      </w:pPr>
      <w:r w:rsidRPr="007E770D">
        <w:rPr>
          <w:rFonts w:cstheme="minorHAnsi"/>
          <w:bCs/>
          <w:color w:val="auto"/>
          <w:sz w:val="22"/>
          <w:szCs w:val="20"/>
          <w:lang w:val="sr-Cyrl-CS"/>
        </w:rPr>
        <w:t>Резултати пословања јавних предузећа у 2018. години</w:t>
      </w:r>
    </w:p>
    <w:p w14:paraId="2F163477" w14:textId="77777777" w:rsidR="00187838" w:rsidRPr="007E770D" w:rsidRDefault="00187838" w:rsidP="00E4657F">
      <w:pPr>
        <w:spacing w:after="240" w:line="276" w:lineRule="auto"/>
        <w:rPr>
          <w:rFonts w:eastAsia="MS PGothic" w:cstheme="minorHAnsi"/>
          <w:color w:val="auto"/>
          <w:lang w:val="sr-Cyrl-CS"/>
        </w:rPr>
      </w:pPr>
      <w:r w:rsidRPr="007E770D">
        <w:rPr>
          <w:rFonts w:eastAsia="MS PGothic" w:cstheme="minorHAnsi"/>
          <w:color w:val="auto"/>
          <w:lang w:val="sr-Cyrl-CS"/>
        </w:rPr>
        <w:t>Укупан капитал републичких јавних предузећа на крају 2018. године износио је 1.795 млрд динара, док је као крајњи резултат остварен нето губитак у износу од 1,9 млрд динара.</w:t>
      </w:r>
    </w:p>
    <w:p w14:paraId="01E78609" w14:textId="77777777" w:rsidR="00187838" w:rsidRPr="007E770D" w:rsidRDefault="00187838" w:rsidP="00E4657F">
      <w:pPr>
        <w:spacing w:line="276" w:lineRule="auto"/>
        <w:rPr>
          <w:rFonts w:eastAsia="MS PGothic" w:cstheme="minorHAnsi"/>
          <w:color w:val="auto"/>
          <w:lang w:val="sr-Cyrl-CS"/>
        </w:rPr>
        <w:sectPr w:rsidR="00187838" w:rsidRPr="007E770D" w:rsidSect="00BA4876">
          <w:type w:val="continuous"/>
          <w:pgSz w:w="12240" w:h="15840"/>
          <w:pgMar w:top="1440" w:right="1440" w:bottom="1440" w:left="1440" w:header="720" w:footer="720" w:gutter="0"/>
          <w:cols w:num="2" w:space="720"/>
          <w:docGrid w:linePitch="360"/>
        </w:sectPr>
      </w:pPr>
    </w:p>
    <w:p w14:paraId="2A0DC1B7" w14:textId="77777777" w:rsidR="00187838" w:rsidRPr="007E770D" w:rsidRDefault="00187838" w:rsidP="00E4657F">
      <w:pPr>
        <w:spacing w:after="60" w:line="276" w:lineRule="auto"/>
        <w:jc w:val="center"/>
        <w:rPr>
          <w:rFonts w:eastAsia="MS PGothic" w:cstheme="minorHAnsi"/>
          <w:b/>
          <w:bCs/>
          <w:color w:val="auto"/>
          <w:lang w:val="sr-Cyrl-CS"/>
        </w:rPr>
      </w:pPr>
      <w:r w:rsidRPr="007E770D">
        <w:rPr>
          <w:rFonts w:eastAsia="MS PGothic" w:cstheme="minorHAnsi"/>
          <w:b/>
          <w:bCs/>
          <w:color w:val="auto"/>
          <w:lang w:val="sr-Cyrl-CS"/>
        </w:rPr>
        <w:t>Табела 15. Главни финансијски показатељи пословања јавних предузећа*, млрд дин.</w:t>
      </w:r>
    </w:p>
    <w:tbl>
      <w:tblPr>
        <w:tblW w:w="8967" w:type="dxa"/>
        <w:jc w:val="center"/>
        <w:tblLook w:val="04A0" w:firstRow="1" w:lastRow="0" w:firstColumn="1" w:lastColumn="0" w:noHBand="0" w:noVBand="1"/>
      </w:tblPr>
      <w:tblGrid>
        <w:gridCol w:w="5937"/>
        <w:gridCol w:w="1515"/>
        <w:gridCol w:w="1515"/>
      </w:tblGrid>
      <w:tr w:rsidR="007E770D" w:rsidRPr="007E770D" w14:paraId="41EEB741" w14:textId="77777777" w:rsidTr="00E4657F">
        <w:trPr>
          <w:trHeight w:val="273"/>
          <w:jc w:val="center"/>
        </w:trPr>
        <w:tc>
          <w:tcPr>
            <w:tcW w:w="5937" w:type="dxa"/>
            <w:tcBorders>
              <w:top w:val="single" w:sz="8" w:space="0" w:color="002060"/>
              <w:left w:val="nil"/>
              <w:bottom w:val="single" w:sz="8" w:space="0" w:color="002060"/>
              <w:right w:val="nil"/>
            </w:tcBorders>
            <w:shd w:val="clear" w:color="auto" w:fill="auto"/>
            <w:noWrap/>
            <w:vAlign w:val="center"/>
            <w:hideMark/>
          </w:tcPr>
          <w:p w14:paraId="6CCD5708"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Опис</w:t>
            </w:r>
          </w:p>
        </w:tc>
        <w:tc>
          <w:tcPr>
            <w:tcW w:w="1515" w:type="dxa"/>
            <w:tcBorders>
              <w:top w:val="single" w:sz="8" w:space="0" w:color="002060"/>
              <w:left w:val="nil"/>
              <w:bottom w:val="single" w:sz="8" w:space="0" w:color="002060"/>
              <w:right w:val="nil"/>
            </w:tcBorders>
            <w:shd w:val="clear" w:color="auto" w:fill="auto"/>
            <w:noWrap/>
            <w:vAlign w:val="center"/>
            <w:hideMark/>
          </w:tcPr>
          <w:p w14:paraId="1C90BEAD"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2017</w:t>
            </w:r>
          </w:p>
        </w:tc>
        <w:tc>
          <w:tcPr>
            <w:tcW w:w="1515" w:type="dxa"/>
            <w:tcBorders>
              <w:top w:val="single" w:sz="8" w:space="0" w:color="002060"/>
              <w:left w:val="nil"/>
              <w:bottom w:val="single" w:sz="8" w:space="0" w:color="002060"/>
              <w:right w:val="nil"/>
            </w:tcBorders>
            <w:shd w:val="clear" w:color="auto" w:fill="auto"/>
            <w:noWrap/>
            <w:vAlign w:val="center"/>
            <w:hideMark/>
          </w:tcPr>
          <w:p w14:paraId="77EFB48F"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2018</w:t>
            </w:r>
          </w:p>
        </w:tc>
      </w:tr>
      <w:tr w:rsidR="007E770D" w:rsidRPr="007E770D" w14:paraId="3FB34BCF" w14:textId="77777777" w:rsidTr="00E4657F">
        <w:trPr>
          <w:trHeight w:val="260"/>
          <w:jc w:val="center"/>
        </w:trPr>
        <w:tc>
          <w:tcPr>
            <w:tcW w:w="5937" w:type="dxa"/>
            <w:tcBorders>
              <w:top w:val="nil"/>
              <w:left w:val="nil"/>
              <w:bottom w:val="nil"/>
              <w:right w:val="nil"/>
            </w:tcBorders>
            <w:shd w:val="clear" w:color="auto" w:fill="auto"/>
            <w:noWrap/>
            <w:vAlign w:val="center"/>
            <w:hideMark/>
          </w:tcPr>
          <w:p w14:paraId="7DF90244"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Укупна имовина</w:t>
            </w:r>
          </w:p>
        </w:tc>
        <w:tc>
          <w:tcPr>
            <w:tcW w:w="1515" w:type="dxa"/>
            <w:tcBorders>
              <w:top w:val="nil"/>
              <w:left w:val="nil"/>
              <w:bottom w:val="nil"/>
              <w:right w:val="nil"/>
            </w:tcBorders>
            <w:shd w:val="clear" w:color="auto" w:fill="auto"/>
            <w:noWrap/>
            <w:vAlign w:val="center"/>
            <w:hideMark/>
          </w:tcPr>
          <w:p w14:paraId="54D8D9BF"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2.731</w:t>
            </w:r>
          </w:p>
        </w:tc>
        <w:tc>
          <w:tcPr>
            <w:tcW w:w="1515" w:type="dxa"/>
            <w:tcBorders>
              <w:top w:val="nil"/>
              <w:left w:val="nil"/>
              <w:bottom w:val="nil"/>
              <w:right w:val="nil"/>
            </w:tcBorders>
            <w:shd w:val="clear" w:color="auto" w:fill="auto"/>
            <w:noWrap/>
            <w:vAlign w:val="center"/>
            <w:hideMark/>
          </w:tcPr>
          <w:p w14:paraId="1E2655B9"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2.805</w:t>
            </w:r>
          </w:p>
        </w:tc>
      </w:tr>
      <w:tr w:rsidR="007E770D" w:rsidRPr="007E770D" w14:paraId="15A31B59" w14:textId="77777777" w:rsidTr="00E4657F">
        <w:trPr>
          <w:trHeight w:val="260"/>
          <w:jc w:val="center"/>
        </w:trPr>
        <w:tc>
          <w:tcPr>
            <w:tcW w:w="5937" w:type="dxa"/>
            <w:tcBorders>
              <w:top w:val="nil"/>
              <w:left w:val="nil"/>
              <w:bottom w:val="nil"/>
              <w:right w:val="nil"/>
            </w:tcBorders>
            <w:shd w:val="clear" w:color="auto" w:fill="auto"/>
            <w:noWrap/>
            <w:vAlign w:val="center"/>
            <w:hideMark/>
          </w:tcPr>
          <w:p w14:paraId="5C70277A"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Сопствени капитал</w:t>
            </w:r>
          </w:p>
        </w:tc>
        <w:tc>
          <w:tcPr>
            <w:tcW w:w="1515" w:type="dxa"/>
            <w:tcBorders>
              <w:top w:val="nil"/>
              <w:left w:val="nil"/>
              <w:bottom w:val="nil"/>
              <w:right w:val="nil"/>
            </w:tcBorders>
            <w:shd w:val="clear" w:color="auto" w:fill="auto"/>
            <w:noWrap/>
            <w:vAlign w:val="center"/>
            <w:hideMark/>
          </w:tcPr>
          <w:p w14:paraId="55A76702"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1.673</w:t>
            </w:r>
          </w:p>
        </w:tc>
        <w:tc>
          <w:tcPr>
            <w:tcW w:w="1515" w:type="dxa"/>
            <w:tcBorders>
              <w:top w:val="nil"/>
              <w:left w:val="nil"/>
              <w:bottom w:val="nil"/>
              <w:right w:val="nil"/>
            </w:tcBorders>
            <w:shd w:val="clear" w:color="auto" w:fill="auto"/>
            <w:noWrap/>
            <w:vAlign w:val="center"/>
            <w:hideMark/>
          </w:tcPr>
          <w:p w14:paraId="1227A2F4"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1.795</w:t>
            </w:r>
          </w:p>
        </w:tc>
      </w:tr>
      <w:tr w:rsidR="007E770D" w:rsidRPr="007E770D" w14:paraId="191ED68A" w14:textId="77777777" w:rsidTr="00E4657F">
        <w:trPr>
          <w:trHeight w:val="260"/>
          <w:jc w:val="center"/>
        </w:trPr>
        <w:tc>
          <w:tcPr>
            <w:tcW w:w="5937" w:type="dxa"/>
            <w:tcBorders>
              <w:top w:val="nil"/>
              <w:left w:val="nil"/>
              <w:bottom w:val="nil"/>
              <w:right w:val="nil"/>
            </w:tcBorders>
            <w:shd w:val="clear" w:color="auto" w:fill="auto"/>
            <w:noWrap/>
            <w:vAlign w:val="center"/>
            <w:hideMark/>
          </w:tcPr>
          <w:p w14:paraId="2D5CDB5B"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Укупни приходи</w:t>
            </w:r>
          </w:p>
        </w:tc>
        <w:tc>
          <w:tcPr>
            <w:tcW w:w="1515" w:type="dxa"/>
            <w:tcBorders>
              <w:top w:val="nil"/>
              <w:left w:val="nil"/>
              <w:bottom w:val="nil"/>
              <w:right w:val="nil"/>
            </w:tcBorders>
            <w:shd w:val="clear" w:color="auto" w:fill="auto"/>
            <w:noWrap/>
            <w:vAlign w:val="center"/>
            <w:hideMark/>
          </w:tcPr>
          <w:p w14:paraId="5E580A79"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571</w:t>
            </w:r>
          </w:p>
        </w:tc>
        <w:tc>
          <w:tcPr>
            <w:tcW w:w="1515" w:type="dxa"/>
            <w:tcBorders>
              <w:top w:val="nil"/>
              <w:left w:val="nil"/>
              <w:bottom w:val="nil"/>
              <w:right w:val="nil"/>
            </w:tcBorders>
            <w:shd w:val="clear" w:color="auto" w:fill="auto"/>
            <w:noWrap/>
            <w:vAlign w:val="center"/>
            <w:hideMark/>
          </w:tcPr>
          <w:p w14:paraId="7296AAAE"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509,9</w:t>
            </w:r>
          </w:p>
        </w:tc>
      </w:tr>
      <w:tr w:rsidR="007E770D" w:rsidRPr="007E770D" w14:paraId="46A36F2D" w14:textId="77777777" w:rsidTr="00E4657F">
        <w:trPr>
          <w:trHeight w:val="260"/>
          <w:jc w:val="center"/>
        </w:trPr>
        <w:tc>
          <w:tcPr>
            <w:tcW w:w="5937" w:type="dxa"/>
            <w:tcBorders>
              <w:top w:val="nil"/>
              <w:left w:val="nil"/>
              <w:bottom w:val="nil"/>
              <w:right w:val="nil"/>
            </w:tcBorders>
            <w:shd w:val="clear" w:color="auto" w:fill="auto"/>
            <w:noWrap/>
            <w:vAlign w:val="center"/>
            <w:hideMark/>
          </w:tcPr>
          <w:p w14:paraId="4F193364"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Нето добитак</w:t>
            </w:r>
          </w:p>
        </w:tc>
        <w:tc>
          <w:tcPr>
            <w:tcW w:w="1515" w:type="dxa"/>
            <w:tcBorders>
              <w:top w:val="nil"/>
              <w:left w:val="nil"/>
              <w:bottom w:val="nil"/>
              <w:right w:val="nil"/>
            </w:tcBorders>
            <w:shd w:val="clear" w:color="auto" w:fill="auto"/>
            <w:noWrap/>
            <w:vAlign w:val="center"/>
            <w:hideMark/>
          </w:tcPr>
          <w:p w14:paraId="14D55334"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23,7</w:t>
            </w:r>
          </w:p>
        </w:tc>
        <w:tc>
          <w:tcPr>
            <w:tcW w:w="1515" w:type="dxa"/>
            <w:tcBorders>
              <w:top w:val="nil"/>
              <w:left w:val="nil"/>
              <w:bottom w:val="nil"/>
              <w:right w:val="nil"/>
            </w:tcBorders>
            <w:shd w:val="clear" w:color="auto" w:fill="auto"/>
            <w:noWrap/>
            <w:vAlign w:val="center"/>
            <w:hideMark/>
          </w:tcPr>
          <w:p w14:paraId="56E5BD7E"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-1,9</w:t>
            </w:r>
          </w:p>
        </w:tc>
      </w:tr>
      <w:tr w:rsidR="007E770D" w:rsidRPr="007E770D" w14:paraId="49EB3CE7" w14:textId="77777777" w:rsidTr="00E4657F">
        <w:trPr>
          <w:trHeight w:val="260"/>
          <w:jc w:val="center"/>
        </w:trPr>
        <w:tc>
          <w:tcPr>
            <w:tcW w:w="5937" w:type="dxa"/>
            <w:tcBorders>
              <w:top w:val="nil"/>
              <w:left w:val="nil"/>
              <w:bottom w:val="nil"/>
              <w:right w:val="nil"/>
            </w:tcBorders>
            <w:shd w:val="clear" w:color="auto" w:fill="auto"/>
            <w:noWrap/>
            <w:vAlign w:val="center"/>
            <w:hideMark/>
          </w:tcPr>
          <w:p w14:paraId="06ECFA7A"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Субвенције</w:t>
            </w:r>
          </w:p>
        </w:tc>
        <w:tc>
          <w:tcPr>
            <w:tcW w:w="1515" w:type="dxa"/>
            <w:tcBorders>
              <w:top w:val="nil"/>
              <w:left w:val="nil"/>
              <w:bottom w:val="nil"/>
              <w:right w:val="nil"/>
            </w:tcBorders>
            <w:shd w:val="clear" w:color="auto" w:fill="auto"/>
            <w:noWrap/>
            <w:vAlign w:val="center"/>
            <w:hideMark/>
          </w:tcPr>
          <w:p w14:paraId="4C51C7BA"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28,6</w:t>
            </w:r>
          </w:p>
        </w:tc>
        <w:tc>
          <w:tcPr>
            <w:tcW w:w="1515" w:type="dxa"/>
            <w:tcBorders>
              <w:top w:val="nil"/>
              <w:left w:val="nil"/>
              <w:bottom w:val="nil"/>
              <w:right w:val="nil"/>
            </w:tcBorders>
            <w:shd w:val="clear" w:color="auto" w:fill="auto"/>
            <w:noWrap/>
            <w:vAlign w:val="center"/>
            <w:hideMark/>
          </w:tcPr>
          <w:p w14:paraId="78680741"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30,8</w:t>
            </w:r>
          </w:p>
        </w:tc>
      </w:tr>
      <w:tr w:rsidR="007E770D" w:rsidRPr="007E770D" w14:paraId="207114BC" w14:textId="77777777" w:rsidTr="00E4657F">
        <w:trPr>
          <w:trHeight w:val="273"/>
          <w:jc w:val="center"/>
        </w:trPr>
        <w:tc>
          <w:tcPr>
            <w:tcW w:w="5937" w:type="dxa"/>
            <w:tcBorders>
              <w:top w:val="nil"/>
              <w:left w:val="nil"/>
              <w:bottom w:val="single" w:sz="8" w:space="0" w:color="002060"/>
              <w:right w:val="nil"/>
            </w:tcBorders>
            <w:shd w:val="clear" w:color="auto" w:fill="auto"/>
            <w:noWrap/>
            <w:vAlign w:val="center"/>
            <w:hideMark/>
          </w:tcPr>
          <w:p w14:paraId="608C4029" w14:textId="60F1C76E"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 xml:space="preserve">Субвенције, без ЈП </w:t>
            </w:r>
            <w:r w:rsidR="00342910">
              <w:rPr>
                <w:rFonts w:ascii="Calibri" w:eastAsia="Times New Roman" w:hAnsi="Calibri" w:cs="Calibri"/>
                <w:color w:val="auto"/>
                <w:sz w:val="18"/>
                <w:szCs w:val="18"/>
                <w:lang w:val="sr-Cyrl-CS" w:eastAsia="sr-Cyrl-RS"/>
              </w:rPr>
              <w:t>„</w:t>
            </w:r>
            <w:r w:rsidRPr="007E770D">
              <w:rPr>
                <w:rFonts w:ascii="Calibri" w:eastAsia="Times New Roman" w:hAnsi="Calibri" w:cs="Calibri"/>
                <w:color w:val="auto"/>
                <w:sz w:val="18"/>
                <w:szCs w:val="18"/>
                <w:lang w:val="sr-Cyrl-CS" w:eastAsia="sr-Cyrl-RS"/>
              </w:rPr>
              <w:t>Путеви Србије</w:t>
            </w:r>
            <w:r w:rsidR="00342910">
              <w:rPr>
                <w:rFonts w:ascii="Calibri" w:eastAsia="Times New Roman" w:hAnsi="Calibri" w:cs="Calibri"/>
                <w:color w:val="auto"/>
                <w:sz w:val="18"/>
                <w:szCs w:val="18"/>
                <w:lang w:val="sr-Cyrl-CS" w:eastAsia="sr-Cyrl-RS"/>
              </w:rPr>
              <w:t>”</w:t>
            </w:r>
          </w:p>
        </w:tc>
        <w:tc>
          <w:tcPr>
            <w:tcW w:w="1515" w:type="dxa"/>
            <w:tcBorders>
              <w:top w:val="nil"/>
              <w:left w:val="nil"/>
              <w:bottom w:val="single" w:sz="8" w:space="0" w:color="002060"/>
              <w:right w:val="nil"/>
            </w:tcBorders>
            <w:shd w:val="clear" w:color="auto" w:fill="auto"/>
            <w:noWrap/>
            <w:vAlign w:val="center"/>
            <w:hideMark/>
          </w:tcPr>
          <w:p w14:paraId="7F86415A"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21,7</w:t>
            </w:r>
          </w:p>
        </w:tc>
        <w:tc>
          <w:tcPr>
            <w:tcW w:w="1515" w:type="dxa"/>
            <w:tcBorders>
              <w:top w:val="nil"/>
              <w:left w:val="nil"/>
              <w:bottom w:val="single" w:sz="8" w:space="0" w:color="002060"/>
              <w:right w:val="nil"/>
            </w:tcBorders>
            <w:shd w:val="clear" w:color="auto" w:fill="auto"/>
            <w:noWrap/>
            <w:vAlign w:val="center"/>
            <w:hideMark/>
          </w:tcPr>
          <w:p w14:paraId="5C861F71"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23,0</w:t>
            </w:r>
          </w:p>
        </w:tc>
      </w:tr>
      <w:tr w:rsidR="007E770D" w:rsidRPr="007E770D" w14:paraId="750B0587" w14:textId="77777777" w:rsidTr="00E4657F">
        <w:trPr>
          <w:trHeight w:val="260"/>
          <w:jc w:val="center"/>
        </w:trPr>
        <w:tc>
          <w:tcPr>
            <w:tcW w:w="5937" w:type="dxa"/>
            <w:tcBorders>
              <w:top w:val="nil"/>
              <w:left w:val="nil"/>
              <w:bottom w:val="nil"/>
              <w:right w:val="nil"/>
            </w:tcBorders>
            <w:shd w:val="clear" w:color="auto" w:fill="auto"/>
            <w:noWrap/>
            <w:vAlign w:val="center"/>
            <w:hideMark/>
          </w:tcPr>
          <w:p w14:paraId="2D352C3E"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Принос на сопствени капитал (ROE), у %</w:t>
            </w:r>
          </w:p>
        </w:tc>
        <w:tc>
          <w:tcPr>
            <w:tcW w:w="1515" w:type="dxa"/>
            <w:tcBorders>
              <w:top w:val="nil"/>
              <w:left w:val="nil"/>
              <w:bottom w:val="nil"/>
              <w:right w:val="nil"/>
            </w:tcBorders>
            <w:shd w:val="clear" w:color="auto" w:fill="auto"/>
            <w:noWrap/>
            <w:vAlign w:val="center"/>
            <w:hideMark/>
          </w:tcPr>
          <w:p w14:paraId="6BEF05FC"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1,4%</w:t>
            </w:r>
          </w:p>
        </w:tc>
        <w:tc>
          <w:tcPr>
            <w:tcW w:w="1515" w:type="dxa"/>
            <w:tcBorders>
              <w:top w:val="nil"/>
              <w:left w:val="nil"/>
              <w:bottom w:val="nil"/>
              <w:right w:val="nil"/>
            </w:tcBorders>
            <w:shd w:val="clear" w:color="auto" w:fill="auto"/>
            <w:noWrap/>
            <w:vAlign w:val="center"/>
            <w:hideMark/>
          </w:tcPr>
          <w:p w14:paraId="4BC58EFB"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w:t>
            </w:r>
          </w:p>
        </w:tc>
      </w:tr>
      <w:tr w:rsidR="007E770D" w:rsidRPr="007E770D" w14:paraId="1A100D7B" w14:textId="77777777" w:rsidTr="00E4657F">
        <w:trPr>
          <w:trHeight w:val="260"/>
          <w:jc w:val="center"/>
        </w:trPr>
        <w:tc>
          <w:tcPr>
            <w:tcW w:w="5937" w:type="dxa"/>
            <w:tcBorders>
              <w:top w:val="nil"/>
              <w:left w:val="nil"/>
              <w:bottom w:val="nil"/>
              <w:right w:val="nil"/>
            </w:tcBorders>
            <w:shd w:val="clear" w:color="auto" w:fill="auto"/>
            <w:noWrap/>
            <w:vAlign w:val="center"/>
            <w:hideMark/>
          </w:tcPr>
          <w:p w14:paraId="42DFFDC9"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Принос на укупна средства (ROA), у %</w:t>
            </w:r>
          </w:p>
        </w:tc>
        <w:tc>
          <w:tcPr>
            <w:tcW w:w="1515" w:type="dxa"/>
            <w:tcBorders>
              <w:top w:val="nil"/>
              <w:left w:val="nil"/>
              <w:bottom w:val="nil"/>
              <w:right w:val="nil"/>
            </w:tcBorders>
            <w:shd w:val="clear" w:color="auto" w:fill="auto"/>
            <w:noWrap/>
            <w:vAlign w:val="center"/>
            <w:hideMark/>
          </w:tcPr>
          <w:p w14:paraId="2617D7AC"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0,9%</w:t>
            </w:r>
          </w:p>
        </w:tc>
        <w:tc>
          <w:tcPr>
            <w:tcW w:w="1515" w:type="dxa"/>
            <w:tcBorders>
              <w:top w:val="nil"/>
              <w:left w:val="nil"/>
              <w:bottom w:val="nil"/>
              <w:right w:val="nil"/>
            </w:tcBorders>
            <w:shd w:val="clear" w:color="auto" w:fill="auto"/>
            <w:noWrap/>
            <w:vAlign w:val="center"/>
            <w:hideMark/>
          </w:tcPr>
          <w:p w14:paraId="7BB9982E"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w:t>
            </w:r>
          </w:p>
        </w:tc>
      </w:tr>
      <w:tr w:rsidR="007E770D" w:rsidRPr="007E770D" w14:paraId="133D11EE" w14:textId="77777777" w:rsidTr="00E4657F">
        <w:trPr>
          <w:trHeight w:val="273"/>
          <w:jc w:val="center"/>
        </w:trPr>
        <w:tc>
          <w:tcPr>
            <w:tcW w:w="5937" w:type="dxa"/>
            <w:tcBorders>
              <w:top w:val="nil"/>
              <w:left w:val="nil"/>
              <w:bottom w:val="single" w:sz="8" w:space="0" w:color="002060"/>
              <w:right w:val="nil"/>
            </w:tcBorders>
            <w:shd w:val="clear" w:color="auto" w:fill="auto"/>
            <w:noWrap/>
            <w:vAlign w:val="center"/>
            <w:hideMark/>
          </w:tcPr>
          <w:p w14:paraId="74E1E965"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Субвенције, % укупних прихода</w:t>
            </w:r>
          </w:p>
        </w:tc>
        <w:tc>
          <w:tcPr>
            <w:tcW w:w="1515" w:type="dxa"/>
            <w:tcBorders>
              <w:top w:val="nil"/>
              <w:left w:val="nil"/>
              <w:bottom w:val="single" w:sz="8" w:space="0" w:color="002060"/>
              <w:right w:val="nil"/>
            </w:tcBorders>
            <w:shd w:val="clear" w:color="auto" w:fill="auto"/>
            <w:noWrap/>
            <w:vAlign w:val="center"/>
            <w:hideMark/>
          </w:tcPr>
          <w:p w14:paraId="19C3ACFF"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5,5%</w:t>
            </w:r>
          </w:p>
        </w:tc>
        <w:tc>
          <w:tcPr>
            <w:tcW w:w="1515" w:type="dxa"/>
            <w:tcBorders>
              <w:top w:val="nil"/>
              <w:left w:val="nil"/>
              <w:bottom w:val="single" w:sz="8" w:space="0" w:color="002060"/>
              <w:right w:val="nil"/>
            </w:tcBorders>
            <w:shd w:val="clear" w:color="auto" w:fill="auto"/>
            <w:noWrap/>
            <w:vAlign w:val="center"/>
            <w:hideMark/>
          </w:tcPr>
          <w:p w14:paraId="02D07C4C"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5,9%</w:t>
            </w:r>
          </w:p>
        </w:tc>
      </w:tr>
    </w:tbl>
    <w:p w14:paraId="28E59249" w14:textId="77777777" w:rsidR="00187838" w:rsidRPr="007E770D" w:rsidRDefault="00187838" w:rsidP="00E4657F">
      <w:pPr>
        <w:spacing w:before="40" w:after="0" w:line="276" w:lineRule="auto"/>
        <w:rPr>
          <w:rFonts w:eastAsia="MS PGothic" w:cstheme="minorHAnsi"/>
          <w:color w:val="auto"/>
          <w:sz w:val="16"/>
          <w:szCs w:val="18"/>
          <w:vertAlign w:val="superscript"/>
          <w:lang w:val="sr-Cyrl-CS"/>
        </w:rPr>
      </w:pPr>
      <w:r w:rsidRPr="007E770D">
        <w:rPr>
          <w:rFonts w:eastAsia="MS PGothic" w:cstheme="minorHAnsi"/>
          <w:color w:val="auto"/>
          <w:sz w:val="16"/>
          <w:szCs w:val="18"/>
          <w:lang w:val="sr-Cyrl-CS"/>
        </w:rPr>
        <w:t>Извор: Финансијски извештаји за 2017. и 2018. годину</w:t>
      </w:r>
    </w:p>
    <w:p w14:paraId="0A29B531" w14:textId="77777777" w:rsidR="00187838" w:rsidRPr="007E770D" w:rsidRDefault="00187838" w:rsidP="00E4657F">
      <w:pPr>
        <w:spacing w:before="40" w:after="0" w:line="276" w:lineRule="auto"/>
        <w:rPr>
          <w:rFonts w:eastAsia="MS PGothic" w:cstheme="minorHAnsi"/>
          <w:color w:val="auto"/>
          <w:sz w:val="16"/>
          <w:szCs w:val="18"/>
          <w:vertAlign w:val="superscript"/>
          <w:lang w:val="sr-Cyrl-CS"/>
        </w:rPr>
      </w:pPr>
    </w:p>
    <w:p w14:paraId="7D18D4E4" w14:textId="77777777" w:rsidR="00187838" w:rsidRPr="007E770D" w:rsidRDefault="00187838" w:rsidP="00E4657F">
      <w:pPr>
        <w:spacing w:before="40" w:after="0" w:line="276" w:lineRule="auto"/>
        <w:rPr>
          <w:rFonts w:eastAsia="MS PGothic" w:cstheme="minorHAnsi"/>
          <w:color w:val="auto"/>
          <w:sz w:val="16"/>
          <w:szCs w:val="18"/>
          <w:lang w:val="sr-Cyrl-CS"/>
        </w:rPr>
        <w:sectPr w:rsidR="00187838" w:rsidRPr="007E770D" w:rsidSect="00BA4876">
          <w:type w:val="continuous"/>
          <w:pgSz w:w="12240" w:h="15840"/>
          <w:pgMar w:top="1440" w:right="1440" w:bottom="1440" w:left="1440" w:header="720" w:footer="720" w:gutter="0"/>
          <w:cols w:space="720"/>
          <w:docGrid w:linePitch="360"/>
        </w:sectPr>
      </w:pPr>
    </w:p>
    <w:p w14:paraId="3CAC2298" w14:textId="77777777" w:rsidR="00187838" w:rsidRPr="007E770D" w:rsidRDefault="00187838" w:rsidP="00E4657F">
      <w:pPr>
        <w:spacing w:after="120" w:line="276" w:lineRule="auto"/>
        <w:rPr>
          <w:rFonts w:eastAsia="MS PGothic" w:cstheme="minorHAnsi"/>
          <w:color w:val="auto"/>
          <w:lang w:val="sr-Cyrl-CS"/>
        </w:rPr>
      </w:pPr>
      <w:r w:rsidRPr="007E770D">
        <w:rPr>
          <w:rFonts w:eastAsia="MS PGothic" w:cstheme="minorHAnsi"/>
          <w:color w:val="auto"/>
          <w:lang w:val="sr-Cyrl-CS"/>
        </w:rPr>
        <w:t xml:space="preserve">У 2018. години субвенције су, изражене у проценту укупних прихода, на нешто вишем нивоу у односу на претходну годину и чине 5,9% укупних прихода јавних предузећа. Одређене субвенције имају </w:t>
      </w:r>
      <w:r w:rsidRPr="007E770D">
        <w:rPr>
          <w:rFonts w:eastAsia="MS PGothic" w:cstheme="minorHAnsi"/>
          <w:color w:val="auto"/>
          <w:lang w:val="sr-Cyrl-CS"/>
        </w:rPr>
        <w:t>капитални карактер као што су субвенције за ЈП „Путеви Србије</w:t>
      </w:r>
      <w:r w:rsidRPr="007E770D">
        <w:rPr>
          <w:rFonts w:cstheme="minorHAnsi"/>
          <w:bCs/>
          <w:color w:val="auto"/>
          <w:szCs w:val="72"/>
          <w:lang w:val="sr-Cyrl-CS"/>
        </w:rPr>
        <w:t>ˮ</w:t>
      </w:r>
      <w:r w:rsidRPr="007E770D">
        <w:rPr>
          <w:rFonts w:eastAsia="MS PGothic" w:cstheme="minorHAnsi"/>
          <w:color w:val="auto"/>
          <w:lang w:val="sr-Cyrl-CS"/>
        </w:rPr>
        <w:t>, које су намењене реконструкцији путне инфраструктуре.</w:t>
      </w:r>
    </w:p>
    <w:p w14:paraId="32B7ED1F" w14:textId="77777777" w:rsidR="00187838" w:rsidRPr="007E770D" w:rsidRDefault="00187838" w:rsidP="00E4657F">
      <w:pPr>
        <w:spacing w:after="120" w:line="276" w:lineRule="auto"/>
        <w:rPr>
          <w:rFonts w:cstheme="minorHAnsi"/>
          <w:bCs/>
          <w:color w:val="auto"/>
          <w:sz w:val="22"/>
          <w:szCs w:val="20"/>
          <w:lang w:val="sr-Cyrl-CS"/>
        </w:rPr>
      </w:pPr>
      <w:r w:rsidRPr="007E770D">
        <w:rPr>
          <w:rFonts w:cstheme="minorHAnsi"/>
          <w:bCs/>
          <w:color w:val="auto"/>
          <w:sz w:val="22"/>
          <w:szCs w:val="20"/>
          <w:lang w:val="sr-Cyrl-CS"/>
        </w:rPr>
        <w:lastRenderedPageBreak/>
        <w:t>Резултати пословања јавних предузећа у 2019. години</w:t>
      </w:r>
    </w:p>
    <w:p w14:paraId="5510982D" w14:textId="77777777" w:rsidR="00187838" w:rsidRPr="007E770D" w:rsidRDefault="00187838" w:rsidP="00E4657F">
      <w:pPr>
        <w:spacing w:after="240" w:line="276" w:lineRule="auto"/>
        <w:rPr>
          <w:rFonts w:eastAsia="MS PGothic" w:cstheme="minorHAnsi"/>
          <w:color w:val="auto"/>
          <w:lang w:val="sr-Cyrl-CS"/>
        </w:rPr>
        <w:sectPr w:rsidR="00187838" w:rsidRPr="007E770D" w:rsidSect="00BA4876">
          <w:type w:val="continuous"/>
          <w:pgSz w:w="12240" w:h="15840"/>
          <w:pgMar w:top="1440" w:right="1440" w:bottom="1440" w:left="1440" w:header="720" w:footer="720" w:gutter="0"/>
          <w:cols w:num="2" w:space="720"/>
          <w:docGrid w:linePitch="360"/>
        </w:sectPr>
      </w:pPr>
      <w:r w:rsidRPr="007E770D">
        <w:rPr>
          <w:rFonts w:eastAsia="Calibri" w:cstheme="minorHAnsi"/>
          <w:color w:val="auto"/>
          <w:szCs w:val="20"/>
          <w:lang w:val="sr-Cyrl-CS" w:eastAsia="ja-JP"/>
        </w:rPr>
        <w:t xml:space="preserve">У првој половини 2019. године присутан је позитиван тренд пословања републичких јавних предузећа, збирно посматрано. Укупан нето </w:t>
      </w:r>
      <w:r w:rsidRPr="007E770D">
        <w:rPr>
          <w:rFonts w:eastAsia="Calibri" w:cstheme="minorHAnsi"/>
          <w:color w:val="auto"/>
          <w:szCs w:val="20"/>
          <w:lang w:val="sr-Cyrl-CS" w:eastAsia="ja-JP"/>
        </w:rPr>
        <w:t>резултат</w:t>
      </w:r>
      <w:r w:rsidRPr="007E770D">
        <w:rPr>
          <w:rFonts w:eastAsia="MS PGothic" w:cstheme="minorHAnsi"/>
          <w:color w:val="auto"/>
          <w:lang w:val="sr-Cyrl-CS"/>
        </w:rPr>
        <w:t xml:space="preserve"> утврђен у првој половини је добит у износу од 8 млрд динара. Резултат текуће године је прецењен за трошкове амортизације ЈП „Путеви Србије</w:t>
      </w:r>
      <w:r w:rsidRPr="007E770D">
        <w:rPr>
          <w:rFonts w:cstheme="minorHAnsi"/>
          <w:bCs/>
          <w:color w:val="auto"/>
          <w:szCs w:val="72"/>
          <w:lang w:val="sr-Cyrl-CS"/>
        </w:rPr>
        <w:t>ˮ</w:t>
      </w:r>
      <w:r w:rsidRPr="007E770D">
        <w:rPr>
          <w:rFonts w:eastAsia="MS PGothic" w:cstheme="minorHAnsi"/>
          <w:color w:val="auto"/>
          <w:lang w:val="sr-Cyrl-CS"/>
        </w:rPr>
        <w:t xml:space="preserve">, јер предузеће ове трошкове књижи тек на крају године у целокупном износу за дату годину. </w:t>
      </w:r>
    </w:p>
    <w:p w14:paraId="78AACEFC" w14:textId="77777777" w:rsidR="00187838" w:rsidRPr="007E770D" w:rsidRDefault="00187838" w:rsidP="00E4657F">
      <w:pPr>
        <w:spacing w:line="276" w:lineRule="auto"/>
        <w:jc w:val="center"/>
        <w:rPr>
          <w:rFonts w:eastAsia="MS PGothic" w:cstheme="minorHAnsi"/>
          <w:b/>
          <w:bCs/>
          <w:color w:val="auto"/>
          <w:lang w:val="sr-Cyrl-CS"/>
        </w:rPr>
      </w:pPr>
      <w:r w:rsidRPr="007E770D">
        <w:rPr>
          <w:rFonts w:eastAsia="MS PGothic" w:cstheme="minorHAnsi"/>
          <w:b/>
          <w:bCs/>
          <w:color w:val="auto"/>
          <w:lang w:val="sr-Cyrl-CS"/>
        </w:rPr>
        <w:t>Табела 16. Основни показатељи пословања ЈП на дан 30.6.2019. год, у млрд динара</w:t>
      </w:r>
    </w:p>
    <w:tbl>
      <w:tblPr>
        <w:tblW w:w="9671" w:type="dxa"/>
        <w:tblLayout w:type="fixed"/>
        <w:tblLook w:val="04A0" w:firstRow="1" w:lastRow="0" w:firstColumn="1" w:lastColumn="0" w:noHBand="0" w:noVBand="1"/>
      </w:tblPr>
      <w:tblGrid>
        <w:gridCol w:w="3994"/>
        <w:gridCol w:w="1892"/>
        <w:gridCol w:w="1892"/>
        <w:gridCol w:w="1893"/>
      </w:tblGrid>
      <w:tr w:rsidR="007E770D" w:rsidRPr="007E770D" w14:paraId="35366358" w14:textId="77777777" w:rsidTr="00E4657F">
        <w:trPr>
          <w:trHeight w:val="626"/>
        </w:trPr>
        <w:tc>
          <w:tcPr>
            <w:tcW w:w="3994" w:type="dxa"/>
            <w:tcBorders>
              <w:top w:val="single" w:sz="8" w:space="0" w:color="002060"/>
              <w:left w:val="nil"/>
              <w:bottom w:val="single" w:sz="8" w:space="0" w:color="002060"/>
              <w:right w:val="nil"/>
            </w:tcBorders>
            <w:shd w:val="clear" w:color="auto" w:fill="auto"/>
            <w:noWrap/>
            <w:vAlign w:val="center"/>
            <w:hideMark/>
          </w:tcPr>
          <w:p w14:paraId="4BD3952E"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Показатељи пословања</w:t>
            </w:r>
          </w:p>
        </w:tc>
        <w:tc>
          <w:tcPr>
            <w:tcW w:w="1892" w:type="dxa"/>
            <w:tcBorders>
              <w:top w:val="single" w:sz="8" w:space="0" w:color="002060"/>
              <w:left w:val="nil"/>
              <w:bottom w:val="single" w:sz="8" w:space="0" w:color="002060"/>
              <w:right w:val="nil"/>
            </w:tcBorders>
            <w:shd w:val="clear" w:color="auto" w:fill="auto"/>
            <w:noWrap/>
            <w:vAlign w:val="center"/>
            <w:hideMark/>
          </w:tcPr>
          <w:p w14:paraId="0F0ED477"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2017</w:t>
            </w:r>
          </w:p>
        </w:tc>
        <w:tc>
          <w:tcPr>
            <w:tcW w:w="1892" w:type="dxa"/>
            <w:tcBorders>
              <w:top w:val="single" w:sz="8" w:space="0" w:color="002060"/>
              <w:left w:val="nil"/>
              <w:bottom w:val="single" w:sz="8" w:space="0" w:color="002060"/>
              <w:right w:val="nil"/>
            </w:tcBorders>
            <w:shd w:val="clear" w:color="auto" w:fill="auto"/>
            <w:noWrap/>
            <w:vAlign w:val="center"/>
            <w:hideMark/>
          </w:tcPr>
          <w:p w14:paraId="46F98909"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2018</w:t>
            </w:r>
          </w:p>
        </w:tc>
        <w:tc>
          <w:tcPr>
            <w:tcW w:w="1893" w:type="dxa"/>
            <w:tcBorders>
              <w:top w:val="single" w:sz="8" w:space="0" w:color="002060"/>
              <w:left w:val="nil"/>
              <w:bottom w:val="single" w:sz="8" w:space="0" w:color="002060"/>
              <w:right w:val="nil"/>
            </w:tcBorders>
            <w:shd w:val="clear" w:color="auto" w:fill="auto"/>
            <w:noWrap/>
            <w:vAlign w:val="center"/>
            <w:hideMark/>
          </w:tcPr>
          <w:p w14:paraId="6E0AF3C3"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1.1–30.6.2019.</w:t>
            </w:r>
          </w:p>
        </w:tc>
      </w:tr>
      <w:tr w:rsidR="007E770D" w:rsidRPr="007E770D" w14:paraId="2BC6F252" w14:textId="77777777" w:rsidTr="00E4657F">
        <w:trPr>
          <w:trHeight w:val="307"/>
        </w:trPr>
        <w:tc>
          <w:tcPr>
            <w:tcW w:w="3994" w:type="dxa"/>
            <w:tcBorders>
              <w:top w:val="nil"/>
              <w:left w:val="nil"/>
              <w:bottom w:val="nil"/>
              <w:right w:val="nil"/>
            </w:tcBorders>
            <w:shd w:val="clear" w:color="auto" w:fill="auto"/>
            <w:noWrap/>
            <w:vAlign w:val="center"/>
            <w:hideMark/>
          </w:tcPr>
          <w:p w14:paraId="028E0934"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Пословни приходи</w:t>
            </w:r>
          </w:p>
        </w:tc>
        <w:tc>
          <w:tcPr>
            <w:tcW w:w="1892" w:type="dxa"/>
            <w:tcBorders>
              <w:top w:val="nil"/>
              <w:left w:val="nil"/>
              <w:bottom w:val="nil"/>
              <w:right w:val="nil"/>
            </w:tcBorders>
            <w:shd w:val="clear" w:color="auto" w:fill="auto"/>
            <w:noWrap/>
            <w:vAlign w:val="center"/>
            <w:hideMark/>
          </w:tcPr>
          <w:p w14:paraId="1E03C864"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455,6</w:t>
            </w:r>
          </w:p>
        </w:tc>
        <w:tc>
          <w:tcPr>
            <w:tcW w:w="1892" w:type="dxa"/>
            <w:tcBorders>
              <w:top w:val="nil"/>
              <w:left w:val="nil"/>
              <w:bottom w:val="nil"/>
              <w:right w:val="nil"/>
            </w:tcBorders>
            <w:shd w:val="clear" w:color="auto" w:fill="auto"/>
            <w:noWrap/>
            <w:vAlign w:val="center"/>
            <w:hideMark/>
          </w:tcPr>
          <w:p w14:paraId="122B5629"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469,1</w:t>
            </w:r>
          </w:p>
        </w:tc>
        <w:tc>
          <w:tcPr>
            <w:tcW w:w="1893" w:type="dxa"/>
            <w:tcBorders>
              <w:top w:val="nil"/>
              <w:left w:val="nil"/>
              <w:bottom w:val="nil"/>
              <w:right w:val="nil"/>
            </w:tcBorders>
            <w:shd w:val="clear" w:color="auto" w:fill="auto"/>
            <w:noWrap/>
            <w:vAlign w:val="center"/>
            <w:hideMark/>
          </w:tcPr>
          <w:p w14:paraId="2395255C"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245,7</w:t>
            </w:r>
          </w:p>
        </w:tc>
      </w:tr>
      <w:tr w:rsidR="007E770D" w:rsidRPr="007E770D" w14:paraId="43236649" w14:textId="77777777" w:rsidTr="00E4657F">
        <w:trPr>
          <w:trHeight w:val="307"/>
        </w:trPr>
        <w:tc>
          <w:tcPr>
            <w:tcW w:w="3994" w:type="dxa"/>
            <w:tcBorders>
              <w:top w:val="nil"/>
              <w:left w:val="nil"/>
              <w:bottom w:val="nil"/>
              <w:right w:val="nil"/>
            </w:tcBorders>
            <w:shd w:val="clear" w:color="auto" w:fill="auto"/>
            <w:noWrap/>
            <w:vAlign w:val="center"/>
            <w:hideMark/>
          </w:tcPr>
          <w:p w14:paraId="0A4AFA9A"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Пословни расходи</w:t>
            </w:r>
          </w:p>
        </w:tc>
        <w:tc>
          <w:tcPr>
            <w:tcW w:w="1892" w:type="dxa"/>
            <w:tcBorders>
              <w:top w:val="nil"/>
              <w:left w:val="nil"/>
              <w:bottom w:val="nil"/>
              <w:right w:val="nil"/>
            </w:tcBorders>
            <w:shd w:val="clear" w:color="auto" w:fill="auto"/>
            <w:noWrap/>
            <w:vAlign w:val="center"/>
            <w:hideMark/>
          </w:tcPr>
          <w:p w14:paraId="797C8C01"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423,8</w:t>
            </w:r>
          </w:p>
        </w:tc>
        <w:tc>
          <w:tcPr>
            <w:tcW w:w="1892" w:type="dxa"/>
            <w:tcBorders>
              <w:top w:val="nil"/>
              <w:left w:val="nil"/>
              <w:bottom w:val="nil"/>
              <w:right w:val="nil"/>
            </w:tcBorders>
            <w:shd w:val="clear" w:color="auto" w:fill="auto"/>
            <w:noWrap/>
            <w:vAlign w:val="center"/>
            <w:hideMark/>
          </w:tcPr>
          <w:p w14:paraId="3A140D0E"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454,1</w:t>
            </w:r>
          </w:p>
        </w:tc>
        <w:tc>
          <w:tcPr>
            <w:tcW w:w="1893" w:type="dxa"/>
            <w:tcBorders>
              <w:top w:val="nil"/>
              <w:left w:val="nil"/>
              <w:bottom w:val="nil"/>
              <w:right w:val="nil"/>
            </w:tcBorders>
            <w:shd w:val="clear" w:color="auto" w:fill="auto"/>
            <w:noWrap/>
            <w:vAlign w:val="center"/>
            <w:hideMark/>
          </w:tcPr>
          <w:p w14:paraId="2E45B451"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228,8</w:t>
            </w:r>
          </w:p>
        </w:tc>
      </w:tr>
      <w:tr w:rsidR="007E770D" w:rsidRPr="007E770D" w14:paraId="53895390" w14:textId="77777777" w:rsidTr="00E4657F">
        <w:trPr>
          <w:trHeight w:val="307"/>
        </w:trPr>
        <w:tc>
          <w:tcPr>
            <w:tcW w:w="3994" w:type="dxa"/>
            <w:tcBorders>
              <w:top w:val="nil"/>
              <w:left w:val="nil"/>
              <w:bottom w:val="nil"/>
              <w:right w:val="nil"/>
            </w:tcBorders>
            <w:shd w:val="clear" w:color="auto" w:fill="auto"/>
            <w:noWrap/>
            <w:vAlign w:val="center"/>
            <w:hideMark/>
          </w:tcPr>
          <w:p w14:paraId="4017D6B6"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Пословна добит</w:t>
            </w:r>
          </w:p>
        </w:tc>
        <w:tc>
          <w:tcPr>
            <w:tcW w:w="1892" w:type="dxa"/>
            <w:tcBorders>
              <w:top w:val="nil"/>
              <w:left w:val="nil"/>
              <w:bottom w:val="nil"/>
              <w:right w:val="nil"/>
            </w:tcBorders>
            <w:shd w:val="clear" w:color="auto" w:fill="auto"/>
            <w:noWrap/>
            <w:vAlign w:val="center"/>
            <w:hideMark/>
          </w:tcPr>
          <w:p w14:paraId="6D94D5F0"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31,8</w:t>
            </w:r>
          </w:p>
        </w:tc>
        <w:tc>
          <w:tcPr>
            <w:tcW w:w="1892" w:type="dxa"/>
            <w:tcBorders>
              <w:top w:val="nil"/>
              <w:left w:val="nil"/>
              <w:bottom w:val="nil"/>
              <w:right w:val="nil"/>
            </w:tcBorders>
            <w:shd w:val="clear" w:color="auto" w:fill="auto"/>
            <w:noWrap/>
            <w:vAlign w:val="center"/>
            <w:hideMark/>
          </w:tcPr>
          <w:p w14:paraId="01E03F85"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15</w:t>
            </w:r>
          </w:p>
        </w:tc>
        <w:tc>
          <w:tcPr>
            <w:tcW w:w="1893" w:type="dxa"/>
            <w:tcBorders>
              <w:top w:val="nil"/>
              <w:left w:val="nil"/>
              <w:bottom w:val="nil"/>
              <w:right w:val="nil"/>
            </w:tcBorders>
            <w:shd w:val="clear" w:color="auto" w:fill="auto"/>
            <w:noWrap/>
            <w:vAlign w:val="center"/>
            <w:hideMark/>
          </w:tcPr>
          <w:p w14:paraId="12F17104"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16,9</w:t>
            </w:r>
          </w:p>
        </w:tc>
      </w:tr>
      <w:tr w:rsidR="007E770D" w:rsidRPr="007E770D" w14:paraId="0846CD52" w14:textId="77777777" w:rsidTr="00E4657F">
        <w:trPr>
          <w:trHeight w:val="307"/>
        </w:trPr>
        <w:tc>
          <w:tcPr>
            <w:tcW w:w="3994" w:type="dxa"/>
            <w:tcBorders>
              <w:top w:val="nil"/>
              <w:left w:val="nil"/>
              <w:bottom w:val="nil"/>
              <w:right w:val="nil"/>
            </w:tcBorders>
            <w:shd w:val="clear" w:color="auto" w:fill="auto"/>
            <w:noWrap/>
            <w:vAlign w:val="center"/>
            <w:hideMark/>
          </w:tcPr>
          <w:p w14:paraId="56579321"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Нето добит</w:t>
            </w:r>
          </w:p>
        </w:tc>
        <w:tc>
          <w:tcPr>
            <w:tcW w:w="1892" w:type="dxa"/>
            <w:tcBorders>
              <w:top w:val="nil"/>
              <w:left w:val="nil"/>
              <w:bottom w:val="nil"/>
              <w:right w:val="nil"/>
            </w:tcBorders>
            <w:shd w:val="clear" w:color="auto" w:fill="auto"/>
            <w:noWrap/>
            <w:vAlign w:val="center"/>
            <w:hideMark/>
          </w:tcPr>
          <w:p w14:paraId="78B42E54"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23,7</w:t>
            </w:r>
          </w:p>
        </w:tc>
        <w:tc>
          <w:tcPr>
            <w:tcW w:w="1892" w:type="dxa"/>
            <w:tcBorders>
              <w:top w:val="nil"/>
              <w:left w:val="nil"/>
              <w:bottom w:val="nil"/>
              <w:right w:val="nil"/>
            </w:tcBorders>
            <w:shd w:val="clear" w:color="auto" w:fill="auto"/>
            <w:noWrap/>
            <w:vAlign w:val="center"/>
            <w:hideMark/>
          </w:tcPr>
          <w:p w14:paraId="33624873"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-1,9</w:t>
            </w:r>
          </w:p>
        </w:tc>
        <w:tc>
          <w:tcPr>
            <w:tcW w:w="1893" w:type="dxa"/>
            <w:tcBorders>
              <w:top w:val="nil"/>
              <w:left w:val="nil"/>
              <w:bottom w:val="nil"/>
              <w:right w:val="nil"/>
            </w:tcBorders>
            <w:shd w:val="clear" w:color="auto" w:fill="auto"/>
            <w:noWrap/>
            <w:vAlign w:val="center"/>
            <w:hideMark/>
          </w:tcPr>
          <w:p w14:paraId="5C822809"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8</w:t>
            </w:r>
          </w:p>
        </w:tc>
      </w:tr>
      <w:tr w:rsidR="007E770D" w:rsidRPr="007E770D" w14:paraId="7A594057" w14:textId="77777777" w:rsidTr="00E4657F">
        <w:trPr>
          <w:trHeight w:val="191"/>
        </w:trPr>
        <w:tc>
          <w:tcPr>
            <w:tcW w:w="3994" w:type="dxa"/>
            <w:tcBorders>
              <w:top w:val="nil"/>
              <w:left w:val="nil"/>
              <w:bottom w:val="nil"/>
              <w:right w:val="nil"/>
            </w:tcBorders>
            <w:shd w:val="clear" w:color="auto" w:fill="auto"/>
            <w:noWrap/>
            <w:vAlign w:val="center"/>
            <w:hideMark/>
          </w:tcPr>
          <w:p w14:paraId="1F3F736B"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Трошкови зарада*</w:t>
            </w:r>
          </w:p>
        </w:tc>
        <w:tc>
          <w:tcPr>
            <w:tcW w:w="1892" w:type="dxa"/>
            <w:tcBorders>
              <w:top w:val="nil"/>
              <w:left w:val="nil"/>
              <w:bottom w:val="nil"/>
              <w:right w:val="nil"/>
            </w:tcBorders>
            <w:shd w:val="clear" w:color="auto" w:fill="auto"/>
            <w:noWrap/>
            <w:vAlign w:val="center"/>
            <w:hideMark/>
          </w:tcPr>
          <w:p w14:paraId="603BA54A"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115,7</w:t>
            </w:r>
          </w:p>
        </w:tc>
        <w:tc>
          <w:tcPr>
            <w:tcW w:w="1892" w:type="dxa"/>
            <w:tcBorders>
              <w:top w:val="nil"/>
              <w:left w:val="nil"/>
              <w:bottom w:val="nil"/>
              <w:right w:val="nil"/>
            </w:tcBorders>
            <w:shd w:val="clear" w:color="auto" w:fill="auto"/>
            <w:noWrap/>
            <w:vAlign w:val="center"/>
            <w:hideMark/>
          </w:tcPr>
          <w:p w14:paraId="6B40E46B"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113,3</w:t>
            </w:r>
          </w:p>
        </w:tc>
        <w:tc>
          <w:tcPr>
            <w:tcW w:w="1893" w:type="dxa"/>
            <w:tcBorders>
              <w:top w:val="nil"/>
              <w:left w:val="nil"/>
              <w:bottom w:val="nil"/>
              <w:right w:val="nil"/>
            </w:tcBorders>
            <w:shd w:val="clear" w:color="auto" w:fill="auto"/>
            <w:noWrap/>
            <w:vAlign w:val="center"/>
            <w:hideMark/>
          </w:tcPr>
          <w:p w14:paraId="3387C339"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53,9</w:t>
            </w:r>
          </w:p>
        </w:tc>
      </w:tr>
      <w:tr w:rsidR="007E770D" w:rsidRPr="007E770D" w14:paraId="4F045709" w14:textId="77777777" w:rsidTr="00E4657F">
        <w:trPr>
          <w:trHeight w:val="318"/>
        </w:trPr>
        <w:tc>
          <w:tcPr>
            <w:tcW w:w="3994" w:type="dxa"/>
            <w:tcBorders>
              <w:top w:val="nil"/>
              <w:left w:val="nil"/>
              <w:bottom w:val="single" w:sz="8" w:space="0" w:color="002060"/>
              <w:right w:val="nil"/>
            </w:tcBorders>
            <w:shd w:val="clear" w:color="auto" w:fill="auto"/>
            <w:noWrap/>
            <w:vAlign w:val="center"/>
            <w:hideMark/>
          </w:tcPr>
          <w:p w14:paraId="4D063341"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Број ЈП која су остварила добит</w:t>
            </w:r>
          </w:p>
        </w:tc>
        <w:tc>
          <w:tcPr>
            <w:tcW w:w="1892" w:type="dxa"/>
            <w:tcBorders>
              <w:top w:val="nil"/>
              <w:left w:val="nil"/>
              <w:bottom w:val="single" w:sz="8" w:space="0" w:color="002060"/>
              <w:right w:val="nil"/>
            </w:tcBorders>
            <w:shd w:val="clear" w:color="auto" w:fill="auto"/>
            <w:noWrap/>
            <w:vAlign w:val="center"/>
            <w:hideMark/>
          </w:tcPr>
          <w:p w14:paraId="01E922F4"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 xml:space="preserve">28                                              </w:t>
            </w:r>
          </w:p>
        </w:tc>
        <w:tc>
          <w:tcPr>
            <w:tcW w:w="1892" w:type="dxa"/>
            <w:tcBorders>
              <w:top w:val="nil"/>
              <w:left w:val="nil"/>
              <w:bottom w:val="single" w:sz="8" w:space="0" w:color="002060"/>
              <w:right w:val="nil"/>
            </w:tcBorders>
            <w:shd w:val="clear" w:color="auto" w:fill="auto"/>
            <w:noWrap/>
            <w:vAlign w:val="center"/>
            <w:hideMark/>
          </w:tcPr>
          <w:p w14:paraId="67EE920D"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 xml:space="preserve">        28</w:t>
            </w:r>
            <w:r w:rsidRPr="007E770D">
              <w:rPr>
                <w:rFonts w:ascii="Calibri" w:eastAsia="Times New Roman" w:hAnsi="Calibri" w:cs="Calibri"/>
                <w:color w:val="auto"/>
                <w:sz w:val="18"/>
                <w:szCs w:val="18"/>
                <w:lang w:val="sr-Cyrl-CS" w:eastAsia="sr-Cyrl-RS"/>
              </w:rPr>
              <w:tab/>
            </w:r>
          </w:p>
        </w:tc>
        <w:tc>
          <w:tcPr>
            <w:tcW w:w="1893" w:type="dxa"/>
            <w:tcBorders>
              <w:top w:val="nil"/>
              <w:left w:val="nil"/>
              <w:bottom w:val="single" w:sz="8" w:space="0" w:color="002060"/>
              <w:right w:val="nil"/>
            </w:tcBorders>
            <w:shd w:val="clear" w:color="auto" w:fill="auto"/>
            <w:noWrap/>
            <w:vAlign w:val="center"/>
            <w:hideMark/>
          </w:tcPr>
          <w:p w14:paraId="4665EB65"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27</w:t>
            </w:r>
          </w:p>
        </w:tc>
      </w:tr>
    </w:tbl>
    <w:p w14:paraId="748BC9D6" w14:textId="77777777" w:rsidR="00187838" w:rsidRPr="007E770D" w:rsidRDefault="00187838" w:rsidP="00E4657F">
      <w:pPr>
        <w:spacing w:before="40" w:after="0" w:line="276" w:lineRule="auto"/>
        <w:rPr>
          <w:rFonts w:eastAsia="Times New Roman" w:cstheme="minorHAnsi"/>
          <w:color w:val="auto"/>
          <w:sz w:val="16"/>
          <w:szCs w:val="20"/>
          <w:lang w:val="sr-Cyrl-CS"/>
        </w:rPr>
      </w:pPr>
      <w:r w:rsidRPr="007E770D">
        <w:rPr>
          <w:rFonts w:eastAsia="Times New Roman" w:cstheme="minorHAnsi"/>
          <w:color w:val="auto"/>
          <w:sz w:val="16"/>
          <w:szCs w:val="20"/>
          <w:lang w:val="sr-Cyrl-CS"/>
        </w:rPr>
        <w:t>*Трошкови зарада, накнада зарада и остали лични расходи</w:t>
      </w:r>
    </w:p>
    <w:p w14:paraId="31CB0137" w14:textId="77777777" w:rsidR="00187838" w:rsidRPr="007E770D" w:rsidRDefault="00187838" w:rsidP="00E4657F">
      <w:pPr>
        <w:spacing w:after="0" w:line="276" w:lineRule="auto"/>
        <w:rPr>
          <w:rFonts w:eastAsia="Times New Roman" w:cstheme="minorHAnsi"/>
          <w:color w:val="auto"/>
          <w:sz w:val="16"/>
          <w:szCs w:val="20"/>
          <w:lang w:val="sr-Cyrl-CS"/>
        </w:rPr>
      </w:pPr>
      <w:r w:rsidRPr="007E770D">
        <w:rPr>
          <w:rFonts w:eastAsia="Times New Roman" w:cstheme="minorHAnsi"/>
          <w:color w:val="auto"/>
          <w:sz w:val="16"/>
          <w:szCs w:val="20"/>
          <w:lang w:val="sr-Cyrl-CS"/>
        </w:rPr>
        <w:t xml:space="preserve">Извор: </w:t>
      </w:r>
      <w:r w:rsidRPr="007E770D">
        <w:rPr>
          <w:rFonts w:eastAsia="MS PGothic" w:cstheme="minorHAnsi"/>
          <w:color w:val="auto"/>
          <w:sz w:val="16"/>
          <w:szCs w:val="18"/>
          <w:lang w:val="sr-Cyrl-CS"/>
        </w:rPr>
        <w:t>Финансијски извештаји за 2017. и 2018. годину</w:t>
      </w:r>
      <w:r w:rsidRPr="007E770D">
        <w:rPr>
          <w:rFonts w:eastAsia="Times New Roman" w:cstheme="minorHAnsi"/>
          <w:color w:val="auto"/>
          <w:sz w:val="16"/>
          <w:szCs w:val="20"/>
          <w:lang w:val="sr-Cyrl-CS"/>
        </w:rPr>
        <w:t xml:space="preserve"> квартални извештаји Министарства привреде за 2019. годину</w:t>
      </w:r>
    </w:p>
    <w:p w14:paraId="53FA792A" w14:textId="77777777" w:rsidR="00187838" w:rsidRPr="007E770D" w:rsidRDefault="00187838" w:rsidP="00E4657F">
      <w:pPr>
        <w:spacing w:after="120" w:line="276" w:lineRule="auto"/>
        <w:ind w:firstLine="720"/>
        <w:rPr>
          <w:rFonts w:eastAsia="MS PGothic" w:cstheme="minorHAnsi"/>
          <w:color w:val="auto"/>
          <w:lang w:val="sr-Cyrl-CS"/>
        </w:rPr>
      </w:pPr>
    </w:p>
    <w:p w14:paraId="4B072676" w14:textId="77777777" w:rsidR="00187838" w:rsidRPr="007E770D" w:rsidRDefault="00187838" w:rsidP="00E4657F">
      <w:pPr>
        <w:spacing w:after="120" w:line="276" w:lineRule="auto"/>
        <w:ind w:firstLine="720"/>
        <w:rPr>
          <w:rFonts w:eastAsia="MS PGothic" w:cstheme="minorHAnsi"/>
          <w:color w:val="auto"/>
          <w:lang w:val="sr-Cyrl-CS"/>
        </w:rPr>
        <w:sectPr w:rsidR="00187838" w:rsidRPr="007E770D" w:rsidSect="00BA4876">
          <w:type w:val="continuous"/>
          <w:pgSz w:w="12240" w:h="15840"/>
          <w:pgMar w:top="1440" w:right="1440" w:bottom="1440" w:left="1440" w:header="720" w:footer="720" w:gutter="0"/>
          <w:cols w:space="720"/>
          <w:docGrid w:linePitch="360"/>
        </w:sectPr>
      </w:pPr>
    </w:p>
    <w:p w14:paraId="6C5B4D6A" w14:textId="77777777" w:rsidR="00187838" w:rsidRPr="007E770D" w:rsidRDefault="00187838" w:rsidP="00E4657F">
      <w:pPr>
        <w:spacing w:after="120" w:line="276" w:lineRule="auto"/>
        <w:rPr>
          <w:rFonts w:eastAsia="MS PGothic" w:cstheme="minorHAnsi"/>
          <w:color w:val="auto"/>
          <w:lang w:val="sr-Cyrl-CS"/>
        </w:rPr>
      </w:pPr>
      <w:r w:rsidRPr="007E770D">
        <w:rPr>
          <w:rFonts w:eastAsia="MS PGothic" w:cstheme="minorHAnsi"/>
          <w:color w:val="auto"/>
          <w:lang w:val="sr-Cyrl-CS"/>
        </w:rPr>
        <w:t>У првој половини године добит је остварило 27 предузећа у укупном износу од 12 млрд динара. Овај резултат је виши од плана у овом периоду (10,3 млрд динара).</w:t>
      </w:r>
      <w:r w:rsidRPr="007E770D">
        <w:rPr>
          <w:color w:val="auto"/>
          <w:lang w:val="sr-Cyrl-CS"/>
        </w:rPr>
        <w:t xml:space="preserve"> </w:t>
      </w:r>
      <w:r w:rsidRPr="007E770D">
        <w:rPr>
          <w:rFonts w:eastAsia="MS PGothic" w:cstheme="minorHAnsi"/>
          <w:color w:val="auto"/>
          <w:lang w:val="sr-Cyrl-CS"/>
        </w:rPr>
        <w:t xml:space="preserve">Највећи утицај на позитиван </w:t>
      </w:r>
      <w:r w:rsidRPr="007E770D">
        <w:rPr>
          <w:rFonts w:eastAsia="MS PGothic" w:cstheme="minorHAnsi"/>
          <w:color w:val="auto"/>
          <w:lang w:val="sr-Cyrl-CS"/>
        </w:rPr>
        <w:t>нето резултат у посматраном периоду има ЈП „Србијагасˮ, које је остварило нето добит у износу од 6 млрд динара. На другом месту је ЈП „ЕПСˮ са оствареном добити од 3,2 млрд динара.</w:t>
      </w:r>
    </w:p>
    <w:p w14:paraId="05B5BF77" w14:textId="77777777" w:rsidR="00187838" w:rsidRPr="007E770D" w:rsidRDefault="00187838" w:rsidP="00E4657F">
      <w:pPr>
        <w:spacing w:after="0" w:line="276" w:lineRule="auto"/>
        <w:rPr>
          <w:rFonts w:eastAsia="MS PGothic" w:cstheme="minorHAnsi"/>
          <w:b/>
          <w:color w:val="auto"/>
          <w:lang w:val="sr-Cyrl-CS"/>
        </w:rPr>
        <w:sectPr w:rsidR="00187838" w:rsidRPr="007E770D" w:rsidSect="00BA4876">
          <w:type w:val="continuous"/>
          <w:pgSz w:w="12240" w:h="15840"/>
          <w:pgMar w:top="1440" w:right="1440" w:bottom="1440" w:left="1440" w:header="720" w:footer="720" w:gutter="0"/>
          <w:cols w:num="2" w:space="720"/>
          <w:docGrid w:linePitch="360"/>
        </w:sectPr>
      </w:pPr>
    </w:p>
    <w:p w14:paraId="287EF7B2" w14:textId="77777777" w:rsidR="00187838" w:rsidRPr="007E770D" w:rsidRDefault="00187838" w:rsidP="00E4657F">
      <w:pPr>
        <w:spacing w:line="276" w:lineRule="auto"/>
        <w:jc w:val="center"/>
        <w:rPr>
          <w:rFonts w:eastAsia="MS PGothic" w:cstheme="minorHAnsi"/>
          <w:b/>
          <w:bCs/>
          <w:color w:val="auto"/>
          <w:lang w:val="sr-Cyrl-CS"/>
        </w:rPr>
      </w:pPr>
    </w:p>
    <w:p w14:paraId="29F13BBC" w14:textId="77777777" w:rsidR="00187838" w:rsidRPr="007E770D" w:rsidRDefault="00187838" w:rsidP="00E4657F">
      <w:pPr>
        <w:spacing w:line="276" w:lineRule="auto"/>
        <w:jc w:val="center"/>
        <w:rPr>
          <w:rFonts w:eastAsia="MS PGothic" w:cstheme="minorHAnsi"/>
          <w:b/>
          <w:bCs/>
          <w:color w:val="auto"/>
          <w:lang w:val="sr-Cyrl-CS"/>
        </w:rPr>
      </w:pPr>
    </w:p>
    <w:p w14:paraId="268D6D7F" w14:textId="77777777" w:rsidR="00187838" w:rsidRPr="007E770D" w:rsidRDefault="00187838">
      <w:pPr>
        <w:jc w:val="left"/>
        <w:rPr>
          <w:rFonts w:eastAsia="MS PGothic" w:cstheme="minorHAnsi"/>
          <w:b/>
          <w:bCs/>
          <w:color w:val="auto"/>
          <w:lang w:val="sr-Cyrl-CS"/>
        </w:rPr>
      </w:pPr>
      <w:r w:rsidRPr="007E770D">
        <w:rPr>
          <w:rFonts w:eastAsia="MS PGothic" w:cstheme="minorHAnsi"/>
          <w:b/>
          <w:bCs/>
          <w:color w:val="auto"/>
          <w:lang w:val="sr-Cyrl-CS"/>
        </w:rPr>
        <w:br w:type="page"/>
      </w:r>
    </w:p>
    <w:p w14:paraId="1AAE5E95" w14:textId="77777777" w:rsidR="00187838" w:rsidRPr="007E770D" w:rsidRDefault="00187838" w:rsidP="00E4657F">
      <w:pPr>
        <w:spacing w:line="276" w:lineRule="auto"/>
        <w:jc w:val="center"/>
        <w:rPr>
          <w:rFonts w:eastAsia="MS PGothic" w:cstheme="minorHAnsi"/>
          <w:b/>
          <w:bCs/>
          <w:color w:val="auto"/>
          <w:lang w:val="sr-Cyrl-CS"/>
        </w:rPr>
      </w:pPr>
      <w:r w:rsidRPr="007E770D">
        <w:rPr>
          <w:rFonts w:eastAsia="MS PGothic" w:cstheme="minorHAnsi"/>
          <w:b/>
          <w:bCs/>
          <w:color w:val="auto"/>
          <w:lang w:val="sr-Cyrl-CS"/>
        </w:rPr>
        <w:lastRenderedPageBreak/>
        <w:t>Табела 17. Јавна предузећа која су остварила нето добит у периоду 1.1–30.6.2019. године, у хиљ. динара</w:t>
      </w:r>
    </w:p>
    <w:tbl>
      <w:tblPr>
        <w:tblW w:w="9518" w:type="dxa"/>
        <w:tblLook w:val="04A0" w:firstRow="1" w:lastRow="0" w:firstColumn="1" w:lastColumn="0" w:noHBand="0" w:noVBand="1"/>
      </w:tblPr>
      <w:tblGrid>
        <w:gridCol w:w="3402"/>
        <w:gridCol w:w="1886"/>
        <w:gridCol w:w="2115"/>
        <w:gridCol w:w="2115"/>
      </w:tblGrid>
      <w:tr w:rsidR="007E770D" w:rsidRPr="007E770D" w14:paraId="698BADA4" w14:textId="77777777" w:rsidTr="00E4657F">
        <w:trPr>
          <w:trHeight w:val="220"/>
        </w:trPr>
        <w:tc>
          <w:tcPr>
            <w:tcW w:w="3402" w:type="dxa"/>
            <w:vMerge w:val="restart"/>
            <w:tcBorders>
              <w:top w:val="single" w:sz="8" w:space="0" w:color="002060"/>
              <w:left w:val="nil"/>
              <w:bottom w:val="single" w:sz="8" w:space="0" w:color="002060"/>
              <w:right w:val="nil"/>
            </w:tcBorders>
            <w:shd w:val="clear" w:color="auto" w:fill="auto"/>
            <w:noWrap/>
            <w:vAlign w:val="center"/>
            <w:hideMark/>
          </w:tcPr>
          <w:p w14:paraId="2E6F2B82"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Предузеће</w:t>
            </w:r>
          </w:p>
        </w:tc>
        <w:tc>
          <w:tcPr>
            <w:tcW w:w="1886" w:type="dxa"/>
            <w:vMerge w:val="restart"/>
            <w:tcBorders>
              <w:top w:val="single" w:sz="8" w:space="0" w:color="002060"/>
              <w:left w:val="nil"/>
              <w:bottom w:val="single" w:sz="8" w:space="0" w:color="002060"/>
              <w:right w:val="nil"/>
            </w:tcBorders>
            <w:shd w:val="clear" w:color="auto" w:fill="auto"/>
            <w:vAlign w:val="center"/>
            <w:hideMark/>
          </w:tcPr>
          <w:p w14:paraId="79E4E899"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 xml:space="preserve">Реализација </w:t>
            </w:r>
          </w:p>
          <w:p w14:paraId="5DBC35A2"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2018. година</w:t>
            </w:r>
          </w:p>
        </w:tc>
        <w:tc>
          <w:tcPr>
            <w:tcW w:w="2115" w:type="dxa"/>
            <w:vMerge w:val="restart"/>
            <w:tcBorders>
              <w:top w:val="single" w:sz="8" w:space="0" w:color="002060"/>
              <w:left w:val="nil"/>
              <w:bottom w:val="single" w:sz="8" w:space="0" w:color="002060"/>
              <w:right w:val="nil"/>
            </w:tcBorders>
            <w:shd w:val="clear" w:color="auto" w:fill="auto"/>
            <w:vAlign w:val="center"/>
            <w:hideMark/>
          </w:tcPr>
          <w:p w14:paraId="18627207"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 xml:space="preserve">План                    </w:t>
            </w:r>
          </w:p>
          <w:p w14:paraId="13BD38C8"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 xml:space="preserve">   1.1–30.6.2019.</w:t>
            </w:r>
          </w:p>
        </w:tc>
        <w:tc>
          <w:tcPr>
            <w:tcW w:w="2115" w:type="dxa"/>
            <w:vMerge w:val="restart"/>
            <w:tcBorders>
              <w:top w:val="single" w:sz="8" w:space="0" w:color="002060"/>
              <w:left w:val="nil"/>
              <w:bottom w:val="single" w:sz="8" w:space="0" w:color="002060"/>
              <w:right w:val="nil"/>
            </w:tcBorders>
            <w:shd w:val="clear" w:color="auto" w:fill="auto"/>
            <w:vAlign w:val="center"/>
            <w:hideMark/>
          </w:tcPr>
          <w:p w14:paraId="5D381A02"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 xml:space="preserve">Реализација  </w:t>
            </w:r>
          </w:p>
          <w:p w14:paraId="4C4AB843"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 xml:space="preserve">  1.1–30.6.2019.</w:t>
            </w:r>
          </w:p>
        </w:tc>
      </w:tr>
      <w:tr w:rsidR="007E770D" w:rsidRPr="007E770D" w14:paraId="69B03FBD" w14:textId="77777777" w:rsidTr="00E4657F">
        <w:trPr>
          <w:trHeight w:val="423"/>
        </w:trPr>
        <w:tc>
          <w:tcPr>
            <w:tcW w:w="3402" w:type="dxa"/>
            <w:vMerge/>
            <w:tcBorders>
              <w:top w:val="single" w:sz="8" w:space="0" w:color="002060"/>
              <w:left w:val="nil"/>
              <w:bottom w:val="single" w:sz="8" w:space="0" w:color="002060"/>
              <w:right w:val="nil"/>
            </w:tcBorders>
            <w:vAlign w:val="center"/>
            <w:hideMark/>
          </w:tcPr>
          <w:p w14:paraId="2E915B79" w14:textId="77777777" w:rsidR="00187838" w:rsidRPr="007E770D" w:rsidRDefault="00187838" w:rsidP="00E4657F">
            <w:pPr>
              <w:spacing w:after="0" w:line="240" w:lineRule="auto"/>
              <w:jc w:val="left"/>
              <w:rPr>
                <w:rFonts w:ascii="Calibri" w:eastAsia="Times New Roman" w:hAnsi="Calibri" w:cs="Calibri"/>
                <w:color w:val="auto"/>
                <w:sz w:val="18"/>
                <w:szCs w:val="18"/>
                <w:lang w:val="sr-Cyrl-CS" w:eastAsia="sr-Cyrl-RS"/>
              </w:rPr>
            </w:pPr>
          </w:p>
        </w:tc>
        <w:tc>
          <w:tcPr>
            <w:tcW w:w="1886" w:type="dxa"/>
            <w:vMerge/>
            <w:tcBorders>
              <w:top w:val="single" w:sz="8" w:space="0" w:color="002060"/>
              <w:left w:val="nil"/>
              <w:bottom w:val="single" w:sz="8" w:space="0" w:color="002060"/>
              <w:right w:val="nil"/>
            </w:tcBorders>
            <w:vAlign w:val="center"/>
            <w:hideMark/>
          </w:tcPr>
          <w:p w14:paraId="196F0434" w14:textId="77777777" w:rsidR="00187838" w:rsidRPr="007E770D" w:rsidRDefault="00187838" w:rsidP="00E4657F">
            <w:pPr>
              <w:spacing w:after="0" w:line="240" w:lineRule="auto"/>
              <w:jc w:val="left"/>
              <w:rPr>
                <w:rFonts w:ascii="Calibri" w:eastAsia="Times New Roman" w:hAnsi="Calibri" w:cs="Calibri"/>
                <w:color w:val="auto"/>
                <w:sz w:val="18"/>
                <w:szCs w:val="18"/>
                <w:lang w:val="sr-Cyrl-CS" w:eastAsia="sr-Cyrl-RS"/>
              </w:rPr>
            </w:pPr>
          </w:p>
        </w:tc>
        <w:tc>
          <w:tcPr>
            <w:tcW w:w="2115" w:type="dxa"/>
            <w:vMerge/>
            <w:tcBorders>
              <w:top w:val="single" w:sz="8" w:space="0" w:color="002060"/>
              <w:left w:val="nil"/>
              <w:bottom w:val="single" w:sz="8" w:space="0" w:color="002060"/>
              <w:right w:val="nil"/>
            </w:tcBorders>
            <w:vAlign w:val="center"/>
            <w:hideMark/>
          </w:tcPr>
          <w:p w14:paraId="53011129" w14:textId="77777777" w:rsidR="00187838" w:rsidRPr="007E770D" w:rsidRDefault="00187838" w:rsidP="00E4657F">
            <w:pPr>
              <w:spacing w:after="0" w:line="240" w:lineRule="auto"/>
              <w:jc w:val="left"/>
              <w:rPr>
                <w:rFonts w:ascii="Calibri" w:eastAsia="Times New Roman" w:hAnsi="Calibri" w:cs="Calibri"/>
                <w:color w:val="auto"/>
                <w:sz w:val="18"/>
                <w:szCs w:val="18"/>
                <w:lang w:val="sr-Cyrl-CS" w:eastAsia="sr-Cyrl-RS"/>
              </w:rPr>
            </w:pPr>
          </w:p>
        </w:tc>
        <w:tc>
          <w:tcPr>
            <w:tcW w:w="2115" w:type="dxa"/>
            <w:vMerge/>
            <w:tcBorders>
              <w:top w:val="single" w:sz="8" w:space="0" w:color="002060"/>
              <w:left w:val="nil"/>
              <w:bottom w:val="single" w:sz="8" w:space="0" w:color="002060"/>
              <w:right w:val="nil"/>
            </w:tcBorders>
            <w:vAlign w:val="center"/>
            <w:hideMark/>
          </w:tcPr>
          <w:p w14:paraId="6AFC3CAA" w14:textId="77777777" w:rsidR="00187838" w:rsidRPr="007E770D" w:rsidRDefault="00187838" w:rsidP="00E4657F">
            <w:pPr>
              <w:spacing w:after="0" w:line="240" w:lineRule="auto"/>
              <w:jc w:val="left"/>
              <w:rPr>
                <w:rFonts w:ascii="Calibri" w:eastAsia="Times New Roman" w:hAnsi="Calibri" w:cs="Calibri"/>
                <w:color w:val="auto"/>
                <w:sz w:val="18"/>
                <w:szCs w:val="18"/>
                <w:lang w:val="sr-Cyrl-CS" w:eastAsia="sr-Cyrl-RS"/>
              </w:rPr>
            </w:pPr>
          </w:p>
        </w:tc>
      </w:tr>
      <w:tr w:rsidR="007E770D" w:rsidRPr="007E770D" w14:paraId="32F9B083" w14:textId="77777777" w:rsidTr="00E4657F">
        <w:trPr>
          <w:trHeight w:val="20"/>
        </w:trPr>
        <w:tc>
          <w:tcPr>
            <w:tcW w:w="3402" w:type="dxa"/>
            <w:tcBorders>
              <w:top w:val="nil"/>
              <w:left w:val="nil"/>
              <w:bottom w:val="nil"/>
              <w:right w:val="nil"/>
            </w:tcBorders>
            <w:shd w:val="clear" w:color="auto" w:fill="auto"/>
            <w:noWrap/>
            <w:vAlign w:val="center"/>
            <w:hideMark/>
          </w:tcPr>
          <w:p w14:paraId="298A2AC6" w14:textId="1BCA465B" w:rsidR="00187838" w:rsidRPr="007E770D" w:rsidRDefault="00342910"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 xml:space="preserve">JП </w:t>
            </w:r>
            <w:r w:rsidR="00187838" w:rsidRPr="007E770D">
              <w:rPr>
                <w:rFonts w:ascii="Calibri" w:eastAsia="Times New Roman" w:hAnsi="Calibri" w:cs="Calibri"/>
                <w:color w:val="auto"/>
                <w:sz w:val="18"/>
                <w:szCs w:val="18"/>
                <w:lang w:val="sr-Cyrl-CS" w:eastAsia="sr-Cyrl-RS"/>
              </w:rPr>
              <w:t>„Србијагасˮ</w:t>
            </w:r>
          </w:p>
        </w:tc>
        <w:tc>
          <w:tcPr>
            <w:tcW w:w="1886" w:type="dxa"/>
            <w:tcBorders>
              <w:top w:val="nil"/>
              <w:left w:val="nil"/>
              <w:bottom w:val="nil"/>
              <w:right w:val="nil"/>
            </w:tcBorders>
            <w:shd w:val="clear" w:color="auto" w:fill="auto"/>
            <w:noWrap/>
            <w:vAlign w:val="center"/>
            <w:hideMark/>
          </w:tcPr>
          <w:p w14:paraId="3497C419"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5.812.655</w:t>
            </w:r>
          </w:p>
        </w:tc>
        <w:tc>
          <w:tcPr>
            <w:tcW w:w="2115" w:type="dxa"/>
            <w:tcBorders>
              <w:top w:val="nil"/>
              <w:left w:val="nil"/>
              <w:bottom w:val="nil"/>
              <w:right w:val="nil"/>
            </w:tcBorders>
            <w:shd w:val="clear" w:color="auto" w:fill="auto"/>
            <w:noWrap/>
            <w:vAlign w:val="center"/>
            <w:hideMark/>
          </w:tcPr>
          <w:p w14:paraId="3D4AC893"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5.449.920</w:t>
            </w:r>
          </w:p>
        </w:tc>
        <w:tc>
          <w:tcPr>
            <w:tcW w:w="2115" w:type="dxa"/>
            <w:tcBorders>
              <w:top w:val="nil"/>
              <w:left w:val="nil"/>
              <w:bottom w:val="nil"/>
              <w:right w:val="nil"/>
            </w:tcBorders>
            <w:shd w:val="clear" w:color="auto" w:fill="auto"/>
            <w:noWrap/>
            <w:vAlign w:val="center"/>
            <w:hideMark/>
          </w:tcPr>
          <w:p w14:paraId="78FD92E7"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5.984.304</w:t>
            </w:r>
          </w:p>
        </w:tc>
      </w:tr>
      <w:tr w:rsidR="007E770D" w:rsidRPr="007E770D" w14:paraId="3D665A77" w14:textId="77777777" w:rsidTr="00E4657F">
        <w:trPr>
          <w:trHeight w:val="20"/>
        </w:trPr>
        <w:tc>
          <w:tcPr>
            <w:tcW w:w="3402" w:type="dxa"/>
            <w:tcBorders>
              <w:top w:val="nil"/>
              <w:left w:val="nil"/>
              <w:bottom w:val="nil"/>
              <w:right w:val="nil"/>
            </w:tcBorders>
            <w:shd w:val="clear" w:color="auto" w:fill="auto"/>
            <w:noWrap/>
            <w:vAlign w:val="center"/>
            <w:hideMark/>
          </w:tcPr>
          <w:p w14:paraId="2FF57086"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ЈП Мрежа мост</w:t>
            </w:r>
          </w:p>
        </w:tc>
        <w:tc>
          <w:tcPr>
            <w:tcW w:w="1886" w:type="dxa"/>
            <w:tcBorders>
              <w:top w:val="nil"/>
              <w:left w:val="nil"/>
              <w:bottom w:val="nil"/>
              <w:right w:val="nil"/>
            </w:tcBorders>
            <w:shd w:val="clear" w:color="auto" w:fill="auto"/>
            <w:noWrap/>
            <w:vAlign w:val="center"/>
            <w:hideMark/>
          </w:tcPr>
          <w:p w14:paraId="75EAA3D6"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8.304</w:t>
            </w:r>
          </w:p>
        </w:tc>
        <w:tc>
          <w:tcPr>
            <w:tcW w:w="2115" w:type="dxa"/>
            <w:tcBorders>
              <w:top w:val="nil"/>
              <w:left w:val="nil"/>
              <w:bottom w:val="nil"/>
              <w:right w:val="nil"/>
            </w:tcBorders>
            <w:shd w:val="clear" w:color="auto" w:fill="auto"/>
            <w:noWrap/>
            <w:vAlign w:val="center"/>
            <w:hideMark/>
          </w:tcPr>
          <w:p w14:paraId="459C3CCE"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w:t>
            </w:r>
          </w:p>
        </w:tc>
        <w:tc>
          <w:tcPr>
            <w:tcW w:w="2115" w:type="dxa"/>
            <w:tcBorders>
              <w:top w:val="nil"/>
              <w:left w:val="nil"/>
              <w:bottom w:val="nil"/>
              <w:right w:val="nil"/>
            </w:tcBorders>
            <w:shd w:val="clear" w:color="auto" w:fill="auto"/>
            <w:noWrap/>
            <w:vAlign w:val="center"/>
            <w:hideMark/>
          </w:tcPr>
          <w:p w14:paraId="15D5929D"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4.893</w:t>
            </w:r>
          </w:p>
        </w:tc>
      </w:tr>
      <w:tr w:rsidR="007E770D" w:rsidRPr="007E770D" w14:paraId="007109BE" w14:textId="77777777" w:rsidTr="00E4657F">
        <w:trPr>
          <w:trHeight w:val="20"/>
        </w:trPr>
        <w:tc>
          <w:tcPr>
            <w:tcW w:w="3402" w:type="dxa"/>
            <w:tcBorders>
              <w:top w:val="nil"/>
              <w:left w:val="nil"/>
              <w:bottom w:val="nil"/>
              <w:right w:val="nil"/>
            </w:tcBorders>
            <w:shd w:val="clear" w:color="auto" w:fill="auto"/>
            <w:noWrap/>
            <w:vAlign w:val="center"/>
            <w:hideMark/>
          </w:tcPr>
          <w:p w14:paraId="1AA9615F"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„Парк Палићˮ д.о.о.</w:t>
            </w:r>
          </w:p>
        </w:tc>
        <w:tc>
          <w:tcPr>
            <w:tcW w:w="1886" w:type="dxa"/>
            <w:tcBorders>
              <w:top w:val="nil"/>
              <w:left w:val="nil"/>
              <w:bottom w:val="nil"/>
              <w:right w:val="nil"/>
            </w:tcBorders>
            <w:shd w:val="clear" w:color="auto" w:fill="auto"/>
            <w:noWrap/>
            <w:vAlign w:val="center"/>
            <w:hideMark/>
          </w:tcPr>
          <w:p w14:paraId="6F0940B1"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8.696</w:t>
            </w:r>
          </w:p>
        </w:tc>
        <w:tc>
          <w:tcPr>
            <w:tcW w:w="2115" w:type="dxa"/>
            <w:tcBorders>
              <w:top w:val="nil"/>
              <w:left w:val="nil"/>
              <w:bottom w:val="nil"/>
              <w:right w:val="nil"/>
            </w:tcBorders>
            <w:shd w:val="clear" w:color="auto" w:fill="auto"/>
            <w:noWrap/>
            <w:vAlign w:val="center"/>
            <w:hideMark/>
          </w:tcPr>
          <w:p w14:paraId="5103B592"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3.547</w:t>
            </w:r>
          </w:p>
        </w:tc>
        <w:tc>
          <w:tcPr>
            <w:tcW w:w="2115" w:type="dxa"/>
            <w:tcBorders>
              <w:top w:val="nil"/>
              <w:left w:val="nil"/>
              <w:bottom w:val="nil"/>
              <w:right w:val="nil"/>
            </w:tcBorders>
            <w:shd w:val="clear" w:color="auto" w:fill="auto"/>
            <w:noWrap/>
            <w:vAlign w:val="center"/>
            <w:hideMark/>
          </w:tcPr>
          <w:p w14:paraId="165971D7"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1.934</w:t>
            </w:r>
          </w:p>
        </w:tc>
      </w:tr>
      <w:tr w:rsidR="007E770D" w:rsidRPr="007E770D" w14:paraId="6977DAC6" w14:textId="77777777" w:rsidTr="00E4657F">
        <w:trPr>
          <w:trHeight w:val="20"/>
        </w:trPr>
        <w:tc>
          <w:tcPr>
            <w:tcW w:w="3402" w:type="dxa"/>
            <w:tcBorders>
              <w:top w:val="nil"/>
              <w:left w:val="nil"/>
              <w:bottom w:val="nil"/>
              <w:right w:val="nil"/>
            </w:tcBorders>
            <w:shd w:val="clear" w:color="auto" w:fill="auto"/>
            <w:noWrap/>
            <w:vAlign w:val="center"/>
            <w:hideMark/>
          </w:tcPr>
          <w:p w14:paraId="0B8F8030"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„Jат техникаˮ д.о.о.</w:t>
            </w:r>
          </w:p>
        </w:tc>
        <w:tc>
          <w:tcPr>
            <w:tcW w:w="1886" w:type="dxa"/>
            <w:tcBorders>
              <w:top w:val="nil"/>
              <w:left w:val="nil"/>
              <w:bottom w:val="nil"/>
              <w:right w:val="nil"/>
            </w:tcBorders>
            <w:shd w:val="clear" w:color="auto" w:fill="auto"/>
            <w:noWrap/>
            <w:vAlign w:val="center"/>
            <w:hideMark/>
          </w:tcPr>
          <w:p w14:paraId="1B3573D4"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5.810</w:t>
            </w:r>
          </w:p>
        </w:tc>
        <w:tc>
          <w:tcPr>
            <w:tcW w:w="2115" w:type="dxa"/>
            <w:tcBorders>
              <w:top w:val="nil"/>
              <w:left w:val="nil"/>
              <w:bottom w:val="nil"/>
              <w:right w:val="nil"/>
            </w:tcBorders>
            <w:shd w:val="clear" w:color="auto" w:fill="auto"/>
            <w:noWrap/>
            <w:vAlign w:val="center"/>
            <w:hideMark/>
          </w:tcPr>
          <w:p w14:paraId="6CA94871"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49.998</w:t>
            </w:r>
          </w:p>
        </w:tc>
        <w:tc>
          <w:tcPr>
            <w:tcW w:w="2115" w:type="dxa"/>
            <w:tcBorders>
              <w:top w:val="nil"/>
              <w:left w:val="nil"/>
              <w:bottom w:val="nil"/>
              <w:right w:val="nil"/>
            </w:tcBorders>
            <w:shd w:val="clear" w:color="auto" w:fill="auto"/>
            <w:noWrap/>
            <w:vAlign w:val="center"/>
            <w:hideMark/>
          </w:tcPr>
          <w:p w14:paraId="354D16FE"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16.825</w:t>
            </w:r>
          </w:p>
        </w:tc>
      </w:tr>
      <w:tr w:rsidR="007E770D" w:rsidRPr="007E770D" w14:paraId="596E9E94" w14:textId="77777777" w:rsidTr="00E4657F">
        <w:trPr>
          <w:trHeight w:val="20"/>
        </w:trPr>
        <w:tc>
          <w:tcPr>
            <w:tcW w:w="3402" w:type="dxa"/>
            <w:tcBorders>
              <w:top w:val="nil"/>
              <w:left w:val="nil"/>
              <w:bottom w:val="nil"/>
              <w:right w:val="nil"/>
            </w:tcBorders>
            <w:shd w:val="clear" w:color="auto" w:fill="auto"/>
            <w:noWrap/>
            <w:vAlign w:val="center"/>
            <w:hideMark/>
          </w:tcPr>
          <w:p w14:paraId="3610C93A"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JП „НП Ђердапˮ</w:t>
            </w:r>
          </w:p>
        </w:tc>
        <w:tc>
          <w:tcPr>
            <w:tcW w:w="1886" w:type="dxa"/>
            <w:tcBorders>
              <w:top w:val="nil"/>
              <w:left w:val="nil"/>
              <w:bottom w:val="nil"/>
              <w:right w:val="nil"/>
            </w:tcBorders>
            <w:shd w:val="clear" w:color="auto" w:fill="auto"/>
            <w:noWrap/>
            <w:vAlign w:val="center"/>
            <w:hideMark/>
          </w:tcPr>
          <w:p w14:paraId="3D04941B"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14.531</w:t>
            </w:r>
          </w:p>
        </w:tc>
        <w:tc>
          <w:tcPr>
            <w:tcW w:w="2115" w:type="dxa"/>
            <w:tcBorders>
              <w:top w:val="nil"/>
              <w:left w:val="nil"/>
              <w:bottom w:val="nil"/>
              <w:right w:val="nil"/>
            </w:tcBorders>
            <w:shd w:val="clear" w:color="auto" w:fill="auto"/>
            <w:noWrap/>
            <w:vAlign w:val="center"/>
            <w:hideMark/>
          </w:tcPr>
          <w:p w14:paraId="73B2A812"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2.040</w:t>
            </w:r>
          </w:p>
        </w:tc>
        <w:tc>
          <w:tcPr>
            <w:tcW w:w="2115" w:type="dxa"/>
            <w:tcBorders>
              <w:top w:val="nil"/>
              <w:left w:val="nil"/>
              <w:bottom w:val="nil"/>
              <w:right w:val="nil"/>
            </w:tcBorders>
            <w:shd w:val="clear" w:color="auto" w:fill="auto"/>
            <w:noWrap/>
            <w:vAlign w:val="center"/>
            <w:hideMark/>
          </w:tcPr>
          <w:p w14:paraId="27E6B9B2"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3.708</w:t>
            </w:r>
          </w:p>
        </w:tc>
      </w:tr>
      <w:tr w:rsidR="007E770D" w:rsidRPr="007E770D" w14:paraId="0315254A" w14:textId="77777777" w:rsidTr="00E4657F">
        <w:trPr>
          <w:trHeight w:val="20"/>
        </w:trPr>
        <w:tc>
          <w:tcPr>
            <w:tcW w:w="3402" w:type="dxa"/>
            <w:tcBorders>
              <w:top w:val="nil"/>
              <w:left w:val="nil"/>
              <w:bottom w:val="nil"/>
              <w:right w:val="nil"/>
            </w:tcBorders>
            <w:shd w:val="clear" w:color="auto" w:fill="auto"/>
            <w:noWrap/>
            <w:vAlign w:val="center"/>
            <w:hideMark/>
          </w:tcPr>
          <w:p w14:paraId="03C68775"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JП „Скијалишта Србијеˮ</w:t>
            </w:r>
          </w:p>
        </w:tc>
        <w:tc>
          <w:tcPr>
            <w:tcW w:w="1886" w:type="dxa"/>
            <w:tcBorders>
              <w:top w:val="nil"/>
              <w:left w:val="nil"/>
              <w:bottom w:val="nil"/>
              <w:right w:val="nil"/>
            </w:tcBorders>
            <w:shd w:val="clear" w:color="auto" w:fill="auto"/>
            <w:noWrap/>
            <w:vAlign w:val="center"/>
            <w:hideMark/>
          </w:tcPr>
          <w:p w14:paraId="7247585C"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234.920</w:t>
            </w:r>
          </w:p>
        </w:tc>
        <w:tc>
          <w:tcPr>
            <w:tcW w:w="2115" w:type="dxa"/>
            <w:tcBorders>
              <w:top w:val="nil"/>
              <w:left w:val="nil"/>
              <w:bottom w:val="nil"/>
              <w:right w:val="nil"/>
            </w:tcBorders>
            <w:shd w:val="clear" w:color="auto" w:fill="auto"/>
            <w:noWrap/>
            <w:vAlign w:val="center"/>
            <w:hideMark/>
          </w:tcPr>
          <w:p w14:paraId="3615BEDA"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318.483</w:t>
            </w:r>
          </w:p>
        </w:tc>
        <w:tc>
          <w:tcPr>
            <w:tcW w:w="2115" w:type="dxa"/>
            <w:tcBorders>
              <w:top w:val="nil"/>
              <w:left w:val="nil"/>
              <w:bottom w:val="nil"/>
              <w:right w:val="nil"/>
            </w:tcBorders>
            <w:shd w:val="clear" w:color="auto" w:fill="auto"/>
            <w:noWrap/>
            <w:vAlign w:val="center"/>
            <w:hideMark/>
          </w:tcPr>
          <w:p w14:paraId="7B478DBA"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579.257</w:t>
            </w:r>
          </w:p>
        </w:tc>
      </w:tr>
      <w:tr w:rsidR="007E770D" w:rsidRPr="007E770D" w14:paraId="59119CDB" w14:textId="77777777" w:rsidTr="00E4657F">
        <w:trPr>
          <w:trHeight w:val="20"/>
        </w:trPr>
        <w:tc>
          <w:tcPr>
            <w:tcW w:w="3402" w:type="dxa"/>
            <w:tcBorders>
              <w:top w:val="nil"/>
              <w:left w:val="nil"/>
              <w:bottom w:val="nil"/>
              <w:right w:val="nil"/>
            </w:tcBorders>
            <w:shd w:val="clear" w:color="auto" w:fill="auto"/>
            <w:noWrap/>
            <w:vAlign w:val="center"/>
            <w:hideMark/>
          </w:tcPr>
          <w:p w14:paraId="5D444027"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JП „Стара планинаˮ</w:t>
            </w:r>
          </w:p>
        </w:tc>
        <w:tc>
          <w:tcPr>
            <w:tcW w:w="1886" w:type="dxa"/>
            <w:tcBorders>
              <w:top w:val="nil"/>
              <w:left w:val="nil"/>
              <w:bottom w:val="nil"/>
              <w:right w:val="nil"/>
            </w:tcBorders>
            <w:shd w:val="clear" w:color="auto" w:fill="auto"/>
            <w:noWrap/>
            <w:vAlign w:val="center"/>
            <w:hideMark/>
          </w:tcPr>
          <w:p w14:paraId="1E5E01D2"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-23.803</w:t>
            </w:r>
          </w:p>
        </w:tc>
        <w:tc>
          <w:tcPr>
            <w:tcW w:w="2115" w:type="dxa"/>
            <w:tcBorders>
              <w:top w:val="nil"/>
              <w:left w:val="nil"/>
              <w:bottom w:val="nil"/>
              <w:right w:val="nil"/>
            </w:tcBorders>
            <w:shd w:val="clear" w:color="auto" w:fill="auto"/>
            <w:noWrap/>
            <w:vAlign w:val="center"/>
            <w:hideMark/>
          </w:tcPr>
          <w:p w14:paraId="1778A41E"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w:t>
            </w:r>
          </w:p>
        </w:tc>
        <w:tc>
          <w:tcPr>
            <w:tcW w:w="2115" w:type="dxa"/>
            <w:tcBorders>
              <w:top w:val="nil"/>
              <w:left w:val="nil"/>
              <w:bottom w:val="nil"/>
              <w:right w:val="nil"/>
            </w:tcBorders>
            <w:shd w:val="clear" w:color="auto" w:fill="auto"/>
            <w:noWrap/>
            <w:vAlign w:val="center"/>
            <w:hideMark/>
          </w:tcPr>
          <w:p w14:paraId="0A3CC9AD"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934</w:t>
            </w:r>
          </w:p>
        </w:tc>
      </w:tr>
      <w:tr w:rsidR="007E770D" w:rsidRPr="007E770D" w14:paraId="44616E6B" w14:textId="77777777" w:rsidTr="00E4657F">
        <w:trPr>
          <w:trHeight w:val="20"/>
        </w:trPr>
        <w:tc>
          <w:tcPr>
            <w:tcW w:w="3402" w:type="dxa"/>
            <w:tcBorders>
              <w:top w:val="nil"/>
              <w:left w:val="nil"/>
              <w:bottom w:val="nil"/>
              <w:right w:val="nil"/>
            </w:tcBorders>
            <w:shd w:val="clear" w:color="auto" w:fill="auto"/>
            <w:vAlign w:val="center"/>
            <w:hideMark/>
          </w:tcPr>
          <w:p w14:paraId="13BB6171"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„Метохијаˮ д.о.о.</w:t>
            </w:r>
          </w:p>
        </w:tc>
        <w:tc>
          <w:tcPr>
            <w:tcW w:w="1886" w:type="dxa"/>
            <w:tcBorders>
              <w:top w:val="nil"/>
              <w:left w:val="nil"/>
              <w:bottom w:val="nil"/>
              <w:right w:val="nil"/>
            </w:tcBorders>
            <w:shd w:val="clear" w:color="auto" w:fill="auto"/>
            <w:vAlign w:val="center"/>
            <w:hideMark/>
          </w:tcPr>
          <w:p w14:paraId="1695E466"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1.549</w:t>
            </w:r>
          </w:p>
        </w:tc>
        <w:tc>
          <w:tcPr>
            <w:tcW w:w="2115" w:type="dxa"/>
            <w:tcBorders>
              <w:top w:val="nil"/>
              <w:left w:val="nil"/>
              <w:bottom w:val="nil"/>
              <w:right w:val="nil"/>
            </w:tcBorders>
            <w:shd w:val="clear" w:color="auto" w:fill="auto"/>
            <w:noWrap/>
            <w:vAlign w:val="center"/>
            <w:hideMark/>
          </w:tcPr>
          <w:p w14:paraId="0F67E750"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3.112</w:t>
            </w:r>
          </w:p>
        </w:tc>
        <w:tc>
          <w:tcPr>
            <w:tcW w:w="2115" w:type="dxa"/>
            <w:tcBorders>
              <w:top w:val="nil"/>
              <w:left w:val="nil"/>
              <w:bottom w:val="nil"/>
              <w:right w:val="nil"/>
            </w:tcBorders>
            <w:shd w:val="clear" w:color="auto" w:fill="auto"/>
            <w:noWrap/>
            <w:vAlign w:val="center"/>
            <w:hideMark/>
          </w:tcPr>
          <w:p w14:paraId="20219BC4"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5.239</w:t>
            </w:r>
          </w:p>
        </w:tc>
      </w:tr>
      <w:tr w:rsidR="007E770D" w:rsidRPr="007E770D" w14:paraId="557158ED" w14:textId="77777777" w:rsidTr="00E4657F">
        <w:trPr>
          <w:trHeight w:val="20"/>
        </w:trPr>
        <w:tc>
          <w:tcPr>
            <w:tcW w:w="3402" w:type="dxa"/>
            <w:tcBorders>
              <w:top w:val="nil"/>
              <w:left w:val="nil"/>
              <w:bottom w:val="nil"/>
              <w:right w:val="nil"/>
            </w:tcBorders>
            <w:shd w:val="clear" w:color="auto" w:fill="auto"/>
            <w:noWrap/>
            <w:vAlign w:val="center"/>
            <w:hideMark/>
          </w:tcPr>
          <w:p w14:paraId="68D5CBE5"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„Коридори Србијеˮ д.о.о.</w:t>
            </w:r>
          </w:p>
        </w:tc>
        <w:tc>
          <w:tcPr>
            <w:tcW w:w="1886" w:type="dxa"/>
            <w:tcBorders>
              <w:top w:val="nil"/>
              <w:left w:val="nil"/>
              <w:bottom w:val="nil"/>
              <w:right w:val="nil"/>
            </w:tcBorders>
            <w:shd w:val="clear" w:color="auto" w:fill="auto"/>
            <w:noWrap/>
            <w:vAlign w:val="center"/>
            <w:hideMark/>
          </w:tcPr>
          <w:p w14:paraId="6CFC05E7"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6</w:t>
            </w:r>
          </w:p>
        </w:tc>
        <w:tc>
          <w:tcPr>
            <w:tcW w:w="2115" w:type="dxa"/>
            <w:tcBorders>
              <w:top w:val="nil"/>
              <w:left w:val="nil"/>
              <w:bottom w:val="nil"/>
              <w:right w:val="nil"/>
            </w:tcBorders>
            <w:shd w:val="clear" w:color="auto" w:fill="auto"/>
            <w:noWrap/>
            <w:vAlign w:val="center"/>
            <w:hideMark/>
          </w:tcPr>
          <w:p w14:paraId="1B7B5679"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0</w:t>
            </w:r>
          </w:p>
        </w:tc>
        <w:tc>
          <w:tcPr>
            <w:tcW w:w="2115" w:type="dxa"/>
            <w:tcBorders>
              <w:top w:val="nil"/>
              <w:left w:val="nil"/>
              <w:bottom w:val="nil"/>
              <w:right w:val="nil"/>
            </w:tcBorders>
            <w:shd w:val="clear" w:color="auto" w:fill="auto"/>
            <w:noWrap/>
            <w:vAlign w:val="center"/>
            <w:hideMark/>
          </w:tcPr>
          <w:p w14:paraId="65B114A1"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22.912</w:t>
            </w:r>
          </w:p>
        </w:tc>
      </w:tr>
      <w:tr w:rsidR="007E770D" w:rsidRPr="007E770D" w14:paraId="37DF208F" w14:textId="77777777" w:rsidTr="00E4657F">
        <w:trPr>
          <w:trHeight w:val="20"/>
        </w:trPr>
        <w:tc>
          <w:tcPr>
            <w:tcW w:w="3402" w:type="dxa"/>
            <w:tcBorders>
              <w:top w:val="nil"/>
              <w:left w:val="nil"/>
              <w:bottom w:val="nil"/>
              <w:right w:val="nil"/>
            </w:tcBorders>
            <w:shd w:val="clear" w:color="auto" w:fill="auto"/>
            <w:noWrap/>
            <w:vAlign w:val="center"/>
            <w:hideMark/>
          </w:tcPr>
          <w:p w14:paraId="786D6046"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JП „Tранснафтаˮ</w:t>
            </w:r>
          </w:p>
        </w:tc>
        <w:tc>
          <w:tcPr>
            <w:tcW w:w="1886" w:type="dxa"/>
            <w:tcBorders>
              <w:top w:val="nil"/>
              <w:left w:val="nil"/>
              <w:bottom w:val="nil"/>
              <w:right w:val="nil"/>
            </w:tcBorders>
            <w:shd w:val="clear" w:color="auto" w:fill="auto"/>
            <w:noWrap/>
            <w:vAlign w:val="center"/>
            <w:hideMark/>
          </w:tcPr>
          <w:p w14:paraId="17135804"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269.044</w:t>
            </w:r>
          </w:p>
        </w:tc>
        <w:tc>
          <w:tcPr>
            <w:tcW w:w="2115" w:type="dxa"/>
            <w:tcBorders>
              <w:top w:val="nil"/>
              <w:left w:val="nil"/>
              <w:bottom w:val="nil"/>
              <w:right w:val="nil"/>
            </w:tcBorders>
            <w:shd w:val="clear" w:color="auto" w:fill="auto"/>
            <w:noWrap/>
            <w:vAlign w:val="center"/>
            <w:hideMark/>
          </w:tcPr>
          <w:p w14:paraId="5C244B39"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38.053</w:t>
            </w:r>
          </w:p>
        </w:tc>
        <w:tc>
          <w:tcPr>
            <w:tcW w:w="2115" w:type="dxa"/>
            <w:tcBorders>
              <w:top w:val="nil"/>
              <w:left w:val="nil"/>
              <w:bottom w:val="nil"/>
              <w:right w:val="nil"/>
            </w:tcBorders>
            <w:shd w:val="clear" w:color="auto" w:fill="auto"/>
            <w:noWrap/>
            <w:vAlign w:val="center"/>
            <w:hideMark/>
          </w:tcPr>
          <w:p w14:paraId="7766A544"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4.628</w:t>
            </w:r>
          </w:p>
        </w:tc>
      </w:tr>
      <w:tr w:rsidR="007E770D" w:rsidRPr="007E770D" w14:paraId="56F4F2D7" w14:textId="77777777" w:rsidTr="00E4657F">
        <w:trPr>
          <w:trHeight w:val="20"/>
        </w:trPr>
        <w:tc>
          <w:tcPr>
            <w:tcW w:w="3402" w:type="dxa"/>
            <w:tcBorders>
              <w:top w:val="nil"/>
              <w:left w:val="nil"/>
              <w:bottom w:val="nil"/>
              <w:right w:val="nil"/>
            </w:tcBorders>
            <w:shd w:val="clear" w:color="auto" w:fill="auto"/>
            <w:noWrap/>
            <w:vAlign w:val="center"/>
            <w:hideMark/>
          </w:tcPr>
          <w:p w14:paraId="05F0D55C"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JП „Пошта Србијеˮ</w:t>
            </w:r>
          </w:p>
        </w:tc>
        <w:tc>
          <w:tcPr>
            <w:tcW w:w="1886" w:type="dxa"/>
            <w:tcBorders>
              <w:top w:val="nil"/>
              <w:left w:val="nil"/>
              <w:bottom w:val="nil"/>
              <w:right w:val="nil"/>
            </w:tcBorders>
            <w:shd w:val="clear" w:color="auto" w:fill="auto"/>
            <w:noWrap/>
            <w:vAlign w:val="center"/>
            <w:hideMark/>
          </w:tcPr>
          <w:p w14:paraId="0335E1DF"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2.305.501</w:t>
            </w:r>
          </w:p>
        </w:tc>
        <w:tc>
          <w:tcPr>
            <w:tcW w:w="2115" w:type="dxa"/>
            <w:tcBorders>
              <w:top w:val="nil"/>
              <w:left w:val="nil"/>
              <w:bottom w:val="nil"/>
              <w:right w:val="nil"/>
            </w:tcBorders>
            <w:shd w:val="clear" w:color="auto" w:fill="auto"/>
            <w:noWrap/>
            <w:vAlign w:val="center"/>
            <w:hideMark/>
          </w:tcPr>
          <w:p w14:paraId="4526EB5F"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106.984</w:t>
            </w:r>
          </w:p>
        </w:tc>
        <w:tc>
          <w:tcPr>
            <w:tcW w:w="2115" w:type="dxa"/>
            <w:tcBorders>
              <w:top w:val="nil"/>
              <w:left w:val="nil"/>
              <w:bottom w:val="nil"/>
              <w:right w:val="nil"/>
            </w:tcBorders>
            <w:shd w:val="clear" w:color="auto" w:fill="auto"/>
            <w:noWrap/>
            <w:vAlign w:val="center"/>
            <w:hideMark/>
          </w:tcPr>
          <w:p w14:paraId="012080AC"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913.779</w:t>
            </w:r>
          </w:p>
        </w:tc>
      </w:tr>
      <w:tr w:rsidR="007E770D" w:rsidRPr="007E770D" w14:paraId="3B9520A9" w14:textId="77777777" w:rsidTr="00E4657F">
        <w:trPr>
          <w:trHeight w:val="20"/>
        </w:trPr>
        <w:tc>
          <w:tcPr>
            <w:tcW w:w="3402" w:type="dxa"/>
            <w:tcBorders>
              <w:top w:val="nil"/>
              <w:left w:val="nil"/>
              <w:bottom w:val="nil"/>
              <w:right w:val="nil"/>
            </w:tcBorders>
            <w:shd w:val="clear" w:color="auto" w:fill="auto"/>
            <w:vAlign w:val="center"/>
            <w:hideMark/>
          </w:tcPr>
          <w:p w14:paraId="0E151054"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„Резерват Увац“ д.о.о.</w:t>
            </w:r>
          </w:p>
        </w:tc>
        <w:tc>
          <w:tcPr>
            <w:tcW w:w="1886" w:type="dxa"/>
            <w:tcBorders>
              <w:top w:val="nil"/>
              <w:left w:val="nil"/>
              <w:bottom w:val="nil"/>
              <w:right w:val="nil"/>
            </w:tcBorders>
            <w:shd w:val="clear" w:color="auto" w:fill="auto"/>
            <w:vAlign w:val="center"/>
            <w:hideMark/>
          </w:tcPr>
          <w:p w14:paraId="59202CDF"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945</w:t>
            </w:r>
          </w:p>
        </w:tc>
        <w:tc>
          <w:tcPr>
            <w:tcW w:w="2115" w:type="dxa"/>
            <w:tcBorders>
              <w:top w:val="nil"/>
              <w:left w:val="nil"/>
              <w:bottom w:val="nil"/>
              <w:right w:val="nil"/>
            </w:tcBorders>
            <w:shd w:val="clear" w:color="auto" w:fill="auto"/>
            <w:noWrap/>
            <w:vAlign w:val="center"/>
            <w:hideMark/>
          </w:tcPr>
          <w:p w14:paraId="4266565B"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1.473</w:t>
            </w:r>
          </w:p>
        </w:tc>
        <w:tc>
          <w:tcPr>
            <w:tcW w:w="2115" w:type="dxa"/>
            <w:tcBorders>
              <w:top w:val="nil"/>
              <w:left w:val="nil"/>
              <w:bottom w:val="nil"/>
              <w:right w:val="nil"/>
            </w:tcBorders>
            <w:shd w:val="clear" w:color="auto" w:fill="auto"/>
            <w:noWrap/>
            <w:vAlign w:val="center"/>
            <w:hideMark/>
          </w:tcPr>
          <w:p w14:paraId="6B0BB7C0"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1.307</w:t>
            </w:r>
          </w:p>
        </w:tc>
      </w:tr>
      <w:tr w:rsidR="007E770D" w:rsidRPr="007E770D" w14:paraId="57E9A238" w14:textId="77777777" w:rsidTr="00E4657F">
        <w:trPr>
          <w:trHeight w:val="20"/>
        </w:trPr>
        <w:tc>
          <w:tcPr>
            <w:tcW w:w="3402" w:type="dxa"/>
            <w:tcBorders>
              <w:top w:val="nil"/>
              <w:left w:val="nil"/>
              <w:bottom w:val="nil"/>
              <w:right w:val="nil"/>
            </w:tcBorders>
            <w:shd w:val="clear" w:color="auto" w:fill="auto"/>
            <w:vAlign w:val="center"/>
            <w:hideMark/>
          </w:tcPr>
          <w:p w14:paraId="6312BA0D"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„Просветни прегледˮ д.о.о.</w:t>
            </w:r>
          </w:p>
        </w:tc>
        <w:tc>
          <w:tcPr>
            <w:tcW w:w="1886" w:type="dxa"/>
            <w:tcBorders>
              <w:top w:val="nil"/>
              <w:left w:val="nil"/>
              <w:bottom w:val="nil"/>
              <w:right w:val="nil"/>
            </w:tcBorders>
            <w:shd w:val="clear" w:color="auto" w:fill="auto"/>
            <w:vAlign w:val="center"/>
            <w:hideMark/>
          </w:tcPr>
          <w:p w14:paraId="60786993"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22.571</w:t>
            </w:r>
          </w:p>
        </w:tc>
        <w:tc>
          <w:tcPr>
            <w:tcW w:w="2115" w:type="dxa"/>
            <w:tcBorders>
              <w:top w:val="nil"/>
              <w:left w:val="nil"/>
              <w:bottom w:val="nil"/>
              <w:right w:val="nil"/>
            </w:tcBorders>
            <w:shd w:val="clear" w:color="auto" w:fill="auto"/>
            <w:noWrap/>
            <w:vAlign w:val="center"/>
            <w:hideMark/>
          </w:tcPr>
          <w:p w14:paraId="067718FA"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10.789</w:t>
            </w:r>
          </w:p>
        </w:tc>
        <w:tc>
          <w:tcPr>
            <w:tcW w:w="2115" w:type="dxa"/>
            <w:tcBorders>
              <w:top w:val="nil"/>
              <w:left w:val="nil"/>
              <w:bottom w:val="nil"/>
              <w:right w:val="nil"/>
            </w:tcBorders>
            <w:shd w:val="clear" w:color="auto" w:fill="auto"/>
            <w:noWrap/>
            <w:vAlign w:val="center"/>
            <w:hideMark/>
          </w:tcPr>
          <w:p w14:paraId="2205E9DE"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18.648</w:t>
            </w:r>
          </w:p>
        </w:tc>
      </w:tr>
      <w:tr w:rsidR="007E770D" w:rsidRPr="007E770D" w14:paraId="76EFB157" w14:textId="77777777" w:rsidTr="00E4657F">
        <w:trPr>
          <w:trHeight w:val="20"/>
        </w:trPr>
        <w:tc>
          <w:tcPr>
            <w:tcW w:w="3402" w:type="dxa"/>
            <w:tcBorders>
              <w:top w:val="nil"/>
              <w:left w:val="nil"/>
              <w:bottom w:val="nil"/>
              <w:right w:val="nil"/>
            </w:tcBorders>
            <w:shd w:val="clear" w:color="auto" w:fill="auto"/>
            <w:noWrap/>
            <w:vAlign w:val="center"/>
            <w:hideMark/>
          </w:tcPr>
          <w:p w14:paraId="39011D81"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JП „Службени гласникˮ</w:t>
            </w:r>
          </w:p>
        </w:tc>
        <w:tc>
          <w:tcPr>
            <w:tcW w:w="1886" w:type="dxa"/>
            <w:tcBorders>
              <w:top w:val="nil"/>
              <w:left w:val="nil"/>
              <w:bottom w:val="nil"/>
              <w:right w:val="nil"/>
            </w:tcBorders>
            <w:shd w:val="clear" w:color="auto" w:fill="auto"/>
            <w:noWrap/>
            <w:vAlign w:val="center"/>
            <w:hideMark/>
          </w:tcPr>
          <w:p w14:paraId="7AD5AB90"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91.336</w:t>
            </w:r>
          </w:p>
        </w:tc>
        <w:tc>
          <w:tcPr>
            <w:tcW w:w="2115" w:type="dxa"/>
            <w:tcBorders>
              <w:top w:val="nil"/>
              <w:left w:val="nil"/>
              <w:bottom w:val="nil"/>
              <w:right w:val="nil"/>
            </w:tcBorders>
            <w:shd w:val="clear" w:color="auto" w:fill="auto"/>
            <w:noWrap/>
            <w:vAlign w:val="center"/>
            <w:hideMark/>
          </w:tcPr>
          <w:p w14:paraId="72239B03"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10.713</w:t>
            </w:r>
          </w:p>
        </w:tc>
        <w:tc>
          <w:tcPr>
            <w:tcW w:w="2115" w:type="dxa"/>
            <w:tcBorders>
              <w:top w:val="nil"/>
              <w:left w:val="nil"/>
              <w:bottom w:val="nil"/>
              <w:right w:val="nil"/>
            </w:tcBorders>
            <w:shd w:val="clear" w:color="auto" w:fill="auto"/>
            <w:noWrap/>
            <w:vAlign w:val="center"/>
            <w:hideMark/>
          </w:tcPr>
          <w:p w14:paraId="5AFEAAEA"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11.445</w:t>
            </w:r>
          </w:p>
        </w:tc>
      </w:tr>
      <w:tr w:rsidR="007E770D" w:rsidRPr="007E770D" w14:paraId="0F3CA4B2" w14:textId="77777777" w:rsidTr="00E4657F">
        <w:trPr>
          <w:trHeight w:val="20"/>
        </w:trPr>
        <w:tc>
          <w:tcPr>
            <w:tcW w:w="3402" w:type="dxa"/>
            <w:tcBorders>
              <w:top w:val="nil"/>
              <w:left w:val="nil"/>
              <w:bottom w:val="nil"/>
              <w:right w:val="nil"/>
            </w:tcBorders>
            <w:shd w:val="clear" w:color="auto" w:fill="auto"/>
            <w:vAlign w:val="center"/>
            <w:hideMark/>
          </w:tcPr>
          <w:p w14:paraId="64734ABE"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JП „Фрушка гораˮ</w:t>
            </w:r>
          </w:p>
        </w:tc>
        <w:tc>
          <w:tcPr>
            <w:tcW w:w="1886" w:type="dxa"/>
            <w:tcBorders>
              <w:top w:val="nil"/>
              <w:left w:val="nil"/>
              <w:bottom w:val="nil"/>
              <w:right w:val="nil"/>
            </w:tcBorders>
            <w:shd w:val="clear" w:color="auto" w:fill="auto"/>
            <w:vAlign w:val="center"/>
            <w:hideMark/>
          </w:tcPr>
          <w:p w14:paraId="360749D8"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15.429</w:t>
            </w:r>
          </w:p>
        </w:tc>
        <w:tc>
          <w:tcPr>
            <w:tcW w:w="2115" w:type="dxa"/>
            <w:tcBorders>
              <w:top w:val="nil"/>
              <w:left w:val="nil"/>
              <w:bottom w:val="nil"/>
              <w:right w:val="nil"/>
            </w:tcBorders>
            <w:shd w:val="clear" w:color="auto" w:fill="auto"/>
            <w:noWrap/>
            <w:vAlign w:val="center"/>
            <w:hideMark/>
          </w:tcPr>
          <w:p w14:paraId="50A8AFBF"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18.817</w:t>
            </w:r>
          </w:p>
        </w:tc>
        <w:tc>
          <w:tcPr>
            <w:tcW w:w="2115" w:type="dxa"/>
            <w:tcBorders>
              <w:top w:val="nil"/>
              <w:left w:val="nil"/>
              <w:bottom w:val="nil"/>
              <w:right w:val="nil"/>
            </w:tcBorders>
            <w:shd w:val="clear" w:color="auto" w:fill="auto"/>
            <w:noWrap/>
            <w:vAlign w:val="center"/>
            <w:hideMark/>
          </w:tcPr>
          <w:p w14:paraId="726B08C7"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6.923</w:t>
            </w:r>
          </w:p>
        </w:tc>
      </w:tr>
      <w:tr w:rsidR="007E770D" w:rsidRPr="007E770D" w14:paraId="469DD2CE" w14:textId="77777777" w:rsidTr="00E4657F">
        <w:trPr>
          <w:trHeight w:val="20"/>
        </w:trPr>
        <w:tc>
          <w:tcPr>
            <w:tcW w:w="3402" w:type="dxa"/>
            <w:tcBorders>
              <w:top w:val="nil"/>
              <w:left w:val="nil"/>
              <w:bottom w:val="nil"/>
              <w:right w:val="nil"/>
            </w:tcBorders>
            <w:shd w:val="clear" w:color="auto" w:fill="auto"/>
            <w:noWrap/>
            <w:vAlign w:val="center"/>
            <w:hideMark/>
          </w:tcPr>
          <w:p w14:paraId="2486F172"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„Дипосˮ д.o.o.</w:t>
            </w:r>
          </w:p>
        </w:tc>
        <w:tc>
          <w:tcPr>
            <w:tcW w:w="1886" w:type="dxa"/>
            <w:tcBorders>
              <w:top w:val="nil"/>
              <w:left w:val="nil"/>
              <w:bottom w:val="nil"/>
              <w:right w:val="nil"/>
            </w:tcBorders>
            <w:shd w:val="clear" w:color="auto" w:fill="auto"/>
            <w:noWrap/>
            <w:vAlign w:val="center"/>
            <w:hideMark/>
          </w:tcPr>
          <w:p w14:paraId="67E95F67"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119.532</w:t>
            </w:r>
          </w:p>
        </w:tc>
        <w:tc>
          <w:tcPr>
            <w:tcW w:w="2115" w:type="dxa"/>
            <w:tcBorders>
              <w:top w:val="nil"/>
              <w:left w:val="nil"/>
              <w:bottom w:val="nil"/>
              <w:right w:val="nil"/>
            </w:tcBorders>
            <w:shd w:val="clear" w:color="auto" w:fill="auto"/>
            <w:noWrap/>
            <w:vAlign w:val="center"/>
            <w:hideMark/>
          </w:tcPr>
          <w:p w14:paraId="7EFDED12"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26.587</w:t>
            </w:r>
          </w:p>
        </w:tc>
        <w:tc>
          <w:tcPr>
            <w:tcW w:w="2115" w:type="dxa"/>
            <w:tcBorders>
              <w:top w:val="nil"/>
              <w:left w:val="nil"/>
              <w:bottom w:val="nil"/>
              <w:right w:val="nil"/>
            </w:tcBorders>
            <w:shd w:val="clear" w:color="auto" w:fill="auto"/>
            <w:noWrap/>
            <w:vAlign w:val="center"/>
            <w:hideMark/>
          </w:tcPr>
          <w:p w14:paraId="6E7CD900"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116.156</w:t>
            </w:r>
          </w:p>
        </w:tc>
      </w:tr>
      <w:tr w:rsidR="007E770D" w:rsidRPr="007E770D" w14:paraId="3D3D0082" w14:textId="77777777" w:rsidTr="00E4657F">
        <w:trPr>
          <w:trHeight w:val="20"/>
        </w:trPr>
        <w:tc>
          <w:tcPr>
            <w:tcW w:w="3402" w:type="dxa"/>
            <w:tcBorders>
              <w:top w:val="nil"/>
              <w:left w:val="nil"/>
              <w:bottom w:val="nil"/>
              <w:right w:val="nil"/>
            </w:tcBorders>
            <w:shd w:val="clear" w:color="auto" w:fill="auto"/>
            <w:vAlign w:val="center"/>
            <w:hideMark/>
          </w:tcPr>
          <w:p w14:paraId="2FAD01C7"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„Електромрежа Србијеˮ a.д.</w:t>
            </w:r>
          </w:p>
        </w:tc>
        <w:tc>
          <w:tcPr>
            <w:tcW w:w="1886" w:type="dxa"/>
            <w:tcBorders>
              <w:top w:val="nil"/>
              <w:left w:val="nil"/>
              <w:bottom w:val="nil"/>
              <w:right w:val="nil"/>
            </w:tcBorders>
            <w:shd w:val="clear" w:color="auto" w:fill="auto"/>
            <w:vAlign w:val="center"/>
            <w:hideMark/>
          </w:tcPr>
          <w:p w14:paraId="1B29FA13"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2.535.127</w:t>
            </w:r>
          </w:p>
        </w:tc>
        <w:tc>
          <w:tcPr>
            <w:tcW w:w="2115" w:type="dxa"/>
            <w:tcBorders>
              <w:top w:val="nil"/>
              <w:left w:val="nil"/>
              <w:bottom w:val="nil"/>
              <w:right w:val="nil"/>
            </w:tcBorders>
            <w:shd w:val="clear" w:color="auto" w:fill="auto"/>
            <w:noWrap/>
            <w:vAlign w:val="center"/>
            <w:hideMark/>
          </w:tcPr>
          <w:p w14:paraId="346B6905"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140.117</w:t>
            </w:r>
          </w:p>
        </w:tc>
        <w:tc>
          <w:tcPr>
            <w:tcW w:w="2115" w:type="dxa"/>
            <w:tcBorders>
              <w:top w:val="nil"/>
              <w:left w:val="nil"/>
              <w:bottom w:val="nil"/>
              <w:right w:val="nil"/>
            </w:tcBorders>
            <w:shd w:val="clear" w:color="auto" w:fill="auto"/>
            <w:noWrap/>
            <w:vAlign w:val="center"/>
            <w:hideMark/>
          </w:tcPr>
          <w:p w14:paraId="17A8AE8C"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369.678</w:t>
            </w:r>
          </w:p>
        </w:tc>
      </w:tr>
      <w:tr w:rsidR="007E770D" w:rsidRPr="007E770D" w14:paraId="2510C572" w14:textId="77777777" w:rsidTr="00E4657F">
        <w:trPr>
          <w:trHeight w:val="20"/>
        </w:trPr>
        <w:tc>
          <w:tcPr>
            <w:tcW w:w="3402" w:type="dxa"/>
            <w:tcBorders>
              <w:top w:val="nil"/>
              <w:left w:val="nil"/>
              <w:bottom w:val="nil"/>
              <w:right w:val="nil"/>
            </w:tcBorders>
            <w:shd w:val="clear" w:color="auto" w:fill="auto"/>
            <w:noWrap/>
            <w:vAlign w:val="center"/>
            <w:hideMark/>
          </w:tcPr>
          <w:p w14:paraId="68495849"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JП „НП Копаоникˮ</w:t>
            </w:r>
          </w:p>
        </w:tc>
        <w:tc>
          <w:tcPr>
            <w:tcW w:w="1886" w:type="dxa"/>
            <w:tcBorders>
              <w:top w:val="nil"/>
              <w:left w:val="nil"/>
              <w:bottom w:val="nil"/>
              <w:right w:val="nil"/>
            </w:tcBorders>
            <w:shd w:val="clear" w:color="auto" w:fill="auto"/>
            <w:noWrap/>
            <w:vAlign w:val="center"/>
            <w:hideMark/>
          </w:tcPr>
          <w:p w14:paraId="60CCD949"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16.346</w:t>
            </w:r>
          </w:p>
        </w:tc>
        <w:tc>
          <w:tcPr>
            <w:tcW w:w="2115" w:type="dxa"/>
            <w:tcBorders>
              <w:top w:val="nil"/>
              <w:left w:val="nil"/>
              <w:bottom w:val="nil"/>
              <w:right w:val="nil"/>
            </w:tcBorders>
            <w:shd w:val="clear" w:color="auto" w:fill="auto"/>
            <w:noWrap/>
            <w:vAlign w:val="center"/>
            <w:hideMark/>
          </w:tcPr>
          <w:p w14:paraId="2DB8AD85"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14.565</w:t>
            </w:r>
          </w:p>
        </w:tc>
        <w:tc>
          <w:tcPr>
            <w:tcW w:w="2115" w:type="dxa"/>
            <w:tcBorders>
              <w:top w:val="nil"/>
              <w:left w:val="nil"/>
              <w:bottom w:val="nil"/>
              <w:right w:val="nil"/>
            </w:tcBorders>
            <w:shd w:val="clear" w:color="auto" w:fill="auto"/>
            <w:noWrap/>
            <w:vAlign w:val="center"/>
            <w:hideMark/>
          </w:tcPr>
          <w:p w14:paraId="20E5A5A7"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27.898</w:t>
            </w:r>
          </w:p>
        </w:tc>
      </w:tr>
      <w:tr w:rsidR="007E770D" w:rsidRPr="007E770D" w14:paraId="67D54E6B" w14:textId="77777777" w:rsidTr="00E4657F">
        <w:trPr>
          <w:trHeight w:val="20"/>
        </w:trPr>
        <w:tc>
          <w:tcPr>
            <w:tcW w:w="3402" w:type="dxa"/>
            <w:tcBorders>
              <w:top w:val="nil"/>
              <w:left w:val="nil"/>
              <w:bottom w:val="nil"/>
              <w:right w:val="nil"/>
            </w:tcBorders>
            <w:shd w:val="clear" w:color="auto" w:fill="auto"/>
            <w:vAlign w:val="center"/>
            <w:hideMark/>
          </w:tcPr>
          <w:p w14:paraId="0F736EB9"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JП „EПСˮ</w:t>
            </w:r>
          </w:p>
        </w:tc>
        <w:tc>
          <w:tcPr>
            <w:tcW w:w="1886" w:type="dxa"/>
            <w:tcBorders>
              <w:top w:val="nil"/>
              <w:left w:val="nil"/>
              <w:bottom w:val="nil"/>
              <w:right w:val="nil"/>
            </w:tcBorders>
            <w:shd w:val="clear" w:color="auto" w:fill="auto"/>
            <w:vAlign w:val="center"/>
            <w:hideMark/>
          </w:tcPr>
          <w:p w14:paraId="5A6B6D8C"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-1.323.344</w:t>
            </w:r>
          </w:p>
        </w:tc>
        <w:tc>
          <w:tcPr>
            <w:tcW w:w="2115" w:type="dxa"/>
            <w:tcBorders>
              <w:top w:val="nil"/>
              <w:left w:val="nil"/>
              <w:bottom w:val="nil"/>
              <w:right w:val="nil"/>
            </w:tcBorders>
            <w:shd w:val="clear" w:color="auto" w:fill="auto"/>
            <w:noWrap/>
            <w:vAlign w:val="center"/>
            <w:hideMark/>
          </w:tcPr>
          <w:p w14:paraId="6656727E"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4.488.511</w:t>
            </w:r>
          </w:p>
        </w:tc>
        <w:tc>
          <w:tcPr>
            <w:tcW w:w="2115" w:type="dxa"/>
            <w:tcBorders>
              <w:top w:val="nil"/>
              <w:left w:val="nil"/>
              <w:bottom w:val="nil"/>
              <w:right w:val="nil"/>
            </w:tcBorders>
            <w:shd w:val="clear" w:color="auto" w:fill="auto"/>
            <w:noWrap/>
            <w:vAlign w:val="center"/>
            <w:hideMark/>
          </w:tcPr>
          <w:p w14:paraId="1D73356D"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3.157.308</w:t>
            </w:r>
          </w:p>
        </w:tc>
      </w:tr>
      <w:tr w:rsidR="007E770D" w:rsidRPr="007E770D" w14:paraId="2195EEEE" w14:textId="77777777" w:rsidTr="00E4657F">
        <w:trPr>
          <w:trHeight w:val="20"/>
        </w:trPr>
        <w:tc>
          <w:tcPr>
            <w:tcW w:w="3402" w:type="dxa"/>
            <w:tcBorders>
              <w:top w:val="nil"/>
              <w:left w:val="nil"/>
              <w:bottom w:val="nil"/>
              <w:right w:val="nil"/>
            </w:tcBorders>
            <w:shd w:val="clear" w:color="auto" w:fill="auto"/>
            <w:vAlign w:val="center"/>
            <w:hideMark/>
          </w:tcPr>
          <w:p w14:paraId="7D2E4512"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 xml:space="preserve">Државна лутрија Србије д.o.o. </w:t>
            </w:r>
          </w:p>
        </w:tc>
        <w:tc>
          <w:tcPr>
            <w:tcW w:w="1886" w:type="dxa"/>
            <w:tcBorders>
              <w:top w:val="nil"/>
              <w:left w:val="nil"/>
              <w:bottom w:val="nil"/>
              <w:right w:val="nil"/>
            </w:tcBorders>
            <w:shd w:val="clear" w:color="auto" w:fill="auto"/>
            <w:vAlign w:val="center"/>
            <w:hideMark/>
          </w:tcPr>
          <w:p w14:paraId="731CBA73"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261.441</w:t>
            </w:r>
          </w:p>
        </w:tc>
        <w:tc>
          <w:tcPr>
            <w:tcW w:w="2115" w:type="dxa"/>
            <w:tcBorders>
              <w:top w:val="nil"/>
              <w:left w:val="nil"/>
              <w:bottom w:val="nil"/>
              <w:right w:val="nil"/>
            </w:tcBorders>
            <w:shd w:val="clear" w:color="auto" w:fill="auto"/>
            <w:noWrap/>
            <w:vAlign w:val="center"/>
            <w:hideMark/>
          </w:tcPr>
          <w:p w14:paraId="3029B1CF"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18.681</w:t>
            </w:r>
          </w:p>
        </w:tc>
        <w:tc>
          <w:tcPr>
            <w:tcW w:w="2115" w:type="dxa"/>
            <w:tcBorders>
              <w:top w:val="nil"/>
              <w:left w:val="nil"/>
              <w:bottom w:val="nil"/>
              <w:right w:val="nil"/>
            </w:tcBorders>
            <w:shd w:val="clear" w:color="auto" w:fill="auto"/>
            <w:noWrap/>
            <w:vAlign w:val="center"/>
            <w:hideMark/>
          </w:tcPr>
          <w:p w14:paraId="4A97188E"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93.820</w:t>
            </w:r>
          </w:p>
        </w:tc>
      </w:tr>
      <w:tr w:rsidR="007E770D" w:rsidRPr="007E770D" w14:paraId="207D4D11" w14:textId="77777777" w:rsidTr="00E4657F">
        <w:trPr>
          <w:trHeight w:val="20"/>
        </w:trPr>
        <w:tc>
          <w:tcPr>
            <w:tcW w:w="3402" w:type="dxa"/>
            <w:tcBorders>
              <w:top w:val="nil"/>
              <w:left w:val="nil"/>
              <w:bottom w:val="nil"/>
              <w:right w:val="nil"/>
            </w:tcBorders>
            <w:shd w:val="clear" w:color="auto" w:fill="auto"/>
            <w:vAlign w:val="center"/>
            <w:hideMark/>
          </w:tcPr>
          <w:p w14:paraId="0FFBF728"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JП „Национални парк Тараˮ</w:t>
            </w:r>
          </w:p>
        </w:tc>
        <w:tc>
          <w:tcPr>
            <w:tcW w:w="1886" w:type="dxa"/>
            <w:tcBorders>
              <w:top w:val="nil"/>
              <w:left w:val="nil"/>
              <w:bottom w:val="nil"/>
              <w:right w:val="nil"/>
            </w:tcBorders>
            <w:shd w:val="clear" w:color="auto" w:fill="auto"/>
            <w:vAlign w:val="center"/>
            <w:hideMark/>
          </w:tcPr>
          <w:p w14:paraId="50457313"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38.898</w:t>
            </w:r>
          </w:p>
        </w:tc>
        <w:tc>
          <w:tcPr>
            <w:tcW w:w="2115" w:type="dxa"/>
            <w:tcBorders>
              <w:top w:val="nil"/>
              <w:left w:val="nil"/>
              <w:bottom w:val="nil"/>
              <w:right w:val="nil"/>
            </w:tcBorders>
            <w:shd w:val="clear" w:color="auto" w:fill="auto"/>
            <w:noWrap/>
            <w:vAlign w:val="center"/>
            <w:hideMark/>
          </w:tcPr>
          <w:p w14:paraId="135C8CED"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480</w:t>
            </w:r>
          </w:p>
        </w:tc>
        <w:tc>
          <w:tcPr>
            <w:tcW w:w="2115" w:type="dxa"/>
            <w:tcBorders>
              <w:top w:val="nil"/>
              <w:left w:val="nil"/>
              <w:bottom w:val="nil"/>
              <w:right w:val="nil"/>
            </w:tcBorders>
            <w:shd w:val="clear" w:color="auto" w:fill="auto"/>
            <w:noWrap/>
            <w:vAlign w:val="center"/>
            <w:hideMark/>
          </w:tcPr>
          <w:p w14:paraId="60971E96"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1.180</w:t>
            </w:r>
          </w:p>
        </w:tc>
      </w:tr>
      <w:tr w:rsidR="007E770D" w:rsidRPr="007E770D" w14:paraId="5A37309A" w14:textId="77777777" w:rsidTr="00E4657F">
        <w:trPr>
          <w:trHeight w:val="20"/>
        </w:trPr>
        <w:tc>
          <w:tcPr>
            <w:tcW w:w="3402" w:type="dxa"/>
            <w:tcBorders>
              <w:top w:val="nil"/>
              <w:left w:val="nil"/>
              <w:bottom w:val="nil"/>
              <w:right w:val="nil"/>
            </w:tcBorders>
            <w:shd w:val="clear" w:color="auto" w:fill="auto"/>
            <w:noWrap/>
            <w:vAlign w:val="center"/>
            <w:hideMark/>
          </w:tcPr>
          <w:p w14:paraId="02024039"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JП „Нуклеарни објекти Србијеˮ ВИНЧА</w:t>
            </w:r>
          </w:p>
        </w:tc>
        <w:tc>
          <w:tcPr>
            <w:tcW w:w="1886" w:type="dxa"/>
            <w:tcBorders>
              <w:top w:val="nil"/>
              <w:left w:val="nil"/>
              <w:bottom w:val="nil"/>
              <w:right w:val="nil"/>
            </w:tcBorders>
            <w:shd w:val="clear" w:color="auto" w:fill="auto"/>
            <w:noWrap/>
            <w:vAlign w:val="center"/>
            <w:hideMark/>
          </w:tcPr>
          <w:p w14:paraId="2B668348"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1.119</w:t>
            </w:r>
          </w:p>
        </w:tc>
        <w:tc>
          <w:tcPr>
            <w:tcW w:w="2115" w:type="dxa"/>
            <w:tcBorders>
              <w:top w:val="nil"/>
              <w:left w:val="nil"/>
              <w:bottom w:val="nil"/>
              <w:right w:val="nil"/>
            </w:tcBorders>
            <w:shd w:val="clear" w:color="auto" w:fill="auto"/>
            <w:noWrap/>
            <w:vAlign w:val="center"/>
            <w:hideMark/>
          </w:tcPr>
          <w:p w14:paraId="16C719F5"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482</w:t>
            </w:r>
          </w:p>
        </w:tc>
        <w:tc>
          <w:tcPr>
            <w:tcW w:w="2115" w:type="dxa"/>
            <w:tcBorders>
              <w:top w:val="nil"/>
              <w:left w:val="nil"/>
              <w:bottom w:val="nil"/>
              <w:right w:val="nil"/>
            </w:tcBorders>
            <w:shd w:val="clear" w:color="auto" w:fill="auto"/>
            <w:noWrap/>
            <w:vAlign w:val="center"/>
            <w:hideMark/>
          </w:tcPr>
          <w:p w14:paraId="6F3B8A57"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18.124</w:t>
            </w:r>
          </w:p>
        </w:tc>
      </w:tr>
      <w:tr w:rsidR="007E770D" w:rsidRPr="007E770D" w14:paraId="5C7F1905" w14:textId="77777777" w:rsidTr="00E4657F">
        <w:trPr>
          <w:trHeight w:val="20"/>
        </w:trPr>
        <w:tc>
          <w:tcPr>
            <w:tcW w:w="3402" w:type="dxa"/>
            <w:tcBorders>
              <w:top w:val="nil"/>
              <w:left w:val="nil"/>
              <w:bottom w:val="nil"/>
              <w:right w:val="nil"/>
            </w:tcBorders>
            <w:shd w:val="clear" w:color="auto" w:fill="auto"/>
            <w:noWrap/>
            <w:vAlign w:val="center"/>
            <w:hideMark/>
          </w:tcPr>
          <w:p w14:paraId="12506DAC"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„Инфраструктура железнице Србијеˮ a.д.</w:t>
            </w:r>
          </w:p>
        </w:tc>
        <w:tc>
          <w:tcPr>
            <w:tcW w:w="1886" w:type="dxa"/>
            <w:tcBorders>
              <w:top w:val="nil"/>
              <w:left w:val="nil"/>
              <w:bottom w:val="nil"/>
              <w:right w:val="nil"/>
            </w:tcBorders>
            <w:shd w:val="clear" w:color="auto" w:fill="auto"/>
            <w:noWrap/>
            <w:vAlign w:val="center"/>
            <w:hideMark/>
          </w:tcPr>
          <w:p w14:paraId="328C1E47"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443.354</w:t>
            </w:r>
          </w:p>
        </w:tc>
        <w:tc>
          <w:tcPr>
            <w:tcW w:w="2115" w:type="dxa"/>
            <w:tcBorders>
              <w:top w:val="nil"/>
              <w:left w:val="nil"/>
              <w:bottom w:val="nil"/>
              <w:right w:val="nil"/>
            </w:tcBorders>
            <w:shd w:val="clear" w:color="auto" w:fill="auto"/>
            <w:noWrap/>
            <w:vAlign w:val="center"/>
            <w:hideMark/>
          </w:tcPr>
          <w:p w14:paraId="44724583"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-645.625</w:t>
            </w:r>
          </w:p>
        </w:tc>
        <w:tc>
          <w:tcPr>
            <w:tcW w:w="2115" w:type="dxa"/>
            <w:tcBorders>
              <w:top w:val="nil"/>
              <w:left w:val="nil"/>
              <w:bottom w:val="nil"/>
              <w:right w:val="nil"/>
            </w:tcBorders>
            <w:shd w:val="clear" w:color="auto" w:fill="auto"/>
            <w:noWrap/>
            <w:vAlign w:val="center"/>
            <w:hideMark/>
          </w:tcPr>
          <w:p w14:paraId="6EE18383"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415.285</w:t>
            </w:r>
          </w:p>
        </w:tc>
      </w:tr>
      <w:tr w:rsidR="007E770D" w:rsidRPr="007E770D" w14:paraId="2F14A3FA" w14:textId="77777777" w:rsidTr="00E4657F">
        <w:trPr>
          <w:trHeight w:val="20"/>
        </w:trPr>
        <w:tc>
          <w:tcPr>
            <w:tcW w:w="3402" w:type="dxa"/>
            <w:tcBorders>
              <w:top w:val="nil"/>
              <w:left w:val="nil"/>
              <w:bottom w:val="nil"/>
              <w:right w:val="nil"/>
            </w:tcBorders>
            <w:shd w:val="clear" w:color="auto" w:fill="auto"/>
            <w:noWrap/>
            <w:vAlign w:val="center"/>
            <w:hideMark/>
          </w:tcPr>
          <w:p w14:paraId="12EFCC55"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Железнице Србије а.д</w:t>
            </w:r>
          </w:p>
        </w:tc>
        <w:tc>
          <w:tcPr>
            <w:tcW w:w="1886" w:type="dxa"/>
            <w:tcBorders>
              <w:top w:val="nil"/>
              <w:left w:val="nil"/>
              <w:bottom w:val="nil"/>
              <w:right w:val="nil"/>
            </w:tcBorders>
            <w:shd w:val="clear" w:color="auto" w:fill="auto"/>
            <w:noWrap/>
            <w:vAlign w:val="center"/>
            <w:hideMark/>
          </w:tcPr>
          <w:p w14:paraId="147E817E"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-1.059.054</w:t>
            </w:r>
          </w:p>
        </w:tc>
        <w:tc>
          <w:tcPr>
            <w:tcW w:w="2115" w:type="dxa"/>
            <w:tcBorders>
              <w:top w:val="nil"/>
              <w:left w:val="nil"/>
              <w:bottom w:val="nil"/>
              <w:right w:val="nil"/>
            </w:tcBorders>
            <w:shd w:val="clear" w:color="auto" w:fill="auto"/>
            <w:noWrap/>
            <w:vAlign w:val="center"/>
            <w:hideMark/>
          </w:tcPr>
          <w:p w14:paraId="543A837B"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-52.619</w:t>
            </w:r>
          </w:p>
        </w:tc>
        <w:tc>
          <w:tcPr>
            <w:tcW w:w="2115" w:type="dxa"/>
            <w:tcBorders>
              <w:top w:val="nil"/>
              <w:left w:val="nil"/>
              <w:bottom w:val="nil"/>
              <w:right w:val="nil"/>
            </w:tcBorders>
            <w:shd w:val="clear" w:color="auto" w:fill="auto"/>
            <w:noWrap/>
            <w:vAlign w:val="center"/>
            <w:hideMark/>
          </w:tcPr>
          <w:p w14:paraId="63D2F52D"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11.552</w:t>
            </w:r>
          </w:p>
        </w:tc>
      </w:tr>
      <w:tr w:rsidR="007E770D" w:rsidRPr="007E770D" w14:paraId="1C12A8F9" w14:textId="77777777" w:rsidTr="00E4657F">
        <w:trPr>
          <w:trHeight w:val="20"/>
        </w:trPr>
        <w:tc>
          <w:tcPr>
            <w:tcW w:w="3402" w:type="dxa"/>
            <w:tcBorders>
              <w:top w:val="nil"/>
              <w:left w:val="nil"/>
              <w:bottom w:val="nil"/>
              <w:right w:val="nil"/>
            </w:tcBorders>
            <w:shd w:val="clear" w:color="auto" w:fill="auto"/>
            <w:noWrap/>
            <w:vAlign w:val="center"/>
            <w:hideMark/>
          </w:tcPr>
          <w:p w14:paraId="45E3857D"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ЈП Србијашуме</w:t>
            </w:r>
          </w:p>
        </w:tc>
        <w:tc>
          <w:tcPr>
            <w:tcW w:w="1886" w:type="dxa"/>
            <w:tcBorders>
              <w:top w:val="nil"/>
              <w:left w:val="nil"/>
              <w:bottom w:val="nil"/>
              <w:right w:val="nil"/>
            </w:tcBorders>
            <w:shd w:val="clear" w:color="auto" w:fill="auto"/>
            <w:noWrap/>
            <w:vAlign w:val="center"/>
            <w:hideMark/>
          </w:tcPr>
          <w:p w14:paraId="4484D3D1"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857.740</w:t>
            </w:r>
          </w:p>
        </w:tc>
        <w:tc>
          <w:tcPr>
            <w:tcW w:w="2115" w:type="dxa"/>
            <w:tcBorders>
              <w:top w:val="nil"/>
              <w:left w:val="nil"/>
              <w:bottom w:val="nil"/>
              <w:right w:val="nil"/>
            </w:tcBorders>
            <w:shd w:val="clear" w:color="auto" w:fill="auto"/>
            <w:noWrap/>
            <w:vAlign w:val="center"/>
            <w:hideMark/>
          </w:tcPr>
          <w:p w14:paraId="36BED6BD"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226.214</w:t>
            </w:r>
          </w:p>
        </w:tc>
        <w:tc>
          <w:tcPr>
            <w:tcW w:w="2115" w:type="dxa"/>
            <w:tcBorders>
              <w:top w:val="nil"/>
              <w:left w:val="nil"/>
              <w:bottom w:val="nil"/>
              <w:right w:val="nil"/>
            </w:tcBorders>
            <w:shd w:val="clear" w:color="auto" w:fill="auto"/>
            <w:noWrap/>
            <w:vAlign w:val="center"/>
            <w:hideMark/>
          </w:tcPr>
          <w:p w14:paraId="5240D405"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195.949</w:t>
            </w:r>
          </w:p>
        </w:tc>
      </w:tr>
      <w:tr w:rsidR="007E770D" w:rsidRPr="007E770D" w14:paraId="0AE0C069" w14:textId="77777777" w:rsidTr="00E4657F">
        <w:trPr>
          <w:trHeight w:val="20"/>
        </w:trPr>
        <w:tc>
          <w:tcPr>
            <w:tcW w:w="3402" w:type="dxa"/>
            <w:tcBorders>
              <w:top w:val="nil"/>
              <w:left w:val="nil"/>
              <w:bottom w:val="nil"/>
              <w:right w:val="nil"/>
            </w:tcBorders>
            <w:shd w:val="clear" w:color="auto" w:fill="auto"/>
            <w:noWrap/>
            <w:vAlign w:val="center"/>
            <w:hideMark/>
          </w:tcPr>
          <w:p w14:paraId="12E9142E"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„Тврђава Голубачки град“ д.о.о.</w:t>
            </w:r>
          </w:p>
        </w:tc>
        <w:tc>
          <w:tcPr>
            <w:tcW w:w="1886" w:type="dxa"/>
            <w:tcBorders>
              <w:top w:val="nil"/>
              <w:left w:val="nil"/>
              <w:bottom w:val="nil"/>
              <w:right w:val="nil"/>
            </w:tcBorders>
            <w:shd w:val="clear" w:color="auto" w:fill="auto"/>
            <w:noWrap/>
            <w:vAlign w:val="center"/>
            <w:hideMark/>
          </w:tcPr>
          <w:p w14:paraId="12B7D346"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691</w:t>
            </w:r>
          </w:p>
        </w:tc>
        <w:tc>
          <w:tcPr>
            <w:tcW w:w="2115" w:type="dxa"/>
            <w:tcBorders>
              <w:top w:val="nil"/>
              <w:left w:val="nil"/>
              <w:bottom w:val="nil"/>
              <w:right w:val="nil"/>
            </w:tcBorders>
            <w:shd w:val="clear" w:color="auto" w:fill="auto"/>
            <w:noWrap/>
            <w:vAlign w:val="center"/>
            <w:hideMark/>
          </w:tcPr>
          <w:p w14:paraId="3130DE80"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0</w:t>
            </w:r>
          </w:p>
        </w:tc>
        <w:tc>
          <w:tcPr>
            <w:tcW w:w="2115" w:type="dxa"/>
            <w:tcBorders>
              <w:top w:val="nil"/>
              <w:left w:val="nil"/>
              <w:bottom w:val="nil"/>
              <w:right w:val="nil"/>
            </w:tcBorders>
            <w:shd w:val="clear" w:color="auto" w:fill="auto"/>
            <w:noWrap/>
            <w:vAlign w:val="center"/>
            <w:hideMark/>
          </w:tcPr>
          <w:p w14:paraId="3AD4A593"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5.584</w:t>
            </w:r>
          </w:p>
        </w:tc>
      </w:tr>
      <w:tr w:rsidR="007E770D" w:rsidRPr="007E770D" w14:paraId="4D3C568F" w14:textId="77777777" w:rsidTr="00E4657F">
        <w:trPr>
          <w:trHeight w:val="20"/>
        </w:trPr>
        <w:tc>
          <w:tcPr>
            <w:tcW w:w="3402" w:type="dxa"/>
            <w:tcBorders>
              <w:top w:val="nil"/>
              <w:left w:val="nil"/>
              <w:bottom w:val="nil"/>
              <w:right w:val="nil"/>
            </w:tcBorders>
            <w:shd w:val="clear" w:color="auto" w:fill="auto"/>
            <w:noWrap/>
            <w:vAlign w:val="center"/>
          </w:tcPr>
          <w:p w14:paraId="6B4244F9"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„Србија Каргоˮ а.д.</w:t>
            </w:r>
          </w:p>
        </w:tc>
        <w:tc>
          <w:tcPr>
            <w:tcW w:w="1886" w:type="dxa"/>
            <w:tcBorders>
              <w:top w:val="nil"/>
              <w:left w:val="nil"/>
              <w:bottom w:val="nil"/>
              <w:right w:val="nil"/>
            </w:tcBorders>
            <w:shd w:val="clear" w:color="auto" w:fill="auto"/>
            <w:noWrap/>
            <w:vAlign w:val="center"/>
          </w:tcPr>
          <w:p w14:paraId="685CF393"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5.794</w:t>
            </w:r>
          </w:p>
        </w:tc>
        <w:tc>
          <w:tcPr>
            <w:tcW w:w="2115" w:type="dxa"/>
            <w:tcBorders>
              <w:top w:val="nil"/>
              <w:left w:val="nil"/>
              <w:bottom w:val="nil"/>
              <w:right w:val="nil"/>
            </w:tcBorders>
            <w:shd w:val="clear" w:color="auto" w:fill="auto"/>
            <w:noWrap/>
            <w:vAlign w:val="center"/>
          </w:tcPr>
          <w:p w14:paraId="50F936A0"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31.938</w:t>
            </w:r>
          </w:p>
        </w:tc>
        <w:tc>
          <w:tcPr>
            <w:tcW w:w="2115" w:type="dxa"/>
            <w:tcBorders>
              <w:top w:val="nil"/>
              <w:left w:val="nil"/>
              <w:bottom w:val="nil"/>
              <w:right w:val="nil"/>
            </w:tcBorders>
            <w:shd w:val="clear" w:color="auto" w:fill="auto"/>
            <w:noWrap/>
            <w:vAlign w:val="center"/>
          </w:tcPr>
          <w:p w14:paraId="03B18B5E"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3.767</w:t>
            </w:r>
          </w:p>
        </w:tc>
      </w:tr>
      <w:tr w:rsidR="007E770D" w:rsidRPr="007E770D" w14:paraId="3A8D4DBA" w14:textId="77777777" w:rsidTr="00E4657F">
        <w:trPr>
          <w:trHeight w:val="20"/>
        </w:trPr>
        <w:tc>
          <w:tcPr>
            <w:tcW w:w="3402" w:type="dxa"/>
            <w:tcBorders>
              <w:top w:val="single" w:sz="8" w:space="0" w:color="002060"/>
              <w:left w:val="nil"/>
              <w:bottom w:val="single" w:sz="8" w:space="0" w:color="002060"/>
              <w:right w:val="nil"/>
            </w:tcBorders>
            <w:shd w:val="clear" w:color="auto" w:fill="auto"/>
            <w:noWrap/>
            <w:vAlign w:val="center"/>
            <w:hideMark/>
          </w:tcPr>
          <w:p w14:paraId="1ED19BBF" w14:textId="77777777" w:rsidR="00187838" w:rsidRPr="007E770D" w:rsidRDefault="00187838" w:rsidP="00E4657F">
            <w:pPr>
              <w:spacing w:after="0" w:line="240" w:lineRule="auto"/>
              <w:jc w:val="lef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Укупно</w:t>
            </w:r>
          </w:p>
        </w:tc>
        <w:tc>
          <w:tcPr>
            <w:tcW w:w="1886" w:type="dxa"/>
            <w:tcBorders>
              <w:top w:val="single" w:sz="8" w:space="0" w:color="002060"/>
              <w:left w:val="nil"/>
              <w:bottom w:val="single" w:sz="8" w:space="0" w:color="002060"/>
              <w:right w:val="nil"/>
            </w:tcBorders>
            <w:shd w:val="clear" w:color="auto" w:fill="auto"/>
            <w:noWrap/>
            <w:vAlign w:val="center"/>
            <w:hideMark/>
          </w:tcPr>
          <w:p w14:paraId="6A50A229"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10.665.138</w:t>
            </w:r>
          </w:p>
        </w:tc>
        <w:tc>
          <w:tcPr>
            <w:tcW w:w="2115" w:type="dxa"/>
            <w:tcBorders>
              <w:top w:val="single" w:sz="8" w:space="0" w:color="002060"/>
              <w:left w:val="nil"/>
              <w:bottom w:val="single" w:sz="8" w:space="0" w:color="002060"/>
              <w:right w:val="nil"/>
            </w:tcBorders>
            <w:shd w:val="clear" w:color="auto" w:fill="auto"/>
            <w:noWrap/>
            <w:vAlign w:val="center"/>
            <w:hideMark/>
          </w:tcPr>
          <w:p w14:paraId="3269EC71"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10.263.260</w:t>
            </w:r>
          </w:p>
        </w:tc>
        <w:tc>
          <w:tcPr>
            <w:tcW w:w="2115" w:type="dxa"/>
            <w:tcBorders>
              <w:top w:val="single" w:sz="8" w:space="0" w:color="002060"/>
              <w:left w:val="nil"/>
              <w:bottom w:val="single" w:sz="8" w:space="0" w:color="002060"/>
              <w:right w:val="nil"/>
            </w:tcBorders>
            <w:shd w:val="clear" w:color="auto" w:fill="auto"/>
            <w:noWrap/>
            <w:vAlign w:val="center"/>
            <w:hideMark/>
          </w:tcPr>
          <w:p w14:paraId="24A073F5"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11.993.037</w:t>
            </w:r>
          </w:p>
        </w:tc>
      </w:tr>
    </w:tbl>
    <w:p w14:paraId="59EBBC99" w14:textId="77777777" w:rsidR="00187838" w:rsidRPr="007E770D" w:rsidRDefault="00187838" w:rsidP="00E4657F">
      <w:pPr>
        <w:spacing w:before="40" w:after="0" w:line="276" w:lineRule="auto"/>
        <w:rPr>
          <w:rFonts w:eastAsia="Times New Roman" w:cstheme="minorHAnsi"/>
          <w:color w:val="auto"/>
          <w:sz w:val="16"/>
          <w:szCs w:val="18"/>
          <w:lang w:val="sr-Cyrl-CS"/>
        </w:rPr>
      </w:pPr>
      <w:r w:rsidRPr="007E770D">
        <w:rPr>
          <w:rFonts w:eastAsia="Times New Roman" w:cstheme="minorHAnsi"/>
          <w:color w:val="auto"/>
          <w:sz w:val="16"/>
          <w:szCs w:val="18"/>
          <w:lang w:val="sr-Cyrl-CS"/>
        </w:rPr>
        <w:t>Извор: Финансијски извештаји за 2018. годину и квартални извештаји Министарства привреде за 2019. годину</w:t>
      </w:r>
    </w:p>
    <w:p w14:paraId="43AF263A" w14:textId="77777777" w:rsidR="00187838" w:rsidRPr="007E770D" w:rsidRDefault="00187838" w:rsidP="00E4657F">
      <w:pPr>
        <w:spacing w:after="0" w:line="276" w:lineRule="auto"/>
        <w:rPr>
          <w:rFonts w:eastAsia="MS PGothic" w:cstheme="minorHAnsi"/>
          <w:color w:val="auto"/>
          <w:sz w:val="18"/>
          <w:szCs w:val="18"/>
          <w:lang w:val="sr-Cyrl-CS" w:eastAsia="ja-JP"/>
        </w:rPr>
      </w:pPr>
    </w:p>
    <w:p w14:paraId="315A6772" w14:textId="77777777" w:rsidR="00187838" w:rsidRPr="007E770D" w:rsidRDefault="00187838" w:rsidP="00E4657F">
      <w:pPr>
        <w:spacing w:after="0" w:line="276" w:lineRule="auto"/>
        <w:rPr>
          <w:rFonts w:eastAsia="MS PGothic" w:cstheme="minorHAnsi"/>
          <w:color w:val="auto"/>
          <w:sz w:val="18"/>
          <w:szCs w:val="18"/>
          <w:lang w:val="sr-Cyrl-CS" w:eastAsia="ja-JP"/>
        </w:rPr>
        <w:sectPr w:rsidR="00187838" w:rsidRPr="007E770D" w:rsidSect="00BA4876">
          <w:type w:val="continuous"/>
          <w:pgSz w:w="12240" w:h="15840"/>
          <w:pgMar w:top="1440" w:right="1440" w:bottom="1440" w:left="1440" w:header="720" w:footer="720" w:gutter="0"/>
          <w:cols w:space="720"/>
          <w:docGrid w:linePitch="360"/>
        </w:sectPr>
      </w:pPr>
    </w:p>
    <w:p w14:paraId="743F5B39" w14:textId="77777777" w:rsidR="00187838" w:rsidRPr="007E770D" w:rsidRDefault="00187838" w:rsidP="00E4657F">
      <w:pPr>
        <w:spacing w:after="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 xml:space="preserve">У првој половини текуће године девет предузећа је остварило нето губитак у укупном износу од 4 </w:t>
      </w:r>
      <w:r w:rsidRPr="007E770D">
        <w:rPr>
          <w:rFonts w:eastAsia="Calibri" w:cstheme="minorHAnsi"/>
          <w:color w:val="auto"/>
          <w:szCs w:val="20"/>
          <w:lang w:val="sr-Cyrl-CS" w:eastAsia="ja-JP"/>
        </w:rPr>
        <w:t>млрд динара, што је лошији резултат од планираног у овом периоду (436 млн динара).</w:t>
      </w:r>
    </w:p>
    <w:p w14:paraId="3D9B9F9B" w14:textId="77777777" w:rsidR="00187838" w:rsidRPr="007E770D" w:rsidRDefault="00187838" w:rsidP="00E4657F">
      <w:pPr>
        <w:spacing w:after="0" w:line="276" w:lineRule="auto"/>
        <w:rPr>
          <w:rFonts w:eastAsia="Calibri" w:cstheme="minorHAnsi"/>
          <w:color w:val="auto"/>
          <w:szCs w:val="20"/>
          <w:lang w:val="sr-Cyrl-CS" w:eastAsia="ja-JP"/>
        </w:rPr>
        <w:sectPr w:rsidR="00187838" w:rsidRPr="007E770D" w:rsidSect="00BA4876">
          <w:type w:val="continuous"/>
          <w:pgSz w:w="12240" w:h="15840"/>
          <w:pgMar w:top="1440" w:right="1440" w:bottom="1440" w:left="1440" w:header="720" w:footer="720" w:gutter="0"/>
          <w:cols w:num="2" w:space="720"/>
          <w:docGrid w:linePitch="360"/>
        </w:sectPr>
      </w:pPr>
    </w:p>
    <w:p w14:paraId="1646C791" w14:textId="77777777" w:rsidR="00187838" w:rsidRPr="007E770D" w:rsidRDefault="00187838" w:rsidP="00E4657F">
      <w:pPr>
        <w:spacing w:after="0"/>
        <w:rPr>
          <w:rFonts w:eastAsia="MS PGothic" w:cstheme="minorHAnsi"/>
          <w:b/>
          <w:bCs/>
          <w:color w:val="auto"/>
          <w:lang w:val="sr-Cyrl-CS"/>
        </w:rPr>
      </w:pPr>
    </w:p>
    <w:p w14:paraId="3462B961" w14:textId="77777777" w:rsidR="00187838" w:rsidRPr="007E770D" w:rsidRDefault="00187838" w:rsidP="00E4657F">
      <w:pPr>
        <w:rPr>
          <w:rFonts w:eastAsia="MS PGothic" w:cstheme="minorHAnsi"/>
          <w:b/>
          <w:bCs/>
          <w:color w:val="auto"/>
          <w:lang w:val="sr-Cyrl-CS"/>
        </w:rPr>
      </w:pPr>
      <w:r w:rsidRPr="007E770D">
        <w:rPr>
          <w:rFonts w:eastAsia="MS PGothic" w:cstheme="minorHAnsi"/>
          <w:b/>
          <w:bCs/>
          <w:color w:val="auto"/>
          <w:lang w:val="sr-Cyrl-CS"/>
        </w:rPr>
        <w:t>Табела 18. Јавна предузећа која су остварила нето губитак у периоду 1.1–30.6.2019. године, у хиљ. динара</w:t>
      </w:r>
    </w:p>
    <w:tbl>
      <w:tblPr>
        <w:tblW w:w="9412" w:type="dxa"/>
        <w:tblLook w:val="04A0" w:firstRow="1" w:lastRow="0" w:firstColumn="1" w:lastColumn="0" w:noHBand="0" w:noVBand="1"/>
      </w:tblPr>
      <w:tblGrid>
        <w:gridCol w:w="4915"/>
        <w:gridCol w:w="1464"/>
        <w:gridCol w:w="1457"/>
        <w:gridCol w:w="1576"/>
      </w:tblGrid>
      <w:tr w:rsidR="007E770D" w:rsidRPr="007E770D" w14:paraId="756ECAFA" w14:textId="77777777" w:rsidTr="00E4657F">
        <w:trPr>
          <w:trHeight w:val="220"/>
        </w:trPr>
        <w:tc>
          <w:tcPr>
            <w:tcW w:w="4915" w:type="dxa"/>
            <w:vMerge w:val="restart"/>
            <w:tcBorders>
              <w:top w:val="single" w:sz="8" w:space="0" w:color="002060"/>
              <w:left w:val="nil"/>
              <w:bottom w:val="single" w:sz="8" w:space="0" w:color="002060"/>
              <w:right w:val="nil"/>
            </w:tcBorders>
            <w:shd w:val="clear" w:color="auto" w:fill="auto"/>
            <w:noWrap/>
            <w:vAlign w:val="center"/>
            <w:hideMark/>
          </w:tcPr>
          <w:p w14:paraId="4A6E7E74"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Предузеће</w:t>
            </w:r>
          </w:p>
        </w:tc>
        <w:tc>
          <w:tcPr>
            <w:tcW w:w="1464" w:type="dxa"/>
            <w:vMerge w:val="restart"/>
            <w:tcBorders>
              <w:top w:val="single" w:sz="8" w:space="0" w:color="002060"/>
              <w:left w:val="nil"/>
              <w:bottom w:val="single" w:sz="8" w:space="0" w:color="002060"/>
              <w:right w:val="nil"/>
            </w:tcBorders>
            <w:shd w:val="clear" w:color="auto" w:fill="auto"/>
            <w:vAlign w:val="center"/>
            <w:hideMark/>
          </w:tcPr>
          <w:p w14:paraId="0BF5F52C"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Реализација 2018. година</w:t>
            </w:r>
          </w:p>
        </w:tc>
        <w:tc>
          <w:tcPr>
            <w:tcW w:w="1457" w:type="dxa"/>
            <w:vMerge w:val="restart"/>
            <w:tcBorders>
              <w:top w:val="single" w:sz="8" w:space="0" w:color="002060"/>
              <w:left w:val="nil"/>
              <w:bottom w:val="single" w:sz="8" w:space="0" w:color="002060"/>
              <w:right w:val="nil"/>
            </w:tcBorders>
            <w:shd w:val="clear" w:color="auto" w:fill="auto"/>
            <w:vAlign w:val="center"/>
            <w:hideMark/>
          </w:tcPr>
          <w:p w14:paraId="75CB41F8"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План                       1.1–30.6.2019.</w:t>
            </w:r>
          </w:p>
        </w:tc>
        <w:tc>
          <w:tcPr>
            <w:tcW w:w="1576" w:type="dxa"/>
            <w:vMerge w:val="restart"/>
            <w:tcBorders>
              <w:top w:val="single" w:sz="8" w:space="0" w:color="002060"/>
              <w:left w:val="nil"/>
              <w:bottom w:val="single" w:sz="8" w:space="0" w:color="002060"/>
              <w:right w:val="nil"/>
            </w:tcBorders>
            <w:shd w:val="clear" w:color="auto" w:fill="auto"/>
            <w:vAlign w:val="center"/>
            <w:hideMark/>
          </w:tcPr>
          <w:p w14:paraId="11AEAEA6" w14:textId="77777777" w:rsidR="00187838" w:rsidRPr="007E770D" w:rsidRDefault="00187838" w:rsidP="00E4657F">
            <w:pPr>
              <w:spacing w:after="0" w:line="240" w:lineRule="auto"/>
              <w:jc w:val="center"/>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Реализација     1.1–30.6.2019.</w:t>
            </w:r>
          </w:p>
        </w:tc>
      </w:tr>
      <w:tr w:rsidR="007E770D" w:rsidRPr="007E770D" w14:paraId="6C087211" w14:textId="77777777" w:rsidTr="00E4657F">
        <w:trPr>
          <w:trHeight w:val="423"/>
        </w:trPr>
        <w:tc>
          <w:tcPr>
            <w:tcW w:w="4915" w:type="dxa"/>
            <w:vMerge/>
            <w:tcBorders>
              <w:top w:val="single" w:sz="8" w:space="0" w:color="002060"/>
              <w:left w:val="nil"/>
              <w:bottom w:val="single" w:sz="8" w:space="0" w:color="002060"/>
              <w:right w:val="nil"/>
            </w:tcBorders>
            <w:vAlign w:val="center"/>
            <w:hideMark/>
          </w:tcPr>
          <w:p w14:paraId="366DCD43" w14:textId="77777777" w:rsidR="00187838" w:rsidRPr="007E770D" w:rsidRDefault="00187838" w:rsidP="00E4657F">
            <w:pPr>
              <w:spacing w:after="0" w:line="240" w:lineRule="auto"/>
              <w:jc w:val="left"/>
              <w:rPr>
                <w:rFonts w:ascii="Calibri" w:eastAsia="Times New Roman" w:hAnsi="Calibri" w:cs="Calibri"/>
                <w:color w:val="auto"/>
                <w:sz w:val="18"/>
                <w:szCs w:val="18"/>
                <w:lang w:val="sr-Cyrl-CS" w:eastAsia="sr-Cyrl-RS"/>
              </w:rPr>
            </w:pPr>
          </w:p>
        </w:tc>
        <w:tc>
          <w:tcPr>
            <w:tcW w:w="1464" w:type="dxa"/>
            <w:vMerge/>
            <w:tcBorders>
              <w:top w:val="single" w:sz="8" w:space="0" w:color="002060"/>
              <w:left w:val="nil"/>
              <w:bottom w:val="single" w:sz="8" w:space="0" w:color="002060"/>
              <w:right w:val="nil"/>
            </w:tcBorders>
            <w:vAlign w:val="center"/>
            <w:hideMark/>
          </w:tcPr>
          <w:p w14:paraId="2D68414F" w14:textId="77777777" w:rsidR="00187838" w:rsidRPr="007E770D" w:rsidRDefault="00187838" w:rsidP="00E4657F">
            <w:pPr>
              <w:spacing w:after="0" w:line="240" w:lineRule="auto"/>
              <w:jc w:val="left"/>
              <w:rPr>
                <w:rFonts w:ascii="Calibri" w:eastAsia="Times New Roman" w:hAnsi="Calibri" w:cs="Calibri"/>
                <w:color w:val="auto"/>
                <w:sz w:val="18"/>
                <w:szCs w:val="18"/>
                <w:lang w:val="sr-Cyrl-CS" w:eastAsia="sr-Cyrl-RS"/>
              </w:rPr>
            </w:pPr>
          </w:p>
        </w:tc>
        <w:tc>
          <w:tcPr>
            <w:tcW w:w="1457" w:type="dxa"/>
            <w:vMerge/>
            <w:tcBorders>
              <w:top w:val="single" w:sz="8" w:space="0" w:color="002060"/>
              <w:left w:val="nil"/>
              <w:bottom w:val="single" w:sz="8" w:space="0" w:color="002060"/>
              <w:right w:val="nil"/>
            </w:tcBorders>
            <w:vAlign w:val="center"/>
            <w:hideMark/>
          </w:tcPr>
          <w:p w14:paraId="139E2F7F" w14:textId="77777777" w:rsidR="00187838" w:rsidRPr="007E770D" w:rsidRDefault="00187838" w:rsidP="00E4657F">
            <w:pPr>
              <w:spacing w:after="0" w:line="240" w:lineRule="auto"/>
              <w:jc w:val="left"/>
              <w:rPr>
                <w:rFonts w:ascii="Calibri" w:eastAsia="Times New Roman" w:hAnsi="Calibri" w:cs="Calibri"/>
                <w:color w:val="auto"/>
                <w:sz w:val="18"/>
                <w:szCs w:val="18"/>
                <w:lang w:val="sr-Cyrl-CS" w:eastAsia="sr-Cyrl-RS"/>
              </w:rPr>
            </w:pPr>
          </w:p>
        </w:tc>
        <w:tc>
          <w:tcPr>
            <w:tcW w:w="1576" w:type="dxa"/>
            <w:vMerge/>
            <w:tcBorders>
              <w:top w:val="single" w:sz="8" w:space="0" w:color="002060"/>
              <w:left w:val="nil"/>
              <w:bottom w:val="single" w:sz="8" w:space="0" w:color="002060"/>
              <w:right w:val="nil"/>
            </w:tcBorders>
            <w:vAlign w:val="center"/>
            <w:hideMark/>
          </w:tcPr>
          <w:p w14:paraId="3690CCAA" w14:textId="77777777" w:rsidR="00187838" w:rsidRPr="007E770D" w:rsidRDefault="00187838" w:rsidP="00E4657F">
            <w:pPr>
              <w:spacing w:after="0" w:line="240" w:lineRule="auto"/>
              <w:jc w:val="left"/>
              <w:rPr>
                <w:rFonts w:ascii="Calibri" w:eastAsia="Times New Roman" w:hAnsi="Calibri" w:cs="Calibri"/>
                <w:color w:val="auto"/>
                <w:sz w:val="18"/>
                <w:szCs w:val="18"/>
                <w:lang w:val="sr-Cyrl-CS" w:eastAsia="sr-Cyrl-RS"/>
              </w:rPr>
            </w:pPr>
          </w:p>
        </w:tc>
      </w:tr>
      <w:tr w:rsidR="007E770D" w:rsidRPr="007E770D" w14:paraId="1E9891C4" w14:textId="77777777" w:rsidTr="00E4657F">
        <w:trPr>
          <w:trHeight w:val="253"/>
        </w:trPr>
        <w:tc>
          <w:tcPr>
            <w:tcW w:w="4915" w:type="dxa"/>
            <w:tcBorders>
              <w:top w:val="nil"/>
              <w:left w:val="nil"/>
              <w:bottom w:val="nil"/>
              <w:right w:val="nil"/>
            </w:tcBorders>
            <w:shd w:val="clear" w:color="auto" w:fill="auto"/>
            <w:vAlign w:val="center"/>
            <w:hideMark/>
          </w:tcPr>
          <w:p w14:paraId="1B0CEDFD"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ЈП „Емисиона техника и везе“</w:t>
            </w:r>
          </w:p>
        </w:tc>
        <w:tc>
          <w:tcPr>
            <w:tcW w:w="1464" w:type="dxa"/>
            <w:tcBorders>
              <w:top w:val="nil"/>
              <w:left w:val="nil"/>
              <w:bottom w:val="nil"/>
              <w:right w:val="nil"/>
            </w:tcBorders>
            <w:shd w:val="clear" w:color="auto" w:fill="auto"/>
            <w:vAlign w:val="center"/>
            <w:hideMark/>
          </w:tcPr>
          <w:p w14:paraId="5A12C778"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1.755</w:t>
            </w:r>
          </w:p>
        </w:tc>
        <w:tc>
          <w:tcPr>
            <w:tcW w:w="1457" w:type="dxa"/>
            <w:tcBorders>
              <w:top w:val="nil"/>
              <w:left w:val="nil"/>
              <w:bottom w:val="nil"/>
              <w:right w:val="nil"/>
            </w:tcBorders>
            <w:shd w:val="clear" w:color="auto" w:fill="auto"/>
            <w:noWrap/>
            <w:vAlign w:val="center"/>
            <w:hideMark/>
          </w:tcPr>
          <w:p w14:paraId="1D7B2827"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-6.370</w:t>
            </w:r>
          </w:p>
        </w:tc>
        <w:tc>
          <w:tcPr>
            <w:tcW w:w="1576" w:type="dxa"/>
            <w:tcBorders>
              <w:top w:val="nil"/>
              <w:left w:val="nil"/>
              <w:bottom w:val="nil"/>
              <w:right w:val="nil"/>
            </w:tcBorders>
            <w:shd w:val="clear" w:color="auto" w:fill="auto"/>
            <w:noWrap/>
            <w:vAlign w:val="center"/>
            <w:hideMark/>
          </w:tcPr>
          <w:p w14:paraId="18C026AE"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-616</w:t>
            </w:r>
          </w:p>
        </w:tc>
      </w:tr>
      <w:tr w:rsidR="007E770D" w:rsidRPr="007E770D" w14:paraId="75DAAA97" w14:textId="77777777" w:rsidTr="00E4657F">
        <w:trPr>
          <w:trHeight w:val="253"/>
        </w:trPr>
        <w:tc>
          <w:tcPr>
            <w:tcW w:w="4915" w:type="dxa"/>
            <w:tcBorders>
              <w:top w:val="nil"/>
              <w:left w:val="nil"/>
              <w:bottom w:val="nil"/>
              <w:right w:val="nil"/>
            </w:tcBorders>
            <w:shd w:val="clear" w:color="auto" w:fill="auto"/>
            <w:noWrap/>
            <w:vAlign w:val="center"/>
            <w:hideMark/>
          </w:tcPr>
          <w:p w14:paraId="5E1CDAA7"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JП „Путеви Србијеˮ</w:t>
            </w:r>
          </w:p>
        </w:tc>
        <w:tc>
          <w:tcPr>
            <w:tcW w:w="1464" w:type="dxa"/>
            <w:tcBorders>
              <w:top w:val="nil"/>
              <w:left w:val="nil"/>
              <w:bottom w:val="nil"/>
              <w:right w:val="nil"/>
            </w:tcBorders>
            <w:shd w:val="clear" w:color="auto" w:fill="auto"/>
            <w:noWrap/>
            <w:vAlign w:val="center"/>
            <w:hideMark/>
          </w:tcPr>
          <w:p w14:paraId="13FD1954"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-11.243.413</w:t>
            </w:r>
          </w:p>
        </w:tc>
        <w:tc>
          <w:tcPr>
            <w:tcW w:w="1457" w:type="dxa"/>
            <w:tcBorders>
              <w:top w:val="nil"/>
              <w:left w:val="nil"/>
              <w:bottom w:val="nil"/>
              <w:right w:val="nil"/>
            </w:tcBorders>
            <w:shd w:val="clear" w:color="auto" w:fill="auto"/>
            <w:noWrap/>
            <w:vAlign w:val="center"/>
            <w:hideMark/>
          </w:tcPr>
          <w:p w14:paraId="6FC16B21"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1.417.854</w:t>
            </w:r>
          </w:p>
        </w:tc>
        <w:tc>
          <w:tcPr>
            <w:tcW w:w="1576" w:type="dxa"/>
            <w:tcBorders>
              <w:top w:val="nil"/>
              <w:left w:val="nil"/>
              <w:bottom w:val="nil"/>
              <w:right w:val="nil"/>
            </w:tcBorders>
            <w:shd w:val="clear" w:color="auto" w:fill="auto"/>
            <w:noWrap/>
            <w:vAlign w:val="center"/>
            <w:hideMark/>
          </w:tcPr>
          <w:p w14:paraId="6A37B2FE"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-2.600.251</w:t>
            </w:r>
          </w:p>
        </w:tc>
      </w:tr>
      <w:tr w:rsidR="007E770D" w:rsidRPr="007E770D" w14:paraId="64A16830" w14:textId="77777777" w:rsidTr="00E4657F">
        <w:trPr>
          <w:trHeight w:val="253"/>
        </w:trPr>
        <w:tc>
          <w:tcPr>
            <w:tcW w:w="4915" w:type="dxa"/>
            <w:tcBorders>
              <w:top w:val="nil"/>
              <w:left w:val="nil"/>
              <w:bottom w:val="nil"/>
              <w:right w:val="nil"/>
            </w:tcBorders>
            <w:shd w:val="clear" w:color="auto" w:fill="auto"/>
            <w:vAlign w:val="center"/>
            <w:hideMark/>
          </w:tcPr>
          <w:p w14:paraId="60CF4768"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JП ПЕУ „Ресавицаˮ</w:t>
            </w:r>
          </w:p>
        </w:tc>
        <w:tc>
          <w:tcPr>
            <w:tcW w:w="1464" w:type="dxa"/>
            <w:tcBorders>
              <w:top w:val="nil"/>
              <w:left w:val="nil"/>
              <w:bottom w:val="nil"/>
              <w:right w:val="nil"/>
            </w:tcBorders>
            <w:shd w:val="clear" w:color="auto" w:fill="auto"/>
            <w:vAlign w:val="center"/>
            <w:hideMark/>
          </w:tcPr>
          <w:p w14:paraId="0AF357FF"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-2.125.733</w:t>
            </w:r>
          </w:p>
        </w:tc>
        <w:tc>
          <w:tcPr>
            <w:tcW w:w="1457" w:type="dxa"/>
            <w:tcBorders>
              <w:top w:val="nil"/>
              <w:left w:val="nil"/>
              <w:bottom w:val="nil"/>
              <w:right w:val="nil"/>
            </w:tcBorders>
            <w:shd w:val="clear" w:color="auto" w:fill="auto"/>
            <w:noWrap/>
            <w:vAlign w:val="center"/>
            <w:hideMark/>
          </w:tcPr>
          <w:p w14:paraId="348384BD"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-1.226.057</w:t>
            </w:r>
          </w:p>
        </w:tc>
        <w:tc>
          <w:tcPr>
            <w:tcW w:w="1576" w:type="dxa"/>
            <w:tcBorders>
              <w:top w:val="nil"/>
              <w:left w:val="nil"/>
              <w:bottom w:val="nil"/>
              <w:right w:val="nil"/>
            </w:tcBorders>
            <w:shd w:val="clear" w:color="auto" w:fill="auto"/>
            <w:noWrap/>
            <w:vAlign w:val="center"/>
            <w:hideMark/>
          </w:tcPr>
          <w:p w14:paraId="34881BDB"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-293.535</w:t>
            </w:r>
          </w:p>
        </w:tc>
      </w:tr>
      <w:tr w:rsidR="007E770D" w:rsidRPr="007E770D" w14:paraId="7AFFAB2A" w14:textId="77777777" w:rsidTr="00E4657F">
        <w:trPr>
          <w:trHeight w:val="253"/>
        </w:trPr>
        <w:tc>
          <w:tcPr>
            <w:tcW w:w="4915" w:type="dxa"/>
            <w:tcBorders>
              <w:top w:val="nil"/>
              <w:left w:val="nil"/>
              <w:bottom w:val="nil"/>
              <w:right w:val="nil"/>
            </w:tcBorders>
            <w:shd w:val="clear" w:color="auto" w:fill="auto"/>
            <w:vAlign w:val="center"/>
            <w:hideMark/>
          </w:tcPr>
          <w:p w14:paraId="1F26EC28" w14:textId="0F67D59E"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„Србија</w:t>
            </w:r>
            <w:r w:rsidR="00342910">
              <w:rPr>
                <w:rFonts w:ascii="Calibri" w:eastAsia="Times New Roman" w:hAnsi="Calibri" w:cs="Calibri"/>
                <w:color w:val="auto"/>
                <w:sz w:val="18"/>
                <w:szCs w:val="18"/>
                <w:lang w:val="sr-Cyrl-CS" w:eastAsia="sr-Cyrl-RS"/>
              </w:rPr>
              <w:t xml:space="preserve"> </w:t>
            </w:r>
            <w:r w:rsidR="00342910" w:rsidRPr="007E770D">
              <w:rPr>
                <w:rFonts w:ascii="Calibri" w:eastAsia="Times New Roman" w:hAnsi="Calibri" w:cs="Calibri"/>
                <w:color w:val="auto"/>
                <w:sz w:val="18"/>
                <w:szCs w:val="18"/>
                <w:lang w:val="sr-Cyrl-CS" w:eastAsia="sr-Cyrl-RS"/>
              </w:rPr>
              <w:t xml:space="preserve">Возˮ </w:t>
            </w:r>
            <w:r w:rsidRPr="007E770D">
              <w:rPr>
                <w:rFonts w:ascii="Calibri" w:eastAsia="Times New Roman" w:hAnsi="Calibri" w:cs="Calibri"/>
                <w:color w:val="auto"/>
                <w:sz w:val="18"/>
                <w:szCs w:val="18"/>
                <w:lang w:val="sr-Cyrl-CS" w:eastAsia="sr-Cyrl-RS"/>
              </w:rPr>
              <w:t>а.д.</w:t>
            </w:r>
          </w:p>
        </w:tc>
        <w:tc>
          <w:tcPr>
            <w:tcW w:w="1464" w:type="dxa"/>
            <w:tcBorders>
              <w:top w:val="nil"/>
              <w:left w:val="nil"/>
              <w:bottom w:val="nil"/>
              <w:right w:val="nil"/>
            </w:tcBorders>
            <w:shd w:val="clear" w:color="auto" w:fill="auto"/>
            <w:vAlign w:val="center"/>
            <w:hideMark/>
          </w:tcPr>
          <w:p w14:paraId="333E7188"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-1.490.704</w:t>
            </w:r>
          </w:p>
        </w:tc>
        <w:tc>
          <w:tcPr>
            <w:tcW w:w="1457" w:type="dxa"/>
            <w:tcBorders>
              <w:top w:val="nil"/>
              <w:left w:val="nil"/>
              <w:bottom w:val="nil"/>
              <w:right w:val="nil"/>
            </w:tcBorders>
            <w:shd w:val="clear" w:color="auto" w:fill="auto"/>
            <w:noWrap/>
            <w:vAlign w:val="center"/>
            <w:hideMark/>
          </w:tcPr>
          <w:p w14:paraId="7D962E51"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-395.999</w:t>
            </w:r>
          </w:p>
        </w:tc>
        <w:tc>
          <w:tcPr>
            <w:tcW w:w="1576" w:type="dxa"/>
            <w:tcBorders>
              <w:top w:val="nil"/>
              <w:left w:val="nil"/>
              <w:bottom w:val="nil"/>
              <w:right w:val="nil"/>
            </w:tcBorders>
            <w:shd w:val="clear" w:color="auto" w:fill="auto"/>
            <w:noWrap/>
            <w:vAlign w:val="center"/>
            <w:hideMark/>
          </w:tcPr>
          <w:p w14:paraId="057BD74F"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-444.240</w:t>
            </w:r>
          </w:p>
        </w:tc>
      </w:tr>
      <w:tr w:rsidR="007E770D" w:rsidRPr="007E770D" w14:paraId="51787496" w14:textId="77777777" w:rsidTr="00E4657F">
        <w:trPr>
          <w:trHeight w:val="253"/>
        </w:trPr>
        <w:tc>
          <w:tcPr>
            <w:tcW w:w="4915" w:type="dxa"/>
            <w:tcBorders>
              <w:top w:val="nil"/>
              <w:left w:val="nil"/>
              <w:bottom w:val="nil"/>
              <w:right w:val="nil"/>
            </w:tcBorders>
            <w:shd w:val="clear" w:color="auto" w:fill="auto"/>
            <w:noWrap/>
            <w:vAlign w:val="center"/>
            <w:hideMark/>
          </w:tcPr>
          <w:p w14:paraId="3D5676AD"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JВП „Србијаводеˮ</w:t>
            </w:r>
          </w:p>
        </w:tc>
        <w:tc>
          <w:tcPr>
            <w:tcW w:w="1464" w:type="dxa"/>
            <w:tcBorders>
              <w:top w:val="nil"/>
              <w:left w:val="nil"/>
              <w:bottom w:val="nil"/>
              <w:right w:val="nil"/>
            </w:tcBorders>
            <w:shd w:val="clear" w:color="auto" w:fill="auto"/>
            <w:noWrap/>
            <w:vAlign w:val="center"/>
            <w:hideMark/>
          </w:tcPr>
          <w:p w14:paraId="39138D9C"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45.740</w:t>
            </w:r>
          </w:p>
        </w:tc>
        <w:tc>
          <w:tcPr>
            <w:tcW w:w="1457" w:type="dxa"/>
            <w:tcBorders>
              <w:top w:val="nil"/>
              <w:left w:val="nil"/>
              <w:bottom w:val="nil"/>
              <w:right w:val="nil"/>
            </w:tcBorders>
            <w:shd w:val="clear" w:color="auto" w:fill="auto"/>
            <w:noWrap/>
            <w:vAlign w:val="center"/>
            <w:hideMark/>
          </w:tcPr>
          <w:p w14:paraId="3E2C6D71"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-31.368</w:t>
            </w:r>
          </w:p>
        </w:tc>
        <w:tc>
          <w:tcPr>
            <w:tcW w:w="1576" w:type="dxa"/>
            <w:tcBorders>
              <w:top w:val="nil"/>
              <w:left w:val="nil"/>
              <w:bottom w:val="nil"/>
              <w:right w:val="nil"/>
            </w:tcBorders>
            <w:shd w:val="clear" w:color="auto" w:fill="auto"/>
            <w:noWrap/>
            <w:vAlign w:val="center"/>
            <w:hideMark/>
          </w:tcPr>
          <w:p w14:paraId="496F64BD"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-29.987</w:t>
            </w:r>
          </w:p>
        </w:tc>
      </w:tr>
      <w:tr w:rsidR="007E770D" w:rsidRPr="007E770D" w14:paraId="27C55D62" w14:textId="77777777" w:rsidTr="00E4657F">
        <w:trPr>
          <w:trHeight w:val="253"/>
        </w:trPr>
        <w:tc>
          <w:tcPr>
            <w:tcW w:w="4915" w:type="dxa"/>
            <w:tcBorders>
              <w:top w:val="nil"/>
              <w:left w:val="nil"/>
              <w:bottom w:val="nil"/>
              <w:right w:val="nil"/>
            </w:tcBorders>
            <w:shd w:val="clear" w:color="auto" w:fill="auto"/>
            <w:vAlign w:val="center"/>
            <w:hideMark/>
          </w:tcPr>
          <w:p w14:paraId="151D74BD"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JП „Завод за уџбеникеˮ</w:t>
            </w:r>
          </w:p>
        </w:tc>
        <w:tc>
          <w:tcPr>
            <w:tcW w:w="1464" w:type="dxa"/>
            <w:tcBorders>
              <w:top w:val="nil"/>
              <w:left w:val="nil"/>
              <w:bottom w:val="nil"/>
              <w:right w:val="nil"/>
            </w:tcBorders>
            <w:shd w:val="clear" w:color="auto" w:fill="auto"/>
            <w:vAlign w:val="center"/>
            <w:hideMark/>
          </w:tcPr>
          <w:p w14:paraId="26142CC3"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-257.120</w:t>
            </w:r>
          </w:p>
        </w:tc>
        <w:tc>
          <w:tcPr>
            <w:tcW w:w="1457" w:type="dxa"/>
            <w:tcBorders>
              <w:top w:val="nil"/>
              <w:left w:val="nil"/>
              <w:bottom w:val="nil"/>
              <w:right w:val="nil"/>
            </w:tcBorders>
            <w:shd w:val="clear" w:color="auto" w:fill="auto"/>
            <w:noWrap/>
            <w:vAlign w:val="center"/>
            <w:hideMark/>
          </w:tcPr>
          <w:p w14:paraId="6F05EDDC"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-66.628</w:t>
            </w:r>
          </w:p>
        </w:tc>
        <w:tc>
          <w:tcPr>
            <w:tcW w:w="1576" w:type="dxa"/>
            <w:tcBorders>
              <w:top w:val="nil"/>
              <w:left w:val="nil"/>
              <w:bottom w:val="nil"/>
              <w:right w:val="nil"/>
            </w:tcBorders>
            <w:shd w:val="clear" w:color="auto" w:fill="auto"/>
            <w:noWrap/>
            <w:vAlign w:val="center"/>
            <w:hideMark/>
          </w:tcPr>
          <w:p w14:paraId="5182F387"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-201.840</w:t>
            </w:r>
          </w:p>
        </w:tc>
      </w:tr>
      <w:tr w:rsidR="007E770D" w:rsidRPr="007E770D" w14:paraId="1C25375D" w14:textId="77777777" w:rsidTr="00E4657F">
        <w:trPr>
          <w:trHeight w:val="253"/>
        </w:trPr>
        <w:tc>
          <w:tcPr>
            <w:tcW w:w="4915" w:type="dxa"/>
            <w:tcBorders>
              <w:top w:val="nil"/>
              <w:left w:val="nil"/>
              <w:bottom w:val="nil"/>
              <w:right w:val="nil"/>
            </w:tcBorders>
            <w:shd w:val="clear" w:color="auto" w:fill="auto"/>
            <w:vAlign w:val="center"/>
            <w:hideMark/>
          </w:tcPr>
          <w:p w14:paraId="599C3C30"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„Мокра гораˮ д.о.о.</w:t>
            </w:r>
          </w:p>
        </w:tc>
        <w:tc>
          <w:tcPr>
            <w:tcW w:w="1464" w:type="dxa"/>
            <w:tcBorders>
              <w:top w:val="nil"/>
              <w:left w:val="nil"/>
              <w:bottom w:val="nil"/>
              <w:right w:val="nil"/>
            </w:tcBorders>
            <w:shd w:val="clear" w:color="auto" w:fill="auto"/>
            <w:vAlign w:val="center"/>
            <w:hideMark/>
          </w:tcPr>
          <w:p w14:paraId="59BDD122"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230</w:t>
            </w:r>
          </w:p>
        </w:tc>
        <w:tc>
          <w:tcPr>
            <w:tcW w:w="1457" w:type="dxa"/>
            <w:tcBorders>
              <w:top w:val="nil"/>
              <w:left w:val="nil"/>
              <w:bottom w:val="nil"/>
              <w:right w:val="nil"/>
            </w:tcBorders>
            <w:shd w:val="clear" w:color="auto" w:fill="auto"/>
            <w:noWrap/>
            <w:vAlign w:val="center"/>
            <w:hideMark/>
          </w:tcPr>
          <w:p w14:paraId="620CDB11"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5.893</w:t>
            </w:r>
          </w:p>
        </w:tc>
        <w:tc>
          <w:tcPr>
            <w:tcW w:w="1576" w:type="dxa"/>
            <w:tcBorders>
              <w:top w:val="nil"/>
              <w:left w:val="nil"/>
              <w:bottom w:val="nil"/>
              <w:right w:val="nil"/>
            </w:tcBorders>
            <w:shd w:val="clear" w:color="auto" w:fill="auto"/>
            <w:noWrap/>
            <w:vAlign w:val="center"/>
            <w:hideMark/>
          </w:tcPr>
          <w:p w14:paraId="223D1396"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-385</w:t>
            </w:r>
          </w:p>
        </w:tc>
      </w:tr>
      <w:tr w:rsidR="007E770D" w:rsidRPr="007E770D" w14:paraId="2F0074A8" w14:textId="77777777" w:rsidTr="00E4657F">
        <w:trPr>
          <w:trHeight w:val="253"/>
        </w:trPr>
        <w:tc>
          <w:tcPr>
            <w:tcW w:w="4915" w:type="dxa"/>
            <w:tcBorders>
              <w:top w:val="nil"/>
              <w:left w:val="nil"/>
              <w:bottom w:val="nil"/>
              <w:right w:val="nil"/>
            </w:tcBorders>
            <w:shd w:val="clear" w:color="auto" w:fill="auto"/>
            <w:vAlign w:val="center"/>
            <w:hideMark/>
          </w:tcPr>
          <w:p w14:paraId="5AC9A467"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JП за склоништа</w:t>
            </w:r>
          </w:p>
        </w:tc>
        <w:tc>
          <w:tcPr>
            <w:tcW w:w="1464" w:type="dxa"/>
            <w:tcBorders>
              <w:top w:val="nil"/>
              <w:left w:val="nil"/>
              <w:bottom w:val="nil"/>
              <w:right w:val="nil"/>
            </w:tcBorders>
            <w:shd w:val="clear" w:color="auto" w:fill="auto"/>
            <w:vAlign w:val="center"/>
            <w:hideMark/>
          </w:tcPr>
          <w:p w14:paraId="04B4F769"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-126.800</w:t>
            </w:r>
          </w:p>
        </w:tc>
        <w:tc>
          <w:tcPr>
            <w:tcW w:w="1457" w:type="dxa"/>
            <w:tcBorders>
              <w:top w:val="nil"/>
              <w:left w:val="nil"/>
              <w:bottom w:val="nil"/>
              <w:right w:val="nil"/>
            </w:tcBorders>
            <w:shd w:val="clear" w:color="auto" w:fill="auto"/>
            <w:noWrap/>
            <w:vAlign w:val="center"/>
            <w:hideMark/>
          </w:tcPr>
          <w:p w14:paraId="2D843184"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-54.234</w:t>
            </w:r>
          </w:p>
        </w:tc>
        <w:tc>
          <w:tcPr>
            <w:tcW w:w="1576" w:type="dxa"/>
            <w:tcBorders>
              <w:top w:val="nil"/>
              <w:left w:val="nil"/>
              <w:bottom w:val="nil"/>
              <w:right w:val="nil"/>
            </w:tcBorders>
            <w:shd w:val="clear" w:color="auto" w:fill="auto"/>
            <w:noWrap/>
            <w:vAlign w:val="center"/>
            <w:hideMark/>
          </w:tcPr>
          <w:p w14:paraId="436C5B89"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-53.253</w:t>
            </w:r>
          </w:p>
        </w:tc>
      </w:tr>
      <w:tr w:rsidR="007E770D" w:rsidRPr="007E770D" w14:paraId="1F10E274" w14:textId="77777777" w:rsidTr="00E4657F">
        <w:trPr>
          <w:trHeight w:val="266"/>
        </w:trPr>
        <w:tc>
          <w:tcPr>
            <w:tcW w:w="4915" w:type="dxa"/>
            <w:tcBorders>
              <w:top w:val="nil"/>
              <w:left w:val="nil"/>
              <w:bottom w:val="nil"/>
              <w:right w:val="nil"/>
            </w:tcBorders>
            <w:shd w:val="clear" w:color="auto" w:fill="auto"/>
            <w:vAlign w:val="center"/>
            <w:hideMark/>
          </w:tcPr>
          <w:p w14:paraId="3F881B5C"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„Југоимпорт-СДПРˮ JП</w:t>
            </w:r>
          </w:p>
        </w:tc>
        <w:tc>
          <w:tcPr>
            <w:tcW w:w="1464" w:type="dxa"/>
            <w:tcBorders>
              <w:top w:val="nil"/>
              <w:left w:val="nil"/>
              <w:bottom w:val="nil"/>
              <w:right w:val="nil"/>
            </w:tcBorders>
            <w:shd w:val="clear" w:color="auto" w:fill="auto"/>
            <w:noWrap/>
            <w:vAlign w:val="center"/>
            <w:hideMark/>
          </w:tcPr>
          <w:p w14:paraId="638E7974"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2.615.743</w:t>
            </w:r>
          </w:p>
        </w:tc>
        <w:tc>
          <w:tcPr>
            <w:tcW w:w="1457" w:type="dxa"/>
            <w:tcBorders>
              <w:top w:val="nil"/>
              <w:left w:val="nil"/>
              <w:bottom w:val="nil"/>
              <w:right w:val="nil"/>
            </w:tcBorders>
            <w:shd w:val="clear" w:color="auto" w:fill="auto"/>
            <w:noWrap/>
            <w:vAlign w:val="center"/>
            <w:hideMark/>
          </w:tcPr>
          <w:p w14:paraId="6BD63998"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793.096</w:t>
            </w:r>
          </w:p>
        </w:tc>
        <w:tc>
          <w:tcPr>
            <w:tcW w:w="1576" w:type="dxa"/>
            <w:tcBorders>
              <w:top w:val="nil"/>
              <w:left w:val="nil"/>
              <w:bottom w:val="nil"/>
              <w:right w:val="nil"/>
            </w:tcBorders>
            <w:shd w:val="clear" w:color="auto" w:fill="auto"/>
            <w:noWrap/>
            <w:vAlign w:val="center"/>
            <w:hideMark/>
          </w:tcPr>
          <w:p w14:paraId="146C6FFC"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-365.481</w:t>
            </w:r>
          </w:p>
        </w:tc>
      </w:tr>
      <w:tr w:rsidR="007E770D" w:rsidRPr="007E770D" w14:paraId="7C90980E" w14:textId="77777777" w:rsidTr="00E4657F">
        <w:trPr>
          <w:trHeight w:val="266"/>
        </w:trPr>
        <w:tc>
          <w:tcPr>
            <w:tcW w:w="4915" w:type="dxa"/>
            <w:tcBorders>
              <w:top w:val="single" w:sz="8" w:space="0" w:color="002060"/>
              <w:left w:val="nil"/>
              <w:bottom w:val="single" w:sz="8" w:space="0" w:color="002060"/>
              <w:right w:val="nil"/>
            </w:tcBorders>
            <w:shd w:val="clear" w:color="auto" w:fill="auto"/>
            <w:noWrap/>
            <w:vAlign w:val="center"/>
            <w:hideMark/>
          </w:tcPr>
          <w:p w14:paraId="65CC2FB0" w14:textId="77777777" w:rsidR="00187838" w:rsidRPr="007E770D" w:rsidRDefault="00187838" w:rsidP="00E4657F">
            <w:pPr>
              <w:spacing w:after="0" w:line="240" w:lineRule="auto"/>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Укупно</w:t>
            </w:r>
          </w:p>
        </w:tc>
        <w:tc>
          <w:tcPr>
            <w:tcW w:w="1464" w:type="dxa"/>
            <w:tcBorders>
              <w:top w:val="single" w:sz="8" w:space="0" w:color="002060"/>
              <w:left w:val="nil"/>
              <w:bottom w:val="single" w:sz="8" w:space="0" w:color="002060"/>
              <w:right w:val="nil"/>
            </w:tcBorders>
            <w:shd w:val="clear" w:color="auto" w:fill="auto"/>
            <w:noWrap/>
            <w:vAlign w:val="center"/>
            <w:hideMark/>
          </w:tcPr>
          <w:p w14:paraId="654E71F0"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-12.580.302</w:t>
            </w:r>
          </w:p>
        </w:tc>
        <w:tc>
          <w:tcPr>
            <w:tcW w:w="1457" w:type="dxa"/>
            <w:tcBorders>
              <w:top w:val="single" w:sz="8" w:space="0" w:color="002060"/>
              <w:left w:val="nil"/>
              <w:bottom w:val="single" w:sz="8" w:space="0" w:color="002060"/>
              <w:right w:val="nil"/>
            </w:tcBorders>
            <w:shd w:val="clear" w:color="auto" w:fill="auto"/>
            <w:noWrap/>
            <w:vAlign w:val="center"/>
            <w:hideMark/>
          </w:tcPr>
          <w:p w14:paraId="0D75FFD3"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436.187</w:t>
            </w:r>
          </w:p>
        </w:tc>
        <w:tc>
          <w:tcPr>
            <w:tcW w:w="1576" w:type="dxa"/>
            <w:tcBorders>
              <w:top w:val="single" w:sz="8" w:space="0" w:color="002060"/>
              <w:left w:val="nil"/>
              <w:bottom w:val="single" w:sz="8" w:space="0" w:color="002060"/>
              <w:right w:val="nil"/>
            </w:tcBorders>
            <w:shd w:val="clear" w:color="auto" w:fill="auto"/>
            <w:noWrap/>
            <w:vAlign w:val="center"/>
            <w:hideMark/>
          </w:tcPr>
          <w:p w14:paraId="02E3E9E5" w14:textId="77777777" w:rsidR="00187838" w:rsidRPr="007E770D" w:rsidRDefault="00187838" w:rsidP="00E4657F">
            <w:pPr>
              <w:spacing w:after="0" w:line="240" w:lineRule="auto"/>
              <w:jc w:val="right"/>
              <w:rPr>
                <w:rFonts w:ascii="Calibri" w:eastAsia="Times New Roman" w:hAnsi="Calibri" w:cs="Calibri"/>
                <w:color w:val="auto"/>
                <w:sz w:val="18"/>
                <w:szCs w:val="18"/>
                <w:lang w:val="sr-Cyrl-CS" w:eastAsia="sr-Cyrl-RS"/>
              </w:rPr>
            </w:pPr>
            <w:r w:rsidRPr="007E770D">
              <w:rPr>
                <w:rFonts w:ascii="Calibri" w:eastAsia="Times New Roman" w:hAnsi="Calibri" w:cs="Calibri"/>
                <w:color w:val="auto"/>
                <w:sz w:val="18"/>
                <w:szCs w:val="18"/>
                <w:lang w:val="sr-Cyrl-CS" w:eastAsia="sr-Cyrl-RS"/>
              </w:rPr>
              <w:t>-3.989.588</w:t>
            </w:r>
          </w:p>
        </w:tc>
      </w:tr>
    </w:tbl>
    <w:p w14:paraId="52265530" w14:textId="77777777" w:rsidR="00187838" w:rsidRPr="007E770D" w:rsidRDefault="00187838" w:rsidP="00E4657F">
      <w:pPr>
        <w:spacing w:before="40" w:after="0" w:line="276" w:lineRule="auto"/>
        <w:rPr>
          <w:rFonts w:eastAsia="Times New Roman" w:cstheme="minorHAnsi"/>
          <w:color w:val="auto"/>
          <w:sz w:val="16"/>
          <w:szCs w:val="18"/>
          <w:lang w:val="sr-Cyrl-CS"/>
        </w:rPr>
      </w:pPr>
      <w:r w:rsidRPr="007E770D">
        <w:rPr>
          <w:rFonts w:eastAsia="Times New Roman" w:cstheme="minorHAnsi"/>
          <w:color w:val="auto"/>
          <w:sz w:val="16"/>
          <w:szCs w:val="18"/>
          <w:lang w:val="sr-Cyrl-CS"/>
        </w:rPr>
        <w:t>Извор: Финансијски извештаји за 2018. годину и квартални извештаји Министарства привреде за 2019. годину</w:t>
      </w:r>
    </w:p>
    <w:p w14:paraId="239EE5D6" w14:textId="77777777" w:rsidR="00187838" w:rsidRPr="007E770D" w:rsidRDefault="00187838" w:rsidP="00E4657F">
      <w:pPr>
        <w:spacing w:after="120" w:line="276" w:lineRule="auto"/>
        <w:rPr>
          <w:rFonts w:cstheme="minorHAnsi"/>
          <w:color w:val="auto"/>
          <w:sz w:val="18"/>
          <w:szCs w:val="18"/>
          <w:lang w:val="sr-Cyrl-CS"/>
        </w:rPr>
        <w:sectPr w:rsidR="00187838" w:rsidRPr="007E770D" w:rsidSect="00BA4876">
          <w:type w:val="continuous"/>
          <w:pgSz w:w="12240" w:h="15840"/>
          <w:pgMar w:top="1440" w:right="1440" w:bottom="1440" w:left="1440" w:header="720" w:footer="720" w:gutter="0"/>
          <w:cols w:space="720"/>
          <w:docGrid w:linePitch="360"/>
        </w:sectPr>
      </w:pPr>
    </w:p>
    <w:p w14:paraId="21E3FC97" w14:textId="77777777" w:rsidR="00187838" w:rsidRPr="007E770D" w:rsidRDefault="00187838" w:rsidP="00E4657F">
      <w:pPr>
        <w:spacing w:after="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lastRenderedPageBreak/>
        <w:t>У циљу умањења фискалних ризика повезаних са пословањем јавних предузећа у току су процеси реструктурирања највећих јавних предузећа (групе предузећа које се баве железничким саобраћајем – „Железнице Србијеˮ а.д, „Инфраструктура железнице Србијеˮ а.д, „Србија Возˮ а.д, „Србија Каргоˮ а.д, ЈП ЕПС и ЈП „Србијагасˮ). Целокупан процес се спроводи у сарадњи за водећим светским финансијским институцијама – ММФ, Светском банком и Европском банком за обнову и развој (у даљем тексту: ЕБРД), како би се ова предузећа поставила на здраве основе и почела да функционишу по тржишном принципу, те умањили потенцијални фискални трошкови који могу проистећи из њиховог пословања.</w:t>
      </w:r>
    </w:p>
    <w:p w14:paraId="425DE906" w14:textId="77777777" w:rsidR="00187838" w:rsidRPr="007E770D" w:rsidRDefault="00187838" w:rsidP="00E4657F">
      <w:pPr>
        <w:spacing w:after="0" w:line="276" w:lineRule="auto"/>
        <w:rPr>
          <w:rFonts w:eastAsia="Calibri" w:cstheme="minorHAnsi"/>
          <w:color w:val="auto"/>
          <w:szCs w:val="20"/>
          <w:lang w:val="sr-Cyrl-CS" w:eastAsia="ja-JP"/>
        </w:rPr>
      </w:pPr>
    </w:p>
    <w:p w14:paraId="506BF933" w14:textId="52AFCD9C" w:rsidR="00E4657F" w:rsidRPr="007E770D" w:rsidRDefault="00187838" w:rsidP="003F3BF5">
      <w:pPr>
        <w:spacing w:after="60" w:line="276" w:lineRule="auto"/>
        <w:rPr>
          <w:rFonts w:eastAsia="Calibri" w:cstheme="minorHAnsi"/>
          <w:color w:val="auto"/>
          <w:szCs w:val="20"/>
          <w:lang w:val="sr-Cyrl-CS" w:eastAsia="ja-JP"/>
        </w:rPr>
      </w:pPr>
      <w:r w:rsidRPr="007E770D">
        <w:rPr>
          <w:rFonts w:eastAsia="Calibri" w:cstheme="minorHAnsi"/>
          <w:i/>
          <w:color w:val="auto"/>
          <w:szCs w:val="20"/>
          <w:lang w:val="sr-Cyrl-CS" w:eastAsia="ja-JP"/>
        </w:rPr>
        <w:t>ЈП „Електропривреда Србије”.</w:t>
      </w:r>
      <w:r w:rsidRPr="007E770D">
        <w:rPr>
          <w:rFonts w:eastAsia="Calibri" w:cstheme="minorHAnsi"/>
          <w:color w:val="auto"/>
          <w:szCs w:val="20"/>
          <w:lang w:val="sr-Cyrl-CS" w:eastAsia="ja-JP"/>
        </w:rPr>
        <w:t xml:space="preserve"> План оптимизације броја запослених за период 2016–2019. године, израђен уз помоћ Светске </w:t>
      </w:r>
      <w:r w:rsidR="00342910" w:rsidRPr="007E770D">
        <w:rPr>
          <w:rFonts w:eastAsia="Calibri" w:cstheme="minorHAnsi"/>
          <w:color w:val="auto"/>
          <w:szCs w:val="20"/>
          <w:lang w:val="sr-Cyrl-CS" w:eastAsia="ja-JP"/>
        </w:rPr>
        <w:t>банке</w:t>
      </w:r>
      <w:r w:rsidRPr="007E770D">
        <w:rPr>
          <w:rFonts w:eastAsia="Calibri" w:cstheme="minorHAnsi"/>
          <w:color w:val="auto"/>
          <w:szCs w:val="20"/>
          <w:lang w:val="sr-Cyrl-CS" w:eastAsia="ja-JP"/>
        </w:rPr>
        <w:t xml:space="preserve">, успешно се спроводи. Уз помоћ Светске </w:t>
      </w:r>
      <w:r w:rsidR="00342910" w:rsidRPr="007E770D">
        <w:rPr>
          <w:rFonts w:eastAsia="Calibri" w:cstheme="minorHAnsi"/>
          <w:color w:val="auto"/>
          <w:szCs w:val="20"/>
          <w:lang w:val="sr-Cyrl-CS" w:eastAsia="ja-JP"/>
        </w:rPr>
        <w:t xml:space="preserve">банке </w:t>
      </w:r>
      <w:r w:rsidRPr="007E770D">
        <w:rPr>
          <w:rFonts w:eastAsia="Calibri" w:cstheme="minorHAnsi"/>
          <w:color w:val="auto"/>
          <w:szCs w:val="20"/>
          <w:lang w:val="sr-Cyrl-CS" w:eastAsia="ja-JP"/>
        </w:rPr>
        <w:t>и ЕБРД сагледавају се могућности даљег унапређења управљања компанијом у погледу менаџмента, система планирања и набавки. Акциони план</w:t>
      </w:r>
      <w:r w:rsidR="00E4657F" w:rsidRPr="007E770D">
        <w:rPr>
          <w:rFonts w:eastAsia="Calibri" w:cstheme="minorHAnsi"/>
          <w:color w:val="auto"/>
          <w:szCs w:val="20"/>
          <w:lang w:val="sr-Cyrl-CS" w:eastAsia="ja-JP"/>
        </w:rPr>
        <w:t xml:space="preserve"> за побољшање корпоративног управљања, који је сачињен на основу препорука ЕБРД и који је усвојила Влада у фебруару 2019. године, успешно се спроводи.</w:t>
      </w:r>
    </w:p>
    <w:p w14:paraId="071A76ED" w14:textId="1C81F3CC" w:rsidR="00E4657F" w:rsidRPr="007E770D" w:rsidRDefault="00E4657F" w:rsidP="00E4657F">
      <w:pPr>
        <w:spacing w:after="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Влада је донела велики број закључака (14) по питању својине ЈП ЕПС и то закључке на основу којих ће се успоставити својина ЈП ЕПС (ради се о непокретностима на којима се може сагласно законима успоставити својина) као и закључке којим ЈП ЕПС престаје право коришћења на непокретностима и прелази у својину Р</w:t>
      </w:r>
      <w:r w:rsidR="00342910">
        <w:rPr>
          <w:rFonts w:eastAsia="Calibri" w:cstheme="minorHAnsi"/>
          <w:color w:val="auto"/>
          <w:szCs w:val="20"/>
          <w:lang w:val="sr-Cyrl-CS" w:eastAsia="ja-JP"/>
        </w:rPr>
        <w:t xml:space="preserve">епублике </w:t>
      </w:r>
      <w:r w:rsidRPr="007E770D">
        <w:rPr>
          <w:rFonts w:eastAsia="Calibri" w:cstheme="minorHAnsi"/>
          <w:color w:val="auto"/>
          <w:szCs w:val="20"/>
          <w:lang w:val="sr-Cyrl-CS" w:eastAsia="ja-JP"/>
        </w:rPr>
        <w:t>С</w:t>
      </w:r>
      <w:r w:rsidR="00342910">
        <w:rPr>
          <w:rFonts w:eastAsia="Calibri" w:cstheme="minorHAnsi"/>
          <w:color w:val="auto"/>
          <w:szCs w:val="20"/>
          <w:lang w:val="sr-Cyrl-CS" w:eastAsia="ja-JP"/>
        </w:rPr>
        <w:t>рбије</w:t>
      </w:r>
      <w:r w:rsidRPr="007E770D">
        <w:rPr>
          <w:rFonts w:eastAsia="Calibri" w:cstheme="minorHAnsi"/>
          <w:color w:val="auto"/>
          <w:szCs w:val="20"/>
          <w:lang w:val="sr-Cyrl-CS" w:eastAsia="ja-JP"/>
        </w:rPr>
        <w:t xml:space="preserve"> (за оне непокретности на којима се не може успоставити својина). На основу тих закључака извршиће се упис права својине у корист ЈП ЕПС и упис права својине у корист Републике Србије. Такође ЈП ЕПС ће на основу наведених закључака извршити потребне промене у пословним евиденцијама у складу са законом. Након тога отпочеће поступак у вези са проценом вредности капитала а након процене</w:t>
      </w:r>
      <w:r w:rsidR="002E15A1" w:rsidRPr="007E770D">
        <w:rPr>
          <w:rFonts w:eastAsia="Calibri" w:cstheme="minorHAnsi"/>
          <w:color w:val="auto"/>
          <w:szCs w:val="20"/>
          <w:lang w:val="sr-Cyrl-CS" w:eastAsia="ja-JP"/>
        </w:rPr>
        <w:t>,</w:t>
      </w:r>
      <w:r w:rsidRPr="007E770D">
        <w:rPr>
          <w:rFonts w:eastAsia="Calibri" w:cstheme="minorHAnsi"/>
          <w:color w:val="auto"/>
          <w:szCs w:val="20"/>
          <w:lang w:val="sr-Cyrl-CS" w:eastAsia="ja-JP"/>
        </w:rPr>
        <w:t xml:space="preserve"> приступиће се промени правне форме из правне </w:t>
      </w:r>
      <w:r w:rsidRPr="007E770D">
        <w:rPr>
          <w:rFonts w:eastAsia="Calibri" w:cstheme="minorHAnsi"/>
          <w:color w:val="auto"/>
          <w:szCs w:val="20"/>
          <w:lang w:val="sr-Cyrl-CS" w:eastAsia="ja-JP"/>
        </w:rPr>
        <w:t>форме јавног предузећа у правну форму акционарског друштва.</w:t>
      </w:r>
    </w:p>
    <w:p w14:paraId="407B6BEE" w14:textId="77777777" w:rsidR="00187838" w:rsidRPr="007E770D" w:rsidRDefault="00187838" w:rsidP="00E4657F">
      <w:pPr>
        <w:spacing w:after="0" w:line="276" w:lineRule="auto"/>
        <w:rPr>
          <w:rFonts w:eastAsia="Calibri" w:cstheme="minorHAnsi"/>
          <w:color w:val="auto"/>
          <w:szCs w:val="20"/>
          <w:lang w:val="sr-Cyrl-CS" w:eastAsia="ja-JP"/>
        </w:rPr>
      </w:pPr>
      <w:r w:rsidRPr="007E770D">
        <w:rPr>
          <w:rFonts w:eastAsia="Calibri" w:cstheme="minorHAnsi"/>
          <w:i/>
          <w:color w:val="auto"/>
          <w:szCs w:val="20"/>
          <w:lang w:val="sr-Cyrl-CS" w:eastAsia="ja-JP"/>
        </w:rPr>
        <w:t>ЈП „Србијагасˮ</w:t>
      </w:r>
      <w:r w:rsidRPr="007E770D">
        <w:rPr>
          <w:rFonts w:eastAsia="Calibri" w:cstheme="minorHAnsi"/>
          <w:color w:val="auto"/>
          <w:szCs w:val="20"/>
          <w:lang w:val="sr-Cyrl-CS" w:eastAsia="ja-JP"/>
        </w:rPr>
        <w:t>. Повећана је дисциплина у наплати потраживања, а методологија процене улагања, коју је је предложила Светска банка, успешно се спроводи. У наредном периоду ће бити омогућено да ова компанија самостално сервисира свој дуг, без подршке из буџета Републике.</w:t>
      </w:r>
    </w:p>
    <w:p w14:paraId="59E85CC8" w14:textId="77777777" w:rsidR="00187838" w:rsidRPr="007E770D" w:rsidRDefault="00187838" w:rsidP="00E4657F">
      <w:pPr>
        <w:spacing w:after="0" w:line="276" w:lineRule="auto"/>
        <w:rPr>
          <w:rFonts w:eastAsia="Calibri" w:cstheme="minorHAnsi"/>
          <w:color w:val="auto"/>
          <w:szCs w:val="20"/>
          <w:lang w:val="sr-Cyrl-CS" w:eastAsia="ja-JP"/>
        </w:rPr>
      </w:pPr>
    </w:p>
    <w:p w14:paraId="423C3DE5" w14:textId="77777777" w:rsidR="00187838" w:rsidRPr="007E770D" w:rsidRDefault="00187838" w:rsidP="00E4657F">
      <w:pPr>
        <w:spacing w:after="120" w:line="276" w:lineRule="auto"/>
        <w:rPr>
          <w:rFonts w:cstheme="minorHAnsi"/>
          <w:b/>
          <w:bCs/>
          <w:color w:val="auto"/>
          <w:sz w:val="22"/>
          <w:szCs w:val="20"/>
          <w:lang w:val="sr-Cyrl-CS"/>
        </w:rPr>
      </w:pPr>
      <w:r w:rsidRPr="007E770D">
        <w:rPr>
          <w:rFonts w:cstheme="minorHAnsi"/>
          <w:b/>
          <w:bCs/>
          <w:color w:val="auto"/>
          <w:sz w:val="22"/>
          <w:szCs w:val="20"/>
          <w:lang w:val="sr-Cyrl-CS"/>
        </w:rPr>
        <w:t>Уплата добити у буџет Републике</w:t>
      </w:r>
    </w:p>
    <w:p w14:paraId="1C1F60D8" w14:textId="77777777" w:rsidR="00187838" w:rsidRPr="007E770D" w:rsidRDefault="00187838" w:rsidP="00E4657F">
      <w:pPr>
        <w:spacing w:after="240" w:line="276" w:lineRule="auto"/>
        <w:rPr>
          <w:rFonts w:eastAsia="MS PGothic" w:cstheme="minorHAnsi"/>
          <w:bCs/>
          <w:color w:val="auto"/>
          <w:szCs w:val="20"/>
          <w:lang w:val="sr-Cyrl-CS" w:eastAsia="ja-JP"/>
        </w:rPr>
      </w:pPr>
      <w:r w:rsidRPr="007E770D">
        <w:rPr>
          <w:rFonts w:eastAsia="Calibri" w:cstheme="minorHAnsi"/>
          <w:color w:val="auto"/>
          <w:szCs w:val="20"/>
          <w:lang w:val="sr-Cyrl-CS" w:eastAsia="ja-JP"/>
        </w:rPr>
        <w:t>Уплата добити од стране јавних предузећа и дивиденди друштава капитала у којима држава има власништво представљају значајан део непореских прихода. Од успешности пословања ових предузећа зависи и висина прихода</w:t>
      </w:r>
      <w:r w:rsidRPr="007E770D">
        <w:rPr>
          <w:rFonts w:eastAsia="MS PGothic" w:cstheme="minorHAnsi"/>
          <w:bCs/>
          <w:color w:val="auto"/>
          <w:szCs w:val="20"/>
          <w:lang w:val="sr-Cyrl-CS" w:eastAsia="ja-JP"/>
        </w:rPr>
        <w:t xml:space="preserve"> буџета по овом основу. Уплата редовне добити и дивиденди је редован буџетски непорески приход, док се уплате из нераспоређене добити третирају као приход са једнократним карактером и не представљају трајни извор прихода.</w:t>
      </w:r>
    </w:p>
    <w:p w14:paraId="7AD31276" w14:textId="77777777" w:rsidR="00187838" w:rsidRPr="007E770D" w:rsidRDefault="00187838"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Приходи буџета по основу уплате добити јавних предузећа, како редовне, тако и из нераспоређене добити претходних година, закључно са јуном 2019. године износили су 111 мил динара. Већи приход по овом основу очекујe се у другој половини године.</w:t>
      </w:r>
    </w:p>
    <w:p w14:paraId="0E782A76" w14:textId="77777777" w:rsidR="00187838" w:rsidRPr="007E770D" w:rsidRDefault="00187838"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Обавеза за јавна предузећа да уплате најмање 50% добити остварене у претходној години прописана је и Законом о буџету Републике Србије за 2019. годину.</w:t>
      </w:r>
    </w:p>
    <w:p w14:paraId="3301B26E" w14:textId="4F8F13EC" w:rsidR="00187838" w:rsidRPr="007E770D" w:rsidRDefault="00187838" w:rsidP="00E4657F">
      <w:pPr>
        <w:spacing w:after="120" w:line="276" w:lineRule="auto"/>
        <w:rPr>
          <w:rFonts w:eastAsia="MS PGothic" w:cstheme="minorHAnsi"/>
          <w:bCs/>
          <w:color w:val="auto"/>
          <w:szCs w:val="20"/>
          <w:lang w:val="sr-Cyrl-CS" w:eastAsia="ja-JP"/>
        </w:rPr>
      </w:pPr>
      <w:r w:rsidRPr="007E770D">
        <w:rPr>
          <w:rFonts w:eastAsia="Calibri" w:cstheme="minorHAnsi"/>
          <w:color w:val="auto"/>
          <w:szCs w:val="20"/>
          <w:lang w:val="sr-Cyrl-CS" w:eastAsia="ja-JP"/>
        </w:rPr>
        <w:t>Ублажавање потенцијалних ризика, који настају као последица пословања јавних предузећа, обухвата низ мера везаних за одговорност, профитабилност и транспарентност у пословању ових предузећа. Почетком 2016. године је усвојен нови Закон о јавним предузећима који ће ојачати структуру управљања и одговорност јавних предузећа. Процеси реструктурирања</w:t>
      </w:r>
      <w:r w:rsidRPr="007E770D">
        <w:rPr>
          <w:rFonts w:eastAsia="MS PGothic" w:cstheme="minorHAnsi"/>
          <w:bCs/>
          <w:color w:val="auto"/>
          <w:szCs w:val="20"/>
          <w:lang w:val="sr-Cyrl-CS" w:eastAsia="ja-JP"/>
        </w:rPr>
        <w:t xml:space="preserve"> покренути су у ЈП ЕПС, ЈП „Србијагасˮ и „Железнице Србије” а.д, при чему ће од успешности самог процеса реструктурирања и брзине спровођења усвојених мера зависити ефикасност пословања у будућности.</w:t>
      </w:r>
    </w:p>
    <w:p w14:paraId="3EFC1236" w14:textId="77777777" w:rsidR="00854F1F" w:rsidRPr="007E770D" w:rsidRDefault="00854F1F" w:rsidP="00E4657F">
      <w:pPr>
        <w:spacing w:after="120" w:line="276" w:lineRule="auto"/>
        <w:rPr>
          <w:rFonts w:eastAsia="MS PGothic" w:cstheme="minorHAnsi"/>
          <w:bCs/>
          <w:color w:val="auto"/>
          <w:szCs w:val="20"/>
          <w:lang w:val="sr-Cyrl-CS" w:eastAsia="ja-JP"/>
        </w:rPr>
      </w:pPr>
    </w:p>
    <w:p w14:paraId="6326FD53" w14:textId="77777777" w:rsidR="00187838" w:rsidRPr="007E770D" w:rsidRDefault="00187838" w:rsidP="00E4657F">
      <w:pPr>
        <w:spacing w:after="120" w:line="276" w:lineRule="auto"/>
        <w:jc w:val="left"/>
        <w:rPr>
          <w:rFonts w:cstheme="minorHAnsi"/>
          <w:b/>
          <w:bCs/>
          <w:color w:val="auto"/>
          <w:sz w:val="22"/>
          <w:szCs w:val="20"/>
          <w:lang w:val="sr-Cyrl-CS"/>
        </w:rPr>
      </w:pPr>
      <w:r w:rsidRPr="007E770D">
        <w:rPr>
          <w:rFonts w:cstheme="minorHAnsi"/>
          <w:b/>
          <w:bCs/>
          <w:color w:val="auto"/>
          <w:sz w:val="22"/>
          <w:szCs w:val="20"/>
          <w:lang w:val="sr-Cyrl-CS"/>
        </w:rPr>
        <w:t>Државне финансијске институције, банкарски систем и осигурање депозита</w:t>
      </w:r>
    </w:p>
    <w:p w14:paraId="69D15169" w14:textId="77777777" w:rsidR="00187838" w:rsidRPr="007E770D" w:rsidRDefault="00187838" w:rsidP="00E4657F">
      <w:pPr>
        <w:spacing w:after="120" w:line="276" w:lineRule="auto"/>
        <w:rPr>
          <w:rFonts w:cstheme="minorHAnsi"/>
          <w:color w:val="auto"/>
          <w:szCs w:val="20"/>
          <w:lang w:val="sr-Cyrl-CS"/>
        </w:rPr>
      </w:pPr>
      <w:r w:rsidRPr="007E770D">
        <w:rPr>
          <w:rFonts w:cstheme="minorHAnsi"/>
          <w:color w:val="auto"/>
          <w:szCs w:val="20"/>
          <w:lang w:val="sr-Cyrl-CS"/>
        </w:rPr>
        <w:t>Пре периода фискалне консолидације Република Србија имала је значајне фискалне трошкове спашавања државних банака. Укупни трошкови државних интервенција у банкарском сектору у периоду 2012–2015. године износили су око 900 милиона евра. То је износ издвојен за докапитализацију банака, различите финансијске трансакције приликом припајања неуспешних банака успешнијим, укључујући и исплату осигураних и неосигураних депозита (за шта су коришћена и средства Фонда за осигурање депозита).</w:t>
      </w:r>
    </w:p>
    <w:p w14:paraId="1E2D1771" w14:textId="77777777" w:rsidR="00187838" w:rsidRPr="007E770D" w:rsidRDefault="00187838" w:rsidP="00E4657F">
      <w:pPr>
        <w:spacing w:after="120" w:line="276" w:lineRule="auto"/>
        <w:rPr>
          <w:rFonts w:cstheme="minorHAnsi"/>
          <w:color w:val="auto"/>
          <w:szCs w:val="20"/>
          <w:lang w:val="sr-Cyrl-CS"/>
        </w:rPr>
      </w:pPr>
      <w:r w:rsidRPr="007E770D">
        <w:rPr>
          <w:rFonts w:cstheme="minorHAnsi"/>
          <w:color w:val="auto"/>
          <w:szCs w:val="20"/>
          <w:lang w:val="sr-Cyrl-CS"/>
        </w:rPr>
        <w:t>Република Србија данас у банкарском сектору земље има директан удео у капиталу:</w:t>
      </w:r>
    </w:p>
    <w:p w14:paraId="42E90BEA" w14:textId="77777777" w:rsidR="00187838" w:rsidRPr="007E770D" w:rsidRDefault="00187838" w:rsidP="00E4657F">
      <w:pPr>
        <w:numPr>
          <w:ilvl w:val="0"/>
          <w:numId w:val="9"/>
        </w:numPr>
        <w:tabs>
          <w:tab w:val="left" w:pos="180"/>
        </w:tabs>
        <w:spacing w:after="120" w:line="276" w:lineRule="auto"/>
        <w:ind w:left="0" w:firstLine="0"/>
        <w:contextualSpacing/>
        <w:jc w:val="left"/>
        <w:rPr>
          <w:rFonts w:cstheme="minorHAnsi"/>
          <w:color w:val="auto"/>
          <w:spacing w:val="-8"/>
          <w:szCs w:val="20"/>
          <w:lang w:val="sr-Cyrl-CS"/>
        </w:rPr>
      </w:pPr>
      <w:r w:rsidRPr="007E770D">
        <w:rPr>
          <w:rFonts w:cstheme="minorHAnsi"/>
          <w:color w:val="auto"/>
          <w:spacing w:val="-8"/>
          <w:szCs w:val="20"/>
          <w:lang w:val="sr-Cyrl-CS"/>
        </w:rPr>
        <w:t>Банке Поштанска штедионица а. д. Београд (74,5%),</w:t>
      </w:r>
    </w:p>
    <w:p w14:paraId="017ADCE3" w14:textId="77777777" w:rsidR="00187838" w:rsidRPr="007E770D" w:rsidRDefault="00187838" w:rsidP="00E4657F">
      <w:pPr>
        <w:numPr>
          <w:ilvl w:val="0"/>
          <w:numId w:val="9"/>
        </w:numPr>
        <w:tabs>
          <w:tab w:val="left" w:pos="180"/>
        </w:tabs>
        <w:spacing w:after="120" w:line="276" w:lineRule="auto"/>
        <w:ind w:hanging="720"/>
        <w:contextualSpacing/>
        <w:rPr>
          <w:rFonts w:cstheme="minorHAnsi"/>
          <w:color w:val="auto"/>
          <w:szCs w:val="20"/>
          <w:lang w:val="sr-Cyrl-CS"/>
        </w:rPr>
      </w:pPr>
      <w:r w:rsidRPr="007E770D">
        <w:rPr>
          <w:rFonts w:cstheme="minorHAnsi"/>
          <w:color w:val="auto"/>
          <w:szCs w:val="20"/>
          <w:lang w:val="sr-Cyrl-CS"/>
        </w:rPr>
        <w:t>Комерцијалне банке а. д. Београд (41,74%),</w:t>
      </w:r>
    </w:p>
    <w:p w14:paraId="6178B1E0" w14:textId="77777777" w:rsidR="00187838" w:rsidRPr="007E770D" w:rsidRDefault="00187838" w:rsidP="00E4657F">
      <w:pPr>
        <w:numPr>
          <w:ilvl w:val="0"/>
          <w:numId w:val="9"/>
        </w:numPr>
        <w:tabs>
          <w:tab w:val="left" w:pos="180"/>
        </w:tabs>
        <w:spacing w:after="120" w:line="276" w:lineRule="auto"/>
        <w:ind w:hanging="720"/>
        <w:contextualSpacing/>
        <w:rPr>
          <w:rFonts w:cstheme="minorHAnsi"/>
          <w:color w:val="auto"/>
          <w:szCs w:val="20"/>
          <w:lang w:val="sr-Cyrl-CS"/>
        </w:rPr>
      </w:pPr>
      <w:r w:rsidRPr="007E770D">
        <w:rPr>
          <w:rFonts w:cstheme="minorHAnsi"/>
          <w:color w:val="auto"/>
          <w:szCs w:val="20"/>
          <w:lang w:val="sr-Cyrl-CS"/>
        </w:rPr>
        <w:t>Српске банке а. д Београд (76,7%).</w:t>
      </w:r>
    </w:p>
    <w:p w14:paraId="6E4CCE2B" w14:textId="77777777" w:rsidR="00187838" w:rsidRPr="007E770D" w:rsidRDefault="00187838" w:rsidP="00E4657F">
      <w:pPr>
        <w:spacing w:before="240" w:after="120" w:line="276" w:lineRule="auto"/>
        <w:rPr>
          <w:rFonts w:cstheme="minorHAnsi"/>
          <w:color w:val="auto"/>
          <w:szCs w:val="20"/>
          <w:lang w:val="sr-Cyrl-CS"/>
        </w:rPr>
      </w:pPr>
      <w:r w:rsidRPr="007E770D">
        <w:rPr>
          <w:rFonts w:cstheme="minorHAnsi"/>
          <w:color w:val="auto"/>
          <w:szCs w:val="20"/>
          <w:lang w:val="sr-Cyrl-CS"/>
        </w:rPr>
        <w:t>У циљу доследног спровођења излазне стратегије и смањења фискалних ризика по овом основу настављају се реформске активности у области државних финансијских институција започете 2012. године, односно 2015. године.</w:t>
      </w:r>
    </w:p>
    <w:p w14:paraId="138E2D3A" w14:textId="77777777" w:rsidR="00187838" w:rsidRPr="007E770D" w:rsidRDefault="00187838" w:rsidP="00E4657F">
      <w:pPr>
        <w:spacing w:after="120" w:line="276" w:lineRule="auto"/>
        <w:rPr>
          <w:rFonts w:cstheme="minorHAnsi"/>
          <w:color w:val="auto"/>
          <w:szCs w:val="20"/>
          <w:lang w:val="sr-Cyrl-CS"/>
        </w:rPr>
      </w:pPr>
      <w:r w:rsidRPr="007E770D">
        <w:rPr>
          <w:rFonts w:cstheme="minorHAnsi"/>
          <w:color w:val="auto"/>
          <w:szCs w:val="20"/>
          <w:lang w:val="sr-Cyrl-CS"/>
        </w:rPr>
        <w:t>Банка Поштанска штедионица. Уз подршку Светске банке наставиће се са спровођењем стратегије за Банку Поштанска штедионица са нагласком на преусмеравање пословања са становништвом, предузетницима, микропредузећима и малим предузећима; побољшање интерне организације банке, корпоративног управљања и управљања ризиком; јачање ИТ инфраструктуре, као и план пословања за период 2018–2020. године.</w:t>
      </w:r>
    </w:p>
    <w:p w14:paraId="5069C93C" w14:textId="77777777" w:rsidR="00187838" w:rsidRPr="007E770D" w:rsidRDefault="00187838" w:rsidP="00E4657F">
      <w:pPr>
        <w:spacing w:after="120" w:line="276" w:lineRule="auto"/>
        <w:rPr>
          <w:rFonts w:cstheme="minorHAnsi"/>
          <w:color w:val="auto"/>
          <w:szCs w:val="20"/>
          <w:lang w:val="sr-Cyrl-CS"/>
        </w:rPr>
      </w:pPr>
      <w:r w:rsidRPr="007E770D">
        <w:rPr>
          <w:rFonts w:cstheme="minorHAnsi"/>
          <w:color w:val="auto"/>
          <w:szCs w:val="20"/>
          <w:lang w:val="sr-Cyrl-CS"/>
        </w:rPr>
        <w:t xml:space="preserve">Комерцијална банка. Процес приватизације Комерцијалне банке је у току и очекује се да ће бити окончан крајем децембра 2019. године. Јавни позив којим Република Србија оглашава продају акција ове банке у непосредном власништву Републике Србије и позива </w:t>
      </w:r>
      <w:r w:rsidRPr="007E770D">
        <w:rPr>
          <w:rFonts w:cstheme="minorHAnsi"/>
          <w:color w:val="auto"/>
          <w:szCs w:val="20"/>
          <w:lang w:val="sr-Cyrl-CS"/>
        </w:rPr>
        <w:t>квалификоване инвеститоре да поднесу Изјаву о заинтересованости за учешће на тендеру објављен је дана 31. маја 2019. године. Рок за достављање Изјаве о заинтересованости био је дана 21. јуна 2019. године и примљено је шест Изјава о заинтересованости. Рок за достављање необавезујуће понуде био је дана 6. септембра 2019. године. Јавно отварање необавезујућих понуда одржано је дана 10. септембра 2019. године и Министарство финансија је добило четири важеће необавезујуће понуде. Сва четири понуђача позвана су да учествују у другој фази тендерског поступка.</w:t>
      </w:r>
    </w:p>
    <w:p w14:paraId="0559E15C" w14:textId="77777777" w:rsidR="00187838" w:rsidRPr="007E770D" w:rsidRDefault="00187838" w:rsidP="00E4657F">
      <w:pPr>
        <w:spacing w:after="120" w:line="276" w:lineRule="auto"/>
        <w:rPr>
          <w:rFonts w:cstheme="minorHAnsi"/>
          <w:color w:val="auto"/>
          <w:szCs w:val="20"/>
          <w:lang w:val="sr-Cyrl-CS"/>
        </w:rPr>
      </w:pPr>
      <w:r w:rsidRPr="007E770D">
        <w:rPr>
          <w:rFonts w:cstheme="minorHAnsi"/>
          <w:color w:val="auto"/>
          <w:szCs w:val="20"/>
          <w:lang w:val="sr-Cyrl-CS"/>
        </w:rPr>
        <w:t>Српска банка. У складу са Владином стратегијом за државне банке, формирана је Стручна радна група за трaнсфoрмaциjу Српске банке у спeциjaлизoвaну финансијску институцију за пружање свих врста финансијских услуга и подршке нaмeнскoj индустрији Републике Србије дана 21. јануара 2019. године и почела је са формалним радом у марту 2019. године када је одржана конститутивна седница.</w:t>
      </w:r>
    </w:p>
    <w:p w14:paraId="642742BD" w14:textId="77777777" w:rsidR="00187838" w:rsidRPr="007E770D" w:rsidRDefault="00187838"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Реформа прописа који уређују српски финансијски систем</w:t>
      </w:r>
      <w:r w:rsidRPr="007E770D">
        <w:rPr>
          <w:rFonts w:eastAsia="Calibri" w:cstheme="minorHAnsi"/>
          <w:color w:val="auto"/>
          <w:szCs w:val="20"/>
          <w:vertAlign w:val="superscript"/>
          <w:lang w:val="sr-Cyrl-CS" w:eastAsia="ja-JP"/>
        </w:rPr>
        <w:footnoteReference w:id="16"/>
      </w:r>
      <w:r w:rsidRPr="007E770D">
        <w:rPr>
          <w:rFonts w:eastAsia="Calibri" w:cstheme="minorHAnsi"/>
          <w:color w:val="auto"/>
          <w:szCs w:val="20"/>
          <w:lang w:val="sr-Cyrl-CS" w:eastAsia="ja-JP"/>
        </w:rPr>
        <w:t xml:space="preserve"> спроведена је фебруара 2015. године. Једна од карактеристика те реформе јесте и пренос надлежности праћења резултата пословања и рада органа управљања у банкама, друштвима за осигурање и другим финансијским институцијама чији је акционар Република Србија, као и организовање и спровођење поступка продаје акција у њима, са Агенције за осигурање депозита на Министарство финансија, почев од 1. априла 2015. године. Реформом прописа је у домаћу регулативу транспонована и Директива о реструктурирању банака (</w:t>
      </w:r>
      <w:r w:rsidRPr="007E770D">
        <w:rPr>
          <w:rFonts w:eastAsia="Calibri" w:cstheme="minorHAnsi"/>
          <w:i/>
          <w:color w:val="auto"/>
          <w:szCs w:val="20"/>
          <w:lang w:val="sr-Cyrl-CS" w:eastAsia="ja-JP"/>
        </w:rPr>
        <w:t>Bank Recovery and Resolution Directive</w:t>
      </w:r>
      <w:r w:rsidRPr="007E770D">
        <w:rPr>
          <w:rFonts w:eastAsia="Calibri" w:cstheme="minorHAnsi"/>
          <w:color w:val="auto"/>
          <w:szCs w:val="20"/>
          <w:lang w:val="sr-Cyrl-CS" w:eastAsia="ja-JP"/>
        </w:rPr>
        <w:t xml:space="preserve"> – BRRD) и функција реструктурирања банака поверена је НБС. У децембру 2016. године усвојен је сет прописа којима се у домаћи регулаторни оквир имплементирају Базел III стандарди, чиме је постигнут значајан степен усклађености домаћих прописа са релевантним прописима ЕУ у овој </w:t>
      </w:r>
      <w:r w:rsidRPr="007E770D">
        <w:rPr>
          <w:rFonts w:eastAsia="Calibri" w:cstheme="minorHAnsi"/>
          <w:color w:val="auto"/>
          <w:szCs w:val="20"/>
          <w:lang w:val="sr-Cyrl-CS" w:eastAsia="ja-JP"/>
        </w:rPr>
        <w:lastRenderedPageBreak/>
        <w:t>области, а током 2017. године се наставило са активностима на унапређењу домаћих прописа којима се уређује пословање банака, а у циљу њиховог даљег усклађивања са прописима ЕУ. Основни циљеви усвајања ових прописа су повећање отпорности банкарског сектора повећањем квалитета капитала и увођењем заштитних слојева капитала, боље праћење и контрола изложености банке ризику ликвидности, даље јачање тржишне дисциплине и транспарентности пословања банака у Републици Србији објављивањем свих релевантних информација о пословању банке, као и прилагођавање извештајног система новим регулаторним решењима.</w:t>
      </w:r>
    </w:p>
    <w:p w14:paraId="51382EF7" w14:textId="77777777" w:rsidR="00187838" w:rsidRPr="007E770D" w:rsidRDefault="00187838"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Један од ограничавајућих фактора за раст кредитне активности представљао је релативно висок ниво проблематичних кредита. У августу 2015. године усвојена је Стратегија за решавање проблематичних кредита која се спроводи имплементацијом два трогодишња акциона плана, један припремљен од стране Владе и други припремљен од стране НБС, у циљу спуштања нивоа проблематичних кредита. Кључне области имплементације подразумевале су јачање капацитета банака за решавање проблематичних кредита, унапређење регулативе за процену вредности средстава обезбеђења, развој тржишта проблематичних кредита и др.</w:t>
      </w:r>
    </w:p>
    <w:p w14:paraId="736E9F8E" w14:textId="77777777" w:rsidR="00187838" w:rsidRPr="007E770D" w:rsidRDefault="00187838"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 xml:space="preserve">Од доношења поменуте стратегије, усвојен је и измењен већи број законских и подзаконских аката, унапређен је институционални капацитет и спроведене су бројне мере за лакши отпис и пренос ненаплативих потраживања кроз доношење Закона о проценитељима вредности непокретности (почетак примене закона – јун 2017. године) који је, између осталог, увео нову професију – лиценциране проценитеље вредности непокретности и прописао обавезну процену која се спроводи у случајевима који се односе на Закон о хипотеци и Закон о стечају, као и приликом вршења процена за потребе кредитних послова који су обезбеђени хипотеком; образовање стручног одбора (стручно тело које треба да допринесе уређењу и унапређењу професије </w:t>
      </w:r>
      <w:r w:rsidRPr="007E770D">
        <w:rPr>
          <w:rFonts w:eastAsia="Calibri" w:cstheme="minorHAnsi"/>
          <w:color w:val="auto"/>
          <w:szCs w:val="20"/>
          <w:lang w:val="sr-Cyrl-CS" w:eastAsia="ja-JP"/>
        </w:rPr>
        <w:t>проценитеља вредности непокретности) и доношење Националних стандарда, кодекса етике и правила прoфeсиoнaлнoг пoнaшaњa лицeнцирaнoг прoцeнитeљa (у јулу 2017. године) који, између осталог, дефинишу основе процене вредности непокретности, поступак вршења процене, претпоставке и чињенице од знaчaja кoje сe мoрajу узeти у oбзир приликoм изрaдe извeштaja прoцeнe, минимални садржај извeштaja o прoцeни и правила прoфeсиoнaлнoг понашања лиценцираног проценитеља; усвајање измена и допуна Закона о порезу на добит и Закона о порезу на доходак грађана што је омогућило релаксиранију пореску политику за одобравање и отпис банкарских потраживања (крај 2017. године); усвајање амандмана на Закон о стечају којима је скраћен стечајни поступак и побољшан положај осигураних поверилаца (децембра 2017. године); припрему студије о могућностима увођења банкрота приватних појединаца и предузетника у Републици Србији, усвојен је Закон о изменама Закона о парничном поступку и друго.</w:t>
      </w:r>
      <w:r w:rsidRPr="007E770D">
        <w:rPr>
          <w:color w:val="auto"/>
          <w:lang w:val="sr-Cyrl-CS"/>
        </w:rPr>
        <w:t xml:space="preserve"> </w:t>
      </w:r>
      <w:r w:rsidRPr="007E770D">
        <w:rPr>
          <w:rFonts w:eastAsia="Calibri" w:cstheme="minorHAnsi"/>
          <w:color w:val="auto"/>
          <w:szCs w:val="20"/>
          <w:lang w:val="sr-Cyrl-CS" w:eastAsia="ja-JP"/>
        </w:rPr>
        <w:t>Крајем 2018. године НБС усвојила је сет подзаконских аката реагујући проактивно на све учесталију појаву ненаменског кредитирања становништва по неоправдано дугим роковима. Ови прописи имају за циљ да допринесу спречавању настанка проблематичних кредита у банкарском сектору и подстакну опрезно преузимање ризика од стране банака њиховим усмеравањем на одрживо кредитирање и избегавање прекомерне изложености одређеним врстама кредитних производа, не нарушавајући тренд раста кредитне активности и водећи рачуна о правима и интересима корисника услуга које пружају банке, а све ради очувања и јачања финансијске стабилности у Републици Србији.</w:t>
      </w:r>
    </w:p>
    <w:p w14:paraId="75EC0504" w14:textId="77777777" w:rsidR="00187838" w:rsidRPr="007E770D" w:rsidRDefault="00187838" w:rsidP="00E4657F">
      <w:pPr>
        <w:spacing w:after="120" w:line="276" w:lineRule="auto"/>
        <w:rPr>
          <w:rFonts w:eastAsia="Calibri" w:cstheme="minorHAnsi"/>
          <w:color w:val="auto"/>
          <w:spacing w:val="-2"/>
          <w:szCs w:val="20"/>
          <w:lang w:val="sr-Cyrl-CS" w:eastAsia="ja-JP"/>
        </w:rPr>
      </w:pPr>
      <w:r w:rsidRPr="007E770D">
        <w:rPr>
          <w:rFonts w:eastAsia="Calibri" w:cstheme="minorHAnsi"/>
          <w:color w:val="auto"/>
          <w:spacing w:val="-2"/>
          <w:szCs w:val="20"/>
          <w:lang w:val="sr-Cyrl-CS" w:eastAsia="ja-JP"/>
        </w:rPr>
        <w:t xml:space="preserve">Влада је 27. децембра 2018. године донела Програм зa рeшaвaњe прoблeмaтичних крeдитa за период 2018–2020. године („Службени гласник РСˮ, бр. 105/18 и 46/19 – у даљем тексту: Програм) заједно са Акционим планом за спровођење тог програма чиме је успeшнo испуњен и рeфoрмски циљ унутaр прoгрaмa сaрaдњe сa Meђунaрoдним мoнeтaрним фoндoм и зaцртaн пут зa дaљи </w:t>
      </w:r>
      <w:r w:rsidRPr="007E770D">
        <w:rPr>
          <w:rFonts w:eastAsia="Calibri" w:cstheme="minorHAnsi"/>
          <w:color w:val="auto"/>
          <w:spacing w:val="-2"/>
          <w:szCs w:val="20"/>
          <w:lang w:val="sr-Cyrl-CS" w:eastAsia="ja-JP"/>
        </w:rPr>
        <w:lastRenderedPageBreak/>
        <w:t>успeшaн рaд нa рeшaвaњу питaњa прoблeмaтичних пoтрaживaњa.</w:t>
      </w:r>
    </w:p>
    <w:p w14:paraId="7A896329" w14:textId="77777777" w:rsidR="00187838" w:rsidRPr="007E770D" w:rsidRDefault="00187838" w:rsidP="00E4657F">
      <w:pPr>
        <w:spacing w:after="120" w:line="276" w:lineRule="auto"/>
        <w:rPr>
          <w:rFonts w:eastAsia="Calibri" w:cstheme="minorHAnsi"/>
          <w:color w:val="auto"/>
          <w:szCs w:val="20"/>
          <w:lang w:val="sr-Cyrl-CS" w:eastAsia="ja-JP"/>
        </w:rPr>
      </w:pPr>
      <w:r w:rsidRPr="007E770D">
        <w:rPr>
          <w:rFonts w:eastAsia="Calibri" w:cstheme="minorHAnsi"/>
          <w:color w:val="auto"/>
          <w:spacing w:val="-2"/>
          <w:szCs w:val="20"/>
          <w:lang w:val="sr-Cyrl-CS" w:eastAsia="ja-JP"/>
        </w:rPr>
        <w:t xml:space="preserve">Главни фокус поменутог документа јавне политике представља решавање питања </w:t>
      </w:r>
      <w:r w:rsidRPr="007E770D">
        <w:rPr>
          <w:rFonts w:eastAsia="Calibri" w:cstheme="minorHAnsi"/>
          <w:color w:val="auto"/>
          <w:szCs w:val="20"/>
          <w:lang w:val="sr-Cyrl-CS" w:eastAsia="ja-JP"/>
        </w:rPr>
        <w:t>проблематичних пласмана банака у стечају и пласмана у име и за рачун Републике Србије, којима управља Агенција за осигурање депозита. У складу са тим</w:t>
      </w:r>
      <w:r w:rsidRPr="007E770D">
        <w:rPr>
          <w:rFonts w:eastAsia="Calibri" w:cstheme="minorHAnsi"/>
          <w:color w:val="auto"/>
          <w:spacing w:val="-2"/>
          <w:szCs w:val="20"/>
          <w:lang w:val="sr-Cyrl-CS" w:eastAsia="ja-JP"/>
        </w:rPr>
        <w:t>,</w:t>
      </w:r>
      <w:r w:rsidRPr="007E770D">
        <w:rPr>
          <w:rFonts w:eastAsia="Calibri" w:cstheme="minorHAnsi"/>
          <w:color w:val="auto"/>
          <w:szCs w:val="20"/>
          <w:lang w:val="sr-Cyrl-CS" w:eastAsia="ja-JP"/>
        </w:rPr>
        <w:t xml:space="preserve"> усвојени су стратешки и годишњи оперативни планови за Агенцију за осигурање депозита, Резолуција портфеља проблематичних пласмана, и развијени су унутрашњи капацитети за њихово решавање. У јуну 2019. године, Агенција за осигурање депозита успешно је окончала продају првог, тзв „пилот портфељаˮ, номиналне вредности од око 242 милиона евра, док је дана 30. септембра 2019. године објавила оглас за уступање другог, тзв великог портфеља, номиналне вредности од 1.82 милијарде евра.</w:t>
      </w:r>
    </w:p>
    <w:p w14:paraId="03AE0DB7" w14:textId="77777777" w:rsidR="00187838" w:rsidRPr="007E770D" w:rsidRDefault="00187838" w:rsidP="00E4657F">
      <w:pPr>
        <w:spacing w:after="120" w:line="276" w:lineRule="auto"/>
        <w:rPr>
          <w:color w:val="auto"/>
          <w:szCs w:val="20"/>
          <w:lang w:val="sr-Cyrl-CS"/>
        </w:rPr>
      </w:pPr>
      <w:r w:rsidRPr="007E770D">
        <w:rPr>
          <w:rFonts w:eastAsia="Calibri" w:cstheme="minorHAnsi"/>
          <w:color w:val="auto"/>
          <w:spacing w:val="-2"/>
          <w:szCs w:val="20"/>
          <w:lang w:val="sr-Cyrl-CS" w:eastAsia="ja-JP"/>
        </w:rPr>
        <w:t xml:space="preserve">Имплементација мера за решавање проблематичних кредита, како из Стратегије за решавање НПЛ-а, тако и из горепоменутог Програма, наставља да даје резултате. </w:t>
      </w:r>
      <w:r w:rsidRPr="007E770D">
        <w:rPr>
          <w:color w:val="auto"/>
          <w:szCs w:val="20"/>
          <w:lang w:val="sr-Cyrl-CS"/>
        </w:rPr>
        <w:t xml:space="preserve">На крају августа 2019. године укупни бруто проблематични кредити (НПЛ) банкарског сектора износили су 995 мил евра, и били су за 110 мил евра нижи у односу на крај 2018. године. </w:t>
      </w:r>
    </w:p>
    <w:p w14:paraId="4750D5A9" w14:textId="77777777" w:rsidR="00187838" w:rsidRPr="007E770D" w:rsidRDefault="00187838"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 xml:space="preserve">Закључно са августом 2019. године, НПЛ показатељ на нивоу банкарског сектора по први пут је спуштен испод 5% и износио је 4,9%, што је најнижи забележени ниво овог показатеља од када га Народна банка Србије прати, односно од 2008. године. У односу на почетак године, НПЛ показатељ на нивоу банкарског сектора, нижи је за 0,8 п. п. У односу на почетак примене Стратегије за решавање НПЛ-а (август 2015. године) њихово учешће смо смањили за 17,35 п. п. а њихов ниво за 72%. То је конкретна потврда да су мере добро дефинисане и да су дале одличне ефекте. Народна банка Србије је деловала и изван оквира Стратегије, попут доношења Одлуке о рачуноводственом отпису билансне активе банке, што је употпунило регулаторне активности. И </w:t>
      </w:r>
      <w:r w:rsidRPr="007E770D">
        <w:rPr>
          <w:rFonts w:eastAsia="Calibri" w:cstheme="minorHAnsi"/>
          <w:color w:val="auto"/>
          <w:szCs w:val="20"/>
          <w:lang w:val="sr-Cyrl-CS" w:eastAsia="ja-JP"/>
        </w:rPr>
        <w:t>покривеност НПЛ кредита припадајућим исправкама вредности у складу са међународним рачуноводственим стандардима, која је на нивоу од 61,3%, недвосмислено, уз све друге показатеље здравља финансијског система, потврђује стабилност нашег банкарског сектора.</w:t>
      </w:r>
    </w:p>
    <w:p w14:paraId="0321865F" w14:textId="77777777" w:rsidR="00187838" w:rsidRPr="007E770D" w:rsidRDefault="00187838"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Стварањем стабилних услова пословања, наша економија је ушла у инвестициони циклус 2015. године, и од тада инвестиције воде добар део раста економије. Профитабилност привреде расте у условима ниске и стабилне инфлације и релативно стабилног курса. Све су то били кључни фактори за одрживо решавање питања НПЛ-а. То се јасно види и из чињенице да је у гранама које су и носиоци нашег раста, забележен и највећи пад НПЛ-а – што је евидентно у прерађивачкој индустрији и грађевинарству.</w:t>
      </w:r>
    </w:p>
    <w:p w14:paraId="382C930C" w14:textId="2F049DEF" w:rsidR="00187838" w:rsidRPr="007E770D" w:rsidRDefault="00187838"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Осигурање депозита је механизам који доприноси очувању финансијске стабилности и обезбеђује заштиту депонената. Систем осигурања депозита обезбеђује да се сваком заштићеном депоненту</w:t>
      </w:r>
      <w:r w:rsidRPr="007E770D">
        <w:rPr>
          <w:rFonts w:eastAsia="Calibri" w:cstheme="minorHAnsi"/>
          <w:color w:val="auto"/>
          <w:szCs w:val="20"/>
          <w:vertAlign w:val="superscript"/>
          <w:lang w:val="sr-Cyrl-CS" w:eastAsia="ja-JP"/>
        </w:rPr>
        <w:footnoteReference w:id="17"/>
      </w:r>
      <w:r w:rsidRPr="007E770D">
        <w:rPr>
          <w:rFonts w:eastAsia="Calibri" w:cstheme="minorHAnsi"/>
          <w:color w:val="auto"/>
          <w:szCs w:val="20"/>
          <w:lang w:val="sr-Cyrl-CS" w:eastAsia="ja-JP"/>
        </w:rPr>
        <w:t xml:space="preserve"> исплати целокупан износ улога у свакој банци до осигураног износа од 50.000 евра у случају стечаја или ликвидације банке. Осигурање депозита регулисано је Законом о осигурању депозита.</w:t>
      </w:r>
    </w:p>
    <w:p w14:paraId="21121778" w14:textId="77777777" w:rsidR="00187838" w:rsidRPr="007E770D" w:rsidRDefault="00187838"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У октобру 2019. године, усвојен је Закон о изменама и допунама Закона о осигурању депозита из 2019. године, којим се настојало да се систем осигурања депозита додатно усклади са најбољом међународном праксом и стандардима, као и правним тековинама Европске уније и то у погледу: метода обрачуна премије (увођење могућности обрачуна премије на основу нивоа ризика у пословању банака), основице за обрачун премије, висине ванредне премије, заштите депонената спојених или припојених банака, циљног износа фонда за осигурање депозита и др, све са циљем доприноса финансијској стабилности кроз подстицај смањењу ризика у пословању банака, јачање поверења јавности у финансијски систем и повећање ефикасности система осигурања депозита .</w:t>
      </w:r>
    </w:p>
    <w:p w14:paraId="4E1B147C" w14:textId="77777777" w:rsidR="00187838" w:rsidRPr="007E770D" w:rsidRDefault="00187838"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lastRenderedPageBreak/>
        <w:t>У систему осигурања депозита Република Србија је ултимативни гарант исплате осигураних депозита. У сврху обезбеђивања средстава за осигурање депозита Агенција наплаћује премију осигурања депозита од банака за рачун Фонда за осигурање депозита, управља имовином фонда и исплаћује депозите до осигураног износа у случају стечаја или ликвидације банке. Додатно, средства фонда се могу користити и за финансирање поступка реструктурирања банака у обиму и под условима утврђеним законом којим се уређују банке. У случају недостајућих средстава у фонду за осигурање депозита, Република Србија обезбеђује исплату било средствима из буџета, било давањем гаранције за задуживање Агенције за осигурање депозита.</w:t>
      </w:r>
    </w:p>
    <w:p w14:paraId="7FEDB43B" w14:textId="77777777" w:rsidR="00187838" w:rsidRPr="007E770D" w:rsidRDefault="00187838"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Гаранција исплате осигураних депозита од стране државе, било директно средствима из буџета, или индиректно издавањем гаранција за задуживање Агенције за осигурање депозита, извор је фискалних ризика и могућих фискалних трошкова. Међутим, захваљујући постигнутој стабилности банкарског сектора, од 2015. године није било потребе за коришћењем средстава фонда за осигурање депозита, нити државе по основу исплата осигураних износа депозита.</w:t>
      </w:r>
    </w:p>
    <w:p w14:paraId="5D283DCF" w14:textId="77777777" w:rsidR="00187838" w:rsidRPr="007E770D" w:rsidRDefault="00187838"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Умањење фискалних ризика по овом основу зависи од стабилности и одрживости банкарског система. Надзор над банкарским системом, обазривост у пласирању средстава и унапређење квалитета имовине банака су основни стубови стабилног банкарског система.</w:t>
      </w:r>
    </w:p>
    <w:p w14:paraId="6BD80A22" w14:textId="77777777" w:rsidR="00187838" w:rsidRPr="007E770D" w:rsidRDefault="00187838"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Остварени резултати банкарског сектора Републике Србије на крају 2017. и током 2018. године приказују стабилну профитабилност банака. Банкарски сектор Републике Србије је у 2018. години пословао профитабилно, са нето добитком пре опорезивања у износу од 640,6 мил. евра док закључно са августом 2019. године остварен нето добитак пре опорезивања у висини од 409,5 мил. евра.</w:t>
      </w:r>
    </w:p>
    <w:p w14:paraId="5A09B5AF" w14:textId="2B5B0F67" w:rsidR="00187838" w:rsidRPr="007E770D" w:rsidRDefault="00187838"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 xml:space="preserve">Висока капитализованост банкарског сектора, како са становишта оствареног нивоа показатеља адекватности капитала, тако и са становишта </w:t>
      </w:r>
      <w:r w:rsidRPr="007E770D">
        <w:rPr>
          <w:rFonts w:eastAsia="Calibri" w:cstheme="minorHAnsi"/>
          <w:color w:val="auto"/>
          <w:szCs w:val="20"/>
          <w:lang w:val="sr-Cyrl-CS" w:eastAsia="ja-JP"/>
        </w:rPr>
        <w:t xml:space="preserve">структуре регулаторног капитала, додатно је увећана, гарантујући отпорност банкарског сектора. На крају јуна 2019. године, просечна вредност показатеља адекватности капитала на нивоу банкарског сектора Републике Србије износи 23,2% (22,3% у </w:t>
      </w:r>
      <w:r w:rsidR="003E166B" w:rsidRPr="007E770D">
        <w:rPr>
          <w:rFonts w:eastAsia="Calibri" w:cstheme="minorHAnsi"/>
          <w:color w:val="auto"/>
          <w:szCs w:val="20"/>
          <w:lang w:val="sr-Cyrl-CS" w:eastAsia="ja-JP"/>
        </w:rPr>
        <w:t xml:space="preserve">децембру </w:t>
      </w:r>
      <w:r w:rsidRPr="007E770D">
        <w:rPr>
          <w:rFonts w:eastAsia="Calibri" w:cstheme="minorHAnsi"/>
          <w:color w:val="auto"/>
          <w:szCs w:val="20"/>
          <w:lang w:val="sr-Cyrl-CS" w:eastAsia="ja-JP"/>
        </w:rPr>
        <w:t>2018. годин</w:t>
      </w:r>
      <w:r w:rsidR="003E166B" w:rsidRPr="007E770D">
        <w:rPr>
          <w:rFonts w:eastAsia="Calibri" w:cstheme="minorHAnsi"/>
          <w:color w:val="auto"/>
          <w:szCs w:val="20"/>
          <w:lang w:val="sr-Cyrl-CS" w:eastAsia="ja-JP"/>
        </w:rPr>
        <w:t>е</w:t>
      </w:r>
      <w:r w:rsidRPr="007E770D">
        <w:rPr>
          <w:rFonts w:eastAsia="Calibri" w:cstheme="minorHAnsi"/>
          <w:color w:val="auto"/>
          <w:szCs w:val="20"/>
          <w:lang w:val="sr-Cyrl-CS" w:eastAsia="ja-JP"/>
        </w:rPr>
        <w:t>), што је значајно изнад прописаног регулаторног минимума од 8% и више него довољно за покриће свих ризика којима је сектор изложен, што потврђују и макропруденцијални стрес тестови које НБС редовно спроводи.</w:t>
      </w:r>
    </w:p>
    <w:p w14:paraId="418BD3D0" w14:textId="77777777" w:rsidR="00187838" w:rsidRPr="007E770D" w:rsidRDefault="00187838" w:rsidP="00E4657F">
      <w:pPr>
        <w:spacing w:after="120" w:line="276" w:lineRule="auto"/>
        <w:jc w:val="left"/>
        <w:rPr>
          <w:rFonts w:eastAsia="Calibri" w:cstheme="minorHAnsi"/>
          <w:b/>
          <w:bCs/>
          <w:color w:val="auto"/>
          <w:sz w:val="22"/>
          <w:szCs w:val="20"/>
          <w:lang w:val="sr-Cyrl-CS"/>
        </w:rPr>
      </w:pPr>
      <w:r w:rsidRPr="007E770D">
        <w:rPr>
          <w:rFonts w:eastAsia="Calibri" w:cstheme="minorHAnsi"/>
          <w:b/>
          <w:bCs/>
          <w:color w:val="auto"/>
          <w:sz w:val="22"/>
          <w:szCs w:val="20"/>
          <w:lang w:val="sr-Cyrl-CS"/>
        </w:rPr>
        <w:t>Остали фискални ризици</w:t>
      </w:r>
    </w:p>
    <w:p w14:paraId="2C49B937" w14:textId="77777777" w:rsidR="00187838" w:rsidRPr="007E770D" w:rsidRDefault="00187838"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Поред наведених фискалних ризика постоје и друге околности које уколико се реализују могу довести до фискалних трошкова. За поједине ризике не постоје систематизовани подаци, али имајући у виду да су се поједини остварили у ближој прошлости може се сагледати величина њиховог утицаја на јавне финансије. Само њихово идентификовање помаже сагледавању могућих утицаја на фискалну позицију земље у наредном периоду.</w:t>
      </w:r>
    </w:p>
    <w:p w14:paraId="235346FA" w14:textId="77777777" w:rsidR="00187838" w:rsidRPr="007E770D" w:rsidRDefault="00187838"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Пословање јединица локалне самоуправе може имати фискалне импликације на буџет опште државе. Посебним фискалним правилима за локалне самоуправе постављено је тзв. „златно правилоˮ тј. дефицит је могућ само за реализацију капиталних инвестиција. Постоје и правила о висини задужености јединица локалне самоуправе, која би доследном применом одржала стабилност јавних финансија на локалном нивоу. У пракси се дешавало да нереалним планирањем како прихода, тако и расхода дође до нагомилавања доспелих а неизмирених обавеза које угрожавају функционисање појединих градова и општина.</w:t>
      </w:r>
    </w:p>
    <w:p w14:paraId="4CD6B00C" w14:textId="77777777" w:rsidR="00187838" w:rsidRPr="007E770D" w:rsidRDefault="00187838"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t>Како би се избегла реализација фискалних ризика по овом основу Министарство финансија ће у наредном периоду значајно унапредити систем контроле јавних финансија локалних самоуправа у циљу поштовања постављених правила од планирања до реализације буџета на локалном нивоу.</w:t>
      </w:r>
    </w:p>
    <w:p w14:paraId="632CA448" w14:textId="77777777" w:rsidR="00187838" w:rsidRPr="007E770D" w:rsidRDefault="00187838" w:rsidP="00E4657F">
      <w:pPr>
        <w:spacing w:after="120" w:line="276" w:lineRule="auto"/>
        <w:rPr>
          <w:rFonts w:eastAsia="Calibri" w:cstheme="minorHAnsi"/>
          <w:color w:val="auto"/>
          <w:szCs w:val="20"/>
          <w:lang w:val="sr-Cyrl-CS" w:eastAsia="ja-JP"/>
        </w:rPr>
      </w:pPr>
      <w:r w:rsidRPr="007E770D">
        <w:rPr>
          <w:rFonts w:eastAsia="Calibri" w:cstheme="minorHAnsi"/>
          <w:color w:val="auto"/>
          <w:szCs w:val="20"/>
          <w:lang w:val="sr-Cyrl-CS" w:eastAsia="ja-JP"/>
        </w:rPr>
        <w:lastRenderedPageBreak/>
        <w:t>Постоје значајни фискални ризици по основу судских одлука, домаћих и међународних судова, казни, накнади штете од стране државних органа. Република Србија је по основу судских одлука у периоду 2009–2018. године из буџета платила 80,5 млрд динара</w:t>
      </w:r>
      <w:r w:rsidRPr="007E770D">
        <w:rPr>
          <w:rFonts w:eastAsia="Calibri" w:cstheme="minorHAnsi"/>
          <w:color w:val="auto"/>
          <w:szCs w:val="20"/>
          <w:vertAlign w:val="superscript"/>
          <w:lang w:val="sr-Cyrl-CS" w:eastAsia="ja-JP"/>
        </w:rPr>
        <w:footnoteReference w:id="18"/>
      </w:r>
      <w:r w:rsidRPr="007E770D">
        <w:rPr>
          <w:rFonts w:eastAsia="Calibri" w:cstheme="minorHAnsi"/>
          <w:color w:val="auto"/>
          <w:szCs w:val="20"/>
          <w:lang w:val="sr-Cyrl-CS" w:eastAsia="ja-JP"/>
        </w:rPr>
        <w:t>, док је у првој половини 2019. године по истом основу плаћено 10,9 млрд динара. Дуг војним пензионерима који је преузет у 2015. години у износу од 10 млрд динара, иако по судској одлуци није евидентиран на овим рачунима, рачуноводствено је третиран као отплата дуга, док је у извештајима о фискалним агрегатима опште државе распоређен као расход за социјалну заштиту (пензије). Независно од начина евидентирања овај расход представља реализован фискални ризик по основу судских одлука. Одлука Европског суда за људска права обавезала је Републику Србију да исплати јавни дуг по основу неисплаћене девизне штедње коју су држављане бивших република СФРЈ и држављани Републике Србије положили код банака са седиштем на територији Републике Србије и њиховим филијалама на територијама бивших република СФРЈ. У реализоване фискалне ризике чији извор представљају судске одлуке спада и одлука међународног арбитражног суда, по којој је Република Србија била дужна да плати 40 мил. долара као одштету грчкој компанији „Митилинеос</w:t>
      </w:r>
      <w:r w:rsidRPr="007E770D">
        <w:rPr>
          <w:rFonts w:cstheme="minorHAnsi"/>
          <w:bCs/>
          <w:color w:val="auto"/>
          <w:szCs w:val="72"/>
          <w:lang w:val="sr-Cyrl-CS"/>
        </w:rPr>
        <w:t>ˮ</w:t>
      </w:r>
      <w:r w:rsidRPr="007E770D">
        <w:rPr>
          <w:rFonts w:eastAsia="Calibri" w:cstheme="minorHAnsi"/>
          <w:color w:val="auto"/>
          <w:szCs w:val="20"/>
          <w:lang w:val="sr-Cyrl-CS" w:eastAsia="ja-JP"/>
        </w:rPr>
        <w:t>. Ова обавеза у потпуности је исплаћена у 2018. години. Република Србија изгубила је и спор са белгијским инвеститорима који су у Инђији изградили фабрику за еколошку прераду животињског отпада „Енерго Зеленаˮ. Исплата накнаде штете по овом основу почела је у 2019. години.</w:t>
      </w:r>
      <w:r w:rsidRPr="007E770D">
        <w:rPr>
          <w:color w:val="auto"/>
          <w:lang w:val="sr-Cyrl-CS"/>
        </w:rPr>
        <w:t xml:space="preserve"> </w:t>
      </w:r>
      <w:r w:rsidRPr="007E770D">
        <w:rPr>
          <w:rFonts w:eastAsia="Calibri" w:cstheme="minorHAnsi"/>
          <w:color w:val="auto"/>
          <w:szCs w:val="20"/>
          <w:lang w:val="sr-Cyrl-CS" w:eastAsia="ja-JP"/>
        </w:rPr>
        <w:t xml:space="preserve">Потенцијалне обавезе могу проистећи и из одлука Уставног суда по основу поднетих уставних жалби и одлука Европског суда за људска права по поднетим представкама радника некадашњих друштвених предузећа </w:t>
      </w:r>
      <w:r w:rsidRPr="007E770D">
        <w:rPr>
          <w:rFonts w:eastAsia="Calibri" w:cstheme="minorHAnsi"/>
          <w:color w:val="auto"/>
          <w:szCs w:val="20"/>
          <w:lang w:val="sr-Cyrl-CS" w:eastAsia="ja-JP"/>
        </w:rPr>
        <w:t>(неисплаћене зараде, доприноси за обавезно социјално осигурање, затезне камате, трошкови поступка, потраживања по основу комерцијалних трансакција).</w:t>
      </w:r>
    </w:p>
    <w:p w14:paraId="42A75BE3" w14:textId="77777777" w:rsidR="00187838" w:rsidRPr="007E770D" w:rsidRDefault="00187838" w:rsidP="00E4657F">
      <w:pPr>
        <w:spacing w:after="360" w:line="276" w:lineRule="auto"/>
        <w:rPr>
          <w:rFonts w:eastAsia="MS PGothic" w:cstheme="minorHAnsi"/>
          <w:color w:val="auto"/>
          <w:szCs w:val="20"/>
          <w:lang w:val="sr-Cyrl-CS" w:eastAsia="ja-JP"/>
        </w:rPr>
      </w:pPr>
      <w:r w:rsidRPr="007E770D">
        <w:rPr>
          <w:rFonts w:eastAsia="Calibri" w:cstheme="minorHAnsi"/>
          <w:color w:val="auto"/>
          <w:szCs w:val="20"/>
          <w:lang w:val="sr-Cyrl-CS" w:eastAsia="ja-JP"/>
        </w:rPr>
        <w:t>Стално присутан ризик од елементарних непогода и природних катастрофа обавезује улагање у програме превенције како би се умањили потенцијални фискални трошкови за отклањање штете настале по том основу. Република Србија се у 2014. години суочила са катастрофалним последицама поплава. Укупна штета (са губицима) процењена је на више од 1,7</w:t>
      </w:r>
      <w:r w:rsidRPr="007E770D">
        <w:rPr>
          <w:rFonts w:eastAsia="MS PGothic" w:cstheme="minorHAnsi"/>
          <w:color w:val="auto"/>
          <w:szCs w:val="20"/>
          <w:lang w:val="sr-Cyrl-CS" w:eastAsia="ja-JP"/>
        </w:rPr>
        <w:t xml:space="preserve"> млрд евра</w:t>
      </w:r>
      <w:r w:rsidRPr="007E770D">
        <w:rPr>
          <w:rFonts w:eastAsia="MS PGothic" w:cstheme="minorHAnsi"/>
          <w:color w:val="auto"/>
          <w:szCs w:val="20"/>
          <w:vertAlign w:val="superscript"/>
          <w:lang w:val="sr-Cyrl-CS" w:eastAsia="ja-JP"/>
        </w:rPr>
        <w:footnoteReference w:id="19"/>
      </w:r>
      <w:r w:rsidRPr="007E770D">
        <w:rPr>
          <w:rFonts w:eastAsia="MS PGothic" w:cstheme="minorHAnsi"/>
          <w:color w:val="auto"/>
          <w:szCs w:val="20"/>
          <w:lang w:val="sr-Cyrl-CS" w:eastAsia="ja-JP"/>
        </w:rPr>
        <w:t>. У складу са Законом о отклањању последица поплава у Републици Србији и Законом о обнови након елементарне и друге непогоде, средства за обнову обезбеђивала су се из буџетских извора, на свим нивоима власти, донација, прилога и поклона, задуживањем, финансијском помоћи ЕУ и др. За обнову су обезбеђена бесповратна средства у износу од 220,7 мил. евра и око 300 мил. америчких долара средстава из кредита Светске банке. Имајући у виду стално присутне ризике од елементарних непогода, смањење фискалних ризика који могу настати по овом основу подразумева улагање у превентивне програме. Влада је у децембру 2014. године усвојила Национални програм за управљање ризицима од елементарних непогода, који ће бити реализован у сарадњи са Светском банком, Уједињеним нацијама и ЕУ. У оквиру Националног програма новембра 2018. године, донет је још један кровни закон који се бави проблематиком елементарних непогода и катастрофа, а то је Закон о смањењу ризика од катастрофа и управљању ванредним ситуацијама. Република Србија је у првој половини године платила из буџета 1,2 млрд динара за накнаде штете за повреде или штете настале услед елементарних непогода.</w:t>
      </w:r>
    </w:p>
    <w:p w14:paraId="297CE55D" w14:textId="77777777" w:rsidR="00187838" w:rsidRPr="007E770D" w:rsidRDefault="00187838" w:rsidP="00E4657F">
      <w:pPr>
        <w:spacing w:after="360" w:line="276" w:lineRule="auto"/>
        <w:rPr>
          <w:rFonts w:eastAsia="MS PGothic" w:cstheme="minorHAnsi"/>
          <w:color w:val="auto"/>
          <w:szCs w:val="20"/>
          <w:lang w:val="sr-Cyrl-CS" w:eastAsia="ja-JP"/>
        </w:rPr>
        <w:sectPr w:rsidR="00187838" w:rsidRPr="007E770D" w:rsidSect="00E4657F">
          <w:headerReference w:type="even" r:id="rId141"/>
          <w:headerReference w:type="default" r:id="rId142"/>
          <w:footerReference w:type="even" r:id="rId143"/>
          <w:footerReference w:type="default" r:id="rId144"/>
          <w:headerReference w:type="first" r:id="rId145"/>
          <w:type w:val="continuous"/>
          <w:pgSz w:w="12240" w:h="15840"/>
          <w:pgMar w:top="1440" w:right="1440" w:bottom="1440" w:left="1440" w:header="720" w:footer="720" w:gutter="0"/>
          <w:cols w:num="2" w:space="720"/>
          <w:docGrid w:linePitch="360"/>
          <w15:footnoteColumns w:val="1"/>
        </w:sectPr>
      </w:pPr>
    </w:p>
    <w:p w14:paraId="3777E8B8" w14:textId="77777777" w:rsidR="00187838" w:rsidRPr="007E770D" w:rsidRDefault="00187838">
      <w:pPr>
        <w:jc w:val="left"/>
        <w:rPr>
          <w:color w:val="auto"/>
          <w:lang w:val="sr-Cyrl-CS"/>
        </w:rPr>
      </w:pPr>
      <w:r w:rsidRPr="007E770D">
        <w:rPr>
          <w:color w:val="auto"/>
          <w:lang w:val="sr-Cyrl-CS"/>
        </w:rPr>
        <w:br w:type="page"/>
      </w:r>
    </w:p>
    <w:p w14:paraId="1F259B9B" w14:textId="77777777" w:rsidR="004044DC" w:rsidRPr="007E770D" w:rsidRDefault="004044DC" w:rsidP="00E4657F">
      <w:pPr>
        <w:pStyle w:val="Heading2"/>
        <w:spacing w:before="240" w:after="240"/>
        <w:jc w:val="center"/>
        <w:rPr>
          <w:rFonts w:asciiTheme="minorHAnsi" w:eastAsia="MS PGothic" w:hAnsiTheme="minorHAnsi" w:cstheme="minorHAnsi"/>
          <w:b/>
          <w:color w:val="auto"/>
          <w:sz w:val="24"/>
          <w:lang w:val="sr-Cyrl-CS" w:eastAsia="ja-JP"/>
        </w:rPr>
        <w:sectPr w:rsidR="004044DC" w:rsidRPr="007E770D" w:rsidSect="001E3C08">
          <w:headerReference w:type="even" r:id="rId146"/>
          <w:headerReference w:type="default" r:id="rId147"/>
          <w:footerReference w:type="even" r:id="rId148"/>
          <w:footerReference w:type="default" r:id="rId149"/>
          <w:headerReference w:type="first" r:id="rId150"/>
          <w:type w:val="continuous"/>
          <w:pgSz w:w="12240" w:h="15840"/>
          <w:pgMar w:top="1417" w:right="1417" w:bottom="1417" w:left="1417" w:header="720" w:footer="720" w:gutter="0"/>
          <w:cols w:space="720"/>
        </w:sectPr>
      </w:pPr>
      <w:bookmarkStart w:id="21" w:name="_Toc499650053"/>
      <w:bookmarkStart w:id="22" w:name="_Toc530635109"/>
      <w:bookmarkStart w:id="23" w:name="_Toc23342470"/>
      <w:r w:rsidRPr="007E770D">
        <w:rPr>
          <w:rFonts w:asciiTheme="minorHAnsi" w:eastAsia="Times New Roman" w:hAnsiTheme="minorHAnsi" w:cstheme="minorHAnsi"/>
          <w:b/>
          <w:color w:val="auto"/>
          <w:sz w:val="24"/>
          <w:lang w:val="sr-Cyrl-CS"/>
        </w:rPr>
        <w:lastRenderedPageBreak/>
        <w:t xml:space="preserve">6. </w:t>
      </w:r>
      <w:r w:rsidRPr="007E770D">
        <w:rPr>
          <w:rFonts w:asciiTheme="minorHAnsi" w:eastAsia="MS PGothic" w:hAnsiTheme="minorHAnsi" w:cstheme="minorHAnsi"/>
          <w:b/>
          <w:color w:val="auto"/>
          <w:sz w:val="24"/>
          <w:lang w:val="sr-Cyrl-CS" w:eastAsia="ja-JP"/>
        </w:rPr>
        <w:t>Циклично прилагођени фискални биланс</w:t>
      </w:r>
      <w:bookmarkEnd w:id="21"/>
      <w:bookmarkEnd w:id="22"/>
      <w:bookmarkEnd w:id="23"/>
    </w:p>
    <w:p w14:paraId="00CF39A4" w14:textId="77777777" w:rsidR="004044DC" w:rsidRPr="007E770D" w:rsidRDefault="004044DC" w:rsidP="00C130D2">
      <w:pPr>
        <w:spacing w:after="120" w:line="276" w:lineRule="auto"/>
        <w:rPr>
          <w:rFonts w:ascii="Calibri" w:eastAsia="MS PGothic" w:hAnsi="Calibri" w:cs="Calibri"/>
          <w:color w:val="auto"/>
          <w:szCs w:val="20"/>
          <w:lang w:val="sr-Cyrl-CS" w:eastAsia="ja-JP"/>
        </w:rPr>
      </w:pPr>
      <w:r w:rsidRPr="007E770D">
        <w:rPr>
          <w:rFonts w:eastAsia="MS PGothic" w:cstheme="minorHAnsi"/>
          <w:color w:val="auto"/>
          <w:szCs w:val="20"/>
          <w:lang w:val="sr-Cyrl-CS" w:eastAsia="ja-JP"/>
        </w:rPr>
        <w:t>Циклично прилагођени фискални биланс је фискални биланс из кога је искључен изоловани утицај привредног циклуса, а</w:t>
      </w:r>
      <w:r w:rsidRPr="007E770D">
        <w:rPr>
          <w:rFonts w:ascii="Calibri" w:eastAsia="MS PGothic" w:hAnsi="Calibri" w:cs="Calibri"/>
          <w:color w:val="auto"/>
          <w:szCs w:val="20"/>
          <w:lang w:val="sr-Cyrl-CS" w:eastAsia="ja-JP"/>
        </w:rPr>
        <w:t xml:space="preserve"> идентитет од кога се полази је следећи</w:t>
      </w:r>
      <w:r w:rsidRPr="007E770D">
        <w:rPr>
          <w:rFonts w:ascii="Calibri" w:eastAsia="MS PGothic" w:hAnsi="Calibri" w:cs="Calibri"/>
          <w:color w:val="auto"/>
          <w:szCs w:val="20"/>
          <w:vertAlign w:val="superscript"/>
          <w:lang w:val="sr-Cyrl-CS" w:eastAsia="ja-JP"/>
        </w:rPr>
        <w:footnoteReference w:id="20"/>
      </w:r>
      <w:r w:rsidRPr="007E770D">
        <w:rPr>
          <w:rFonts w:ascii="Calibri" w:eastAsia="MS PGothic" w:hAnsi="Calibri" w:cs="Calibri"/>
          <w:color w:val="auto"/>
          <w:szCs w:val="20"/>
          <w:lang w:val="sr-Cyrl-CS" w:eastAsia="ja-JP"/>
        </w:rPr>
        <w:t>:</w:t>
      </w:r>
    </w:p>
    <w:p w14:paraId="28E30220" w14:textId="77777777" w:rsidR="004044DC" w:rsidRPr="007E770D" w:rsidRDefault="004044DC" w:rsidP="00C130D2">
      <w:pPr>
        <w:spacing w:after="120" w:line="276" w:lineRule="auto"/>
        <w:jc w:val="center"/>
        <w:rPr>
          <w:rFonts w:ascii="Calibri" w:eastAsia="MS PGothic" w:hAnsi="Calibri" w:cs="Calibri"/>
          <w:color w:val="auto"/>
          <w:szCs w:val="20"/>
          <w:lang w:val="sr-Cyrl-CS" w:eastAsia="ja-JP"/>
        </w:rPr>
      </w:pPr>
      <w:r w:rsidRPr="007E770D">
        <w:rPr>
          <w:rFonts w:ascii="Calibri" w:eastAsia="MS PGothic" w:hAnsi="Calibri" w:cs="Calibri"/>
          <w:color w:val="auto"/>
          <w:szCs w:val="20"/>
          <w:lang w:val="sr-Cyrl-CS" w:eastAsia="ja-JP"/>
        </w:rPr>
        <w:t>FB = CB + CAB</w:t>
      </w:r>
    </w:p>
    <w:p w14:paraId="27D54C49" w14:textId="77777777" w:rsidR="004044DC" w:rsidRPr="007E770D" w:rsidRDefault="004044DC" w:rsidP="00C130D2">
      <w:pPr>
        <w:spacing w:after="120" w:line="276" w:lineRule="auto"/>
        <w:rPr>
          <w:rFonts w:eastAsia="MS PGothic" w:cstheme="minorHAnsi"/>
          <w:color w:val="auto"/>
          <w:szCs w:val="20"/>
          <w:lang w:val="sr-Cyrl-CS" w:eastAsia="ja-JP"/>
        </w:rPr>
      </w:pPr>
      <w:r w:rsidRPr="007E770D">
        <w:rPr>
          <w:rFonts w:ascii="Calibri" w:eastAsia="MS PGothic" w:hAnsi="Calibri" w:cs="Calibri"/>
          <w:color w:val="auto"/>
          <w:szCs w:val="20"/>
          <w:lang w:val="sr-Cyrl-CS" w:eastAsia="ja-JP"/>
        </w:rPr>
        <w:t>Део фискалног биланса (FB)</w:t>
      </w:r>
      <w:r w:rsidRPr="007E770D">
        <w:rPr>
          <w:rFonts w:ascii="Calibri" w:eastAsia="MS PGothic" w:hAnsi="Calibri" w:cs="Calibri"/>
          <w:i/>
          <w:color w:val="auto"/>
          <w:szCs w:val="20"/>
          <w:lang w:val="sr-Cyrl-CS" w:eastAsia="ja-JP"/>
        </w:rPr>
        <w:t xml:space="preserve"> </w:t>
      </w:r>
      <w:r w:rsidRPr="007E770D">
        <w:rPr>
          <w:rFonts w:ascii="Calibri" w:eastAsia="MS PGothic" w:hAnsi="Calibri" w:cs="Calibri"/>
          <w:color w:val="auto"/>
          <w:szCs w:val="20"/>
          <w:lang w:val="sr-Cyrl-CS" w:eastAsia="ja-JP"/>
        </w:rPr>
        <w:t>који није под утицајем цикличних флуктуација назива се циклично прилагођени фискални биланс (CAB</w:t>
      </w:r>
      <w:r w:rsidRPr="007E770D">
        <w:rPr>
          <w:rFonts w:ascii="Calibri" w:eastAsia="MS PGothic" w:hAnsi="Calibri" w:cs="Calibri"/>
          <w:i/>
          <w:color w:val="auto"/>
          <w:szCs w:val="20"/>
          <w:lang w:val="sr-Cyrl-CS" w:eastAsia="ja-JP"/>
        </w:rPr>
        <w:t xml:space="preserve">), </w:t>
      </w:r>
      <w:r w:rsidRPr="007E770D">
        <w:rPr>
          <w:rFonts w:ascii="Calibri" w:eastAsia="MS PGothic" w:hAnsi="Calibri" w:cs="Calibri"/>
          <w:color w:val="auto"/>
          <w:szCs w:val="20"/>
          <w:lang w:val="sr-Cyrl-CS" w:eastAsia="ja-JP"/>
        </w:rPr>
        <w:t xml:space="preserve">а циљ ове процедуре је изоловање цикличне компоненте </w:t>
      </w:r>
      <w:r w:rsidRPr="007E770D">
        <w:rPr>
          <w:rFonts w:eastAsia="MS PGothic" w:cstheme="minorHAnsi"/>
          <w:color w:val="auto"/>
          <w:szCs w:val="20"/>
          <w:lang w:val="sr-Cyrl-CS" w:eastAsia="ja-JP"/>
        </w:rPr>
        <w:t>фискалног биланса (CB) која је резултат дејства производног јаза. Стварни фискални биланс биће једнак циклично прилагођеном у случају да је производни јаз једнак нули, тј. ако је стопа раста реалног БДП једнака потенцијалној.</w:t>
      </w:r>
    </w:p>
    <w:p w14:paraId="3CDC5683" w14:textId="77777777" w:rsidR="004044DC" w:rsidRPr="007E770D" w:rsidRDefault="004044DC" w:rsidP="00C130D2">
      <w:pPr>
        <w:spacing w:after="240" w:line="276" w:lineRule="auto"/>
        <w:rPr>
          <w:rFonts w:ascii="Calibri" w:eastAsia="MS PGothic" w:hAnsi="Calibri" w:cs="Calibri"/>
          <w:color w:val="auto"/>
          <w:szCs w:val="20"/>
          <w:lang w:val="sr-Cyrl-CS" w:eastAsia="ja-JP"/>
        </w:rPr>
        <w:sectPr w:rsidR="004044DC" w:rsidRPr="007E770D">
          <w:type w:val="continuous"/>
          <w:pgSz w:w="12240" w:h="15840"/>
          <w:pgMar w:top="1417" w:right="1417" w:bottom="1417" w:left="1417" w:header="720" w:footer="720" w:gutter="0"/>
          <w:cols w:num="2" w:space="720"/>
          <w15:footnoteColumns w:val="1"/>
        </w:sectPr>
      </w:pPr>
      <w:r w:rsidRPr="007E770D">
        <w:rPr>
          <w:rFonts w:eastAsia="MS PGothic" w:cstheme="minorHAnsi"/>
          <w:color w:val="auto"/>
          <w:szCs w:val="20"/>
          <w:lang w:val="sr-Cyrl-CS" w:eastAsia="ja-JP"/>
        </w:rPr>
        <w:t xml:space="preserve">Циклично прилагођени примарни дефицит се убрзано смањује упоредо са кретањем општег фискалног резултата, а у 2017. години улази у зону суфицита. Структурни примарни биланс очишћен од једнократних фактора у 2017. године такође бележи позитивну </w:t>
      </w:r>
      <w:r w:rsidRPr="007E770D">
        <w:rPr>
          <w:rFonts w:ascii="Calibri" w:eastAsia="MS PGothic" w:hAnsi="Calibri" w:cs="Calibri"/>
          <w:color w:val="auto"/>
          <w:szCs w:val="20"/>
          <w:lang w:val="sr-Cyrl-CS" w:eastAsia="ja-JP"/>
        </w:rPr>
        <w:t xml:space="preserve">вредност. Структурне промене </w:t>
      </w:r>
      <w:r w:rsidRPr="007E770D">
        <w:rPr>
          <w:rFonts w:ascii="Calibri" w:eastAsia="MS PGothic" w:hAnsi="Calibri" w:cs="Calibri"/>
          <w:color w:val="auto"/>
          <w:szCs w:val="20"/>
          <w:lang w:val="sr-Cyrl-CS" w:eastAsia="ja-JP"/>
        </w:rPr>
        <w:t>у пореском систему током 2012. и 2013. године су почеле да дају резултате, чиме је процес фискалне консолидације суштински и почео. Наредна фаза фискалне консолидације, спроведена током аранжмана са ММФ, али са нагласком на структурном прилагођавању на расходној страни, значајно је поправила фискалну позицију земље. Анализом и квантификацијом структурног примарног биланса могу се изоловати, пре свега, једнократни ефекти на страни расхода иако, у појединим годинама, нису безначајни и једнократни ефекти на приходној страни. Структурни примарни биланс оцењен на овај начин је ефикасан алат за коначну оцену фискалне позиције, а посебно у периоду од 2014. до 2019. године, када је фискална позиција значајно побољшана. Анализа структурног примарног биланса омогућава сагледавање успеха програма консолидације, као и квантификовање могућег фискалног простора за даљу релаксацију фискалне политике.</w:t>
      </w:r>
    </w:p>
    <w:p w14:paraId="6BEFB472" w14:textId="77777777" w:rsidR="004044DC" w:rsidRPr="007E770D" w:rsidRDefault="004044DC">
      <w:pPr>
        <w:jc w:val="left"/>
        <w:rPr>
          <w:rFonts w:ascii="Calibri" w:eastAsia="MS PGothic" w:hAnsi="Calibri" w:cs="Calibri"/>
          <w:b/>
          <w:bCs/>
          <w:color w:val="auto"/>
          <w:lang w:val="sr-Cyrl-CS"/>
        </w:rPr>
      </w:pPr>
      <w:r w:rsidRPr="007E770D">
        <w:rPr>
          <w:rFonts w:ascii="Calibri" w:eastAsia="MS PGothic" w:hAnsi="Calibri" w:cs="Calibri"/>
          <w:b/>
          <w:bCs/>
          <w:color w:val="auto"/>
          <w:lang w:val="sr-Cyrl-CS"/>
        </w:rPr>
        <w:br w:type="page"/>
      </w:r>
    </w:p>
    <w:p w14:paraId="65EA5B45" w14:textId="77777777" w:rsidR="004044DC" w:rsidRPr="007E770D" w:rsidRDefault="004044DC" w:rsidP="00E4657F">
      <w:pPr>
        <w:spacing w:after="0" w:line="276" w:lineRule="auto"/>
        <w:jc w:val="center"/>
        <w:rPr>
          <w:rFonts w:ascii="Calibri" w:eastAsia="MS PGothic" w:hAnsi="Calibri" w:cs="Calibri"/>
          <w:b/>
          <w:bCs/>
          <w:color w:val="auto"/>
          <w:lang w:val="sr-Cyrl-CS"/>
        </w:rPr>
      </w:pPr>
      <w:r w:rsidRPr="007E770D">
        <w:rPr>
          <w:rFonts w:ascii="Calibri" w:eastAsia="MS PGothic" w:hAnsi="Calibri" w:cs="Calibri"/>
          <w:b/>
          <w:bCs/>
          <w:color w:val="auto"/>
          <w:lang w:val="sr-Cyrl-CS"/>
        </w:rPr>
        <w:lastRenderedPageBreak/>
        <w:t xml:space="preserve">Табела 19. Фискални биланс и компоненте за обрачун циклично прилагођеног биланса </w:t>
      </w:r>
      <w:r w:rsidRPr="007E770D">
        <w:rPr>
          <w:rFonts w:ascii="Calibri" w:eastAsia="MS PGothic" w:hAnsi="Calibri" w:cs="Calibri"/>
          <w:b/>
          <w:bCs/>
          <w:color w:val="auto"/>
          <w:lang w:val="sr-Cyrl-CS"/>
        </w:rPr>
        <w:br w:type="textWrapping" w:clear="all"/>
        <w:t>у периоду 2005–2022. године, % БДП*</w:t>
      </w:r>
    </w:p>
    <w:tbl>
      <w:tblPr>
        <w:tblStyle w:val="LightShading-Accent337"/>
        <w:tblpPr w:leftFromText="180" w:rightFromText="180" w:vertAnchor="text" w:horzAnchor="margin" w:tblpXSpec="center" w:tblpY="28"/>
        <w:tblW w:w="5339" w:type="pct"/>
        <w:tblLook w:val="04A0" w:firstRow="1" w:lastRow="0" w:firstColumn="1" w:lastColumn="0" w:noHBand="0" w:noVBand="1"/>
      </w:tblPr>
      <w:tblGrid>
        <w:gridCol w:w="748"/>
        <w:gridCol w:w="1180"/>
        <w:gridCol w:w="1236"/>
        <w:gridCol w:w="1443"/>
        <w:gridCol w:w="1480"/>
        <w:gridCol w:w="1480"/>
        <w:gridCol w:w="1314"/>
        <w:gridCol w:w="1163"/>
      </w:tblGrid>
      <w:tr w:rsidR="007E770D" w:rsidRPr="007E770D" w14:paraId="3E1AD5E1" w14:textId="77777777" w:rsidTr="00E4657F">
        <w:trPr>
          <w:cnfStyle w:val="100000000000" w:firstRow="1" w:lastRow="0" w:firstColumn="0" w:lastColumn="0" w:oddVBand="0" w:evenVBand="0" w:oddHBand="0" w:evenHBand="0" w:firstRowFirstColumn="0" w:firstRowLastColumn="0" w:lastRowFirstColumn="0" w:lastRowLastColumn="0"/>
          <w:trHeight w:val="706"/>
        </w:trPr>
        <w:tc>
          <w:tcPr>
            <w:cnfStyle w:val="001000000000" w:firstRow="0" w:lastRow="0" w:firstColumn="1" w:lastColumn="0" w:oddVBand="0" w:evenVBand="0" w:oddHBand="0" w:evenHBand="0" w:firstRowFirstColumn="0" w:firstRowLastColumn="0" w:lastRowFirstColumn="0" w:lastRowLastColumn="0"/>
            <w:tcW w:w="372" w:type="pct"/>
            <w:tcBorders>
              <w:top w:val="single" w:sz="4" w:space="0" w:color="002060"/>
              <w:bottom w:val="single" w:sz="4" w:space="0" w:color="002060"/>
            </w:tcBorders>
            <w:noWrap/>
            <w:hideMark/>
          </w:tcPr>
          <w:p w14:paraId="6ABC4898" w14:textId="77777777" w:rsidR="004044DC" w:rsidRPr="007E770D" w:rsidRDefault="004044DC" w:rsidP="00E4657F">
            <w:pPr>
              <w:spacing w:line="256" w:lineRule="auto"/>
              <w:rPr>
                <w:rFonts w:ascii="Calibri" w:eastAsia="MS PGothic" w:hAnsi="Calibri" w:cs="Calibri"/>
                <w:color w:val="auto"/>
                <w:sz w:val="18"/>
                <w:szCs w:val="18"/>
                <w:lang w:val="sr-Cyrl-CS" w:eastAsia="ja-JP"/>
              </w:rPr>
            </w:pPr>
          </w:p>
        </w:tc>
        <w:tc>
          <w:tcPr>
            <w:tcW w:w="587" w:type="pct"/>
            <w:tcBorders>
              <w:top w:val="single" w:sz="4" w:space="0" w:color="002060"/>
              <w:bottom w:val="single" w:sz="4" w:space="0" w:color="002060"/>
            </w:tcBorders>
            <w:hideMark/>
          </w:tcPr>
          <w:p w14:paraId="5439E9F3" w14:textId="77777777" w:rsidR="004044DC" w:rsidRPr="007E770D" w:rsidRDefault="004044DC" w:rsidP="00E4657F">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auto"/>
                <w:sz w:val="14"/>
                <w:szCs w:val="14"/>
                <w:lang w:val="sr-Cyrl-CS"/>
              </w:rPr>
            </w:pPr>
            <w:r w:rsidRPr="007E770D">
              <w:rPr>
                <w:rFonts w:ascii="Calibri" w:hAnsi="Calibri" w:cs="Calibri"/>
                <w:b w:val="0"/>
                <w:color w:val="auto"/>
                <w:sz w:val="14"/>
                <w:szCs w:val="14"/>
                <w:lang w:val="sr-Cyrl-CS"/>
              </w:rPr>
              <w:t xml:space="preserve">Фискални </w:t>
            </w:r>
            <w:r w:rsidRPr="007E770D">
              <w:rPr>
                <w:rFonts w:ascii="Calibri" w:hAnsi="Calibri" w:cs="Calibri"/>
                <w:b w:val="0"/>
                <w:color w:val="auto"/>
                <w:sz w:val="14"/>
                <w:szCs w:val="14"/>
                <w:lang w:val="sr-Cyrl-CS"/>
              </w:rPr>
              <w:br/>
              <w:t>биланс</w:t>
            </w:r>
          </w:p>
        </w:tc>
        <w:tc>
          <w:tcPr>
            <w:tcW w:w="615" w:type="pct"/>
            <w:tcBorders>
              <w:top w:val="single" w:sz="4" w:space="0" w:color="002060"/>
              <w:bottom w:val="single" w:sz="4" w:space="0" w:color="002060"/>
            </w:tcBorders>
            <w:hideMark/>
          </w:tcPr>
          <w:p w14:paraId="4CD0FD59" w14:textId="77777777" w:rsidR="004044DC" w:rsidRPr="007E770D" w:rsidRDefault="004044DC" w:rsidP="00E4657F">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auto"/>
                <w:sz w:val="14"/>
                <w:szCs w:val="14"/>
                <w:lang w:val="sr-Cyrl-CS"/>
              </w:rPr>
            </w:pPr>
            <w:r w:rsidRPr="007E770D">
              <w:rPr>
                <w:rFonts w:ascii="Calibri" w:hAnsi="Calibri" w:cs="Calibri"/>
                <w:b w:val="0"/>
                <w:color w:val="auto"/>
                <w:sz w:val="14"/>
                <w:szCs w:val="14"/>
                <w:lang w:val="sr-Cyrl-CS"/>
              </w:rPr>
              <w:t>Примарни фискални биланс</w:t>
            </w:r>
          </w:p>
        </w:tc>
        <w:tc>
          <w:tcPr>
            <w:tcW w:w="718" w:type="pct"/>
            <w:tcBorders>
              <w:top w:val="single" w:sz="4" w:space="0" w:color="002060"/>
              <w:bottom w:val="single" w:sz="4" w:space="0" w:color="002060"/>
            </w:tcBorders>
            <w:hideMark/>
          </w:tcPr>
          <w:p w14:paraId="089412A8" w14:textId="77777777" w:rsidR="004044DC" w:rsidRPr="007E770D" w:rsidRDefault="004044DC" w:rsidP="00E4657F">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auto"/>
                <w:sz w:val="14"/>
                <w:szCs w:val="14"/>
                <w:lang w:val="sr-Cyrl-CS"/>
              </w:rPr>
            </w:pPr>
            <w:r w:rsidRPr="007E770D">
              <w:rPr>
                <w:rFonts w:ascii="Calibri" w:hAnsi="Calibri" w:cs="Calibri"/>
                <w:b w:val="0"/>
                <w:color w:val="auto"/>
                <w:sz w:val="14"/>
                <w:szCs w:val="14"/>
                <w:lang w:val="sr-Cyrl-CS"/>
              </w:rPr>
              <w:t>Циклична компонента</w:t>
            </w:r>
            <w:r w:rsidRPr="007E770D">
              <w:rPr>
                <w:rFonts w:ascii="Calibri" w:hAnsi="Calibri" w:cs="Calibri"/>
                <w:b w:val="0"/>
                <w:color w:val="auto"/>
                <w:sz w:val="14"/>
                <w:szCs w:val="14"/>
                <w:lang w:val="sr-Cyrl-CS"/>
              </w:rPr>
              <w:br/>
              <w:t>фиск. биланса</w:t>
            </w:r>
          </w:p>
        </w:tc>
        <w:tc>
          <w:tcPr>
            <w:tcW w:w="737" w:type="pct"/>
            <w:tcBorders>
              <w:top w:val="single" w:sz="4" w:space="0" w:color="002060"/>
              <w:bottom w:val="single" w:sz="4" w:space="0" w:color="002060"/>
            </w:tcBorders>
            <w:hideMark/>
          </w:tcPr>
          <w:p w14:paraId="339C69E9" w14:textId="77777777" w:rsidR="004044DC" w:rsidRPr="007E770D" w:rsidRDefault="004044DC" w:rsidP="00E4657F">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auto"/>
                <w:sz w:val="14"/>
                <w:szCs w:val="14"/>
                <w:lang w:val="sr-Cyrl-CS"/>
              </w:rPr>
            </w:pPr>
            <w:r w:rsidRPr="007E770D">
              <w:rPr>
                <w:rFonts w:ascii="Calibri" w:hAnsi="Calibri" w:cs="Calibri"/>
                <w:b w:val="0"/>
                <w:color w:val="auto"/>
                <w:sz w:val="14"/>
                <w:szCs w:val="14"/>
                <w:lang w:val="sr-Cyrl-CS"/>
              </w:rPr>
              <w:t xml:space="preserve">Циклично </w:t>
            </w:r>
            <w:r w:rsidRPr="007E770D">
              <w:rPr>
                <w:rFonts w:ascii="Calibri" w:hAnsi="Calibri" w:cs="Calibri"/>
                <w:b w:val="0"/>
                <w:color w:val="auto"/>
                <w:sz w:val="14"/>
                <w:szCs w:val="14"/>
                <w:lang w:val="sr-Cyrl-CS"/>
              </w:rPr>
              <w:br/>
              <w:t>прилагођени фискални биланс</w:t>
            </w:r>
          </w:p>
        </w:tc>
        <w:tc>
          <w:tcPr>
            <w:tcW w:w="737" w:type="pct"/>
            <w:tcBorders>
              <w:top w:val="single" w:sz="4" w:space="0" w:color="002060"/>
              <w:bottom w:val="single" w:sz="4" w:space="0" w:color="002060"/>
            </w:tcBorders>
            <w:hideMark/>
          </w:tcPr>
          <w:p w14:paraId="1297CFF0" w14:textId="77777777" w:rsidR="004044DC" w:rsidRPr="007E770D" w:rsidRDefault="004044DC" w:rsidP="00E4657F">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auto"/>
                <w:sz w:val="14"/>
                <w:szCs w:val="14"/>
                <w:lang w:val="sr-Cyrl-CS"/>
              </w:rPr>
            </w:pPr>
            <w:r w:rsidRPr="007E770D">
              <w:rPr>
                <w:rFonts w:ascii="Calibri" w:hAnsi="Calibri" w:cs="Calibri"/>
                <w:b w:val="0"/>
                <w:color w:val="auto"/>
                <w:sz w:val="14"/>
                <w:szCs w:val="14"/>
                <w:lang w:val="sr-Cyrl-CS"/>
              </w:rPr>
              <w:t xml:space="preserve">Циклично </w:t>
            </w:r>
            <w:r w:rsidRPr="007E770D">
              <w:rPr>
                <w:rFonts w:ascii="Calibri" w:hAnsi="Calibri" w:cs="Calibri"/>
                <w:b w:val="0"/>
                <w:color w:val="auto"/>
                <w:sz w:val="14"/>
                <w:szCs w:val="14"/>
                <w:lang w:val="sr-Cyrl-CS"/>
              </w:rPr>
              <w:br/>
              <w:t>прилагођени примарни фиск. биланс</w:t>
            </w:r>
          </w:p>
        </w:tc>
        <w:tc>
          <w:tcPr>
            <w:tcW w:w="654" w:type="pct"/>
            <w:tcBorders>
              <w:top w:val="single" w:sz="4" w:space="0" w:color="002060"/>
              <w:bottom w:val="single" w:sz="4" w:space="0" w:color="002060"/>
            </w:tcBorders>
            <w:hideMark/>
          </w:tcPr>
          <w:p w14:paraId="6510D7D1" w14:textId="77777777" w:rsidR="004044DC" w:rsidRPr="007E770D" w:rsidRDefault="004044DC" w:rsidP="00E4657F">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auto"/>
                <w:sz w:val="14"/>
                <w:szCs w:val="14"/>
                <w:lang w:val="sr-Cyrl-CS"/>
              </w:rPr>
            </w:pPr>
            <w:r w:rsidRPr="007E770D">
              <w:rPr>
                <w:rFonts w:ascii="Calibri" w:hAnsi="Calibri" w:cs="Calibri"/>
                <w:b w:val="0"/>
                <w:color w:val="auto"/>
                <w:sz w:val="14"/>
                <w:szCs w:val="14"/>
                <w:lang w:val="sr-Cyrl-CS"/>
              </w:rPr>
              <w:t>Структурни примарни фискални биланс**</w:t>
            </w:r>
          </w:p>
        </w:tc>
        <w:tc>
          <w:tcPr>
            <w:tcW w:w="579" w:type="pct"/>
            <w:tcBorders>
              <w:top w:val="single" w:sz="4" w:space="0" w:color="002060"/>
              <w:bottom w:val="single" w:sz="4" w:space="0" w:color="002060"/>
            </w:tcBorders>
            <w:hideMark/>
          </w:tcPr>
          <w:p w14:paraId="52345E84" w14:textId="77777777" w:rsidR="004044DC" w:rsidRPr="007E770D" w:rsidRDefault="004044DC" w:rsidP="00E4657F">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auto"/>
                <w:sz w:val="14"/>
                <w:szCs w:val="14"/>
                <w:lang w:val="sr-Cyrl-CS"/>
              </w:rPr>
            </w:pPr>
            <w:r w:rsidRPr="007E770D">
              <w:rPr>
                <w:rFonts w:ascii="Calibri" w:hAnsi="Calibri" w:cs="Calibri"/>
                <w:b w:val="0"/>
                <w:color w:val="auto"/>
                <w:sz w:val="14"/>
                <w:szCs w:val="14"/>
                <w:lang w:val="sr-Cyrl-CS"/>
              </w:rPr>
              <w:t>Карактер фиск.политике – фискални импулс</w:t>
            </w:r>
          </w:p>
        </w:tc>
      </w:tr>
      <w:tr w:rsidR="007E770D" w:rsidRPr="007E770D" w14:paraId="5E35942C" w14:textId="77777777" w:rsidTr="00E4657F">
        <w:trPr>
          <w:cnfStyle w:val="000000100000" w:firstRow="0" w:lastRow="0" w:firstColumn="0" w:lastColumn="0" w:oddVBand="0" w:evenVBand="0" w:oddHBand="1" w:evenHBand="0" w:firstRowFirstColumn="0" w:firstRowLastColumn="0" w:lastRowFirstColumn="0" w:lastRowLastColumn="0"/>
          <w:trHeight w:hRule="exact" w:val="225"/>
        </w:trPr>
        <w:tc>
          <w:tcPr>
            <w:cnfStyle w:val="001000000000" w:firstRow="0" w:lastRow="0" w:firstColumn="1" w:lastColumn="0" w:oddVBand="0" w:evenVBand="0" w:oddHBand="0" w:evenHBand="0" w:firstRowFirstColumn="0" w:firstRowLastColumn="0" w:lastRowFirstColumn="0" w:lastRowLastColumn="0"/>
            <w:tcW w:w="372" w:type="pct"/>
            <w:tcBorders>
              <w:top w:val="single" w:sz="4" w:space="0" w:color="002060"/>
              <w:bottom w:val="nil"/>
            </w:tcBorders>
            <w:shd w:val="clear" w:color="auto" w:fill="FFFFFF" w:themeFill="background1"/>
            <w:noWrap/>
            <w:hideMark/>
          </w:tcPr>
          <w:p w14:paraId="268BF01B" w14:textId="77777777" w:rsidR="004044DC" w:rsidRPr="007E770D" w:rsidRDefault="004044DC" w:rsidP="00E4657F">
            <w:pPr>
              <w:shd w:val="clear" w:color="auto" w:fill="FFFFFF" w:themeFill="background1"/>
              <w:spacing w:line="276" w:lineRule="auto"/>
              <w:jc w:val="left"/>
              <w:rPr>
                <w:rFonts w:ascii="Calibri" w:hAnsi="Calibri" w:cs="Calibri"/>
                <w:b w:val="0"/>
                <w:color w:val="auto"/>
                <w:sz w:val="14"/>
                <w:szCs w:val="14"/>
                <w:lang w:val="sr-Cyrl-CS"/>
              </w:rPr>
            </w:pPr>
            <w:r w:rsidRPr="007E770D">
              <w:rPr>
                <w:rFonts w:ascii="Calibri" w:hAnsi="Calibri" w:cs="Calibri"/>
                <w:b w:val="0"/>
                <w:color w:val="auto"/>
                <w:sz w:val="14"/>
                <w:szCs w:val="14"/>
                <w:lang w:val="sr-Cyrl-CS"/>
              </w:rPr>
              <w:t>2005</w:t>
            </w:r>
          </w:p>
        </w:tc>
        <w:tc>
          <w:tcPr>
            <w:tcW w:w="587" w:type="pct"/>
            <w:tcBorders>
              <w:top w:val="single" w:sz="4" w:space="0" w:color="002060"/>
              <w:bottom w:val="nil"/>
            </w:tcBorders>
            <w:shd w:val="clear" w:color="auto" w:fill="FFFFFF" w:themeFill="background1"/>
            <w:hideMark/>
          </w:tcPr>
          <w:p w14:paraId="61870DB4"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1,1</w:t>
            </w:r>
          </w:p>
        </w:tc>
        <w:tc>
          <w:tcPr>
            <w:tcW w:w="615" w:type="pct"/>
            <w:tcBorders>
              <w:top w:val="single" w:sz="4" w:space="0" w:color="002060"/>
              <w:bottom w:val="nil"/>
            </w:tcBorders>
            <w:shd w:val="clear" w:color="auto" w:fill="FFFFFF" w:themeFill="background1"/>
            <w:hideMark/>
          </w:tcPr>
          <w:p w14:paraId="1525A0B0"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2,0</w:t>
            </w:r>
          </w:p>
        </w:tc>
        <w:tc>
          <w:tcPr>
            <w:tcW w:w="718" w:type="pct"/>
            <w:tcBorders>
              <w:top w:val="single" w:sz="4" w:space="0" w:color="002060"/>
              <w:bottom w:val="nil"/>
            </w:tcBorders>
            <w:shd w:val="clear" w:color="auto" w:fill="FFFFFF" w:themeFill="background1"/>
            <w:noWrap/>
            <w:hideMark/>
          </w:tcPr>
          <w:p w14:paraId="5F9241CC"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0,0</w:t>
            </w:r>
          </w:p>
        </w:tc>
        <w:tc>
          <w:tcPr>
            <w:tcW w:w="737" w:type="pct"/>
            <w:tcBorders>
              <w:top w:val="single" w:sz="4" w:space="0" w:color="002060"/>
              <w:bottom w:val="nil"/>
            </w:tcBorders>
            <w:shd w:val="clear" w:color="auto" w:fill="FFFFFF" w:themeFill="background1"/>
            <w:noWrap/>
            <w:hideMark/>
          </w:tcPr>
          <w:p w14:paraId="08F3225A"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1,1</w:t>
            </w:r>
          </w:p>
        </w:tc>
        <w:tc>
          <w:tcPr>
            <w:tcW w:w="737" w:type="pct"/>
            <w:tcBorders>
              <w:top w:val="single" w:sz="4" w:space="0" w:color="002060"/>
              <w:bottom w:val="nil"/>
            </w:tcBorders>
            <w:shd w:val="clear" w:color="auto" w:fill="FFFFFF" w:themeFill="background1"/>
            <w:hideMark/>
          </w:tcPr>
          <w:p w14:paraId="7279981B"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2,0</w:t>
            </w:r>
          </w:p>
        </w:tc>
        <w:tc>
          <w:tcPr>
            <w:tcW w:w="654" w:type="pct"/>
            <w:tcBorders>
              <w:top w:val="single" w:sz="4" w:space="0" w:color="002060"/>
              <w:bottom w:val="nil"/>
            </w:tcBorders>
            <w:shd w:val="clear" w:color="auto" w:fill="FFFFFF" w:themeFill="background1"/>
            <w:noWrap/>
            <w:hideMark/>
          </w:tcPr>
          <w:p w14:paraId="3DCD339A"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2,2</w:t>
            </w:r>
          </w:p>
        </w:tc>
        <w:tc>
          <w:tcPr>
            <w:tcW w:w="579" w:type="pct"/>
            <w:tcBorders>
              <w:top w:val="single" w:sz="4" w:space="0" w:color="002060"/>
              <w:bottom w:val="nil"/>
            </w:tcBorders>
            <w:shd w:val="clear" w:color="auto" w:fill="FFFFFF" w:themeFill="background1"/>
            <w:noWrap/>
            <w:hideMark/>
          </w:tcPr>
          <w:p w14:paraId="04417517"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p>
        </w:tc>
      </w:tr>
      <w:tr w:rsidR="007E770D" w:rsidRPr="007E770D" w14:paraId="63C8B081" w14:textId="77777777" w:rsidTr="00E4657F">
        <w:trPr>
          <w:trHeight w:hRule="exact" w:val="225"/>
        </w:trPr>
        <w:tc>
          <w:tcPr>
            <w:cnfStyle w:val="001000000000" w:firstRow="0" w:lastRow="0" w:firstColumn="1" w:lastColumn="0" w:oddVBand="0" w:evenVBand="0" w:oddHBand="0" w:evenHBand="0" w:firstRowFirstColumn="0" w:firstRowLastColumn="0" w:lastRowFirstColumn="0" w:lastRowLastColumn="0"/>
            <w:tcW w:w="372" w:type="pct"/>
            <w:tcBorders>
              <w:top w:val="nil"/>
              <w:left w:val="nil"/>
              <w:bottom w:val="nil"/>
              <w:right w:val="nil"/>
            </w:tcBorders>
            <w:shd w:val="clear" w:color="auto" w:fill="FFFFFF" w:themeFill="background1"/>
            <w:noWrap/>
            <w:hideMark/>
          </w:tcPr>
          <w:p w14:paraId="48824B41" w14:textId="77777777" w:rsidR="004044DC" w:rsidRPr="007E770D" w:rsidRDefault="004044DC" w:rsidP="00E4657F">
            <w:pPr>
              <w:shd w:val="clear" w:color="auto" w:fill="FFFFFF" w:themeFill="background1"/>
              <w:spacing w:line="276" w:lineRule="auto"/>
              <w:jc w:val="left"/>
              <w:rPr>
                <w:rFonts w:ascii="Calibri" w:hAnsi="Calibri" w:cs="Calibri"/>
                <w:b w:val="0"/>
                <w:color w:val="auto"/>
                <w:sz w:val="14"/>
                <w:szCs w:val="14"/>
                <w:lang w:val="sr-Cyrl-CS"/>
              </w:rPr>
            </w:pPr>
            <w:r w:rsidRPr="007E770D">
              <w:rPr>
                <w:rFonts w:ascii="Calibri" w:hAnsi="Calibri" w:cs="Calibri"/>
                <w:b w:val="0"/>
                <w:color w:val="auto"/>
                <w:sz w:val="14"/>
                <w:szCs w:val="14"/>
                <w:lang w:val="sr-Cyrl-CS"/>
              </w:rPr>
              <w:t>2006</w:t>
            </w:r>
          </w:p>
        </w:tc>
        <w:tc>
          <w:tcPr>
            <w:tcW w:w="587" w:type="pct"/>
            <w:tcBorders>
              <w:top w:val="nil"/>
              <w:left w:val="nil"/>
              <w:bottom w:val="nil"/>
              <w:right w:val="nil"/>
            </w:tcBorders>
            <w:shd w:val="clear" w:color="auto" w:fill="FFFFFF" w:themeFill="background1"/>
            <w:hideMark/>
          </w:tcPr>
          <w:p w14:paraId="498DCC56"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-1,4</w:t>
            </w:r>
          </w:p>
        </w:tc>
        <w:tc>
          <w:tcPr>
            <w:tcW w:w="615" w:type="pct"/>
            <w:tcBorders>
              <w:top w:val="nil"/>
              <w:left w:val="nil"/>
              <w:bottom w:val="nil"/>
              <w:right w:val="nil"/>
            </w:tcBorders>
            <w:shd w:val="clear" w:color="auto" w:fill="FFFFFF" w:themeFill="background1"/>
            <w:hideMark/>
          </w:tcPr>
          <w:p w14:paraId="5FE4E345"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-0,1</w:t>
            </w:r>
          </w:p>
        </w:tc>
        <w:tc>
          <w:tcPr>
            <w:tcW w:w="718" w:type="pct"/>
            <w:tcBorders>
              <w:top w:val="nil"/>
              <w:left w:val="nil"/>
              <w:bottom w:val="nil"/>
              <w:right w:val="nil"/>
            </w:tcBorders>
            <w:shd w:val="clear" w:color="auto" w:fill="FFFFFF" w:themeFill="background1"/>
            <w:noWrap/>
            <w:hideMark/>
          </w:tcPr>
          <w:p w14:paraId="6AEFBAB6"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-1,0</w:t>
            </w:r>
          </w:p>
        </w:tc>
        <w:tc>
          <w:tcPr>
            <w:tcW w:w="737" w:type="pct"/>
            <w:tcBorders>
              <w:top w:val="nil"/>
              <w:left w:val="nil"/>
              <w:bottom w:val="nil"/>
              <w:right w:val="nil"/>
            </w:tcBorders>
            <w:shd w:val="clear" w:color="auto" w:fill="FFFFFF" w:themeFill="background1"/>
            <w:noWrap/>
            <w:hideMark/>
          </w:tcPr>
          <w:p w14:paraId="09DAC07F"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-0,5</w:t>
            </w:r>
          </w:p>
        </w:tc>
        <w:tc>
          <w:tcPr>
            <w:tcW w:w="737" w:type="pct"/>
            <w:tcBorders>
              <w:top w:val="nil"/>
              <w:left w:val="nil"/>
              <w:bottom w:val="nil"/>
              <w:right w:val="nil"/>
            </w:tcBorders>
            <w:shd w:val="clear" w:color="auto" w:fill="FFFFFF" w:themeFill="background1"/>
            <w:hideMark/>
          </w:tcPr>
          <w:p w14:paraId="28177CAA"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0,8</w:t>
            </w:r>
          </w:p>
        </w:tc>
        <w:tc>
          <w:tcPr>
            <w:tcW w:w="654" w:type="pct"/>
            <w:tcBorders>
              <w:top w:val="nil"/>
              <w:left w:val="nil"/>
              <w:bottom w:val="nil"/>
              <w:right w:val="nil"/>
            </w:tcBorders>
            <w:shd w:val="clear" w:color="auto" w:fill="FFFFFF" w:themeFill="background1"/>
            <w:noWrap/>
            <w:hideMark/>
          </w:tcPr>
          <w:p w14:paraId="281645E6"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1,5</w:t>
            </w:r>
          </w:p>
        </w:tc>
        <w:tc>
          <w:tcPr>
            <w:tcW w:w="579" w:type="pct"/>
            <w:tcBorders>
              <w:top w:val="nil"/>
              <w:left w:val="nil"/>
              <w:bottom w:val="nil"/>
              <w:right w:val="nil"/>
            </w:tcBorders>
            <w:shd w:val="clear" w:color="auto" w:fill="FFFFFF" w:themeFill="background1"/>
            <w:noWrap/>
            <w:hideMark/>
          </w:tcPr>
          <w:p w14:paraId="79844E9C"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1,2</w:t>
            </w:r>
          </w:p>
        </w:tc>
      </w:tr>
      <w:tr w:rsidR="007E770D" w:rsidRPr="007E770D" w14:paraId="435FD771" w14:textId="77777777" w:rsidTr="00E4657F">
        <w:trPr>
          <w:cnfStyle w:val="000000100000" w:firstRow="0" w:lastRow="0" w:firstColumn="0" w:lastColumn="0" w:oddVBand="0" w:evenVBand="0" w:oddHBand="1" w:evenHBand="0" w:firstRowFirstColumn="0" w:firstRowLastColumn="0" w:lastRowFirstColumn="0" w:lastRowLastColumn="0"/>
          <w:trHeight w:hRule="exact" w:val="225"/>
        </w:trPr>
        <w:tc>
          <w:tcPr>
            <w:cnfStyle w:val="001000000000" w:firstRow="0" w:lastRow="0" w:firstColumn="1" w:lastColumn="0" w:oddVBand="0" w:evenVBand="0" w:oddHBand="0" w:evenHBand="0" w:firstRowFirstColumn="0" w:firstRowLastColumn="0" w:lastRowFirstColumn="0" w:lastRowLastColumn="0"/>
            <w:tcW w:w="372" w:type="pct"/>
            <w:tcBorders>
              <w:top w:val="nil"/>
              <w:bottom w:val="nil"/>
            </w:tcBorders>
            <w:shd w:val="clear" w:color="auto" w:fill="FFFFFF" w:themeFill="background1"/>
            <w:noWrap/>
            <w:hideMark/>
          </w:tcPr>
          <w:p w14:paraId="25282C31" w14:textId="77777777" w:rsidR="004044DC" w:rsidRPr="007E770D" w:rsidRDefault="004044DC" w:rsidP="00E4657F">
            <w:pPr>
              <w:shd w:val="clear" w:color="auto" w:fill="FFFFFF" w:themeFill="background1"/>
              <w:spacing w:line="276" w:lineRule="auto"/>
              <w:jc w:val="left"/>
              <w:rPr>
                <w:rFonts w:ascii="Calibri" w:hAnsi="Calibri" w:cs="Calibri"/>
                <w:b w:val="0"/>
                <w:color w:val="auto"/>
                <w:sz w:val="14"/>
                <w:szCs w:val="14"/>
                <w:lang w:val="sr-Cyrl-CS"/>
              </w:rPr>
            </w:pPr>
            <w:r w:rsidRPr="007E770D">
              <w:rPr>
                <w:rFonts w:ascii="Calibri" w:hAnsi="Calibri" w:cs="Calibri"/>
                <w:b w:val="0"/>
                <w:color w:val="auto"/>
                <w:sz w:val="14"/>
                <w:szCs w:val="14"/>
                <w:lang w:val="sr-Cyrl-CS"/>
              </w:rPr>
              <w:t>2007</w:t>
            </w:r>
          </w:p>
        </w:tc>
        <w:tc>
          <w:tcPr>
            <w:tcW w:w="587" w:type="pct"/>
            <w:tcBorders>
              <w:top w:val="nil"/>
              <w:bottom w:val="nil"/>
            </w:tcBorders>
            <w:shd w:val="clear" w:color="auto" w:fill="FFFFFF" w:themeFill="background1"/>
            <w:hideMark/>
          </w:tcPr>
          <w:p w14:paraId="113419C9"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-1,8</w:t>
            </w:r>
          </w:p>
        </w:tc>
        <w:tc>
          <w:tcPr>
            <w:tcW w:w="615" w:type="pct"/>
            <w:tcBorders>
              <w:top w:val="nil"/>
              <w:bottom w:val="nil"/>
            </w:tcBorders>
            <w:shd w:val="clear" w:color="auto" w:fill="FFFFFF" w:themeFill="background1"/>
            <w:hideMark/>
          </w:tcPr>
          <w:p w14:paraId="16CE0086"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-1,2</w:t>
            </w:r>
          </w:p>
        </w:tc>
        <w:tc>
          <w:tcPr>
            <w:tcW w:w="718" w:type="pct"/>
            <w:tcBorders>
              <w:top w:val="nil"/>
              <w:bottom w:val="nil"/>
            </w:tcBorders>
            <w:shd w:val="clear" w:color="auto" w:fill="FFFFFF" w:themeFill="background1"/>
            <w:hideMark/>
          </w:tcPr>
          <w:p w14:paraId="77F6D99C"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0,3</w:t>
            </w:r>
          </w:p>
        </w:tc>
        <w:tc>
          <w:tcPr>
            <w:tcW w:w="737" w:type="pct"/>
            <w:tcBorders>
              <w:top w:val="nil"/>
              <w:bottom w:val="nil"/>
            </w:tcBorders>
            <w:shd w:val="clear" w:color="auto" w:fill="FFFFFF" w:themeFill="background1"/>
            <w:noWrap/>
            <w:hideMark/>
          </w:tcPr>
          <w:p w14:paraId="54073A12"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-2,1</w:t>
            </w:r>
          </w:p>
        </w:tc>
        <w:tc>
          <w:tcPr>
            <w:tcW w:w="737" w:type="pct"/>
            <w:tcBorders>
              <w:top w:val="nil"/>
              <w:bottom w:val="nil"/>
            </w:tcBorders>
            <w:shd w:val="clear" w:color="auto" w:fill="FFFFFF" w:themeFill="background1"/>
            <w:hideMark/>
          </w:tcPr>
          <w:p w14:paraId="344B9CE1"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-1,6</w:t>
            </w:r>
          </w:p>
        </w:tc>
        <w:tc>
          <w:tcPr>
            <w:tcW w:w="654" w:type="pct"/>
            <w:tcBorders>
              <w:top w:val="nil"/>
              <w:bottom w:val="nil"/>
            </w:tcBorders>
            <w:shd w:val="clear" w:color="auto" w:fill="FFFFFF" w:themeFill="background1"/>
            <w:noWrap/>
            <w:hideMark/>
          </w:tcPr>
          <w:p w14:paraId="53CE437F"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-1,2</w:t>
            </w:r>
          </w:p>
        </w:tc>
        <w:tc>
          <w:tcPr>
            <w:tcW w:w="579" w:type="pct"/>
            <w:tcBorders>
              <w:top w:val="nil"/>
              <w:bottom w:val="nil"/>
            </w:tcBorders>
            <w:shd w:val="clear" w:color="auto" w:fill="FFFFFF" w:themeFill="background1"/>
            <w:noWrap/>
            <w:hideMark/>
          </w:tcPr>
          <w:p w14:paraId="2B003E39"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2,4</w:t>
            </w:r>
          </w:p>
        </w:tc>
      </w:tr>
      <w:tr w:rsidR="007E770D" w:rsidRPr="007E770D" w14:paraId="40B65087" w14:textId="77777777" w:rsidTr="00E4657F">
        <w:trPr>
          <w:trHeight w:hRule="exact" w:val="225"/>
        </w:trPr>
        <w:tc>
          <w:tcPr>
            <w:cnfStyle w:val="001000000000" w:firstRow="0" w:lastRow="0" w:firstColumn="1" w:lastColumn="0" w:oddVBand="0" w:evenVBand="0" w:oddHBand="0" w:evenHBand="0" w:firstRowFirstColumn="0" w:firstRowLastColumn="0" w:lastRowFirstColumn="0" w:lastRowLastColumn="0"/>
            <w:tcW w:w="372" w:type="pct"/>
            <w:tcBorders>
              <w:top w:val="nil"/>
              <w:left w:val="nil"/>
              <w:bottom w:val="nil"/>
              <w:right w:val="nil"/>
            </w:tcBorders>
            <w:shd w:val="clear" w:color="auto" w:fill="FFFFFF" w:themeFill="background1"/>
            <w:noWrap/>
            <w:hideMark/>
          </w:tcPr>
          <w:p w14:paraId="4ED8CF82" w14:textId="77777777" w:rsidR="004044DC" w:rsidRPr="007E770D" w:rsidRDefault="004044DC" w:rsidP="00E4657F">
            <w:pPr>
              <w:shd w:val="clear" w:color="auto" w:fill="FFFFFF" w:themeFill="background1"/>
              <w:spacing w:line="276" w:lineRule="auto"/>
              <w:jc w:val="left"/>
              <w:rPr>
                <w:rFonts w:ascii="Calibri" w:hAnsi="Calibri" w:cs="Calibri"/>
                <w:b w:val="0"/>
                <w:color w:val="auto"/>
                <w:sz w:val="14"/>
                <w:szCs w:val="14"/>
                <w:lang w:val="sr-Cyrl-CS"/>
              </w:rPr>
            </w:pPr>
            <w:r w:rsidRPr="007E770D">
              <w:rPr>
                <w:rFonts w:ascii="Calibri" w:hAnsi="Calibri" w:cs="Calibri"/>
                <w:b w:val="0"/>
                <w:color w:val="auto"/>
                <w:sz w:val="14"/>
                <w:szCs w:val="14"/>
                <w:lang w:val="sr-Cyrl-CS"/>
              </w:rPr>
              <w:t>2008</w:t>
            </w:r>
          </w:p>
        </w:tc>
        <w:tc>
          <w:tcPr>
            <w:tcW w:w="587" w:type="pct"/>
            <w:tcBorders>
              <w:top w:val="nil"/>
              <w:left w:val="nil"/>
              <w:bottom w:val="nil"/>
              <w:right w:val="nil"/>
            </w:tcBorders>
            <w:shd w:val="clear" w:color="auto" w:fill="FFFFFF" w:themeFill="background1"/>
            <w:hideMark/>
          </w:tcPr>
          <w:p w14:paraId="6E9D96AD"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-2,5</w:t>
            </w:r>
          </w:p>
        </w:tc>
        <w:tc>
          <w:tcPr>
            <w:tcW w:w="615" w:type="pct"/>
            <w:tcBorders>
              <w:top w:val="nil"/>
              <w:left w:val="nil"/>
              <w:bottom w:val="nil"/>
              <w:right w:val="nil"/>
            </w:tcBorders>
            <w:shd w:val="clear" w:color="auto" w:fill="FFFFFF" w:themeFill="background1"/>
            <w:hideMark/>
          </w:tcPr>
          <w:p w14:paraId="2EAA4CA1"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-1,9</w:t>
            </w:r>
          </w:p>
        </w:tc>
        <w:tc>
          <w:tcPr>
            <w:tcW w:w="718" w:type="pct"/>
            <w:tcBorders>
              <w:top w:val="nil"/>
              <w:left w:val="nil"/>
              <w:bottom w:val="nil"/>
              <w:right w:val="nil"/>
            </w:tcBorders>
            <w:shd w:val="clear" w:color="auto" w:fill="FFFFFF" w:themeFill="background1"/>
            <w:hideMark/>
          </w:tcPr>
          <w:p w14:paraId="564A97FA"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1,5</w:t>
            </w:r>
          </w:p>
        </w:tc>
        <w:tc>
          <w:tcPr>
            <w:tcW w:w="737" w:type="pct"/>
            <w:tcBorders>
              <w:top w:val="nil"/>
              <w:left w:val="nil"/>
              <w:bottom w:val="nil"/>
              <w:right w:val="nil"/>
            </w:tcBorders>
            <w:shd w:val="clear" w:color="auto" w:fill="FFFFFF" w:themeFill="background1"/>
            <w:noWrap/>
            <w:hideMark/>
          </w:tcPr>
          <w:p w14:paraId="06B52359"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-4,0</w:t>
            </w:r>
          </w:p>
        </w:tc>
        <w:tc>
          <w:tcPr>
            <w:tcW w:w="737" w:type="pct"/>
            <w:tcBorders>
              <w:top w:val="nil"/>
              <w:left w:val="nil"/>
              <w:bottom w:val="nil"/>
              <w:right w:val="nil"/>
            </w:tcBorders>
            <w:shd w:val="clear" w:color="auto" w:fill="FFFFFF" w:themeFill="background1"/>
            <w:hideMark/>
          </w:tcPr>
          <w:p w14:paraId="6E19B26B"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-3,5</w:t>
            </w:r>
          </w:p>
        </w:tc>
        <w:tc>
          <w:tcPr>
            <w:tcW w:w="654" w:type="pct"/>
            <w:tcBorders>
              <w:top w:val="nil"/>
              <w:left w:val="nil"/>
              <w:bottom w:val="nil"/>
              <w:right w:val="nil"/>
            </w:tcBorders>
            <w:shd w:val="clear" w:color="auto" w:fill="FFFFFF" w:themeFill="background1"/>
            <w:noWrap/>
            <w:hideMark/>
          </w:tcPr>
          <w:p w14:paraId="6ADEAFB3"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-3,5</w:t>
            </w:r>
          </w:p>
        </w:tc>
        <w:tc>
          <w:tcPr>
            <w:tcW w:w="579" w:type="pct"/>
            <w:tcBorders>
              <w:top w:val="nil"/>
              <w:left w:val="nil"/>
              <w:bottom w:val="nil"/>
              <w:right w:val="nil"/>
            </w:tcBorders>
            <w:shd w:val="clear" w:color="auto" w:fill="FFFFFF" w:themeFill="background1"/>
            <w:noWrap/>
            <w:hideMark/>
          </w:tcPr>
          <w:p w14:paraId="7C07578A"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1,9</w:t>
            </w:r>
          </w:p>
        </w:tc>
      </w:tr>
      <w:tr w:rsidR="007E770D" w:rsidRPr="007E770D" w14:paraId="1153740E" w14:textId="77777777" w:rsidTr="00E4657F">
        <w:trPr>
          <w:cnfStyle w:val="000000100000" w:firstRow="0" w:lastRow="0" w:firstColumn="0" w:lastColumn="0" w:oddVBand="0" w:evenVBand="0" w:oddHBand="1" w:evenHBand="0" w:firstRowFirstColumn="0" w:firstRowLastColumn="0" w:lastRowFirstColumn="0" w:lastRowLastColumn="0"/>
          <w:trHeight w:hRule="exact" w:val="225"/>
        </w:trPr>
        <w:tc>
          <w:tcPr>
            <w:cnfStyle w:val="001000000000" w:firstRow="0" w:lastRow="0" w:firstColumn="1" w:lastColumn="0" w:oddVBand="0" w:evenVBand="0" w:oddHBand="0" w:evenHBand="0" w:firstRowFirstColumn="0" w:firstRowLastColumn="0" w:lastRowFirstColumn="0" w:lastRowLastColumn="0"/>
            <w:tcW w:w="372" w:type="pct"/>
            <w:tcBorders>
              <w:top w:val="nil"/>
              <w:bottom w:val="nil"/>
            </w:tcBorders>
            <w:shd w:val="clear" w:color="auto" w:fill="FFFFFF" w:themeFill="background1"/>
            <w:noWrap/>
            <w:hideMark/>
          </w:tcPr>
          <w:p w14:paraId="2D3C2D93" w14:textId="77777777" w:rsidR="004044DC" w:rsidRPr="007E770D" w:rsidRDefault="004044DC" w:rsidP="00E4657F">
            <w:pPr>
              <w:shd w:val="clear" w:color="auto" w:fill="FFFFFF" w:themeFill="background1"/>
              <w:spacing w:line="276" w:lineRule="auto"/>
              <w:jc w:val="left"/>
              <w:rPr>
                <w:rFonts w:ascii="Calibri" w:hAnsi="Calibri" w:cs="Calibri"/>
                <w:b w:val="0"/>
                <w:color w:val="auto"/>
                <w:sz w:val="14"/>
                <w:szCs w:val="14"/>
                <w:lang w:val="sr-Cyrl-CS"/>
              </w:rPr>
            </w:pPr>
            <w:r w:rsidRPr="007E770D">
              <w:rPr>
                <w:rFonts w:ascii="Calibri" w:hAnsi="Calibri" w:cs="Calibri"/>
                <w:b w:val="0"/>
                <w:color w:val="auto"/>
                <w:sz w:val="14"/>
                <w:szCs w:val="14"/>
                <w:lang w:val="sr-Cyrl-CS"/>
              </w:rPr>
              <w:t>2009</w:t>
            </w:r>
          </w:p>
        </w:tc>
        <w:tc>
          <w:tcPr>
            <w:tcW w:w="587" w:type="pct"/>
            <w:tcBorders>
              <w:top w:val="nil"/>
              <w:bottom w:val="nil"/>
            </w:tcBorders>
            <w:shd w:val="clear" w:color="auto" w:fill="FFFFFF" w:themeFill="background1"/>
            <w:hideMark/>
          </w:tcPr>
          <w:p w14:paraId="78AD34C5"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-4,2</w:t>
            </w:r>
          </w:p>
        </w:tc>
        <w:tc>
          <w:tcPr>
            <w:tcW w:w="615" w:type="pct"/>
            <w:tcBorders>
              <w:top w:val="nil"/>
              <w:bottom w:val="nil"/>
            </w:tcBorders>
            <w:shd w:val="clear" w:color="auto" w:fill="FFFFFF" w:themeFill="background1"/>
            <w:hideMark/>
          </w:tcPr>
          <w:p w14:paraId="27CE57A3"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-3,6</w:t>
            </w:r>
          </w:p>
        </w:tc>
        <w:tc>
          <w:tcPr>
            <w:tcW w:w="718" w:type="pct"/>
            <w:tcBorders>
              <w:top w:val="nil"/>
              <w:bottom w:val="nil"/>
            </w:tcBorders>
            <w:shd w:val="clear" w:color="auto" w:fill="FFFFFF" w:themeFill="background1"/>
            <w:hideMark/>
          </w:tcPr>
          <w:p w14:paraId="3204DB9C"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-0,1</w:t>
            </w:r>
          </w:p>
        </w:tc>
        <w:tc>
          <w:tcPr>
            <w:tcW w:w="737" w:type="pct"/>
            <w:tcBorders>
              <w:top w:val="nil"/>
              <w:bottom w:val="nil"/>
            </w:tcBorders>
            <w:shd w:val="clear" w:color="auto" w:fill="FFFFFF" w:themeFill="background1"/>
            <w:hideMark/>
          </w:tcPr>
          <w:p w14:paraId="7F69CFE0"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-4,0</w:t>
            </w:r>
          </w:p>
        </w:tc>
        <w:tc>
          <w:tcPr>
            <w:tcW w:w="737" w:type="pct"/>
            <w:tcBorders>
              <w:top w:val="nil"/>
              <w:bottom w:val="nil"/>
            </w:tcBorders>
            <w:shd w:val="clear" w:color="auto" w:fill="FFFFFF" w:themeFill="background1"/>
            <w:hideMark/>
          </w:tcPr>
          <w:p w14:paraId="1958CD46"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-3,4</w:t>
            </w:r>
          </w:p>
        </w:tc>
        <w:tc>
          <w:tcPr>
            <w:tcW w:w="654" w:type="pct"/>
            <w:tcBorders>
              <w:top w:val="nil"/>
              <w:bottom w:val="nil"/>
            </w:tcBorders>
            <w:shd w:val="clear" w:color="auto" w:fill="FFFFFF" w:themeFill="background1"/>
            <w:noWrap/>
            <w:hideMark/>
          </w:tcPr>
          <w:p w14:paraId="7EC7A482"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-3,5</w:t>
            </w:r>
          </w:p>
        </w:tc>
        <w:tc>
          <w:tcPr>
            <w:tcW w:w="579" w:type="pct"/>
            <w:tcBorders>
              <w:top w:val="nil"/>
              <w:bottom w:val="nil"/>
            </w:tcBorders>
            <w:shd w:val="clear" w:color="auto" w:fill="FFFFFF" w:themeFill="background1"/>
            <w:noWrap/>
            <w:hideMark/>
          </w:tcPr>
          <w:p w14:paraId="4BFF0444"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0,0</w:t>
            </w:r>
          </w:p>
        </w:tc>
      </w:tr>
      <w:tr w:rsidR="007E770D" w:rsidRPr="007E770D" w14:paraId="4BBFC631" w14:textId="77777777" w:rsidTr="00E4657F">
        <w:trPr>
          <w:trHeight w:hRule="exact" w:val="225"/>
        </w:trPr>
        <w:tc>
          <w:tcPr>
            <w:cnfStyle w:val="001000000000" w:firstRow="0" w:lastRow="0" w:firstColumn="1" w:lastColumn="0" w:oddVBand="0" w:evenVBand="0" w:oddHBand="0" w:evenHBand="0" w:firstRowFirstColumn="0" w:firstRowLastColumn="0" w:lastRowFirstColumn="0" w:lastRowLastColumn="0"/>
            <w:tcW w:w="372" w:type="pct"/>
            <w:tcBorders>
              <w:top w:val="nil"/>
              <w:left w:val="nil"/>
              <w:bottom w:val="nil"/>
              <w:right w:val="nil"/>
            </w:tcBorders>
            <w:shd w:val="clear" w:color="auto" w:fill="FFFFFF" w:themeFill="background1"/>
            <w:noWrap/>
          </w:tcPr>
          <w:p w14:paraId="4997FE46" w14:textId="77777777" w:rsidR="004044DC" w:rsidRPr="007E770D" w:rsidRDefault="004044DC" w:rsidP="00E4657F">
            <w:pPr>
              <w:shd w:val="clear" w:color="auto" w:fill="FFFFFF" w:themeFill="background1"/>
              <w:spacing w:line="276" w:lineRule="auto"/>
              <w:jc w:val="left"/>
              <w:rPr>
                <w:rFonts w:ascii="Calibri" w:hAnsi="Calibri" w:cs="Calibri"/>
                <w:b w:val="0"/>
                <w:color w:val="auto"/>
                <w:sz w:val="14"/>
                <w:szCs w:val="14"/>
                <w:lang w:val="sr-Cyrl-CS"/>
              </w:rPr>
            </w:pPr>
            <w:r w:rsidRPr="007E770D">
              <w:rPr>
                <w:rFonts w:ascii="Calibri" w:hAnsi="Calibri" w:cs="Calibri"/>
                <w:b w:val="0"/>
                <w:color w:val="auto"/>
                <w:sz w:val="14"/>
                <w:szCs w:val="14"/>
                <w:lang w:val="sr-Cyrl-CS"/>
              </w:rPr>
              <w:t>2010</w:t>
            </w:r>
          </w:p>
          <w:p w14:paraId="67029E51" w14:textId="77777777" w:rsidR="004044DC" w:rsidRPr="007E770D" w:rsidRDefault="004044DC" w:rsidP="00E4657F">
            <w:pPr>
              <w:shd w:val="clear" w:color="auto" w:fill="FFFFFF" w:themeFill="background1"/>
              <w:spacing w:line="276" w:lineRule="auto"/>
              <w:jc w:val="left"/>
              <w:rPr>
                <w:rFonts w:ascii="Calibri" w:hAnsi="Calibri" w:cs="Calibri"/>
                <w:b w:val="0"/>
                <w:color w:val="auto"/>
                <w:sz w:val="14"/>
                <w:szCs w:val="14"/>
                <w:lang w:val="sr-Cyrl-CS"/>
              </w:rPr>
            </w:pPr>
          </w:p>
        </w:tc>
        <w:tc>
          <w:tcPr>
            <w:tcW w:w="587" w:type="pct"/>
            <w:tcBorders>
              <w:top w:val="nil"/>
              <w:left w:val="nil"/>
              <w:bottom w:val="nil"/>
              <w:right w:val="nil"/>
            </w:tcBorders>
            <w:shd w:val="clear" w:color="auto" w:fill="FFFFFF" w:themeFill="background1"/>
            <w:hideMark/>
          </w:tcPr>
          <w:p w14:paraId="6A806FED"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-4,3</w:t>
            </w:r>
          </w:p>
        </w:tc>
        <w:tc>
          <w:tcPr>
            <w:tcW w:w="615" w:type="pct"/>
            <w:tcBorders>
              <w:top w:val="nil"/>
              <w:left w:val="nil"/>
              <w:bottom w:val="nil"/>
              <w:right w:val="nil"/>
            </w:tcBorders>
            <w:shd w:val="clear" w:color="auto" w:fill="FFFFFF" w:themeFill="background1"/>
            <w:hideMark/>
          </w:tcPr>
          <w:p w14:paraId="5C52C384"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-3,4</w:t>
            </w:r>
          </w:p>
        </w:tc>
        <w:tc>
          <w:tcPr>
            <w:tcW w:w="718" w:type="pct"/>
            <w:tcBorders>
              <w:top w:val="nil"/>
              <w:left w:val="nil"/>
              <w:bottom w:val="nil"/>
              <w:right w:val="nil"/>
            </w:tcBorders>
            <w:shd w:val="clear" w:color="auto" w:fill="FFFFFF" w:themeFill="background1"/>
            <w:hideMark/>
          </w:tcPr>
          <w:p w14:paraId="6E2398C9"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-0,3</w:t>
            </w:r>
          </w:p>
        </w:tc>
        <w:tc>
          <w:tcPr>
            <w:tcW w:w="737" w:type="pct"/>
            <w:tcBorders>
              <w:top w:val="nil"/>
              <w:left w:val="nil"/>
              <w:bottom w:val="nil"/>
              <w:right w:val="nil"/>
            </w:tcBorders>
            <w:shd w:val="clear" w:color="auto" w:fill="FFFFFF" w:themeFill="background1"/>
            <w:hideMark/>
          </w:tcPr>
          <w:p w14:paraId="66A93E32"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-4,1</w:t>
            </w:r>
          </w:p>
        </w:tc>
        <w:tc>
          <w:tcPr>
            <w:tcW w:w="737" w:type="pct"/>
            <w:tcBorders>
              <w:top w:val="nil"/>
              <w:left w:val="nil"/>
              <w:bottom w:val="nil"/>
              <w:right w:val="nil"/>
            </w:tcBorders>
            <w:shd w:val="clear" w:color="auto" w:fill="FFFFFF" w:themeFill="background1"/>
            <w:hideMark/>
          </w:tcPr>
          <w:p w14:paraId="05C3E2A7"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-3,1</w:t>
            </w:r>
          </w:p>
        </w:tc>
        <w:tc>
          <w:tcPr>
            <w:tcW w:w="654" w:type="pct"/>
            <w:tcBorders>
              <w:top w:val="nil"/>
              <w:left w:val="nil"/>
              <w:bottom w:val="nil"/>
              <w:right w:val="nil"/>
            </w:tcBorders>
            <w:shd w:val="clear" w:color="auto" w:fill="FFFFFF" w:themeFill="background1"/>
            <w:noWrap/>
            <w:hideMark/>
          </w:tcPr>
          <w:p w14:paraId="46DAD604"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-3,2</w:t>
            </w:r>
          </w:p>
        </w:tc>
        <w:tc>
          <w:tcPr>
            <w:tcW w:w="579" w:type="pct"/>
            <w:tcBorders>
              <w:top w:val="nil"/>
              <w:left w:val="nil"/>
              <w:bottom w:val="nil"/>
              <w:right w:val="nil"/>
            </w:tcBorders>
            <w:shd w:val="clear" w:color="auto" w:fill="FFFFFF" w:themeFill="background1"/>
            <w:noWrap/>
            <w:hideMark/>
          </w:tcPr>
          <w:p w14:paraId="54513DE1"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-0,3</w:t>
            </w:r>
          </w:p>
        </w:tc>
      </w:tr>
      <w:tr w:rsidR="007E770D" w:rsidRPr="007E770D" w14:paraId="1EF51CA2" w14:textId="77777777" w:rsidTr="00E4657F">
        <w:trPr>
          <w:cnfStyle w:val="000000100000" w:firstRow="0" w:lastRow="0" w:firstColumn="0" w:lastColumn="0" w:oddVBand="0" w:evenVBand="0" w:oddHBand="1" w:evenHBand="0" w:firstRowFirstColumn="0" w:firstRowLastColumn="0" w:lastRowFirstColumn="0" w:lastRowLastColumn="0"/>
          <w:trHeight w:hRule="exact" w:val="225"/>
        </w:trPr>
        <w:tc>
          <w:tcPr>
            <w:cnfStyle w:val="001000000000" w:firstRow="0" w:lastRow="0" w:firstColumn="1" w:lastColumn="0" w:oddVBand="0" w:evenVBand="0" w:oddHBand="0" w:evenHBand="0" w:firstRowFirstColumn="0" w:firstRowLastColumn="0" w:lastRowFirstColumn="0" w:lastRowLastColumn="0"/>
            <w:tcW w:w="372" w:type="pct"/>
            <w:tcBorders>
              <w:top w:val="nil"/>
              <w:bottom w:val="nil"/>
            </w:tcBorders>
            <w:shd w:val="clear" w:color="auto" w:fill="FFFFFF" w:themeFill="background1"/>
            <w:noWrap/>
            <w:hideMark/>
          </w:tcPr>
          <w:p w14:paraId="17231D65" w14:textId="77777777" w:rsidR="004044DC" w:rsidRPr="007E770D" w:rsidRDefault="004044DC" w:rsidP="00E4657F">
            <w:pPr>
              <w:shd w:val="clear" w:color="auto" w:fill="FFFFFF" w:themeFill="background1"/>
              <w:spacing w:line="276" w:lineRule="auto"/>
              <w:jc w:val="left"/>
              <w:rPr>
                <w:rFonts w:ascii="Calibri" w:hAnsi="Calibri" w:cs="Calibri"/>
                <w:b w:val="0"/>
                <w:color w:val="auto"/>
                <w:sz w:val="14"/>
                <w:szCs w:val="14"/>
                <w:lang w:val="sr-Cyrl-CS"/>
              </w:rPr>
            </w:pPr>
            <w:r w:rsidRPr="007E770D">
              <w:rPr>
                <w:rFonts w:ascii="Calibri" w:hAnsi="Calibri" w:cs="Calibri"/>
                <w:b w:val="0"/>
                <w:color w:val="auto"/>
                <w:sz w:val="14"/>
                <w:szCs w:val="14"/>
                <w:lang w:val="sr-Cyrl-CS"/>
              </w:rPr>
              <w:t>2011</w:t>
            </w:r>
          </w:p>
        </w:tc>
        <w:tc>
          <w:tcPr>
            <w:tcW w:w="587" w:type="pct"/>
            <w:tcBorders>
              <w:top w:val="nil"/>
              <w:bottom w:val="nil"/>
            </w:tcBorders>
            <w:shd w:val="clear" w:color="auto" w:fill="FFFFFF" w:themeFill="background1"/>
            <w:hideMark/>
          </w:tcPr>
          <w:p w14:paraId="392B6C21"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-4,5</w:t>
            </w:r>
          </w:p>
        </w:tc>
        <w:tc>
          <w:tcPr>
            <w:tcW w:w="615" w:type="pct"/>
            <w:tcBorders>
              <w:top w:val="nil"/>
              <w:bottom w:val="nil"/>
            </w:tcBorders>
            <w:shd w:val="clear" w:color="auto" w:fill="FFFFFF" w:themeFill="background1"/>
            <w:hideMark/>
          </w:tcPr>
          <w:p w14:paraId="51E00FEB"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-3,4</w:t>
            </w:r>
          </w:p>
        </w:tc>
        <w:tc>
          <w:tcPr>
            <w:tcW w:w="718" w:type="pct"/>
            <w:tcBorders>
              <w:top w:val="nil"/>
              <w:bottom w:val="nil"/>
            </w:tcBorders>
            <w:shd w:val="clear" w:color="auto" w:fill="FFFFFF" w:themeFill="background1"/>
            <w:hideMark/>
          </w:tcPr>
          <w:p w14:paraId="1BCF93B9"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0,2</w:t>
            </w:r>
          </w:p>
        </w:tc>
        <w:tc>
          <w:tcPr>
            <w:tcW w:w="737" w:type="pct"/>
            <w:tcBorders>
              <w:top w:val="nil"/>
              <w:bottom w:val="nil"/>
            </w:tcBorders>
            <w:shd w:val="clear" w:color="auto" w:fill="FFFFFF" w:themeFill="background1"/>
            <w:hideMark/>
          </w:tcPr>
          <w:p w14:paraId="0562E286"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-4,7</w:t>
            </w:r>
          </w:p>
        </w:tc>
        <w:tc>
          <w:tcPr>
            <w:tcW w:w="737" w:type="pct"/>
            <w:tcBorders>
              <w:top w:val="nil"/>
              <w:bottom w:val="nil"/>
            </w:tcBorders>
            <w:shd w:val="clear" w:color="auto" w:fill="FFFFFF" w:themeFill="background1"/>
            <w:hideMark/>
          </w:tcPr>
          <w:p w14:paraId="3D98D8A4"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-3,6</w:t>
            </w:r>
          </w:p>
        </w:tc>
        <w:tc>
          <w:tcPr>
            <w:tcW w:w="654" w:type="pct"/>
            <w:tcBorders>
              <w:top w:val="nil"/>
              <w:bottom w:val="nil"/>
            </w:tcBorders>
            <w:shd w:val="clear" w:color="auto" w:fill="FFFFFF" w:themeFill="background1"/>
            <w:noWrap/>
            <w:hideMark/>
          </w:tcPr>
          <w:p w14:paraId="2BBBDAA1"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-3,8</w:t>
            </w:r>
          </w:p>
        </w:tc>
        <w:tc>
          <w:tcPr>
            <w:tcW w:w="579" w:type="pct"/>
            <w:tcBorders>
              <w:top w:val="nil"/>
              <w:bottom w:val="nil"/>
            </w:tcBorders>
            <w:shd w:val="clear" w:color="auto" w:fill="FFFFFF" w:themeFill="background1"/>
            <w:noWrap/>
            <w:hideMark/>
          </w:tcPr>
          <w:p w14:paraId="60BF1E2A"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0,5</w:t>
            </w:r>
          </w:p>
        </w:tc>
      </w:tr>
      <w:tr w:rsidR="007E770D" w:rsidRPr="007E770D" w14:paraId="5001C24F" w14:textId="77777777" w:rsidTr="00E4657F">
        <w:trPr>
          <w:trHeight w:hRule="exact" w:val="225"/>
        </w:trPr>
        <w:tc>
          <w:tcPr>
            <w:cnfStyle w:val="001000000000" w:firstRow="0" w:lastRow="0" w:firstColumn="1" w:lastColumn="0" w:oddVBand="0" w:evenVBand="0" w:oddHBand="0" w:evenHBand="0" w:firstRowFirstColumn="0" w:firstRowLastColumn="0" w:lastRowFirstColumn="0" w:lastRowLastColumn="0"/>
            <w:tcW w:w="372" w:type="pct"/>
            <w:tcBorders>
              <w:top w:val="nil"/>
              <w:bottom w:val="nil"/>
            </w:tcBorders>
            <w:shd w:val="clear" w:color="auto" w:fill="FFFFFF" w:themeFill="background1"/>
            <w:noWrap/>
          </w:tcPr>
          <w:p w14:paraId="3C58317E" w14:textId="77777777" w:rsidR="004044DC" w:rsidRPr="007E770D" w:rsidRDefault="004044DC" w:rsidP="00E4657F">
            <w:pPr>
              <w:shd w:val="clear" w:color="auto" w:fill="FFFFFF" w:themeFill="background1"/>
              <w:spacing w:line="276" w:lineRule="auto"/>
              <w:jc w:val="left"/>
              <w:rPr>
                <w:rFonts w:ascii="Calibri" w:hAnsi="Calibri" w:cs="Calibri"/>
                <w:b w:val="0"/>
                <w:color w:val="auto"/>
                <w:sz w:val="14"/>
                <w:szCs w:val="14"/>
                <w:lang w:val="sr-Cyrl-CS"/>
              </w:rPr>
            </w:pPr>
            <w:r w:rsidRPr="007E770D">
              <w:rPr>
                <w:rFonts w:ascii="Calibri" w:hAnsi="Calibri" w:cs="Calibri"/>
                <w:b w:val="0"/>
                <w:color w:val="auto"/>
                <w:sz w:val="14"/>
                <w:szCs w:val="14"/>
                <w:lang w:val="sr-Cyrl-CS"/>
              </w:rPr>
              <w:t>2012</w:t>
            </w:r>
          </w:p>
          <w:p w14:paraId="1E6F82EC" w14:textId="77777777" w:rsidR="004044DC" w:rsidRPr="007E770D" w:rsidRDefault="004044DC" w:rsidP="00E4657F">
            <w:pPr>
              <w:shd w:val="clear" w:color="auto" w:fill="FFFFFF" w:themeFill="background1"/>
              <w:spacing w:line="276" w:lineRule="auto"/>
              <w:jc w:val="left"/>
              <w:rPr>
                <w:rFonts w:ascii="Calibri" w:hAnsi="Calibri" w:cs="Calibri"/>
                <w:b w:val="0"/>
                <w:color w:val="auto"/>
                <w:sz w:val="14"/>
                <w:szCs w:val="14"/>
                <w:lang w:val="sr-Cyrl-CS"/>
              </w:rPr>
            </w:pPr>
          </w:p>
        </w:tc>
        <w:tc>
          <w:tcPr>
            <w:tcW w:w="587" w:type="pct"/>
            <w:tcBorders>
              <w:top w:val="nil"/>
              <w:bottom w:val="nil"/>
            </w:tcBorders>
            <w:shd w:val="clear" w:color="auto" w:fill="FFFFFF" w:themeFill="background1"/>
          </w:tcPr>
          <w:p w14:paraId="36FE4A89"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-6,4</w:t>
            </w:r>
          </w:p>
        </w:tc>
        <w:tc>
          <w:tcPr>
            <w:tcW w:w="615" w:type="pct"/>
            <w:tcBorders>
              <w:top w:val="nil"/>
              <w:bottom w:val="nil"/>
            </w:tcBorders>
            <w:shd w:val="clear" w:color="auto" w:fill="FFFFFF" w:themeFill="background1"/>
          </w:tcPr>
          <w:p w14:paraId="547E4974"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-4,7</w:t>
            </w:r>
          </w:p>
        </w:tc>
        <w:tc>
          <w:tcPr>
            <w:tcW w:w="718" w:type="pct"/>
            <w:tcBorders>
              <w:top w:val="nil"/>
              <w:bottom w:val="nil"/>
            </w:tcBorders>
            <w:shd w:val="clear" w:color="auto" w:fill="FFFFFF" w:themeFill="background1"/>
          </w:tcPr>
          <w:p w14:paraId="0BD4BF43"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-0,3</w:t>
            </w:r>
          </w:p>
        </w:tc>
        <w:tc>
          <w:tcPr>
            <w:tcW w:w="737" w:type="pct"/>
            <w:tcBorders>
              <w:top w:val="nil"/>
              <w:bottom w:val="nil"/>
            </w:tcBorders>
            <w:shd w:val="clear" w:color="auto" w:fill="FFFFFF" w:themeFill="background1"/>
          </w:tcPr>
          <w:p w14:paraId="7BBA11D4"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-6,1</w:t>
            </w:r>
          </w:p>
        </w:tc>
        <w:tc>
          <w:tcPr>
            <w:tcW w:w="737" w:type="pct"/>
            <w:tcBorders>
              <w:top w:val="nil"/>
              <w:bottom w:val="nil"/>
            </w:tcBorders>
            <w:shd w:val="clear" w:color="auto" w:fill="FFFFFF" w:themeFill="background1"/>
          </w:tcPr>
          <w:p w14:paraId="2C4ADD77"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-4,4</w:t>
            </w:r>
          </w:p>
        </w:tc>
        <w:tc>
          <w:tcPr>
            <w:tcW w:w="654" w:type="pct"/>
            <w:tcBorders>
              <w:top w:val="nil"/>
              <w:bottom w:val="nil"/>
            </w:tcBorders>
            <w:shd w:val="clear" w:color="auto" w:fill="FFFFFF" w:themeFill="background1"/>
            <w:noWrap/>
          </w:tcPr>
          <w:p w14:paraId="4F1EE3FD"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-4,4</w:t>
            </w:r>
          </w:p>
        </w:tc>
        <w:tc>
          <w:tcPr>
            <w:tcW w:w="579" w:type="pct"/>
            <w:tcBorders>
              <w:top w:val="nil"/>
              <w:bottom w:val="nil"/>
            </w:tcBorders>
            <w:shd w:val="clear" w:color="auto" w:fill="FFFFFF" w:themeFill="background1"/>
            <w:noWrap/>
          </w:tcPr>
          <w:p w14:paraId="6F1D3EDE"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0,8</w:t>
            </w:r>
          </w:p>
        </w:tc>
      </w:tr>
      <w:tr w:rsidR="007E770D" w:rsidRPr="007E770D" w14:paraId="23CE4BC7" w14:textId="77777777" w:rsidTr="00E4657F">
        <w:trPr>
          <w:cnfStyle w:val="000000100000" w:firstRow="0" w:lastRow="0" w:firstColumn="0" w:lastColumn="0" w:oddVBand="0" w:evenVBand="0" w:oddHBand="1" w:evenHBand="0" w:firstRowFirstColumn="0" w:firstRowLastColumn="0" w:lastRowFirstColumn="0" w:lastRowLastColumn="0"/>
          <w:trHeight w:hRule="exact" w:val="225"/>
        </w:trPr>
        <w:tc>
          <w:tcPr>
            <w:cnfStyle w:val="001000000000" w:firstRow="0" w:lastRow="0" w:firstColumn="1" w:lastColumn="0" w:oddVBand="0" w:evenVBand="0" w:oddHBand="0" w:evenHBand="0" w:firstRowFirstColumn="0" w:firstRowLastColumn="0" w:lastRowFirstColumn="0" w:lastRowLastColumn="0"/>
            <w:tcW w:w="372" w:type="pct"/>
            <w:tcBorders>
              <w:top w:val="nil"/>
              <w:bottom w:val="nil"/>
            </w:tcBorders>
            <w:shd w:val="clear" w:color="auto" w:fill="FFFFFF" w:themeFill="background1"/>
            <w:noWrap/>
          </w:tcPr>
          <w:p w14:paraId="6E882DAF" w14:textId="77777777" w:rsidR="004044DC" w:rsidRPr="007E770D" w:rsidRDefault="004044DC" w:rsidP="00E4657F">
            <w:pPr>
              <w:shd w:val="clear" w:color="auto" w:fill="FFFFFF" w:themeFill="background1"/>
              <w:spacing w:line="276" w:lineRule="auto"/>
              <w:jc w:val="left"/>
              <w:rPr>
                <w:rFonts w:ascii="Calibri" w:hAnsi="Calibri" w:cs="Calibri"/>
                <w:b w:val="0"/>
                <w:color w:val="auto"/>
                <w:sz w:val="14"/>
                <w:szCs w:val="14"/>
                <w:lang w:val="sr-Cyrl-CS"/>
              </w:rPr>
            </w:pPr>
            <w:r w:rsidRPr="007E770D">
              <w:rPr>
                <w:rFonts w:ascii="Calibri" w:hAnsi="Calibri" w:cs="Calibri"/>
                <w:b w:val="0"/>
                <w:color w:val="auto"/>
                <w:sz w:val="14"/>
                <w:szCs w:val="14"/>
                <w:lang w:val="sr-Cyrl-CS"/>
              </w:rPr>
              <w:t>2013</w:t>
            </w:r>
          </w:p>
        </w:tc>
        <w:tc>
          <w:tcPr>
            <w:tcW w:w="587" w:type="pct"/>
            <w:tcBorders>
              <w:top w:val="nil"/>
              <w:bottom w:val="nil"/>
            </w:tcBorders>
            <w:shd w:val="clear" w:color="auto" w:fill="FFFFFF" w:themeFill="background1"/>
          </w:tcPr>
          <w:p w14:paraId="794D7C5F"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-5,1</w:t>
            </w:r>
          </w:p>
        </w:tc>
        <w:tc>
          <w:tcPr>
            <w:tcW w:w="615" w:type="pct"/>
            <w:tcBorders>
              <w:top w:val="nil"/>
              <w:bottom w:val="nil"/>
            </w:tcBorders>
            <w:shd w:val="clear" w:color="auto" w:fill="FFFFFF" w:themeFill="background1"/>
          </w:tcPr>
          <w:p w14:paraId="2CA934A2"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-3,0</w:t>
            </w:r>
          </w:p>
        </w:tc>
        <w:tc>
          <w:tcPr>
            <w:tcW w:w="718" w:type="pct"/>
            <w:tcBorders>
              <w:top w:val="nil"/>
              <w:bottom w:val="nil"/>
            </w:tcBorders>
            <w:shd w:val="clear" w:color="auto" w:fill="FFFFFF" w:themeFill="background1"/>
          </w:tcPr>
          <w:p w14:paraId="725508E2"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0,5</w:t>
            </w:r>
          </w:p>
        </w:tc>
        <w:tc>
          <w:tcPr>
            <w:tcW w:w="737" w:type="pct"/>
            <w:tcBorders>
              <w:top w:val="nil"/>
              <w:bottom w:val="nil"/>
            </w:tcBorders>
            <w:shd w:val="clear" w:color="auto" w:fill="FFFFFF" w:themeFill="background1"/>
          </w:tcPr>
          <w:p w14:paraId="4342C4BB"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-5,6</w:t>
            </w:r>
          </w:p>
        </w:tc>
        <w:tc>
          <w:tcPr>
            <w:tcW w:w="737" w:type="pct"/>
            <w:tcBorders>
              <w:top w:val="nil"/>
              <w:bottom w:val="nil"/>
            </w:tcBorders>
            <w:shd w:val="clear" w:color="auto" w:fill="FFFFFF" w:themeFill="background1"/>
          </w:tcPr>
          <w:p w14:paraId="738212DF"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-3,4</w:t>
            </w:r>
          </w:p>
        </w:tc>
        <w:tc>
          <w:tcPr>
            <w:tcW w:w="654" w:type="pct"/>
            <w:tcBorders>
              <w:top w:val="nil"/>
              <w:bottom w:val="nil"/>
            </w:tcBorders>
            <w:shd w:val="clear" w:color="auto" w:fill="FFFFFF" w:themeFill="background1"/>
            <w:noWrap/>
          </w:tcPr>
          <w:p w14:paraId="601AE627"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-3,2</w:t>
            </w:r>
          </w:p>
        </w:tc>
        <w:tc>
          <w:tcPr>
            <w:tcW w:w="579" w:type="pct"/>
            <w:tcBorders>
              <w:top w:val="nil"/>
              <w:bottom w:val="nil"/>
            </w:tcBorders>
            <w:shd w:val="clear" w:color="auto" w:fill="FFFFFF" w:themeFill="background1"/>
            <w:noWrap/>
          </w:tcPr>
          <w:p w14:paraId="02FC4ACD"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-1,0</w:t>
            </w:r>
          </w:p>
        </w:tc>
      </w:tr>
      <w:tr w:rsidR="007E770D" w:rsidRPr="007E770D" w14:paraId="0D5D992D" w14:textId="77777777" w:rsidTr="00E4657F">
        <w:trPr>
          <w:trHeight w:hRule="exact" w:val="225"/>
        </w:trPr>
        <w:tc>
          <w:tcPr>
            <w:cnfStyle w:val="001000000000" w:firstRow="0" w:lastRow="0" w:firstColumn="1" w:lastColumn="0" w:oddVBand="0" w:evenVBand="0" w:oddHBand="0" w:evenHBand="0" w:firstRowFirstColumn="0" w:firstRowLastColumn="0" w:lastRowFirstColumn="0" w:lastRowLastColumn="0"/>
            <w:tcW w:w="372" w:type="pct"/>
            <w:tcBorders>
              <w:top w:val="nil"/>
              <w:bottom w:val="nil"/>
            </w:tcBorders>
            <w:shd w:val="clear" w:color="auto" w:fill="FFFFFF" w:themeFill="background1"/>
            <w:noWrap/>
          </w:tcPr>
          <w:p w14:paraId="3C3DD8B4" w14:textId="77777777" w:rsidR="004044DC" w:rsidRPr="007E770D" w:rsidRDefault="004044DC" w:rsidP="00E4657F">
            <w:pPr>
              <w:shd w:val="clear" w:color="auto" w:fill="FFFFFF" w:themeFill="background1"/>
              <w:spacing w:line="276" w:lineRule="auto"/>
              <w:jc w:val="left"/>
              <w:rPr>
                <w:rFonts w:ascii="Calibri" w:hAnsi="Calibri" w:cs="Calibri"/>
                <w:b w:val="0"/>
                <w:color w:val="auto"/>
                <w:sz w:val="14"/>
                <w:szCs w:val="14"/>
                <w:lang w:val="sr-Cyrl-CS"/>
              </w:rPr>
            </w:pPr>
            <w:r w:rsidRPr="007E770D">
              <w:rPr>
                <w:rFonts w:ascii="Calibri" w:hAnsi="Calibri" w:cs="Calibri"/>
                <w:b w:val="0"/>
                <w:color w:val="auto"/>
                <w:sz w:val="14"/>
                <w:szCs w:val="14"/>
                <w:lang w:val="sr-Cyrl-CS"/>
              </w:rPr>
              <w:t>2014</w:t>
            </w:r>
          </w:p>
        </w:tc>
        <w:tc>
          <w:tcPr>
            <w:tcW w:w="587" w:type="pct"/>
            <w:tcBorders>
              <w:top w:val="nil"/>
              <w:bottom w:val="nil"/>
            </w:tcBorders>
            <w:shd w:val="clear" w:color="auto" w:fill="FFFFFF" w:themeFill="background1"/>
          </w:tcPr>
          <w:p w14:paraId="2BAF3FD8"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-6,2</w:t>
            </w:r>
          </w:p>
        </w:tc>
        <w:tc>
          <w:tcPr>
            <w:tcW w:w="615" w:type="pct"/>
            <w:tcBorders>
              <w:top w:val="nil"/>
              <w:bottom w:val="nil"/>
            </w:tcBorders>
            <w:shd w:val="clear" w:color="auto" w:fill="FFFFFF" w:themeFill="background1"/>
          </w:tcPr>
          <w:p w14:paraId="7D30FBC2"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-3,5</w:t>
            </w:r>
          </w:p>
        </w:tc>
        <w:tc>
          <w:tcPr>
            <w:tcW w:w="718" w:type="pct"/>
            <w:tcBorders>
              <w:top w:val="nil"/>
              <w:bottom w:val="nil"/>
            </w:tcBorders>
            <w:shd w:val="clear" w:color="auto" w:fill="FFFFFF" w:themeFill="background1"/>
          </w:tcPr>
          <w:p w14:paraId="5B374DD1"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-0,5</w:t>
            </w:r>
          </w:p>
        </w:tc>
        <w:tc>
          <w:tcPr>
            <w:tcW w:w="737" w:type="pct"/>
            <w:tcBorders>
              <w:top w:val="nil"/>
              <w:bottom w:val="nil"/>
            </w:tcBorders>
            <w:shd w:val="clear" w:color="auto" w:fill="FFFFFF" w:themeFill="background1"/>
          </w:tcPr>
          <w:p w14:paraId="73B12D01"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-5,7</w:t>
            </w:r>
          </w:p>
        </w:tc>
        <w:tc>
          <w:tcPr>
            <w:tcW w:w="737" w:type="pct"/>
            <w:tcBorders>
              <w:top w:val="nil"/>
              <w:bottom w:val="nil"/>
            </w:tcBorders>
            <w:shd w:val="clear" w:color="auto" w:fill="FFFFFF" w:themeFill="background1"/>
          </w:tcPr>
          <w:p w14:paraId="6F1876A6"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-3,0</w:t>
            </w:r>
          </w:p>
        </w:tc>
        <w:tc>
          <w:tcPr>
            <w:tcW w:w="654" w:type="pct"/>
            <w:tcBorders>
              <w:top w:val="nil"/>
              <w:bottom w:val="nil"/>
            </w:tcBorders>
            <w:shd w:val="clear" w:color="auto" w:fill="FFFFFF" w:themeFill="background1"/>
            <w:noWrap/>
          </w:tcPr>
          <w:p w14:paraId="188C9EBD"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-2,2</w:t>
            </w:r>
          </w:p>
        </w:tc>
        <w:tc>
          <w:tcPr>
            <w:tcW w:w="579" w:type="pct"/>
            <w:tcBorders>
              <w:top w:val="nil"/>
              <w:bottom w:val="nil"/>
            </w:tcBorders>
            <w:shd w:val="clear" w:color="auto" w:fill="FFFFFF" w:themeFill="background1"/>
            <w:noWrap/>
          </w:tcPr>
          <w:p w14:paraId="65B289CE"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-0,4</w:t>
            </w:r>
          </w:p>
        </w:tc>
      </w:tr>
      <w:tr w:rsidR="007E770D" w:rsidRPr="007E770D" w14:paraId="4FF8DCE7" w14:textId="77777777" w:rsidTr="00E4657F">
        <w:trPr>
          <w:cnfStyle w:val="000000100000" w:firstRow="0" w:lastRow="0" w:firstColumn="0" w:lastColumn="0" w:oddVBand="0" w:evenVBand="0" w:oddHBand="1" w:evenHBand="0" w:firstRowFirstColumn="0" w:firstRowLastColumn="0" w:lastRowFirstColumn="0" w:lastRowLastColumn="0"/>
          <w:trHeight w:hRule="exact" w:val="225"/>
        </w:trPr>
        <w:tc>
          <w:tcPr>
            <w:cnfStyle w:val="001000000000" w:firstRow="0" w:lastRow="0" w:firstColumn="1" w:lastColumn="0" w:oddVBand="0" w:evenVBand="0" w:oddHBand="0" w:evenHBand="0" w:firstRowFirstColumn="0" w:firstRowLastColumn="0" w:lastRowFirstColumn="0" w:lastRowLastColumn="0"/>
            <w:tcW w:w="372" w:type="pct"/>
            <w:tcBorders>
              <w:top w:val="nil"/>
              <w:bottom w:val="nil"/>
            </w:tcBorders>
            <w:shd w:val="clear" w:color="auto" w:fill="FFFFFF" w:themeFill="background1"/>
            <w:noWrap/>
          </w:tcPr>
          <w:p w14:paraId="5ACA180E" w14:textId="77777777" w:rsidR="004044DC" w:rsidRPr="007E770D" w:rsidRDefault="004044DC" w:rsidP="00E4657F">
            <w:pPr>
              <w:shd w:val="clear" w:color="auto" w:fill="FFFFFF" w:themeFill="background1"/>
              <w:spacing w:line="276" w:lineRule="auto"/>
              <w:jc w:val="left"/>
              <w:rPr>
                <w:rFonts w:ascii="Calibri" w:hAnsi="Calibri" w:cs="Calibri"/>
                <w:b w:val="0"/>
                <w:color w:val="auto"/>
                <w:sz w:val="14"/>
                <w:szCs w:val="14"/>
                <w:lang w:val="sr-Cyrl-CS"/>
              </w:rPr>
            </w:pPr>
            <w:r w:rsidRPr="007E770D">
              <w:rPr>
                <w:rFonts w:ascii="Calibri" w:hAnsi="Calibri" w:cs="Calibri"/>
                <w:b w:val="0"/>
                <w:color w:val="auto"/>
                <w:sz w:val="14"/>
                <w:szCs w:val="14"/>
                <w:lang w:val="sr-Cyrl-CS"/>
              </w:rPr>
              <w:t>2015</w:t>
            </w:r>
          </w:p>
        </w:tc>
        <w:tc>
          <w:tcPr>
            <w:tcW w:w="587" w:type="pct"/>
            <w:tcBorders>
              <w:top w:val="nil"/>
              <w:bottom w:val="nil"/>
            </w:tcBorders>
            <w:shd w:val="clear" w:color="auto" w:fill="FFFFFF" w:themeFill="background1"/>
          </w:tcPr>
          <w:p w14:paraId="1609C095"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-3,5</w:t>
            </w:r>
          </w:p>
        </w:tc>
        <w:tc>
          <w:tcPr>
            <w:tcW w:w="615" w:type="pct"/>
            <w:tcBorders>
              <w:top w:val="nil"/>
              <w:bottom w:val="nil"/>
            </w:tcBorders>
            <w:shd w:val="clear" w:color="auto" w:fill="FFFFFF" w:themeFill="background1"/>
          </w:tcPr>
          <w:p w14:paraId="0F2DD266"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-0,4</w:t>
            </w:r>
          </w:p>
        </w:tc>
        <w:tc>
          <w:tcPr>
            <w:tcW w:w="718" w:type="pct"/>
            <w:tcBorders>
              <w:top w:val="nil"/>
              <w:bottom w:val="nil"/>
            </w:tcBorders>
            <w:shd w:val="clear" w:color="auto" w:fill="FFFFFF" w:themeFill="background1"/>
          </w:tcPr>
          <w:p w14:paraId="6BED445B"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-0,4</w:t>
            </w:r>
          </w:p>
        </w:tc>
        <w:tc>
          <w:tcPr>
            <w:tcW w:w="737" w:type="pct"/>
            <w:tcBorders>
              <w:top w:val="nil"/>
              <w:bottom w:val="nil"/>
            </w:tcBorders>
            <w:shd w:val="clear" w:color="auto" w:fill="FFFFFF" w:themeFill="background1"/>
          </w:tcPr>
          <w:p w14:paraId="086444D5"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-3,0</w:t>
            </w:r>
          </w:p>
        </w:tc>
        <w:tc>
          <w:tcPr>
            <w:tcW w:w="737" w:type="pct"/>
            <w:tcBorders>
              <w:top w:val="nil"/>
              <w:bottom w:val="nil"/>
            </w:tcBorders>
            <w:shd w:val="clear" w:color="auto" w:fill="FFFFFF" w:themeFill="background1"/>
          </w:tcPr>
          <w:p w14:paraId="09B156E8"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-0,1</w:t>
            </w:r>
          </w:p>
        </w:tc>
        <w:tc>
          <w:tcPr>
            <w:tcW w:w="654" w:type="pct"/>
            <w:tcBorders>
              <w:top w:val="nil"/>
              <w:bottom w:val="nil"/>
            </w:tcBorders>
            <w:shd w:val="clear" w:color="auto" w:fill="FFFFFF" w:themeFill="background1"/>
            <w:noWrap/>
          </w:tcPr>
          <w:p w14:paraId="735FA63E"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0,6</w:t>
            </w:r>
          </w:p>
        </w:tc>
        <w:tc>
          <w:tcPr>
            <w:tcW w:w="579" w:type="pct"/>
            <w:tcBorders>
              <w:top w:val="nil"/>
              <w:bottom w:val="nil"/>
            </w:tcBorders>
            <w:shd w:val="clear" w:color="auto" w:fill="FFFFFF" w:themeFill="background1"/>
            <w:noWrap/>
          </w:tcPr>
          <w:p w14:paraId="37799FEB"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-3,0</w:t>
            </w:r>
          </w:p>
        </w:tc>
      </w:tr>
      <w:tr w:rsidR="007E770D" w:rsidRPr="007E770D" w14:paraId="0508AA45" w14:textId="77777777" w:rsidTr="00E4657F">
        <w:trPr>
          <w:trHeight w:hRule="exact" w:val="225"/>
        </w:trPr>
        <w:tc>
          <w:tcPr>
            <w:cnfStyle w:val="001000000000" w:firstRow="0" w:lastRow="0" w:firstColumn="1" w:lastColumn="0" w:oddVBand="0" w:evenVBand="0" w:oddHBand="0" w:evenHBand="0" w:firstRowFirstColumn="0" w:firstRowLastColumn="0" w:lastRowFirstColumn="0" w:lastRowLastColumn="0"/>
            <w:tcW w:w="372" w:type="pct"/>
            <w:tcBorders>
              <w:top w:val="nil"/>
              <w:bottom w:val="nil"/>
            </w:tcBorders>
            <w:shd w:val="clear" w:color="auto" w:fill="FFFFFF" w:themeFill="background1"/>
            <w:noWrap/>
          </w:tcPr>
          <w:p w14:paraId="193F5E4A" w14:textId="77777777" w:rsidR="004044DC" w:rsidRPr="007E770D" w:rsidRDefault="004044DC" w:rsidP="00E4657F">
            <w:pPr>
              <w:shd w:val="clear" w:color="auto" w:fill="FFFFFF" w:themeFill="background1"/>
              <w:spacing w:line="276" w:lineRule="auto"/>
              <w:jc w:val="left"/>
              <w:rPr>
                <w:rFonts w:ascii="Calibri" w:hAnsi="Calibri" w:cs="Calibri"/>
                <w:b w:val="0"/>
                <w:color w:val="auto"/>
                <w:sz w:val="14"/>
                <w:szCs w:val="14"/>
                <w:lang w:val="sr-Cyrl-CS"/>
              </w:rPr>
            </w:pPr>
            <w:r w:rsidRPr="007E770D">
              <w:rPr>
                <w:rFonts w:ascii="Calibri" w:hAnsi="Calibri" w:cs="Calibri"/>
                <w:b w:val="0"/>
                <w:color w:val="auto"/>
                <w:sz w:val="14"/>
                <w:szCs w:val="14"/>
                <w:lang w:val="sr-Cyrl-CS"/>
              </w:rPr>
              <w:t>2016</w:t>
            </w:r>
          </w:p>
        </w:tc>
        <w:tc>
          <w:tcPr>
            <w:tcW w:w="587" w:type="pct"/>
            <w:tcBorders>
              <w:top w:val="nil"/>
              <w:bottom w:val="nil"/>
            </w:tcBorders>
            <w:shd w:val="clear" w:color="auto" w:fill="FFFFFF" w:themeFill="background1"/>
          </w:tcPr>
          <w:p w14:paraId="2F110497"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-1,2</w:t>
            </w:r>
          </w:p>
        </w:tc>
        <w:tc>
          <w:tcPr>
            <w:tcW w:w="615" w:type="pct"/>
            <w:tcBorders>
              <w:top w:val="nil"/>
              <w:bottom w:val="nil"/>
            </w:tcBorders>
            <w:shd w:val="clear" w:color="auto" w:fill="FFFFFF" w:themeFill="background1"/>
          </w:tcPr>
          <w:p w14:paraId="3AE9E82D"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1,7</w:t>
            </w:r>
          </w:p>
        </w:tc>
        <w:tc>
          <w:tcPr>
            <w:tcW w:w="718" w:type="pct"/>
            <w:tcBorders>
              <w:top w:val="nil"/>
              <w:bottom w:val="nil"/>
            </w:tcBorders>
            <w:shd w:val="clear" w:color="auto" w:fill="FFFFFF" w:themeFill="background1"/>
          </w:tcPr>
          <w:p w14:paraId="3A7CDF97"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0,0</w:t>
            </w:r>
          </w:p>
        </w:tc>
        <w:tc>
          <w:tcPr>
            <w:tcW w:w="737" w:type="pct"/>
            <w:tcBorders>
              <w:top w:val="nil"/>
              <w:bottom w:val="nil"/>
            </w:tcBorders>
            <w:shd w:val="clear" w:color="auto" w:fill="FFFFFF" w:themeFill="background1"/>
          </w:tcPr>
          <w:p w14:paraId="639A6424"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-1,2</w:t>
            </w:r>
          </w:p>
        </w:tc>
        <w:tc>
          <w:tcPr>
            <w:tcW w:w="737" w:type="pct"/>
            <w:tcBorders>
              <w:top w:val="nil"/>
              <w:bottom w:val="nil"/>
            </w:tcBorders>
            <w:shd w:val="clear" w:color="auto" w:fill="FFFFFF" w:themeFill="background1"/>
          </w:tcPr>
          <w:p w14:paraId="3500B370"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1,7</w:t>
            </w:r>
          </w:p>
        </w:tc>
        <w:tc>
          <w:tcPr>
            <w:tcW w:w="654" w:type="pct"/>
            <w:tcBorders>
              <w:top w:val="nil"/>
              <w:bottom w:val="nil"/>
            </w:tcBorders>
            <w:shd w:val="clear" w:color="auto" w:fill="FFFFFF" w:themeFill="background1"/>
            <w:noWrap/>
          </w:tcPr>
          <w:p w14:paraId="76F09AEA"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1,8</w:t>
            </w:r>
          </w:p>
        </w:tc>
        <w:tc>
          <w:tcPr>
            <w:tcW w:w="579" w:type="pct"/>
            <w:tcBorders>
              <w:top w:val="nil"/>
              <w:bottom w:val="nil"/>
            </w:tcBorders>
            <w:shd w:val="clear" w:color="auto" w:fill="FFFFFF" w:themeFill="background1"/>
            <w:noWrap/>
          </w:tcPr>
          <w:p w14:paraId="0773EAF0"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-1,8</w:t>
            </w:r>
          </w:p>
        </w:tc>
      </w:tr>
      <w:tr w:rsidR="007E770D" w:rsidRPr="007E770D" w14:paraId="13340479" w14:textId="77777777" w:rsidTr="00E4657F">
        <w:trPr>
          <w:cnfStyle w:val="000000100000" w:firstRow="0" w:lastRow="0" w:firstColumn="0" w:lastColumn="0" w:oddVBand="0" w:evenVBand="0" w:oddHBand="1" w:evenHBand="0" w:firstRowFirstColumn="0" w:firstRowLastColumn="0" w:lastRowFirstColumn="0" w:lastRowLastColumn="0"/>
          <w:trHeight w:hRule="exact" w:val="225"/>
        </w:trPr>
        <w:tc>
          <w:tcPr>
            <w:cnfStyle w:val="001000000000" w:firstRow="0" w:lastRow="0" w:firstColumn="1" w:lastColumn="0" w:oddVBand="0" w:evenVBand="0" w:oddHBand="0" w:evenHBand="0" w:firstRowFirstColumn="0" w:firstRowLastColumn="0" w:lastRowFirstColumn="0" w:lastRowLastColumn="0"/>
            <w:tcW w:w="372" w:type="pct"/>
            <w:tcBorders>
              <w:top w:val="nil"/>
              <w:bottom w:val="nil"/>
            </w:tcBorders>
            <w:shd w:val="clear" w:color="auto" w:fill="FFFFFF" w:themeFill="background1"/>
            <w:noWrap/>
          </w:tcPr>
          <w:p w14:paraId="3878CB92" w14:textId="77777777" w:rsidR="004044DC" w:rsidRPr="007E770D" w:rsidRDefault="004044DC" w:rsidP="00E4657F">
            <w:pPr>
              <w:shd w:val="clear" w:color="auto" w:fill="FFFFFF" w:themeFill="background1"/>
              <w:spacing w:line="276" w:lineRule="auto"/>
              <w:jc w:val="left"/>
              <w:rPr>
                <w:rFonts w:ascii="Calibri" w:hAnsi="Calibri" w:cs="Calibri"/>
                <w:b w:val="0"/>
                <w:color w:val="auto"/>
                <w:sz w:val="14"/>
                <w:szCs w:val="14"/>
                <w:lang w:val="sr-Cyrl-CS"/>
              </w:rPr>
            </w:pPr>
            <w:r w:rsidRPr="007E770D">
              <w:rPr>
                <w:rFonts w:ascii="Calibri" w:hAnsi="Calibri" w:cs="Calibri"/>
                <w:b w:val="0"/>
                <w:color w:val="auto"/>
                <w:sz w:val="14"/>
                <w:szCs w:val="14"/>
                <w:lang w:val="sr-Cyrl-CS"/>
              </w:rPr>
              <w:t>2017</w:t>
            </w:r>
          </w:p>
        </w:tc>
        <w:tc>
          <w:tcPr>
            <w:tcW w:w="587" w:type="pct"/>
            <w:tcBorders>
              <w:top w:val="nil"/>
              <w:bottom w:val="nil"/>
            </w:tcBorders>
            <w:shd w:val="clear" w:color="auto" w:fill="FFFFFF" w:themeFill="background1"/>
          </w:tcPr>
          <w:p w14:paraId="0D2663DA"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1,1</w:t>
            </w:r>
          </w:p>
        </w:tc>
        <w:tc>
          <w:tcPr>
            <w:tcW w:w="615" w:type="pct"/>
            <w:tcBorders>
              <w:top w:val="nil"/>
              <w:bottom w:val="nil"/>
            </w:tcBorders>
            <w:shd w:val="clear" w:color="auto" w:fill="FFFFFF" w:themeFill="background1"/>
          </w:tcPr>
          <w:p w14:paraId="14D1646F"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3,6</w:t>
            </w:r>
          </w:p>
        </w:tc>
        <w:tc>
          <w:tcPr>
            <w:tcW w:w="718" w:type="pct"/>
            <w:tcBorders>
              <w:top w:val="nil"/>
              <w:bottom w:val="nil"/>
            </w:tcBorders>
            <w:shd w:val="clear" w:color="auto" w:fill="FFFFFF" w:themeFill="background1"/>
          </w:tcPr>
          <w:p w14:paraId="4006BFAE"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-0,2</w:t>
            </w:r>
          </w:p>
        </w:tc>
        <w:tc>
          <w:tcPr>
            <w:tcW w:w="737" w:type="pct"/>
            <w:tcBorders>
              <w:top w:val="nil"/>
              <w:bottom w:val="nil"/>
            </w:tcBorders>
            <w:shd w:val="clear" w:color="auto" w:fill="FFFFFF" w:themeFill="background1"/>
          </w:tcPr>
          <w:p w14:paraId="5DF44961"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1,3</w:t>
            </w:r>
          </w:p>
        </w:tc>
        <w:tc>
          <w:tcPr>
            <w:tcW w:w="737" w:type="pct"/>
            <w:tcBorders>
              <w:top w:val="nil"/>
              <w:bottom w:val="nil"/>
            </w:tcBorders>
            <w:shd w:val="clear" w:color="auto" w:fill="FFFFFF" w:themeFill="background1"/>
          </w:tcPr>
          <w:p w14:paraId="7FAFFFE7"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3,9</w:t>
            </w:r>
          </w:p>
        </w:tc>
        <w:tc>
          <w:tcPr>
            <w:tcW w:w="654" w:type="pct"/>
            <w:tcBorders>
              <w:top w:val="nil"/>
              <w:bottom w:val="nil"/>
            </w:tcBorders>
            <w:shd w:val="clear" w:color="auto" w:fill="FFFFFF" w:themeFill="background1"/>
            <w:noWrap/>
          </w:tcPr>
          <w:p w14:paraId="1DF92FD0"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3,7</w:t>
            </w:r>
          </w:p>
        </w:tc>
        <w:tc>
          <w:tcPr>
            <w:tcW w:w="579" w:type="pct"/>
            <w:tcBorders>
              <w:top w:val="nil"/>
              <w:bottom w:val="nil"/>
            </w:tcBorders>
            <w:shd w:val="clear" w:color="auto" w:fill="FFFFFF" w:themeFill="background1"/>
            <w:noWrap/>
          </w:tcPr>
          <w:p w14:paraId="7BAC11CE"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-2,2</w:t>
            </w:r>
          </w:p>
        </w:tc>
      </w:tr>
      <w:tr w:rsidR="007E770D" w:rsidRPr="007E770D" w14:paraId="39808B6C" w14:textId="77777777" w:rsidTr="00E4657F">
        <w:trPr>
          <w:trHeight w:hRule="exact" w:val="225"/>
        </w:trPr>
        <w:tc>
          <w:tcPr>
            <w:cnfStyle w:val="001000000000" w:firstRow="0" w:lastRow="0" w:firstColumn="1" w:lastColumn="0" w:oddVBand="0" w:evenVBand="0" w:oddHBand="0" w:evenHBand="0" w:firstRowFirstColumn="0" w:firstRowLastColumn="0" w:lastRowFirstColumn="0" w:lastRowLastColumn="0"/>
            <w:tcW w:w="372" w:type="pct"/>
            <w:tcBorders>
              <w:top w:val="nil"/>
              <w:bottom w:val="nil"/>
            </w:tcBorders>
            <w:shd w:val="clear" w:color="auto" w:fill="FFFFFF" w:themeFill="background1"/>
            <w:noWrap/>
          </w:tcPr>
          <w:p w14:paraId="4D9C5A84" w14:textId="77777777" w:rsidR="004044DC" w:rsidRPr="007E770D" w:rsidRDefault="004044DC" w:rsidP="00E4657F">
            <w:pPr>
              <w:shd w:val="clear" w:color="auto" w:fill="FFFFFF" w:themeFill="background1"/>
              <w:spacing w:line="276" w:lineRule="auto"/>
              <w:jc w:val="left"/>
              <w:rPr>
                <w:rFonts w:ascii="Calibri" w:hAnsi="Calibri" w:cs="Calibri"/>
                <w:b w:val="0"/>
                <w:color w:val="auto"/>
                <w:sz w:val="14"/>
                <w:szCs w:val="14"/>
                <w:lang w:val="sr-Cyrl-CS"/>
              </w:rPr>
            </w:pPr>
            <w:r w:rsidRPr="007E770D">
              <w:rPr>
                <w:rFonts w:ascii="Calibri" w:hAnsi="Calibri" w:cs="Calibri"/>
                <w:b w:val="0"/>
                <w:color w:val="auto"/>
                <w:sz w:val="14"/>
                <w:szCs w:val="14"/>
                <w:lang w:val="sr-Cyrl-CS"/>
              </w:rPr>
              <w:t>2018</w:t>
            </w:r>
          </w:p>
        </w:tc>
        <w:tc>
          <w:tcPr>
            <w:tcW w:w="587" w:type="pct"/>
            <w:tcBorders>
              <w:top w:val="nil"/>
              <w:bottom w:val="nil"/>
            </w:tcBorders>
            <w:shd w:val="clear" w:color="auto" w:fill="FFFFFF" w:themeFill="background1"/>
          </w:tcPr>
          <w:p w14:paraId="02495B84"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0,6</w:t>
            </w:r>
          </w:p>
        </w:tc>
        <w:tc>
          <w:tcPr>
            <w:tcW w:w="615" w:type="pct"/>
            <w:tcBorders>
              <w:top w:val="nil"/>
              <w:bottom w:val="nil"/>
            </w:tcBorders>
            <w:shd w:val="clear" w:color="auto" w:fill="FFFFFF" w:themeFill="background1"/>
          </w:tcPr>
          <w:p w14:paraId="53487719"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2,7</w:t>
            </w:r>
          </w:p>
        </w:tc>
        <w:tc>
          <w:tcPr>
            <w:tcW w:w="718" w:type="pct"/>
            <w:tcBorders>
              <w:top w:val="nil"/>
              <w:bottom w:val="nil"/>
            </w:tcBorders>
            <w:shd w:val="clear" w:color="auto" w:fill="FFFFFF" w:themeFill="background1"/>
          </w:tcPr>
          <w:p w14:paraId="1E0DD101"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0,1</w:t>
            </w:r>
          </w:p>
        </w:tc>
        <w:tc>
          <w:tcPr>
            <w:tcW w:w="737" w:type="pct"/>
            <w:tcBorders>
              <w:top w:val="nil"/>
              <w:bottom w:val="nil"/>
            </w:tcBorders>
            <w:shd w:val="clear" w:color="auto" w:fill="FFFFFF" w:themeFill="background1"/>
          </w:tcPr>
          <w:p w14:paraId="1317D275"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0,5</w:t>
            </w:r>
          </w:p>
        </w:tc>
        <w:tc>
          <w:tcPr>
            <w:tcW w:w="737" w:type="pct"/>
            <w:tcBorders>
              <w:top w:val="nil"/>
              <w:bottom w:val="nil"/>
            </w:tcBorders>
            <w:shd w:val="clear" w:color="auto" w:fill="FFFFFF" w:themeFill="background1"/>
          </w:tcPr>
          <w:p w14:paraId="13F183BC"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2,6</w:t>
            </w:r>
          </w:p>
        </w:tc>
        <w:tc>
          <w:tcPr>
            <w:tcW w:w="654" w:type="pct"/>
            <w:tcBorders>
              <w:top w:val="nil"/>
              <w:bottom w:val="nil"/>
            </w:tcBorders>
            <w:shd w:val="clear" w:color="auto" w:fill="FFFFFF" w:themeFill="background1"/>
            <w:noWrap/>
          </w:tcPr>
          <w:p w14:paraId="335783BC"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2,5</w:t>
            </w:r>
          </w:p>
        </w:tc>
        <w:tc>
          <w:tcPr>
            <w:tcW w:w="579" w:type="pct"/>
            <w:tcBorders>
              <w:top w:val="nil"/>
              <w:bottom w:val="nil"/>
            </w:tcBorders>
            <w:shd w:val="clear" w:color="auto" w:fill="FFFFFF" w:themeFill="background1"/>
            <w:noWrap/>
          </w:tcPr>
          <w:p w14:paraId="3F65A53A"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1,3</w:t>
            </w:r>
          </w:p>
        </w:tc>
      </w:tr>
      <w:tr w:rsidR="007E770D" w:rsidRPr="007E770D" w14:paraId="0E765CE7" w14:textId="77777777" w:rsidTr="00E4657F">
        <w:trPr>
          <w:cnfStyle w:val="000000100000" w:firstRow="0" w:lastRow="0" w:firstColumn="0" w:lastColumn="0" w:oddVBand="0" w:evenVBand="0" w:oddHBand="1" w:evenHBand="0" w:firstRowFirstColumn="0" w:firstRowLastColumn="0" w:lastRowFirstColumn="0" w:lastRowLastColumn="0"/>
          <w:trHeight w:hRule="exact" w:val="225"/>
        </w:trPr>
        <w:tc>
          <w:tcPr>
            <w:cnfStyle w:val="001000000000" w:firstRow="0" w:lastRow="0" w:firstColumn="1" w:lastColumn="0" w:oddVBand="0" w:evenVBand="0" w:oddHBand="0" w:evenHBand="0" w:firstRowFirstColumn="0" w:firstRowLastColumn="0" w:lastRowFirstColumn="0" w:lastRowLastColumn="0"/>
            <w:tcW w:w="372" w:type="pct"/>
            <w:tcBorders>
              <w:top w:val="nil"/>
              <w:bottom w:val="nil"/>
            </w:tcBorders>
            <w:shd w:val="clear" w:color="auto" w:fill="FFFFFF" w:themeFill="background1"/>
            <w:noWrap/>
          </w:tcPr>
          <w:p w14:paraId="1371708D" w14:textId="77777777" w:rsidR="004044DC" w:rsidRPr="007E770D" w:rsidRDefault="004044DC" w:rsidP="00E4657F">
            <w:pPr>
              <w:shd w:val="clear" w:color="auto" w:fill="FFFFFF" w:themeFill="background1"/>
              <w:spacing w:line="276" w:lineRule="auto"/>
              <w:jc w:val="left"/>
              <w:rPr>
                <w:rFonts w:ascii="Calibri" w:hAnsi="Calibri" w:cs="Calibri"/>
                <w:b w:val="0"/>
                <w:color w:val="auto"/>
                <w:sz w:val="14"/>
                <w:szCs w:val="14"/>
                <w:lang w:val="sr-Cyrl-CS"/>
              </w:rPr>
            </w:pPr>
            <w:r w:rsidRPr="007E770D">
              <w:rPr>
                <w:rFonts w:ascii="Calibri" w:hAnsi="Calibri" w:cs="Calibri"/>
                <w:b w:val="0"/>
                <w:color w:val="auto"/>
                <w:sz w:val="14"/>
                <w:szCs w:val="14"/>
                <w:lang w:val="sr-Cyrl-CS"/>
              </w:rPr>
              <w:t>2019</w:t>
            </w:r>
          </w:p>
          <w:p w14:paraId="01F77B30" w14:textId="77777777" w:rsidR="004044DC" w:rsidRPr="007E770D" w:rsidRDefault="004044DC" w:rsidP="00E4657F">
            <w:pPr>
              <w:shd w:val="clear" w:color="auto" w:fill="FFFFFF" w:themeFill="background1"/>
              <w:spacing w:line="276" w:lineRule="auto"/>
              <w:jc w:val="left"/>
              <w:rPr>
                <w:rFonts w:ascii="Calibri" w:hAnsi="Calibri" w:cs="Calibri"/>
                <w:b w:val="0"/>
                <w:color w:val="auto"/>
                <w:sz w:val="14"/>
                <w:szCs w:val="14"/>
                <w:lang w:val="sr-Cyrl-CS"/>
              </w:rPr>
            </w:pPr>
          </w:p>
        </w:tc>
        <w:tc>
          <w:tcPr>
            <w:tcW w:w="587" w:type="pct"/>
            <w:tcBorders>
              <w:top w:val="nil"/>
              <w:bottom w:val="nil"/>
            </w:tcBorders>
            <w:shd w:val="clear" w:color="auto" w:fill="FFFFFF" w:themeFill="background1"/>
          </w:tcPr>
          <w:p w14:paraId="0E3D8920"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-0,5</w:t>
            </w:r>
          </w:p>
        </w:tc>
        <w:tc>
          <w:tcPr>
            <w:tcW w:w="615" w:type="pct"/>
            <w:tcBorders>
              <w:top w:val="nil"/>
              <w:bottom w:val="nil"/>
            </w:tcBorders>
            <w:shd w:val="clear" w:color="auto" w:fill="FFFFFF" w:themeFill="background1"/>
          </w:tcPr>
          <w:p w14:paraId="69C25C4D"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1,6</w:t>
            </w:r>
          </w:p>
        </w:tc>
        <w:tc>
          <w:tcPr>
            <w:tcW w:w="718" w:type="pct"/>
            <w:tcBorders>
              <w:top w:val="nil"/>
              <w:bottom w:val="nil"/>
            </w:tcBorders>
            <w:shd w:val="clear" w:color="auto" w:fill="FFFFFF" w:themeFill="background1"/>
          </w:tcPr>
          <w:p w14:paraId="605BF859"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0,1</w:t>
            </w:r>
          </w:p>
        </w:tc>
        <w:tc>
          <w:tcPr>
            <w:tcW w:w="737" w:type="pct"/>
            <w:tcBorders>
              <w:top w:val="nil"/>
              <w:bottom w:val="nil"/>
            </w:tcBorders>
            <w:shd w:val="clear" w:color="auto" w:fill="FFFFFF" w:themeFill="background1"/>
          </w:tcPr>
          <w:p w14:paraId="43534A45"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-0,6</w:t>
            </w:r>
          </w:p>
        </w:tc>
        <w:tc>
          <w:tcPr>
            <w:tcW w:w="737" w:type="pct"/>
            <w:tcBorders>
              <w:top w:val="nil"/>
              <w:bottom w:val="nil"/>
            </w:tcBorders>
            <w:shd w:val="clear" w:color="auto" w:fill="FFFFFF" w:themeFill="background1"/>
          </w:tcPr>
          <w:p w14:paraId="6D550E08"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1,5</w:t>
            </w:r>
          </w:p>
        </w:tc>
        <w:tc>
          <w:tcPr>
            <w:tcW w:w="654" w:type="pct"/>
            <w:tcBorders>
              <w:top w:val="nil"/>
              <w:bottom w:val="nil"/>
            </w:tcBorders>
            <w:shd w:val="clear" w:color="auto" w:fill="FFFFFF" w:themeFill="background1"/>
            <w:noWrap/>
          </w:tcPr>
          <w:p w14:paraId="7308485B"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1,4</w:t>
            </w:r>
          </w:p>
        </w:tc>
        <w:tc>
          <w:tcPr>
            <w:tcW w:w="579" w:type="pct"/>
            <w:tcBorders>
              <w:top w:val="nil"/>
              <w:bottom w:val="nil"/>
            </w:tcBorders>
            <w:shd w:val="clear" w:color="auto" w:fill="FFFFFF" w:themeFill="background1"/>
            <w:noWrap/>
          </w:tcPr>
          <w:p w14:paraId="1FCCCA37"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1,1</w:t>
            </w:r>
          </w:p>
        </w:tc>
      </w:tr>
      <w:tr w:rsidR="007E770D" w:rsidRPr="007E770D" w14:paraId="727F5C62" w14:textId="77777777" w:rsidTr="00E4657F">
        <w:trPr>
          <w:trHeight w:hRule="exact" w:val="225"/>
        </w:trPr>
        <w:tc>
          <w:tcPr>
            <w:cnfStyle w:val="001000000000" w:firstRow="0" w:lastRow="0" w:firstColumn="1" w:lastColumn="0" w:oddVBand="0" w:evenVBand="0" w:oddHBand="0" w:evenHBand="0" w:firstRowFirstColumn="0" w:firstRowLastColumn="0" w:lastRowFirstColumn="0" w:lastRowLastColumn="0"/>
            <w:tcW w:w="372" w:type="pct"/>
            <w:tcBorders>
              <w:top w:val="nil"/>
              <w:bottom w:val="nil"/>
            </w:tcBorders>
            <w:shd w:val="clear" w:color="auto" w:fill="FFFFFF" w:themeFill="background1"/>
            <w:noWrap/>
          </w:tcPr>
          <w:p w14:paraId="6DD6B0E1" w14:textId="77777777" w:rsidR="004044DC" w:rsidRPr="007E770D" w:rsidRDefault="004044DC" w:rsidP="00E4657F">
            <w:pPr>
              <w:shd w:val="clear" w:color="auto" w:fill="FFFFFF" w:themeFill="background1"/>
              <w:spacing w:line="276" w:lineRule="auto"/>
              <w:jc w:val="left"/>
              <w:rPr>
                <w:rFonts w:ascii="Calibri" w:hAnsi="Calibri" w:cs="Calibri"/>
                <w:b w:val="0"/>
                <w:color w:val="auto"/>
                <w:sz w:val="14"/>
                <w:szCs w:val="14"/>
                <w:lang w:val="sr-Cyrl-CS"/>
              </w:rPr>
            </w:pPr>
            <w:r w:rsidRPr="007E770D">
              <w:rPr>
                <w:rFonts w:ascii="Calibri" w:hAnsi="Calibri" w:cs="Calibri"/>
                <w:b w:val="0"/>
                <w:color w:val="auto"/>
                <w:sz w:val="14"/>
                <w:szCs w:val="14"/>
                <w:lang w:val="sr-Cyrl-CS"/>
              </w:rPr>
              <w:t>2020</w:t>
            </w:r>
          </w:p>
          <w:p w14:paraId="604C92F6" w14:textId="77777777" w:rsidR="004044DC" w:rsidRPr="007E770D" w:rsidRDefault="004044DC" w:rsidP="00E4657F">
            <w:pPr>
              <w:shd w:val="clear" w:color="auto" w:fill="FFFFFF" w:themeFill="background1"/>
              <w:spacing w:line="276" w:lineRule="auto"/>
              <w:jc w:val="left"/>
              <w:rPr>
                <w:rFonts w:ascii="Calibri" w:hAnsi="Calibri" w:cs="Calibri"/>
                <w:b w:val="0"/>
                <w:color w:val="auto"/>
                <w:sz w:val="14"/>
                <w:szCs w:val="14"/>
                <w:lang w:val="sr-Cyrl-CS"/>
              </w:rPr>
            </w:pPr>
            <w:r w:rsidRPr="007E770D">
              <w:rPr>
                <w:rFonts w:ascii="Calibri" w:hAnsi="Calibri" w:cs="Calibri"/>
                <w:b w:val="0"/>
                <w:color w:val="auto"/>
                <w:sz w:val="14"/>
                <w:szCs w:val="14"/>
                <w:lang w:val="sr-Cyrl-CS"/>
              </w:rPr>
              <w:t>2021</w:t>
            </w:r>
          </w:p>
          <w:p w14:paraId="74AEBE82" w14:textId="77777777" w:rsidR="004044DC" w:rsidRPr="007E770D" w:rsidRDefault="004044DC" w:rsidP="00E4657F">
            <w:pPr>
              <w:shd w:val="clear" w:color="auto" w:fill="FFFFFF" w:themeFill="background1"/>
              <w:spacing w:line="276" w:lineRule="auto"/>
              <w:jc w:val="left"/>
              <w:rPr>
                <w:rFonts w:ascii="Calibri" w:hAnsi="Calibri" w:cs="Calibri"/>
                <w:b w:val="0"/>
                <w:color w:val="auto"/>
                <w:sz w:val="14"/>
                <w:szCs w:val="14"/>
                <w:lang w:val="sr-Cyrl-CS"/>
              </w:rPr>
            </w:pPr>
            <w:r w:rsidRPr="007E770D">
              <w:rPr>
                <w:rFonts w:ascii="Calibri" w:hAnsi="Calibri" w:cs="Calibri"/>
                <w:b w:val="0"/>
                <w:color w:val="auto"/>
                <w:sz w:val="14"/>
                <w:szCs w:val="14"/>
                <w:lang w:val="sr-Cyrl-CS"/>
              </w:rPr>
              <w:t>2021</w:t>
            </w:r>
          </w:p>
          <w:p w14:paraId="6ECF6494" w14:textId="77777777" w:rsidR="004044DC" w:rsidRPr="007E770D" w:rsidRDefault="004044DC" w:rsidP="00E4657F">
            <w:pPr>
              <w:shd w:val="clear" w:color="auto" w:fill="FFFFFF" w:themeFill="background1"/>
              <w:spacing w:line="276" w:lineRule="auto"/>
              <w:jc w:val="left"/>
              <w:rPr>
                <w:rFonts w:ascii="Calibri" w:hAnsi="Calibri" w:cs="Calibri"/>
                <w:b w:val="0"/>
                <w:color w:val="auto"/>
                <w:sz w:val="14"/>
                <w:szCs w:val="14"/>
                <w:lang w:val="sr-Cyrl-CS"/>
              </w:rPr>
            </w:pPr>
            <w:r w:rsidRPr="007E770D">
              <w:rPr>
                <w:rFonts w:ascii="Calibri" w:hAnsi="Calibri" w:cs="Calibri"/>
                <w:b w:val="0"/>
                <w:color w:val="auto"/>
                <w:sz w:val="14"/>
                <w:szCs w:val="14"/>
                <w:lang w:val="sr-Cyrl-CS"/>
              </w:rPr>
              <w:t>202</w:t>
            </w:r>
          </w:p>
        </w:tc>
        <w:tc>
          <w:tcPr>
            <w:tcW w:w="587" w:type="pct"/>
            <w:tcBorders>
              <w:top w:val="nil"/>
              <w:bottom w:val="nil"/>
            </w:tcBorders>
            <w:shd w:val="clear" w:color="auto" w:fill="FFFFFF" w:themeFill="background1"/>
          </w:tcPr>
          <w:p w14:paraId="25527C93"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-0,5</w:t>
            </w:r>
          </w:p>
        </w:tc>
        <w:tc>
          <w:tcPr>
            <w:tcW w:w="615" w:type="pct"/>
            <w:tcBorders>
              <w:top w:val="nil"/>
              <w:bottom w:val="nil"/>
            </w:tcBorders>
            <w:shd w:val="clear" w:color="auto" w:fill="FFFFFF" w:themeFill="background1"/>
          </w:tcPr>
          <w:p w14:paraId="6881E226"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1,4</w:t>
            </w:r>
          </w:p>
        </w:tc>
        <w:tc>
          <w:tcPr>
            <w:tcW w:w="718" w:type="pct"/>
            <w:tcBorders>
              <w:top w:val="nil"/>
              <w:bottom w:val="nil"/>
            </w:tcBorders>
            <w:shd w:val="clear" w:color="auto" w:fill="FFFFFF" w:themeFill="background1"/>
          </w:tcPr>
          <w:p w14:paraId="59CDC856"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0,1</w:t>
            </w:r>
          </w:p>
        </w:tc>
        <w:tc>
          <w:tcPr>
            <w:tcW w:w="737" w:type="pct"/>
            <w:tcBorders>
              <w:top w:val="nil"/>
              <w:bottom w:val="nil"/>
            </w:tcBorders>
            <w:shd w:val="clear" w:color="auto" w:fill="FFFFFF" w:themeFill="background1"/>
          </w:tcPr>
          <w:p w14:paraId="468B60BC"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-0,6</w:t>
            </w:r>
          </w:p>
        </w:tc>
        <w:tc>
          <w:tcPr>
            <w:tcW w:w="737" w:type="pct"/>
            <w:tcBorders>
              <w:top w:val="nil"/>
              <w:bottom w:val="nil"/>
            </w:tcBorders>
            <w:shd w:val="clear" w:color="auto" w:fill="FFFFFF" w:themeFill="background1"/>
          </w:tcPr>
          <w:p w14:paraId="6C0AEFCD"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1,3</w:t>
            </w:r>
          </w:p>
        </w:tc>
        <w:tc>
          <w:tcPr>
            <w:tcW w:w="654" w:type="pct"/>
            <w:tcBorders>
              <w:top w:val="nil"/>
              <w:bottom w:val="nil"/>
            </w:tcBorders>
            <w:shd w:val="clear" w:color="auto" w:fill="FFFFFF" w:themeFill="background1"/>
            <w:noWrap/>
          </w:tcPr>
          <w:p w14:paraId="7A9E6DB3"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1,3</w:t>
            </w:r>
          </w:p>
        </w:tc>
        <w:tc>
          <w:tcPr>
            <w:tcW w:w="579" w:type="pct"/>
            <w:tcBorders>
              <w:top w:val="nil"/>
              <w:bottom w:val="nil"/>
            </w:tcBorders>
            <w:shd w:val="clear" w:color="auto" w:fill="FFFFFF" w:themeFill="background1"/>
            <w:noWrap/>
          </w:tcPr>
          <w:p w14:paraId="2AE37154"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0,2</w:t>
            </w:r>
          </w:p>
        </w:tc>
      </w:tr>
      <w:tr w:rsidR="007E770D" w:rsidRPr="007E770D" w14:paraId="674D7AC6" w14:textId="77777777" w:rsidTr="00E4657F">
        <w:trPr>
          <w:cnfStyle w:val="000000100000" w:firstRow="0" w:lastRow="0" w:firstColumn="0" w:lastColumn="0" w:oddVBand="0" w:evenVBand="0" w:oddHBand="1" w:evenHBand="0" w:firstRowFirstColumn="0" w:firstRowLastColumn="0" w:lastRowFirstColumn="0" w:lastRowLastColumn="0"/>
          <w:trHeight w:hRule="exact" w:val="225"/>
        </w:trPr>
        <w:tc>
          <w:tcPr>
            <w:cnfStyle w:val="001000000000" w:firstRow="0" w:lastRow="0" w:firstColumn="1" w:lastColumn="0" w:oddVBand="0" w:evenVBand="0" w:oddHBand="0" w:evenHBand="0" w:firstRowFirstColumn="0" w:firstRowLastColumn="0" w:lastRowFirstColumn="0" w:lastRowLastColumn="0"/>
            <w:tcW w:w="372" w:type="pct"/>
            <w:tcBorders>
              <w:top w:val="nil"/>
              <w:bottom w:val="nil"/>
            </w:tcBorders>
            <w:shd w:val="clear" w:color="auto" w:fill="FFFFFF" w:themeFill="background1"/>
            <w:noWrap/>
          </w:tcPr>
          <w:p w14:paraId="1B0816A3" w14:textId="77777777" w:rsidR="004044DC" w:rsidRPr="007E770D" w:rsidRDefault="004044DC" w:rsidP="00E4657F">
            <w:pPr>
              <w:shd w:val="clear" w:color="auto" w:fill="FFFFFF" w:themeFill="background1"/>
              <w:spacing w:line="276" w:lineRule="auto"/>
              <w:jc w:val="left"/>
              <w:rPr>
                <w:rFonts w:ascii="Calibri" w:hAnsi="Calibri" w:cs="Calibri"/>
                <w:b w:val="0"/>
                <w:color w:val="auto"/>
                <w:sz w:val="14"/>
                <w:szCs w:val="14"/>
                <w:lang w:val="sr-Cyrl-CS"/>
              </w:rPr>
            </w:pPr>
            <w:r w:rsidRPr="007E770D">
              <w:rPr>
                <w:rFonts w:ascii="Calibri" w:hAnsi="Calibri" w:cs="Calibri"/>
                <w:b w:val="0"/>
                <w:color w:val="auto"/>
                <w:sz w:val="14"/>
                <w:szCs w:val="14"/>
                <w:lang w:val="sr-Cyrl-CS"/>
              </w:rPr>
              <w:t>2021</w:t>
            </w:r>
          </w:p>
        </w:tc>
        <w:tc>
          <w:tcPr>
            <w:tcW w:w="587" w:type="pct"/>
            <w:tcBorders>
              <w:top w:val="nil"/>
              <w:bottom w:val="nil"/>
            </w:tcBorders>
            <w:shd w:val="clear" w:color="auto" w:fill="FFFFFF" w:themeFill="background1"/>
          </w:tcPr>
          <w:p w14:paraId="20592895"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-0,5</w:t>
            </w:r>
          </w:p>
        </w:tc>
        <w:tc>
          <w:tcPr>
            <w:tcW w:w="615" w:type="pct"/>
            <w:tcBorders>
              <w:top w:val="nil"/>
              <w:bottom w:val="nil"/>
            </w:tcBorders>
            <w:shd w:val="clear" w:color="auto" w:fill="FFFFFF" w:themeFill="background1"/>
          </w:tcPr>
          <w:p w14:paraId="1776ACE8"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1,3</w:t>
            </w:r>
          </w:p>
        </w:tc>
        <w:tc>
          <w:tcPr>
            <w:tcW w:w="718" w:type="pct"/>
            <w:tcBorders>
              <w:top w:val="nil"/>
              <w:bottom w:val="nil"/>
            </w:tcBorders>
            <w:shd w:val="clear" w:color="auto" w:fill="FFFFFF" w:themeFill="background1"/>
          </w:tcPr>
          <w:p w14:paraId="3ED3EC6A"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0,1</w:t>
            </w:r>
          </w:p>
        </w:tc>
        <w:tc>
          <w:tcPr>
            <w:tcW w:w="737" w:type="pct"/>
            <w:tcBorders>
              <w:top w:val="nil"/>
              <w:bottom w:val="nil"/>
            </w:tcBorders>
            <w:shd w:val="clear" w:color="auto" w:fill="FFFFFF" w:themeFill="background1"/>
          </w:tcPr>
          <w:p w14:paraId="632177D2"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-0,6</w:t>
            </w:r>
          </w:p>
        </w:tc>
        <w:tc>
          <w:tcPr>
            <w:tcW w:w="737" w:type="pct"/>
            <w:tcBorders>
              <w:top w:val="nil"/>
              <w:bottom w:val="nil"/>
            </w:tcBorders>
            <w:shd w:val="clear" w:color="auto" w:fill="FFFFFF" w:themeFill="background1"/>
          </w:tcPr>
          <w:p w14:paraId="15FEA0E9"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1,2</w:t>
            </w:r>
          </w:p>
        </w:tc>
        <w:tc>
          <w:tcPr>
            <w:tcW w:w="654" w:type="pct"/>
            <w:tcBorders>
              <w:top w:val="nil"/>
              <w:bottom w:val="nil"/>
            </w:tcBorders>
            <w:shd w:val="clear" w:color="auto" w:fill="FFFFFF" w:themeFill="background1"/>
            <w:noWrap/>
          </w:tcPr>
          <w:p w14:paraId="646FDA84"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1,2</w:t>
            </w:r>
          </w:p>
        </w:tc>
        <w:tc>
          <w:tcPr>
            <w:tcW w:w="579" w:type="pct"/>
            <w:tcBorders>
              <w:top w:val="nil"/>
              <w:bottom w:val="nil"/>
            </w:tcBorders>
            <w:shd w:val="clear" w:color="auto" w:fill="FFFFFF" w:themeFill="background1"/>
            <w:noWrap/>
          </w:tcPr>
          <w:p w14:paraId="321EEBEC" w14:textId="77777777" w:rsidR="004044DC" w:rsidRPr="007E770D" w:rsidRDefault="004044DC" w:rsidP="00E4657F">
            <w:pPr>
              <w:shd w:val="clear" w:color="auto" w:fill="FFFFFF" w:themeFill="background1"/>
              <w:spacing w:line="276" w:lineRule="auto"/>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0,1</w:t>
            </w:r>
          </w:p>
        </w:tc>
      </w:tr>
      <w:tr w:rsidR="007E770D" w:rsidRPr="007E770D" w14:paraId="5DBC1E47" w14:textId="77777777" w:rsidTr="00E4657F">
        <w:trPr>
          <w:trHeight w:hRule="exact" w:val="225"/>
        </w:trPr>
        <w:tc>
          <w:tcPr>
            <w:cnfStyle w:val="001000000000" w:firstRow="0" w:lastRow="0" w:firstColumn="1" w:lastColumn="0" w:oddVBand="0" w:evenVBand="0" w:oddHBand="0" w:evenHBand="0" w:firstRowFirstColumn="0" w:firstRowLastColumn="0" w:lastRowFirstColumn="0" w:lastRowLastColumn="0"/>
            <w:tcW w:w="372" w:type="pct"/>
            <w:tcBorders>
              <w:top w:val="nil"/>
              <w:bottom w:val="single" w:sz="4" w:space="0" w:color="002060"/>
            </w:tcBorders>
            <w:shd w:val="clear" w:color="auto" w:fill="FFFFFF" w:themeFill="background1"/>
            <w:noWrap/>
          </w:tcPr>
          <w:p w14:paraId="226BE70E" w14:textId="77777777" w:rsidR="004044DC" w:rsidRPr="007E770D" w:rsidRDefault="004044DC" w:rsidP="00E4657F">
            <w:pPr>
              <w:shd w:val="clear" w:color="auto" w:fill="FFFFFF" w:themeFill="background1"/>
              <w:spacing w:line="276" w:lineRule="auto"/>
              <w:jc w:val="left"/>
              <w:rPr>
                <w:rFonts w:ascii="Calibri" w:hAnsi="Calibri" w:cs="Calibri"/>
                <w:b w:val="0"/>
                <w:color w:val="auto"/>
                <w:sz w:val="14"/>
                <w:szCs w:val="14"/>
                <w:lang w:val="sr-Cyrl-CS"/>
              </w:rPr>
            </w:pPr>
            <w:r w:rsidRPr="007E770D">
              <w:rPr>
                <w:rFonts w:ascii="Calibri" w:hAnsi="Calibri" w:cs="Calibri"/>
                <w:b w:val="0"/>
                <w:color w:val="auto"/>
                <w:sz w:val="14"/>
                <w:szCs w:val="14"/>
                <w:lang w:val="sr-Cyrl-CS"/>
              </w:rPr>
              <w:t>2022</w:t>
            </w:r>
          </w:p>
        </w:tc>
        <w:tc>
          <w:tcPr>
            <w:tcW w:w="587" w:type="pct"/>
            <w:tcBorders>
              <w:top w:val="nil"/>
              <w:bottom w:val="single" w:sz="4" w:space="0" w:color="002060"/>
            </w:tcBorders>
            <w:shd w:val="clear" w:color="auto" w:fill="FFFFFF" w:themeFill="background1"/>
          </w:tcPr>
          <w:p w14:paraId="208BD7DC"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-0,5</w:t>
            </w:r>
          </w:p>
        </w:tc>
        <w:tc>
          <w:tcPr>
            <w:tcW w:w="615" w:type="pct"/>
            <w:tcBorders>
              <w:top w:val="nil"/>
              <w:bottom w:val="single" w:sz="4" w:space="0" w:color="002060"/>
            </w:tcBorders>
            <w:shd w:val="clear" w:color="auto" w:fill="FFFFFF" w:themeFill="background1"/>
          </w:tcPr>
          <w:p w14:paraId="2FE4C93F"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1,2</w:t>
            </w:r>
          </w:p>
        </w:tc>
        <w:tc>
          <w:tcPr>
            <w:tcW w:w="718" w:type="pct"/>
            <w:tcBorders>
              <w:top w:val="nil"/>
              <w:bottom w:val="single" w:sz="4" w:space="0" w:color="002060"/>
            </w:tcBorders>
            <w:shd w:val="clear" w:color="auto" w:fill="FFFFFF" w:themeFill="background1"/>
          </w:tcPr>
          <w:p w14:paraId="770943CF"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0,1</w:t>
            </w:r>
          </w:p>
        </w:tc>
        <w:tc>
          <w:tcPr>
            <w:tcW w:w="737" w:type="pct"/>
            <w:tcBorders>
              <w:top w:val="nil"/>
              <w:bottom w:val="single" w:sz="4" w:space="0" w:color="002060"/>
            </w:tcBorders>
            <w:shd w:val="clear" w:color="auto" w:fill="FFFFFF" w:themeFill="background1"/>
          </w:tcPr>
          <w:p w14:paraId="397B58CE"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-0,6</w:t>
            </w:r>
          </w:p>
        </w:tc>
        <w:tc>
          <w:tcPr>
            <w:tcW w:w="737" w:type="pct"/>
            <w:tcBorders>
              <w:top w:val="nil"/>
              <w:bottom w:val="single" w:sz="4" w:space="0" w:color="002060"/>
            </w:tcBorders>
            <w:shd w:val="clear" w:color="auto" w:fill="FFFFFF" w:themeFill="background1"/>
          </w:tcPr>
          <w:p w14:paraId="4C0AB35F"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1,1</w:t>
            </w:r>
          </w:p>
        </w:tc>
        <w:tc>
          <w:tcPr>
            <w:tcW w:w="654" w:type="pct"/>
            <w:tcBorders>
              <w:top w:val="nil"/>
              <w:bottom w:val="single" w:sz="4" w:space="0" w:color="002060"/>
            </w:tcBorders>
            <w:shd w:val="clear" w:color="auto" w:fill="FFFFFF" w:themeFill="background1"/>
            <w:noWrap/>
          </w:tcPr>
          <w:p w14:paraId="519029DD"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1,1</w:t>
            </w:r>
          </w:p>
        </w:tc>
        <w:tc>
          <w:tcPr>
            <w:tcW w:w="579" w:type="pct"/>
            <w:tcBorders>
              <w:top w:val="nil"/>
              <w:bottom w:val="single" w:sz="4" w:space="0" w:color="002060"/>
            </w:tcBorders>
            <w:shd w:val="clear" w:color="auto" w:fill="FFFFFF" w:themeFill="background1"/>
            <w:noWrap/>
          </w:tcPr>
          <w:p w14:paraId="22A2E1C6" w14:textId="77777777" w:rsidR="004044DC" w:rsidRPr="007E770D" w:rsidRDefault="004044DC" w:rsidP="00E4657F">
            <w:pPr>
              <w:shd w:val="clear" w:color="auto" w:fill="FFFFFF" w:themeFill="background1"/>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sz w:val="14"/>
                <w:szCs w:val="14"/>
                <w:lang w:val="sr-Cyrl-CS"/>
              </w:rPr>
            </w:pPr>
            <w:r w:rsidRPr="007E770D">
              <w:rPr>
                <w:rFonts w:ascii="Calibri" w:hAnsi="Calibri" w:cs="Calibri"/>
                <w:color w:val="auto"/>
                <w:sz w:val="14"/>
                <w:szCs w:val="14"/>
                <w:lang w:val="sr-Cyrl-CS"/>
              </w:rPr>
              <w:t>0,1</w:t>
            </w:r>
          </w:p>
        </w:tc>
      </w:tr>
    </w:tbl>
    <w:p w14:paraId="14E27039" w14:textId="77777777" w:rsidR="004044DC" w:rsidRPr="007E770D" w:rsidRDefault="004044DC" w:rsidP="00A619D1">
      <w:pPr>
        <w:shd w:val="clear" w:color="auto" w:fill="FFFFFF" w:themeFill="background1"/>
        <w:spacing w:before="40" w:after="0" w:line="276" w:lineRule="auto"/>
        <w:rPr>
          <w:rFonts w:ascii="Calibri" w:eastAsia="MS PGothic" w:hAnsi="Calibri" w:cs="Calibri"/>
          <w:bCs/>
          <w:color w:val="auto"/>
          <w:sz w:val="14"/>
          <w:szCs w:val="14"/>
          <w:lang w:val="sr-Cyrl-CS" w:eastAsia="ja-JP"/>
        </w:rPr>
      </w:pPr>
    </w:p>
    <w:p w14:paraId="4DF7F9CC" w14:textId="77777777" w:rsidR="004044DC" w:rsidRPr="007E770D" w:rsidRDefault="004044DC" w:rsidP="00A619D1">
      <w:pPr>
        <w:shd w:val="clear" w:color="auto" w:fill="FFFFFF" w:themeFill="background1"/>
        <w:spacing w:before="40" w:after="0" w:line="276" w:lineRule="auto"/>
        <w:rPr>
          <w:rFonts w:ascii="Calibri" w:eastAsia="MS PGothic" w:hAnsi="Calibri" w:cs="Calibri"/>
          <w:color w:val="auto"/>
          <w:sz w:val="16"/>
          <w:szCs w:val="16"/>
          <w:lang w:val="sr-Cyrl-CS" w:eastAsia="ja-JP"/>
        </w:rPr>
      </w:pPr>
      <w:r w:rsidRPr="007E770D">
        <w:rPr>
          <w:rFonts w:ascii="Calibri" w:eastAsia="MS PGothic" w:hAnsi="Calibri" w:cs="Calibri"/>
          <w:bCs/>
          <w:color w:val="auto"/>
          <w:sz w:val="16"/>
          <w:szCs w:val="16"/>
          <w:lang w:val="sr-Cyrl-CS" w:eastAsia="ja-JP"/>
        </w:rPr>
        <w:t xml:space="preserve">* </w:t>
      </w:r>
      <w:r w:rsidRPr="007E770D">
        <w:rPr>
          <w:rFonts w:ascii="Calibri" w:eastAsia="MS PGothic" w:hAnsi="Calibri" w:cs="Calibri"/>
          <w:color w:val="auto"/>
          <w:sz w:val="16"/>
          <w:szCs w:val="16"/>
          <w:lang w:val="sr-Cyrl-CS" w:eastAsia="ja-JP"/>
        </w:rPr>
        <w:t>За период 2019–2022. године приказане су пројектоване вредности.</w:t>
      </w:r>
    </w:p>
    <w:p w14:paraId="3D36DEB3" w14:textId="77777777" w:rsidR="004044DC" w:rsidRPr="007E770D" w:rsidRDefault="004044DC" w:rsidP="00C130D2">
      <w:pPr>
        <w:shd w:val="clear" w:color="auto" w:fill="FFFFFF" w:themeFill="background1"/>
        <w:spacing w:after="0" w:line="276" w:lineRule="auto"/>
        <w:rPr>
          <w:rFonts w:ascii="Calibri" w:eastAsia="MS PGothic" w:hAnsi="Calibri" w:cs="Calibri"/>
          <w:color w:val="auto"/>
          <w:sz w:val="16"/>
          <w:szCs w:val="16"/>
          <w:lang w:val="sr-Cyrl-CS" w:eastAsia="ja-JP"/>
        </w:rPr>
      </w:pPr>
      <w:r w:rsidRPr="007E770D">
        <w:rPr>
          <w:rFonts w:ascii="Calibri" w:eastAsia="MS PGothic" w:hAnsi="Calibri" w:cs="Calibri"/>
          <w:bCs/>
          <w:color w:val="auto"/>
          <w:sz w:val="16"/>
          <w:szCs w:val="16"/>
          <w:lang w:val="sr-Cyrl-CS" w:eastAsia="ja-JP"/>
        </w:rPr>
        <w:t>** Структурни примарни биланс добијен је искључивањем процењених једнократних прихода и расхода</w:t>
      </w:r>
      <w:r w:rsidRPr="007E770D">
        <w:rPr>
          <w:rFonts w:ascii="Calibri" w:eastAsia="MS PGothic" w:hAnsi="Calibri" w:cs="Calibri"/>
          <w:color w:val="auto"/>
          <w:sz w:val="16"/>
          <w:szCs w:val="16"/>
          <w:lang w:val="sr-Cyrl-CS" w:eastAsia="ja-JP"/>
        </w:rPr>
        <w:t>. Резултати који приказују промену структурног примарног дефицита не искључују експлицитно ефекте повећања ефикасности наплате прихода, па се оцена структурног прилагођавања у 2015. и 2016. години делимично разликује од претходно приказаних ефеката.</w:t>
      </w:r>
    </w:p>
    <w:p w14:paraId="7D0A5FD3" w14:textId="77777777" w:rsidR="004044DC" w:rsidRPr="007E770D" w:rsidRDefault="004044DC" w:rsidP="00C130D2">
      <w:pPr>
        <w:spacing w:after="120" w:line="276" w:lineRule="auto"/>
        <w:rPr>
          <w:rFonts w:ascii="Calibri" w:eastAsia="Calibri" w:hAnsi="Calibri" w:cs="Calibri"/>
          <w:color w:val="auto"/>
          <w:sz w:val="16"/>
          <w:szCs w:val="16"/>
          <w:lang w:val="sr-Cyrl-CS"/>
        </w:rPr>
      </w:pPr>
      <w:r w:rsidRPr="007E770D">
        <w:rPr>
          <w:rFonts w:ascii="Calibri" w:eastAsia="Calibri" w:hAnsi="Calibri" w:cs="Calibri"/>
          <w:color w:val="auto"/>
          <w:sz w:val="16"/>
          <w:szCs w:val="16"/>
          <w:lang w:val="sr-Cyrl-CS"/>
        </w:rPr>
        <w:t xml:space="preserve">Извор: </w:t>
      </w:r>
      <w:r w:rsidRPr="007E770D">
        <w:rPr>
          <w:rFonts w:ascii="Calibri" w:eastAsia="Calibri" w:hAnsi="Calibri" w:cs="Calibri"/>
          <w:color w:val="auto"/>
          <w:sz w:val="16"/>
          <w:szCs w:val="20"/>
          <w:lang w:val="sr-Cyrl-CS"/>
        </w:rPr>
        <w:t>Министарство финансија</w:t>
      </w:r>
    </w:p>
    <w:p w14:paraId="120B29F3" w14:textId="77777777" w:rsidR="004044DC" w:rsidRPr="007E770D" w:rsidRDefault="004044DC" w:rsidP="00C130D2">
      <w:pPr>
        <w:spacing w:after="0" w:line="276" w:lineRule="auto"/>
        <w:rPr>
          <w:rFonts w:ascii="Calibri" w:eastAsia="MS PGothic" w:hAnsi="Calibri" w:cs="Calibri"/>
          <w:b/>
          <w:color w:val="auto"/>
          <w:szCs w:val="20"/>
          <w:lang w:val="sr-Cyrl-CS" w:eastAsia="ja-JP"/>
        </w:rPr>
        <w:sectPr w:rsidR="004044DC" w:rsidRPr="007E770D">
          <w:type w:val="continuous"/>
          <w:pgSz w:w="12240" w:h="15840"/>
          <w:pgMar w:top="1417" w:right="1417" w:bottom="1417" w:left="1417" w:header="720" w:footer="720" w:gutter="0"/>
          <w:cols w:space="720"/>
        </w:sectPr>
      </w:pPr>
    </w:p>
    <w:p w14:paraId="51551256" w14:textId="77777777" w:rsidR="004044DC" w:rsidRPr="007E770D" w:rsidRDefault="004044DC" w:rsidP="00C130D2">
      <w:pPr>
        <w:spacing w:after="120" w:line="276" w:lineRule="auto"/>
        <w:rPr>
          <w:rFonts w:ascii="Calibri" w:eastAsia="MS PGothic" w:hAnsi="Calibri" w:cs="Calibri"/>
          <w:color w:val="auto"/>
          <w:szCs w:val="20"/>
          <w:lang w:val="sr-Cyrl-CS" w:eastAsia="ja-JP"/>
        </w:rPr>
      </w:pPr>
      <w:r w:rsidRPr="007E770D">
        <w:rPr>
          <w:rFonts w:eastAsia="MS PGothic" w:cstheme="minorHAnsi"/>
          <w:color w:val="auto"/>
          <w:szCs w:val="20"/>
          <w:lang w:val="sr-Cyrl-CS" w:eastAsia="ja-JP"/>
        </w:rPr>
        <w:t xml:space="preserve">Мере које су усвојене у претходном периоду, као и мере фискалне консолидације спроведене у периоду од 2015. до 2017. године, утицале су на значајно структурно унапређење фискалне позиције земље. </w:t>
      </w:r>
      <w:r w:rsidRPr="007E770D">
        <w:rPr>
          <w:rFonts w:ascii="Calibri" w:eastAsia="MS PGothic" w:hAnsi="Calibri" w:cs="Calibri"/>
          <w:color w:val="auto"/>
          <w:szCs w:val="20"/>
          <w:lang w:val="sr-Cyrl-CS" w:eastAsia="ja-JP"/>
        </w:rPr>
        <w:t>Ефекти мера у спроведених у овом периоду, као и очекивани ефекти до 2022. године, а који се односе на реформе јавног сектора, завршетак процеса реструктурирања и укидање појединих субвенција, имају за резултат трајне уштеде на расходној страни.</w:t>
      </w:r>
    </w:p>
    <w:p w14:paraId="47AD5CE3" w14:textId="77777777" w:rsidR="004044DC" w:rsidRPr="007E770D" w:rsidRDefault="004044DC" w:rsidP="00C130D2">
      <w:pPr>
        <w:spacing w:after="120" w:line="276" w:lineRule="auto"/>
        <w:rPr>
          <w:rFonts w:ascii="Calibri" w:eastAsia="MS PGothic" w:hAnsi="Calibri" w:cs="Calibri"/>
          <w:color w:val="auto"/>
          <w:spacing w:val="-2"/>
          <w:szCs w:val="20"/>
          <w:lang w:val="sr-Cyrl-CS" w:eastAsia="ja-JP"/>
        </w:rPr>
      </w:pPr>
      <w:r w:rsidRPr="007E770D">
        <w:rPr>
          <w:rFonts w:ascii="Calibri" w:eastAsia="MS PGothic" w:hAnsi="Calibri" w:cs="Calibri"/>
          <w:color w:val="auto"/>
          <w:spacing w:val="-2"/>
          <w:szCs w:val="20"/>
          <w:lang w:val="sr-Cyrl-CS" w:eastAsia="ja-JP"/>
        </w:rPr>
        <w:br w:type="column"/>
      </w:r>
      <w:r w:rsidRPr="007E770D">
        <w:rPr>
          <w:rFonts w:ascii="Calibri" w:eastAsia="MS PGothic" w:hAnsi="Calibri" w:cs="Calibri"/>
          <w:color w:val="auto"/>
          <w:spacing w:val="-2"/>
          <w:szCs w:val="20"/>
          <w:lang w:val="sr-Cyrl-CS" w:eastAsia="ja-JP"/>
        </w:rPr>
        <w:t>Истовремено, отвара се простор за даљу релаксацију фискалне политике, прво на расходној, а након тога и на приходној страни. Остварени резултат у 2019. години и сигнификантан примарни суфицит дају простор да се фискална политика релаксира, и то на начин који неће угрозити одрживост и опадајућу путању дуга. Предвиђени фискални дефицит од 0,5% БДП у наредном периоду и даље омогућава остварење високих нивоа примарног суфицита. Тај чинилац ће поред убрзања привредног раста преовлађујуће деловати на даље спуштање нивоа јавног дуга у БДП.</w:t>
      </w:r>
    </w:p>
    <w:p w14:paraId="60D13CAA" w14:textId="77777777" w:rsidR="004044DC" w:rsidRPr="007E770D" w:rsidRDefault="004044DC" w:rsidP="00E4657F">
      <w:pPr>
        <w:jc w:val="center"/>
        <w:rPr>
          <w:rFonts w:cstheme="minorHAnsi"/>
          <w:b/>
          <w:color w:val="auto"/>
          <w:lang w:val="sr-Cyrl-CS"/>
        </w:rPr>
      </w:pPr>
    </w:p>
    <w:p w14:paraId="56113B8B" w14:textId="77777777" w:rsidR="004044DC" w:rsidRPr="007E770D" w:rsidRDefault="004044DC" w:rsidP="00E4657F">
      <w:pPr>
        <w:jc w:val="center"/>
        <w:rPr>
          <w:rFonts w:cstheme="minorHAnsi"/>
          <w:b/>
          <w:color w:val="auto"/>
          <w:lang w:val="sr-Cyrl-CS"/>
        </w:rPr>
      </w:pPr>
    </w:p>
    <w:p w14:paraId="6E263203" w14:textId="77777777" w:rsidR="004044DC" w:rsidRPr="007E770D" w:rsidRDefault="004044DC" w:rsidP="00E4657F">
      <w:pPr>
        <w:jc w:val="center"/>
        <w:rPr>
          <w:rFonts w:cstheme="minorHAnsi"/>
          <w:b/>
          <w:color w:val="auto"/>
          <w:lang w:val="sr-Cyrl-CS"/>
        </w:rPr>
      </w:pPr>
    </w:p>
    <w:p w14:paraId="4A599A38" w14:textId="77777777" w:rsidR="004044DC" w:rsidRPr="007E770D" w:rsidRDefault="004044DC" w:rsidP="00E4657F">
      <w:pPr>
        <w:jc w:val="center"/>
        <w:rPr>
          <w:rFonts w:cstheme="minorHAnsi"/>
          <w:b/>
          <w:color w:val="auto"/>
          <w:lang w:val="sr-Cyrl-CS"/>
        </w:rPr>
      </w:pPr>
    </w:p>
    <w:p w14:paraId="6A7E3D5E" w14:textId="77777777" w:rsidR="004044DC" w:rsidRPr="007E770D" w:rsidRDefault="004044DC" w:rsidP="00E4657F">
      <w:pPr>
        <w:jc w:val="center"/>
        <w:rPr>
          <w:rFonts w:cstheme="minorHAnsi"/>
          <w:b/>
          <w:color w:val="auto"/>
          <w:lang w:val="sr-Cyrl-CS"/>
        </w:rPr>
      </w:pPr>
    </w:p>
    <w:p w14:paraId="080535FD" w14:textId="77777777" w:rsidR="004044DC" w:rsidRPr="007E770D" w:rsidRDefault="004044DC" w:rsidP="00E4657F">
      <w:pPr>
        <w:jc w:val="center"/>
        <w:rPr>
          <w:rFonts w:cstheme="minorHAnsi"/>
          <w:b/>
          <w:color w:val="auto"/>
          <w:lang w:val="sr-Cyrl-CS"/>
        </w:rPr>
      </w:pPr>
    </w:p>
    <w:p w14:paraId="4AF4E188" w14:textId="77777777" w:rsidR="004044DC" w:rsidRPr="007E770D" w:rsidRDefault="004044DC" w:rsidP="00E4657F">
      <w:pPr>
        <w:jc w:val="center"/>
        <w:rPr>
          <w:rFonts w:ascii="Calibri" w:eastAsia="Calibri" w:hAnsi="Calibri" w:cs="Calibri"/>
          <w:b/>
          <w:bCs/>
          <w:color w:val="auto"/>
          <w:sz w:val="18"/>
          <w:szCs w:val="18"/>
          <w:lang w:val="sr-Cyrl-CS"/>
        </w:rPr>
      </w:pPr>
      <w:r w:rsidRPr="007E770D">
        <w:rPr>
          <w:rFonts w:cstheme="minorHAnsi"/>
          <w:b/>
          <w:color w:val="auto"/>
          <w:lang w:val="sr-Cyrl-CS"/>
        </w:rPr>
        <w:lastRenderedPageBreak/>
        <w:t xml:space="preserve">Производни јаз, стварни, циклично прилагођени и структурни фискални биланс у периоду </w:t>
      </w:r>
      <w:r w:rsidRPr="007E770D">
        <w:rPr>
          <w:rFonts w:cstheme="minorHAnsi"/>
          <w:b/>
          <w:color w:val="auto"/>
          <w:lang w:val="sr-Cyrl-CS"/>
        </w:rPr>
        <w:br w:type="textWrapping" w:clear="all"/>
        <w:t>2005–2022. године, % БДП</w:t>
      </w:r>
    </w:p>
    <w:p w14:paraId="2F7D0835" w14:textId="77777777" w:rsidR="004044DC" w:rsidRPr="007E770D" w:rsidRDefault="004044DC" w:rsidP="00EE6C26">
      <w:pPr>
        <w:spacing w:after="0" w:line="276" w:lineRule="auto"/>
        <w:rPr>
          <w:rFonts w:ascii="Calibri" w:eastAsia="Calibri" w:hAnsi="Calibri" w:cs="Calibri"/>
          <w:b/>
          <w:bCs/>
          <w:color w:val="auto"/>
          <w:sz w:val="18"/>
          <w:szCs w:val="18"/>
          <w:lang w:val="sr-Cyrl-CS"/>
        </w:rPr>
      </w:pPr>
      <w:r w:rsidRPr="007E770D">
        <w:rPr>
          <w:noProof/>
          <w:color w:val="auto"/>
        </w:rPr>
        <w:drawing>
          <wp:inline distT="0" distB="0" distL="0" distR="0" wp14:anchorId="31EC9B6E" wp14:editId="5D139FB4">
            <wp:extent cx="2781300" cy="2524125"/>
            <wp:effectExtent l="0" t="0" r="0" b="0"/>
            <wp:docPr id="66" name="Chart 66"/>
            <wp:cNvGraphicFramePr/>
            <a:graphic xmlns:a="http://schemas.openxmlformats.org/drawingml/2006/main">
              <a:graphicData uri="http://schemas.openxmlformats.org/drawingml/2006/chart">
                <c:chart xmlns:c="http://schemas.openxmlformats.org/drawingml/2006/chart" xmlns:r="http://schemas.openxmlformats.org/officeDocument/2006/relationships" r:id="rId151"/>
              </a:graphicData>
            </a:graphic>
          </wp:inline>
        </w:drawing>
      </w:r>
    </w:p>
    <w:p w14:paraId="6AB09F03" w14:textId="77777777" w:rsidR="004044DC" w:rsidRPr="007E770D" w:rsidRDefault="004044DC" w:rsidP="00E4657F">
      <w:pPr>
        <w:spacing w:after="120" w:line="276" w:lineRule="auto"/>
        <w:rPr>
          <w:rFonts w:cstheme="minorHAnsi"/>
          <w:bCs/>
          <w:color w:val="auto"/>
          <w:sz w:val="16"/>
          <w:szCs w:val="72"/>
          <w:lang w:val="sr-Cyrl-CS"/>
        </w:rPr>
      </w:pPr>
      <w:r w:rsidRPr="007E770D">
        <w:rPr>
          <w:rFonts w:cstheme="minorHAnsi"/>
          <w:bCs/>
          <w:color w:val="auto"/>
          <w:sz w:val="16"/>
          <w:szCs w:val="72"/>
          <w:lang w:val="sr-Cyrl-CS"/>
        </w:rPr>
        <w:t>Извор: Министарство финансија</w:t>
      </w:r>
    </w:p>
    <w:p w14:paraId="14D1140E" w14:textId="77777777" w:rsidR="004044DC" w:rsidRPr="007E770D" w:rsidRDefault="004044DC" w:rsidP="00E4657F">
      <w:pPr>
        <w:spacing w:after="120" w:line="276" w:lineRule="auto"/>
        <w:jc w:val="center"/>
        <w:rPr>
          <w:rFonts w:cstheme="minorHAnsi"/>
          <w:bCs/>
          <w:color w:val="auto"/>
          <w:sz w:val="16"/>
          <w:szCs w:val="72"/>
          <w:lang w:val="sr-Cyrl-CS"/>
        </w:rPr>
      </w:pPr>
      <w:r w:rsidRPr="007E770D">
        <w:rPr>
          <w:rFonts w:cstheme="minorHAnsi"/>
          <w:b/>
          <w:color w:val="auto"/>
          <w:lang w:val="sr-Cyrl-CS"/>
        </w:rPr>
        <w:t>Карактер и ефекти фискалне политике у периоду 2005–2022. године*</w:t>
      </w:r>
    </w:p>
    <w:p w14:paraId="33FB0805" w14:textId="77777777" w:rsidR="004044DC" w:rsidRPr="007E770D" w:rsidRDefault="004044DC" w:rsidP="00E4657F">
      <w:pPr>
        <w:spacing w:after="40" w:line="276" w:lineRule="auto"/>
        <w:jc w:val="left"/>
        <w:rPr>
          <w:rFonts w:ascii="Calibri" w:eastAsia="MS PGothic" w:hAnsi="Calibri" w:cs="Calibri"/>
          <w:color w:val="auto"/>
          <w:sz w:val="16"/>
          <w:szCs w:val="20"/>
          <w:lang w:val="sr-Cyrl-CS" w:eastAsia="ja-JP"/>
        </w:rPr>
      </w:pPr>
      <w:r w:rsidRPr="007E770D">
        <w:rPr>
          <w:noProof/>
          <w:color w:val="auto"/>
        </w:rPr>
        <w:drawing>
          <wp:inline distT="0" distB="0" distL="0" distR="0" wp14:anchorId="54E2A6F0" wp14:editId="162B2A45">
            <wp:extent cx="2695575" cy="2962275"/>
            <wp:effectExtent l="0" t="0" r="0" b="0"/>
            <wp:docPr id="67" name="Chart 67"/>
            <wp:cNvGraphicFramePr/>
            <a:graphic xmlns:a="http://schemas.openxmlformats.org/drawingml/2006/main">
              <a:graphicData uri="http://schemas.openxmlformats.org/drawingml/2006/chart">
                <c:chart xmlns:c="http://schemas.openxmlformats.org/drawingml/2006/chart" xmlns:r="http://schemas.openxmlformats.org/officeDocument/2006/relationships" r:id="rId152"/>
              </a:graphicData>
            </a:graphic>
          </wp:inline>
        </w:drawing>
      </w:r>
      <w:r w:rsidRPr="007E770D">
        <w:rPr>
          <w:rFonts w:ascii="Calibri" w:eastAsia="MS PGothic" w:hAnsi="Calibri" w:cs="Calibri"/>
          <w:color w:val="auto"/>
          <w:sz w:val="16"/>
          <w:szCs w:val="20"/>
          <w:lang w:val="sr-Cyrl-CS" w:eastAsia="ja-JP"/>
        </w:rPr>
        <w:t>*За период 2019–2022. године приказане су пројектоване вредности.</w:t>
      </w:r>
    </w:p>
    <w:p w14:paraId="406F84BA" w14:textId="77777777" w:rsidR="004044DC" w:rsidRPr="007E770D" w:rsidRDefault="004044DC" w:rsidP="00E4657F">
      <w:pPr>
        <w:spacing w:after="120" w:line="276" w:lineRule="auto"/>
        <w:jc w:val="left"/>
        <w:rPr>
          <w:rFonts w:ascii="Calibri" w:eastAsia="MS PGothic" w:hAnsi="Calibri" w:cs="Calibri"/>
          <w:color w:val="auto"/>
          <w:sz w:val="16"/>
          <w:szCs w:val="20"/>
          <w:lang w:val="sr-Cyrl-CS" w:eastAsia="ja-JP"/>
        </w:rPr>
      </w:pPr>
      <w:r w:rsidRPr="007E770D">
        <w:rPr>
          <w:rFonts w:ascii="Calibri" w:eastAsia="MS PGothic" w:hAnsi="Calibri" w:cs="Calibri"/>
          <w:color w:val="auto"/>
          <w:sz w:val="16"/>
          <w:szCs w:val="20"/>
          <w:lang w:val="sr-Cyrl-CS" w:eastAsia="ja-JP"/>
        </w:rPr>
        <w:t>Извор: Министарство финансија</w:t>
      </w:r>
    </w:p>
    <w:p w14:paraId="1143B667" w14:textId="77777777" w:rsidR="004044DC" w:rsidRPr="007E770D" w:rsidRDefault="004044DC" w:rsidP="00E4657F">
      <w:pPr>
        <w:spacing w:after="240" w:line="276" w:lineRule="auto"/>
        <w:jc w:val="center"/>
        <w:rPr>
          <w:rFonts w:cstheme="minorHAnsi"/>
          <w:b/>
          <w:color w:val="auto"/>
          <w:lang w:val="sr-Cyrl-CS"/>
        </w:rPr>
      </w:pPr>
      <w:r w:rsidRPr="007E770D">
        <w:rPr>
          <w:rFonts w:cstheme="minorHAnsi"/>
          <w:b/>
          <w:color w:val="auto"/>
          <w:lang w:val="sr-Cyrl-CS"/>
        </w:rPr>
        <w:t xml:space="preserve">Карактер и ефекти фискалне политике </w:t>
      </w:r>
      <w:r w:rsidRPr="007E770D">
        <w:rPr>
          <w:rFonts w:cstheme="minorHAnsi"/>
          <w:b/>
          <w:color w:val="auto"/>
          <w:lang w:val="sr-Cyrl-CS"/>
        </w:rPr>
        <w:br w:type="textWrapping" w:clear="all"/>
        <w:t>у периоду 2006–2019. године</w:t>
      </w:r>
    </w:p>
    <w:p w14:paraId="6DB9574B" w14:textId="77777777" w:rsidR="004044DC" w:rsidRPr="007E770D" w:rsidRDefault="004044DC" w:rsidP="00B45B3E">
      <w:pPr>
        <w:spacing w:after="120" w:line="276" w:lineRule="auto"/>
        <w:rPr>
          <w:color w:val="auto"/>
          <w:lang w:val="sr-Cyrl-CS"/>
        </w:rPr>
      </w:pPr>
      <w:r w:rsidRPr="007E770D">
        <w:rPr>
          <w:noProof/>
          <w:color w:val="auto"/>
        </w:rPr>
        <w:drawing>
          <wp:inline distT="0" distB="0" distL="0" distR="0" wp14:anchorId="11014DD2" wp14:editId="7A131FF7">
            <wp:extent cx="2757805" cy="2847975"/>
            <wp:effectExtent l="0" t="0" r="4445" b="9525"/>
            <wp:docPr id="68" name="Chart 68"/>
            <wp:cNvGraphicFramePr/>
            <a:graphic xmlns:a="http://schemas.openxmlformats.org/drawingml/2006/main">
              <a:graphicData uri="http://schemas.openxmlformats.org/drawingml/2006/chart">
                <c:chart xmlns:c="http://schemas.openxmlformats.org/drawingml/2006/chart" xmlns:r="http://schemas.openxmlformats.org/officeDocument/2006/relationships" r:id="rId153"/>
              </a:graphicData>
            </a:graphic>
          </wp:inline>
        </w:drawing>
      </w:r>
    </w:p>
    <w:p w14:paraId="7A56DC31" w14:textId="77777777" w:rsidR="004044DC" w:rsidRPr="007E770D" w:rsidRDefault="004044DC" w:rsidP="00B45B3E">
      <w:pPr>
        <w:spacing w:after="120" w:line="276" w:lineRule="auto"/>
        <w:rPr>
          <w:rFonts w:cstheme="minorHAnsi"/>
          <w:bCs/>
          <w:color w:val="auto"/>
          <w:sz w:val="16"/>
          <w:szCs w:val="72"/>
          <w:lang w:val="sr-Cyrl-CS"/>
        </w:rPr>
      </w:pPr>
      <w:r w:rsidRPr="007E770D">
        <w:rPr>
          <w:rFonts w:cstheme="minorHAnsi"/>
          <w:bCs/>
          <w:color w:val="auto"/>
          <w:sz w:val="16"/>
          <w:szCs w:val="72"/>
          <w:lang w:val="sr-Cyrl-CS"/>
        </w:rPr>
        <w:t>Извор: Министарство финансија</w:t>
      </w:r>
    </w:p>
    <w:p w14:paraId="714A3F0E" w14:textId="77777777" w:rsidR="004044DC" w:rsidRPr="007E770D" w:rsidRDefault="004044DC" w:rsidP="00B45B3E">
      <w:pPr>
        <w:spacing w:line="276" w:lineRule="auto"/>
        <w:rPr>
          <w:rFonts w:ascii="Calibri" w:eastAsia="MS PGothic" w:hAnsi="Calibri" w:cs="Calibri"/>
          <w:color w:val="auto"/>
          <w:szCs w:val="20"/>
          <w:lang w:val="sr-Cyrl-CS" w:eastAsia="ja-JP"/>
        </w:rPr>
      </w:pPr>
    </w:p>
    <w:p w14:paraId="4861F4A5" w14:textId="03B345D2" w:rsidR="004044DC" w:rsidRPr="007E770D" w:rsidRDefault="004044DC" w:rsidP="006239F9">
      <w:pPr>
        <w:spacing w:after="0" w:line="276" w:lineRule="auto"/>
        <w:rPr>
          <w:rFonts w:ascii="Calibri" w:eastAsia="MS PGothic" w:hAnsi="Calibri" w:cs="Calibri"/>
          <w:color w:val="auto"/>
          <w:szCs w:val="20"/>
          <w:lang w:val="sr-Cyrl-CS" w:eastAsia="ja-JP"/>
        </w:rPr>
        <w:sectPr w:rsidR="004044DC" w:rsidRPr="007E770D">
          <w:type w:val="continuous"/>
          <w:pgSz w:w="12240" w:h="15840"/>
          <w:pgMar w:top="1417" w:right="1417" w:bottom="1417" w:left="1417" w:header="720" w:footer="720" w:gutter="0"/>
          <w:cols w:num="2" w:space="720"/>
        </w:sectPr>
      </w:pPr>
      <w:r w:rsidRPr="007E770D">
        <w:rPr>
          <w:rFonts w:ascii="Calibri" w:eastAsia="MS PGothic" w:hAnsi="Calibri" w:cs="Calibri"/>
          <w:color w:val="auto"/>
          <w:szCs w:val="20"/>
          <w:lang w:val="sr-Cyrl-CS" w:eastAsia="ja-JP"/>
        </w:rPr>
        <w:t>Током 2018</w:t>
      </w:r>
      <w:r w:rsidR="008F57E9">
        <w:rPr>
          <w:rFonts w:ascii="Calibri" w:eastAsia="MS PGothic" w:hAnsi="Calibri" w:cs="Calibri"/>
          <w:color w:val="auto"/>
          <w:szCs w:val="20"/>
          <w:lang w:val="sr-Cyrl-CS" w:eastAsia="ja-JP"/>
        </w:rPr>
        <w:t>.</w:t>
      </w:r>
      <w:r w:rsidRPr="007E770D">
        <w:rPr>
          <w:rFonts w:ascii="Calibri" w:eastAsia="MS PGothic" w:hAnsi="Calibri" w:cs="Calibri"/>
          <w:color w:val="auto"/>
          <w:szCs w:val="20"/>
          <w:lang w:val="sr-Cyrl-CS" w:eastAsia="ja-JP"/>
        </w:rPr>
        <w:t xml:space="preserve"> и 2019. године фискални импулс је позитиван јер је консолидација у претходном периоду створила значајан фискални простор. Одређени минимални степен рестриктивности може да потиче од даљег побољшања ефикасности наплате јавних прихода. И поред релативно ниских вредности фискалног мултипликатора одређени ефекат позитивног фискалног импулса на привредна кретања је свакако присутан. У наредном периоду, приближавање остварених стопа раста потенцијалном нивоу, у садејству са оствареним фискалним резултатима, омогућава да фискални импулс буде углавном неутралан, што је додатна потврда достигнуте стабилности макро-фискалног окружења. Пажљивим дизајнирањем приходне и расходне политике у наредном периоду могуће је ту стабилност додатно ојачати.</w:t>
      </w:r>
    </w:p>
    <w:p w14:paraId="70F341D1" w14:textId="77777777" w:rsidR="004044DC" w:rsidRPr="007E770D" w:rsidRDefault="004044DC" w:rsidP="00B45B3E">
      <w:pPr>
        <w:rPr>
          <w:color w:val="auto"/>
          <w:lang w:val="sr-Cyrl-CS" w:eastAsia="ja-JP"/>
        </w:rPr>
      </w:pPr>
      <w:bookmarkStart w:id="24" w:name="_Toc499650054"/>
      <w:bookmarkStart w:id="25" w:name="_Toc530635110"/>
    </w:p>
    <w:p w14:paraId="3F30F400" w14:textId="77777777" w:rsidR="004044DC" w:rsidRPr="007E770D" w:rsidRDefault="004044DC">
      <w:pPr>
        <w:jc w:val="left"/>
        <w:rPr>
          <w:color w:val="auto"/>
          <w:lang w:val="sr-Cyrl-CS" w:eastAsia="ja-JP"/>
        </w:rPr>
      </w:pPr>
      <w:r w:rsidRPr="007E770D">
        <w:rPr>
          <w:color w:val="auto"/>
          <w:lang w:val="sr-Cyrl-CS" w:eastAsia="ja-JP"/>
        </w:rPr>
        <w:br w:type="page"/>
      </w:r>
    </w:p>
    <w:p w14:paraId="540D6E41" w14:textId="77777777" w:rsidR="004044DC" w:rsidRPr="007E770D" w:rsidRDefault="004044DC" w:rsidP="00363FDA">
      <w:pPr>
        <w:pStyle w:val="Heading2"/>
        <w:spacing w:before="0" w:after="240"/>
        <w:jc w:val="center"/>
        <w:rPr>
          <w:rFonts w:asciiTheme="minorHAnsi" w:eastAsia="MS PGothic" w:hAnsiTheme="minorHAnsi" w:cstheme="minorHAnsi"/>
          <w:b/>
          <w:color w:val="auto"/>
          <w:lang w:val="sr-Cyrl-CS" w:eastAsia="ja-JP"/>
        </w:rPr>
        <w:sectPr w:rsidR="004044DC" w:rsidRPr="007E770D">
          <w:type w:val="continuous"/>
          <w:pgSz w:w="12240" w:h="15840"/>
          <w:pgMar w:top="1417" w:right="1417" w:bottom="1417" w:left="1417" w:header="720" w:footer="720" w:gutter="0"/>
          <w:cols w:space="720"/>
        </w:sectPr>
      </w:pPr>
      <w:bookmarkStart w:id="26" w:name="_Toc23342471"/>
      <w:r w:rsidRPr="007E770D">
        <w:rPr>
          <w:rFonts w:asciiTheme="minorHAnsi" w:eastAsia="MS PGothic" w:hAnsiTheme="minorHAnsi" w:cstheme="minorHAnsi"/>
          <w:b/>
          <w:color w:val="auto"/>
          <w:sz w:val="24"/>
          <w:lang w:val="sr-Cyrl-CS" w:eastAsia="ja-JP"/>
        </w:rPr>
        <w:lastRenderedPageBreak/>
        <w:t>7. Програм за смањење дуга</w:t>
      </w:r>
      <w:bookmarkEnd w:id="24"/>
      <w:bookmarkEnd w:id="25"/>
      <w:bookmarkEnd w:id="26"/>
    </w:p>
    <w:p w14:paraId="224B8DAE" w14:textId="77777777" w:rsidR="004044DC" w:rsidRPr="007E770D" w:rsidRDefault="004044DC" w:rsidP="00264858">
      <w:pPr>
        <w:spacing w:after="60" w:line="276" w:lineRule="auto"/>
        <w:rPr>
          <w:rFonts w:ascii="Calibri" w:eastAsia="Calibri" w:hAnsi="Calibri" w:cs="Calibri"/>
          <w:color w:val="auto"/>
          <w:szCs w:val="20"/>
          <w:lang w:val="sr-Cyrl-CS"/>
        </w:rPr>
      </w:pPr>
      <w:r w:rsidRPr="007E770D">
        <w:rPr>
          <w:rFonts w:ascii="Calibri" w:eastAsia="MS PGothic" w:hAnsi="Calibri" w:cs="Calibri"/>
          <w:color w:val="auto"/>
          <w:szCs w:val="20"/>
          <w:lang w:val="sr-Cyrl-CS" w:eastAsia="ja-JP"/>
        </w:rPr>
        <w:t>У складу са принципом фискалне одговорности, уколико дуг опште државе пређе 45% БДП, Влада је дужна да предложи мере којима ће се дуг приближити циљаном нивоу и вратити у одрживе оквире</w:t>
      </w:r>
      <w:r w:rsidRPr="007E770D">
        <w:rPr>
          <w:rFonts w:ascii="Calibri" w:eastAsia="Calibri" w:hAnsi="Calibri" w:cs="Calibri"/>
          <w:color w:val="auto"/>
          <w:szCs w:val="20"/>
          <w:vertAlign w:val="superscript"/>
          <w:lang w:val="sr-Cyrl-CS"/>
        </w:rPr>
        <w:footnoteReference w:id="21"/>
      </w:r>
      <w:r w:rsidRPr="007E770D">
        <w:rPr>
          <w:rFonts w:ascii="Calibri" w:eastAsia="Calibri" w:hAnsi="Calibri" w:cs="Calibri"/>
          <w:color w:val="auto"/>
          <w:szCs w:val="20"/>
          <w:lang w:val="sr-Cyrl-CS"/>
        </w:rPr>
        <w:t>. Истовремено, Пактом за стабилност и раст је прописана горња граница учешћа јавног дуга у БДП од 60%, као и обавеза за земље чланице ЕУ да званичним документом представе кредибилан план достизања прописаног нивоа задовољавајућом брзином, уколико је ова граница прекорачена.</w:t>
      </w:r>
    </w:p>
    <w:p w14:paraId="47870C6D" w14:textId="77777777" w:rsidR="004044DC" w:rsidRPr="007E770D" w:rsidRDefault="004044DC" w:rsidP="00264858">
      <w:pPr>
        <w:spacing w:after="60" w:line="276" w:lineRule="auto"/>
        <w:rPr>
          <w:rFonts w:ascii="Calibri" w:eastAsia="Calibri" w:hAnsi="Calibri" w:cs="Calibri"/>
          <w:color w:val="auto"/>
          <w:szCs w:val="20"/>
          <w:lang w:val="sr-Cyrl-CS"/>
        </w:rPr>
      </w:pPr>
      <w:r w:rsidRPr="007E770D">
        <w:rPr>
          <w:rFonts w:ascii="Calibri" w:eastAsia="Calibri" w:hAnsi="Calibri" w:cs="Calibri"/>
          <w:color w:val="auto"/>
          <w:szCs w:val="20"/>
          <w:lang w:val="sr-Cyrl-CS"/>
        </w:rPr>
        <w:t>У периоду од 2008. до 2014. године дефицит опште државе је значајно повећан уз истовремено експлозивну путању раста јавног дуга, при чему је однос дуга и БДП више него удвостручен. Мере фискалне консолидације усвојене крајем 2012. и током 2013. године делимично су ублажиле овај тренд, али је ниво јавног дуга и даље значајно растао. Смањивање примарног дефицита у периоду 2012–2014. године није било довољно да стабилизује учешће нивоа јавног дуга у БДП. Ефекти првог таласа фискалне консолидације, која се односила углавном на приходну страну изостали су, услед повећаног обима сиве економије, карактеристичног у периоду након подизања пореских стопа. На расходној страни, високе камате и одређени једнократни расходи су додатно погоршавали фискалну позицију.</w:t>
      </w:r>
    </w:p>
    <w:p w14:paraId="22F47EA0" w14:textId="77777777" w:rsidR="004044DC" w:rsidRPr="007E770D" w:rsidRDefault="004044DC" w:rsidP="00264858">
      <w:pPr>
        <w:spacing w:after="60" w:line="276" w:lineRule="auto"/>
        <w:rPr>
          <w:rFonts w:ascii="Calibri" w:eastAsia="Calibri" w:hAnsi="Calibri" w:cs="Calibri"/>
          <w:color w:val="auto"/>
          <w:szCs w:val="20"/>
          <w:lang w:val="sr-Cyrl-CS"/>
        </w:rPr>
      </w:pPr>
      <w:r w:rsidRPr="007E770D">
        <w:rPr>
          <w:rFonts w:ascii="Calibri" w:eastAsia="Calibri" w:hAnsi="Calibri" w:cs="Calibri"/>
          <w:color w:val="auto"/>
          <w:szCs w:val="20"/>
          <w:lang w:val="sr-Cyrl-CS"/>
        </w:rPr>
        <w:t>Мере фискалне консолидације започете крајем 2014. године спустиле су примарни дефицит и успориле раст јавног дуга већ током 2015. године. До смањења јавног дуга у БДП дошло је у 2016. години, годину дана раније него што је било предвиђено аранжманом са ММФ. У 2016. години остварен је примарни суфицит од 1,7% БДП, чиме су се коначно стекли услови за пад учешћа јавног дуга у БДП. Након тога, у 2017. години, остварени примарни фискални суфицит од 3,6% БДП доводи до још значајнијег пада учешћа дуга, за више од 10 п. п. БДП, на 58,7% БДП.</w:t>
      </w:r>
      <w:r w:rsidRPr="007E770D">
        <w:rPr>
          <w:color w:val="auto"/>
          <w:lang w:val="sr-Cyrl-CS"/>
        </w:rPr>
        <w:t xml:space="preserve"> </w:t>
      </w:r>
      <w:r w:rsidRPr="007E770D">
        <w:rPr>
          <w:rFonts w:ascii="Calibri" w:eastAsia="Calibri" w:hAnsi="Calibri" w:cs="Calibri"/>
          <w:color w:val="auto"/>
          <w:szCs w:val="20"/>
          <w:lang w:val="sr-Cyrl-CS"/>
        </w:rPr>
        <w:t>Током 2018. године настављено је убрзано смањење учешћа јавног дуга када је смањен на 54,4% БДП.</w:t>
      </w:r>
    </w:p>
    <w:p w14:paraId="18AA8F7A" w14:textId="77777777" w:rsidR="004044DC" w:rsidRPr="007E770D" w:rsidRDefault="004044DC" w:rsidP="00E4657F">
      <w:pPr>
        <w:spacing w:after="120" w:line="276" w:lineRule="auto"/>
        <w:rPr>
          <w:rFonts w:cstheme="minorHAnsi"/>
          <w:b/>
          <w:color w:val="auto"/>
          <w:lang w:val="sr-Cyrl-CS"/>
        </w:rPr>
      </w:pPr>
      <w:r w:rsidRPr="007E770D">
        <w:rPr>
          <w:rFonts w:cstheme="minorHAnsi"/>
          <w:b/>
          <w:color w:val="auto"/>
          <w:lang w:val="sr-Cyrl-CS"/>
        </w:rPr>
        <w:t>Примарни резултат који стабилизује учешће дуга у БДП и остварени/пројектовани резултат, % БДП</w:t>
      </w:r>
    </w:p>
    <w:p w14:paraId="624EFC82" w14:textId="77777777" w:rsidR="004044DC" w:rsidRPr="007E770D" w:rsidRDefault="004044DC" w:rsidP="001E3C08">
      <w:pPr>
        <w:spacing w:after="120" w:line="276" w:lineRule="auto"/>
        <w:rPr>
          <w:rFonts w:ascii="Calibri" w:eastAsia="Calibri" w:hAnsi="Calibri" w:cs="Calibri"/>
          <w:color w:val="auto"/>
          <w:szCs w:val="20"/>
          <w:lang w:val="sr-Cyrl-CS"/>
        </w:rPr>
      </w:pPr>
      <w:r w:rsidRPr="007E770D">
        <w:rPr>
          <w:noProof/>
          <w:color w:val="auto"/>
        </w:rPr>
        <w:drawing>
          <wp:inline distT="0" distB="0" distL="0" distR="0" wp14:anchorId="4ABE4D27" wp14:editId="01A2A5EA">
            <wp:extent cx="2843530" cy="1685925"/>
            <wp:effectExtent l="0" t="0" r="0" b="0"/>
            <wp:docPr id="69" name="Chart 69"/>
            <wp:cNvGraphicFramePr/>
            <a:graphic xmlns:a="http://schemas.openxmlformats.org/drawingml/2006/main">
              <a:graphicData uri="http://schemas.openxmlformats.org/drawingml/2006/chart">
                <c:chart xmlns:c="http://schemas.openxmlformats.org/drawingml/2006/chart" xmlns:r="http://schemas.openxmlformats.org/officeDocument/2006/relationships" r:id="rId154"/>
              </a:graphicData>
            </a:graphic>
          </wp:inline>
        </w:drawing>
      </w:r>
    </w:p>
    <w:p w14:paraId="0B39E21E" w14:textId="77777777" w:rsidR="004044DC" w:rsidRPr="007E770D" w:rsidRDefault="004044DC" w:rsidP="00264858">
      <w:pPr>
        <w:spacing w:after="60" w:line="276" w:lineRule="auto"/>
        <w:rPr>
          <w:rFonts w:ascii="Calibri" w:eastAsia="MS PGothic" w:hAnsi="Calibri" w:cs="Calibri"/>
          <w:b/>
          <w:color w:val="auto"/>
          <w:szCs w:val="20"/>
          <w:lang w:val="sr-Cyrl-CS" w:eastAsia="ja-JP"/>
        </w:rPr>
      </w:pPr>
      <w:r w:rsidRPr="007E770D">
        <w:rPr>
          <w:rFonts w:cstheme="minorHAnsi"/>
          <w:bCs/>
          <w:color w:val="auto"/>
          <w:sz w:val="16"/>
          <w:szCs w:val="72"/>
          <w:lang w:val="sr-Cyrl-CS"/>
        </w:rPr>
        <w:t>Извор: Министарство финансија</w:t>
      </w:r>
    </w:p>
    <w:p w14:paraId="46A45909" w14:textId="77777777" w:rsidR="004044DC" w:rsidRPr="007E770D" w:rsidRDefault="004044DC" w:rsidP="00264858">
      <w:pPr>
        <w:spacing w:after="60" w:line="276" w:lineRule="auto"/>
        <w:rPr>
          <w:rFonts w:ascii="Calibri" w:eastAsia="Calibri" w:hAnsi="Calibri" w:cs="Calibri"/>
          <w:color w:val="auto"/>
          <w:szCs w:val="20"/>
          <w:lang w:val="sr-Cyrl-CS"/>
        </w:rPr>
      </w:pPr>
      <w:r w:rsidRPr="007E770D">
        <w:rPr>
          <w:rFonts w:ascii="Calibri" w:eastAsia="Calibri" w:hAnsi="Calibri" w:cs="Calibri"/>
          <w:color w:val="auto"/>
          <w:szCs w:val="20"/>
          <w:lang w:val="sr-Cyrl-CS"/>
        </w:rPr>
        <w:t>Од 2016. године присутан је позитиван примарни стабилизациони јаз. Овај јаз се дефинише као разлика између оствареног примарног резултата и примарног резултата који је неопходан да би се стабилизовало учешће јавног дуга у текућој години. Управо у 2016. години кад је путања дуга преокренута, стабилизациони јаз бележи позитивне вредности. Током 2017. и 2018. године позитиван јаз се повећава са максималном вредношћу у 2017. години, када је и остварено највеће смањење учешћа дуга у БДП. У наредном периоду пројектоване су позитивне вредности овог параметра, што доводи до даљег опадања учешћа дуга ка законској граници од 45% БДП током 2024.године.</w:t>
      </w:r>
    </w:p>
    <w:p w14:paraId="29F89AB1" w14:textId="77777777" w:rsidR="004044DC" w:rsidRPr="007E770D" w:rsidRDefault="004044DC" w:rsidP="00264858">
      <w:pPr>
        <w:spacing w:after="60" w:line="276" w:lineRule="auto"/>
        <w:rPr>
          <w:rFonts w:ascii="Calibri" w:eastAsia="Calibri" w:hAnsi="Calibri" w:cs="Calibri"/>
          <w:color w:val="auto"/>
          <w:szCs w:val="20"/>
          <w:lang w:val="sr-Cyrl-CS"/>
        </w:rPr>
      </w:pPr>
      <w:r w:rsidRPr="007E770D">
        <w:rPr>
          <w:rFonts w:ascii="Calibri" w:eastAsia="Calibri" w:hAnsi="Calibri" w:cs="Calibri"/>
          <w:color w:val="auto"/>
          <w:szCs w:val="20"/>
          <w:lang w:val="sr-Cyrl-CS"/>
        </w:rPr>
        <w:t>И поред значајног нивоа фискалне релаксације током 2019. године, настављен је тренд смањења учешћа јавног дуга у БДП. Позитиван примарни фискални резултат у 2019. години од 1,6% БДП утицаће на даље смањење јавног дуга за 1,5 п. п. БДП.</w:t>
      </w:r>
    </w:p>
    <w:p w14:paraId="41534BC5" w14:textId="77777777" w:rsidR="004044DC" w:rsidRPr="007E770D" w:rsidRDefault="004044DC" w:rsidP="006239F9">
      <w:pPr>
        <w:spacing w:after="60" w:line="276" w:lineRule="auto"/>
        <w:rPr>
          <w:rFonts w:ascii="Calibri" w:eastAsia="Calibri" w:hAnsi="Calibri" w:cs="Calibri"/>
          <w:color w:val="auto"/>
          <w:szCs w:val="20"/>
          <w:lang w:val="sr-Cyrl-CS"/>
        </w:rPr>
      </w:pPr>
      <w:r w:rsidRPr="007E770D">
        <w:rPr>
          <w:rFonts w:ascii="Calibri" w:eastAsia="Calibri" w:hAnsi="Calibri" w:cs="Calibri"/>
          <w:color w:val="auto"/>
          <w:szCs w:val="20"/>
          <w:lang w:val="sr-Cyrl-CS"/>
        </w:rPr>
        <w:t>Управљање и одрживост јавног дуга ће се обезбедити:</w:t>
      </w:r>
    </w:p>
    <w:p w14:paraId="338EABBE" w14:textId="77777777" w:rsidR="004044DC" w:rsidRPr="007E770D" w:rsidRDefault="004044DC" w:rsidP="001E3C08">
      <w:pPr>
        <w:numPr>
          <w:ilvl w:val="0"/>
          <w:numId w:val="10"/>
        </w:numPr>
        <w:spacing w:after="0" w:line="276" w:lineRule="auto"/>
        <w:ind w:left="180" w:hanging="180"/>
        <w:rPr>
          <w:rFonts w:ascii="Calibri" w:eastAsia="Calibri" w:hAnsi="Calibri" w:cs="Calibri"/>
          <w:color w:val="auto"/>
          <w:szCs w:val="20"/>
          <w:lang w:val="sr-Cyrl-CS"/>
        </w:rPr>
      </w:pPr>
      <w:r w:rsidRPr="007E770D">
        <w:rPr>
          <w:rFonts w:ascii="Calibri" w:eastAsia="Calibri" w:hAnsi="Calibri" w:cs="Calibri"/>
          <w:color w:val="auto"/>
          <w:szCs w:val="20"/>
          <w:lang w:val="sr-Cyrl-CS"/>
        </w:rPr>
        <w:t>ограничењем издавања нових гаранција;</w:t>
      </w:r>
    </w:p>
    <w:p w14:paraId="035F7670" w14:textId="77777777" w:rsidR="004044DC" w:rsidRPr="007E770D" w:rsidRDefault="004044DC" w:rsidP="001E3C08">
      <w:pPr>
        <w:numPr>
          <w:ilvl w:val="0"/>
          <w:numId w:val="10"/>
        </w:numPr>
        <w:spacing w:after="0" w:line="276" w:lineRule="auto"/>
        <w:ind w:left="180" w:hanging="180"/>
        <w:rPr>
          <w:rFonts w:ascii="Calibri" w:eastAsia="Calibri" w:hAnsi="Calibri" w:cs="Calibri"/>
          <w:color w:val="auto"/>
          <w:szCs w:val="20"/>
          <w:lang w:val="sr-Cyrl-CS"/>
        </w:rPr>
      </w:pPr>
      <w:r w:rsidRPr="007E770D">
        <w:rPr>
          <w:rFonts w:ascii="Calibri" w:eastAsia="Calibri" w:hAnsi="Calibri" w:cs="Calibri"/>
          <w:color w:val="auto"/>
          <w:szCs w:val="20"/>
          <w:lang w:val="sr-Cyrl-CS"/>
        </w:rPr>
        <w:t>ограничењем закључивања нових пројектних зајмова у случајевима да претходно одобрени зајмови нису ефикасно коришћени;</w:t>
      </w:r>
    </w:p>
    <w:p w14:paraId="004F5513" w14:textId="77777777" w:rsidR="004044DC" w:rsidRPr="007E770D" w:rsidRDefault="004044DC" w:rsidP="001E3C08">
      <w:pPr>
        <w:numPr>
          <w:ilvl w:val="0"/>
          <w:numId w:val="10"/>
        </w:numPr>
        <w:spacing w:after="0" w:line="276" w:lineRule="auto"/>
        <w:ind w:left="180" w:hanging="180"/>
        <w:rPr>
          <w:rFonts w:ascii="Calibri" w:eastAsia="Calibri" w:hAnsi="Calibri" w:cs="Calibri"/>
          <w:color w:val="auto"/>
          <w:szCs w:val="20"/>
          <w:lang w:val="sr-Cyrl-CS"/>
        </w:rPr>
      </w:pPr>
      <w:r w:rsidRPr="007E770D">
        <w:rPr>
          <w:rFonts w:ascii="Calibri" w:eastAsia="Calibri" w:hAnsi="Calibri" w:cs="Calibri"/>
          <w:color w:val="auto"/>
          <w:szCs w:val="20"/>
          <w:lang w:val="sr-Cyrl-CS"/>
        </w:rPr>
        <w:lastRenderedPageBreak/>
        <w:t>откупом једног дела скупог дуга коришћењем средстава из повољнијих зајмова или приватизационих прихода уколико за то постоје могућности;</w:t>
      </w:r>
    </w:p>
    <w:p w14:paraId="7E7F57B8" w14:textId="77777777" w:rsidR="004044DC" w:rsidRPr="007E770D" w:rsidRDefault="004044DC" w:rsidP="006239F9">
      <w:pPr>
        <w:numPr>
          <w:ilvl w:val="0"/>
          <w:numId w:val="10"/>
        </w:numPr>
        <w:spacing w:after="60" w:line="276" w:lineRule="auto"/>
        <w:ind w:left="181" w:hanging="181"/>
        <w:rPr>
          <w:rFonts w:ascii="Calibri" w:eastAsia="Calibri" w:hAnsi="Calibri" w:cs="Calibri"/>
          <w:color w:val="auto"/>
          <w:szCs w:val="20"/>
          <w:lang w:val="sr-Cyrl-CS"/>
        </w:rPr>
      </w:pPr>
      <w:r w:rsidRPr="007E770D">
        <w:rPr>
          <w:rFonts w:ascii="Calibri" w:eastAsia="Calibri" w:hAnsi="Calibri" w:cs="Calibri"/>
          <w:color w:val="auto"/>
          <w:szCs w:val="20"/>
          <w:lang w:val="sr-Cyrl-CS"/>
        </w:rPr>
        <w:t>идентификацијом и бољим управљањем фискалним ризицима.</w:t>
      </w:r>
    </w:p>
    <w:p w14:paraId="76553949" w14:textId="77777777" w:rsidR="004044DC" w:rsidRPr="007E770D" w:rsidRDefault="004044DC" w:rsidP="001E3C08">
      <w:pPr>
        <w:spacing w:after="120" w:line="276" w:lineRule="auto"/>
        <w:rPr>
          <w:rFonts w:ascii="Calibri" w:eastAsia="Calibri" w:hAnsi="Calibri" w:cs="Calibri"/>
          <w:color w:val="auto"/>
          <w:szCs w:val="20"/>
          <w:lang w:val="sr-Cyrl-CS"/>
        </w:rPr>
      </w:pPr>
      <w:r w:rsidRPr="007E770D">
        <w:rPr>
          <w:rFonts w:ascii="Calibri" w:eastAsia="Calibri" w:hAnsi="Calibri" w:cs="Calibri"/>
          <w:color w:val="auto"/>
          <w:szCs w:val="20"/>
          <w:lang w:val="sr-Cyrl-CS"/>
        </w:rPr>
        <w:t>У складу са важећим фискалним правилима неопходно је програмом предвидети динамику спуштања нивоа јавног дуга на 45% БДП. Фискални оквир у периоду 2020–2022. године, којим је предвиђена стабилизација консолидованог фискалног дефицита на 0,5% БДП, представља основни сценарио и саставни је део овог програма за смањење јавног дуга.</w:t>
      </w:r>
    </w:p>
    <w:p w14:paraId="3E838F18" w14:textId="77777777" w:rsidR="004044DC" w:rsidRPr="007E770D" w:rsidRDefault="004044DC" w:rsidP="00BF2027">
      <w:pPr>
        <w:spacing w:after="120" w:line="276" w:lineRule="auto"/>
        <w:rPr>
          <w:rFonts w:ascii="Calibri" w:eastAsia="Calibri" w:hAnsi="Calibri" w:cs="Calibri"/>
          <w:color w:val="auto"/>
          <w:szCs w:val="20"/>
          <w:lang w:val="sr-Cyrl-CS"/>
        </w:rPr>
      </w:pPr>
      <w:r w:rsidRPr="007E770D">
        <w:rPr>
          <w:rFonts w:ascii="Calibri" w:eastAsia="Calibri" w:hAnsi="Calibri" w:cs="Calibri"/>
          <w:color w:val="auto"/>
          <w:szCs w:val="20"/>
          <w:lang w:val="sr-Cyrl-CS"/>
        </w:rPr>
        <w:t>Законски предвиђено учешће јавног дуга у БДП од 45% биће достигнуто током 2024. године. Успех програма структурног фискалног прилагођавања омогућио је смањење учешћа дуга од 2015. до 2018. године за близу 17 п. п. БДП. Како је фискалним правилима предвиђена граница дуга од 45% БДП која се достиже током 2024. године, урађена је симулација кретања учешћа у случају варијације фактора који утичу на динамику дуга до 2027. године.</w:t>
      </w:r>
    </w:p>
    <w:p w14:paraId="58156302" w14:textId="77777777" w:rsidR="004044DC" w:rsidRPr="007E770D" w:rsidRDefault="004044DC" w:rsidP="00FD39E7">
      <w:pPr>
        <w:spacing w:after="60" w:line="276" w:lineRule="auto"/>
        <w:rPr>
          <w:rFonts w:ascii="Calibri" w:eastAsia="Calibri" w:hAnsi="Calibri" w:cs="Calibri"/>
          <w:color w:val="auto"/>
          <w:szCs w:val="20"/>
          <w:lang w:val="sr-Cyrl-CS"/>
        </w:rPr>
      </w:pPr>
      <w:r w:rsidRPr="007E770D">
        <w:rPr>
          <w:rFonts w:ascii="Calibri" w:eastAsia="Calibri" w:hAnsi="Calibri" w:cs="Calibri"/>
          <w:b/>
          <w:color w:val="auto"/>
          <w:szCs w:val="20"/>
          <w:lang w:val="sr-Cyrl-CS"/>
        </w:rPr>
        <w:br w:type="column"/>
      </w:r>
      <w:r w:rsidRPr="007E770D">
        <w:rPr>
          <w:rFonts w:ascii="Calibri" w:eastAsia="Calibri" w:hAnsi="Calibri" w:cs="Calibri"/>
          <w:b/>
          <w:color w:val="auto"/>
          <w:szCs w:val="20"/>
          <w:lang w:val="sr-Cyrl-CS"/>
        </w:rPr>
        <w:t>Претпоставке у основном сценарију су</w:t>
      </w:r>
      <w:r w:rsidRPr="007E770D">
        <w:rPr>
          <w:rFonts w:ascii="Calibri" w:eastAsia="Calibri" w:hAnsi="Calibri" w:cs="Calibri"/>
          <w:color w:val="auto"/>
          <w:szCs w:val="20"/>
          <w:lang w:val="sr-Cyrl-CS"/>
        </w:rPr>
        <w:t>:</w:t>
      </w:r>
    </w:p>
    <w:p w14:paraId="47843505" w14:textId="77777777" w:rsidR="004044DC" w:rsidRPr="007E770D" w:rsidRDefault="004044DC" w:rsidP="001E3C08">
      <w:pPr>
        <w:numPr>
          <w:ilvl w:val="0"/>
          <w:numId w:val="11"/>
        </w:numPr>
        <w:spacing w:after="0" w:line="276" w:lineRule="auto"/>
        <w:ind w:left="90" w:hanging="180"/>
        <w:contextualSpacing/>
        <w:rPr>
          <w:rFonts w:cs="Calibri"/>
          <w:bCs/>
          <w:color w:val="auto"/>
          <w:szCs w:val="20"/>
          <w:lang w:val="sr-Cyrl-CS" w:eastAsia="ja-JP"/>
        </w:rPr>
      </w:pPr>
      <w:r w:rsidRPr="007E770D">
        <w:rPr>
          <w:rFonts w:cs="Calibri"/>
          <w:bCs/>
          <w:color w:val="auto"/>
          <w:szCs w:val="20"/>
          <w:lang w:val="sr-Cyrl-CS" w:eastAsia="ja-JP"/>
        </w:rPr>
        <w:t>након оствареног суфицита у 2018. години, комбинацијом мера на приходној и расходној страни у наредном периоду долази до релаксације фискалне политике чиме се достиже, за тренутне услове, примеренији и одржив ниво фискалног дефицита од 0,5% БДП у 2019. години и његово одржавање у периоду након тога;</w:t>
      </w:r>
    </w:p>
    <w:p w14:paraId="35F2CCDF" w14:textId="77777777" w:rsidR="004044DC" w:rsidRPr="007E770D" w:rsidRDefault="004044DC" w:rsidP="001E3C08">
      <w:pPr>
        <w:numPr>
          <w:ilvl w:val="0"/>
          <w:numId w:val="11"/>
        </w:numPr>
        <w:spacing w:after="0" w:line="276" w:lineRule="auto"/>
        <w:ind w:left="90" w:hanging="180"/>
        <w:contextualSpacing/>
        <w:rPr>
          <w:rFonts w:cs="Calibri"/>
          <w:bCs/>
          <w:color w:val="auto"/>
          <w:szCs w:val="20"/>
          <w:lang w:val="sr-Cyrl-CS" w:eastAsia="ja-JP"/>
        </w:rPr>
      </w:pPr>
      <w:r w:rsidRPr="007E770D">
        <w:rPr>
          <w:rFonts w:cs="Calibri"/>
          <w:bCs/>
          <w:color w:val="auto"/>
          <w:szCs w:val="20"/>
          <w:lang w:val="sr-Cyrl-CS" w:eastAsia="ja-JP"/>
        </w:rPr>
        <w:t>спорији раст фискалних прихода у односу на номинални раст БДП услед промене структуре привреде, јачања инвестиционе активности и раста извоза. Ово важи под условима да нема значајнијих промена у пореској политици и да се значајније не погоршава обим сиве економије;</w:t>
      </w:r>
    </w:p>
    <w:p w14:paraId="3EAA4880" w14:textId="77777777" w:rsidR="004044DC" w:rsidRPr="007E770D" w:rsidRDefault="004044DC" w:rsidP="001E3C08">
      <w:pPr>
        <w:numPr>
          <w:ilvl w:val="0"/>
          <w:numId w:val="11"/>
        </w:numPr>
        <w:spacing w:after="0" w:line="276" w:lineRule="auto"/>
        <w:ind w:left="90" w:hanging="180"/>
        <w:contextualSpacing/>
        <w:rPr>
          <w:rFonts w:cs="Calibri"/>
          <w:bCs/>
          <w:color w:val="auto"/>
          <w:szCs w:val="20"/>
          <w:lang w:val="sr-Cyrl-CS" w:eastAsia="ja-JP"/>
        </w:rPr>
      </w:pPr>
      <w:r w:rsidRPr="007E770D">
        <w:rPr>
          <w:rFonts w:cs="Calibri"/>
          <w:bCs/>
          <w:color w:val="auto"/>
          <w:szCs w:val="20"/>
          <w:lang w:val="sr-Cyrl-CS" w:eastAsia="ja-JP"/>
        </w:rPr>
        <w:t>изостанак нето прираста издатих гаранција након 2019. године;</w:t>
      </w:r>
    </w:p>
    <w:p w14:paraId="25AC26E6" w14:textId="77777777" w:rsidR="004044DC" w:rsidRPr="007E770D" w:rsidRDefault="004044DC" w:rsidP="001E3C08">
      <w:pPr>
        <w:numPr>
          <w:ilvl w:val="0"/>
          <w:numId w:val="11"/>
        </w:numPr>
        <w:spacing w:after="0" w:line="276" w:lineRule="auto"/>
        <w:ind w:left="90" w:hanging="180"/>
        <w:contextualSpacing/>
        <w:rPr>
          <w:rFonts w:cs="Calibri"/>
          <w:color w:val="auto"/>
          <w:szCs w:val="20"/>
          <w:lang w:val="sr-Cyrl-CS" w:eastAsia="ja-JP"/>
        </w:rPr>
      </w:pPr>
      <w:r w:rsidRPr="007E770D">
        <w:rPr>
          <w:rFonts w:cs="Calibri"/>
          <w:bCs/>
          <w:color w:val="auto"/>
          <w:szCs w:val="20"/>
          <w:lang w:val="sr-Cyrl-CS" w:eastAsia="ja-JP"/>
        </w:rPr>
        <w:t>просечна стопа реалног раста БДП од 4% у дугом року</w:t>
      </w:r>
      <w:r w:rsidRPr="007E770D">
        <w:rPr>
          <w:rFonts w:cs="Calibri"/>
          <w:color w:val="auto"/>
          <w:szCs w:val="20"/>
          <w:lang w:val="sr-Cyrl-CS" w:eastAsia="ja-JP"/>
        </w:rPr>
        <w:t>;</w:t>
      </w:r>
    </w:p>
    <w:p w14:paraId="585D1B92" w14:textId="77777777" w:rsidR="004044DC" w:rsidRPr="007E770D" w:rsidRDefault="004044DC" w:rsidP="001E3C08">
      <w:pPr>
        <w:numPr>
          <w:ilvl w:val="0"/>
          <w:numId w:val="11"/>
        </w:numPr>
        <w:spacing w:after="0" w:line="276" w:lineRule="auto"/>
        <w:ind w:left="90" w:hanging="180"/>
        <w:contextualSpacing/>
        <w:rPr>
          <w:rFonts w:cs="Calibri"/>
          <w:color w:val="auto"/>
          <w:szCs w:val="20"/>
          <w:lang w:val="sr-Cyrl-CS" w:eastAsia="ja-JP"/>
        </w:rPr>
      </w:pPr>
      <w:r w:rsidRPr="007E770D">
        <w:rPr>
          <w:rFonts w:cs="Calibri"/>
          <w:bCs/>
          <w:color w:val="auto"/>
          <w:szCs w:val="20"/>
          <w:lang w:val="sr-Cyrl-CS" w:eastAsia="ja-JP"/>
        </w:rPr>
        <w:t>годишња инфлација од око 3% просечно у посматраном периоду</w:t>
      </w:r>
      <w:r w:rsidRPr="007E770D">
        <w:rPr>
          <w:rFonts w:cs="Calibri"/>
          <w:color w:val="auto"/>
          <w:szCs w:val="20"/>
          <w:lang w:val="sr-Cyrl-CS" w:eastAsia="ja-JP"/>
        </w:rPr>
        <w:t>;</w:t>
      </w:r>
    </w:p>
    <w:p w14:paraId="06F79DF6" w14:textId="77777777" w:rsidR="004044DC" w:rsidRPr="007E770D" w:rsidRDefault="004044DC" w:rsidP="001E3C08">
      <w:pPr>
        <w:numPr>
          <w:ilvl w:val="0"/>
          <w:numId w:val="11"/>
        </w:numPr>
        <w:spacing w:after="0" w:line="276" w:lineRule="auto"/>
        <w:ind w:left="90" w:hanging="180"/>
        <w:contextualSpacing/>
        <w:rPr>
          <w:rFonts w:cs="Calibri"/>
          <w:color w:val="auto"/>
          <w:szCs w:val="20"/>
          <w:lang w:val="sr-Cyrl-CS" w:eastAsia="ja-JP"/>
        </w:rPr>
      </w:pPr>
      <w:r w:rsidRPr="007E770D">
        <w:rPr>
          <w:rFonts w:cs="Calibri"/>
          <w:bCs/>
          <w:color w:val="auto"/>
          <w:szCs w:val="20"/>
          <w:lang w:val="sr-Cyrl-CS" w:eastAsia="ja-JP"/>
        </w:rPr>
        <w:t>реално непромењен курс динара</w:t>
      </w:r>
      <w:r w:rsidRPr="007E770D">
        <w:rPr>
          <w:rFonts w:cs="Calibri"/>
          <w:color w:val="auto"/>
          <w:szCs w:val="20"/>
          <w:lang w:val="sr-Cyrl-CS" w:eastAsia="ja-JP"/>
        </w:rPr>
        <w:t>;</w:t>
      </w:r>
    </w:p>
    <w:p w14:paraId="6473ABC0" w14:textId="77777777" w:rsidR="004044DC" w:rsidRPr="007E770D" w:rsidRDefault="004044DC" w:rsidP="00FD39E7">
      <w:pPr>
        <w:numPr>
          <w:ilvl w:val="0"/>
          <w:numId w:val="11"/>
        </w:numPr>
        <w:spacing w:after="120" w:line="276" w:lineRule="auto"/>
        <w:ind w:left="90" w:hanging="181"/>
        <w:rPr>
          <w:rFonts w:cs="Calibri"/>
          <w:color w:val="auto"/>
          <w:szCs w:val="20"/>
          <w:lang w:val="sr-Cyrl-CS" w:eastAsia="ja-JP"/>
        </w:rPr>
        <w:sectPr w:rsidR="004044DC" w:rsidRPr="007E770D">
          <w:type w:val="continuous"/>
          <w:pgSz w:w="12240" w:h="15840"/>
          <w:pgMar w:top="1417" w:right="1417" w:bottom="1417" w:left="1417" w:header="720" w:footer="720" w:gutter="0"/>
          <w:cols w:num="2" w:space="720"/>
          <w15:footnoteColumns w:val="1"/>
        </w:sectPr>
      </w:pPr>
      <w:r w:rsidRPr="007E770D">
        <w:rPr>
          <w:rFonts w:cs="Calibri"/>
          <w:bCs/>
          <w:color w:val="auto"/>
          <w:szCs w:val="20"/>
          <w:lang w:val="sr-Cyrl-CS" w:eastAsia="ja-JP"/>
        </w:rPr>
        <w:t>изостанак значајних прилива од приватизације у посматраном периоду 2022–2027. године</w:t>
      </w:r>
      <w:r w:rsidRPr="007E770D">
        <w:rPr>
          <w:rFonts w:cs="Calibri"/>
          <w:color w:val="auto"/>
          <w:szCs w:val="20"/>
          <w:lang w:val="sr-Cyrl-CS" w:eastAsia="ja-JP"/>
        </w:rPr>
        <w:t>. Евентуални већи приватизациони приходи смањују потребу за финансирањем и додатно смањују учешће јавног дуга.</w:t>
      </w:r>
    </w:p>
    <w:p w14:paraId="4490C63B" w14:textId="77777777" w:rsidR="004044DC" w:rsidRPr="007E770D" w:rsidRDefault="004044DC" w:rsidP="001E3C08">
      <w:pPr>
        <w:spacing w:after="0" w:line="276" w:lineRule="auto"/>
        <w:rPr>
          <w:rFonts w:ascii="Calibri" w:eastAsia="Calibri" w:hAnsi="Calibri" w:cs="Calibri"/>
          <w:color w:val="auto"/>
          <w:sz w:val="12"/>
          <w:szCs w:val="20"/>
          <w:lang w:val="sr-Cyrl-CS" w:eastAsia="ja-JP"/>
        </w:rPr>
      </w:pPr>
    </w:p>
    <w:p w14:paraId="0111AB57" w14:textId="77777777" w:rsidR="004044DC" w:rsidRPr="007E770D" w:rsidRDefault="004044DC" w:rsidP="001E3C08">
      <w:pPr>
        <w:spacing w:after="120" w:line="240" w:lineRule="auto"/>
        <w:jc w:val="center"/>
        <w:rPr>
          <w:rFonts w:ascii="Calibri" w:eastAsia="Calibri" w:hAnsi="Calibri" w:cs="Calibri"/>
          <w:color w:val="auto"/>
          <w:szCs w:val="20"/>
          <w:lang w:val="sr-Cyrl-CS"/>
        </w:rPr>
      </w:pPr>
      <w:r w:rsidRPr="007E770D">
        <w:rPr>
          <w:rFonts w:ascii="Calibri" w:eastAsia="Calibri" w:hAnsi="Calibri" w:cs="Calibri"/>
          <w:b/>
          <w:color w:val="auto"/>
          <w:szCs w:val="20"/>
          <w:lang w:val="sr-Cyrl-CS"/>
        </w:rPr>
        <w:t>Табела 20. Симулација нивоа укупног дуга у основном сценарију до 2027. године</w:t>
      </w:r>
      <w:r w:rsidRPr="007E770D">
        <w:rPr>
          <w:rFonts w:ascii="Calibri" w:eastAsia="Calibri" w:hAnsi="Calibri" w:cs="Calibri"/>
          <w:color w:val="auto"/>
          <w:szCs w:val="20"/>
          <w:lang w:val="sr-Cyrl-CS"/>
        </w:rPr>
        <w:t xml:space="preserve">, </w:t>
      </w:r>
      <w:r w:rsidRPr="007E770D">
        <w:rPr>
          <w:rFonts w:ascii="Calibri" w:eastAsia="Calibri" w:hAnsi="Calibri" w:cs="Calibri"/>
          <w:b/>
          <w:color w:val="auto"/>
          <w:szCs w:val="20"/>
          <w:lang w:val="sr-Cyrl-CS"/>
        </w:rPr>
        <w:t>%</w:t>
      </w:r>
      <w:r w:rsidRPr="007E770D">
        <w:rPr>
          <w:rFonts w:ascii="Calibri" w:eastAsia="Calibri" w:hAnsi="Calibri" w:cs="Calibri"/>
          <w:color w:val="auto"/>
          <w:sz w:val="24"/>
          <w:szCs w:val="24"/>
          <w:lang w:val="sr-Cyrl-CS"/>
        </w:rPr>
        <w:t xml:space="preserve"> </w:t>
      </w:r>
      <w:r w:rsidRPr="007E770D">
        <w:rPr>
          <w:rFonts w:ascii="Calibri" w:eastAsia="Calibri" w:hAnsi="Calibri" w:cs="Calibri"/>
          <w:b/>
          <w:color w:val="auto"/>
          <w:szCs w:val="20"/>
          <w:lang w:val="sr-Cyrl-CS"/>
        </w:rPr>
        <w:t>БДП</w:t>
      </w:r>
    </w:p>
    <w:tbl>
      <w:tblPr>
        <w:tblStyle w:val="LightShading-Accent338"/>
        <w:tblW w:w="5211" w:type="pct"/>
        <w:jc w:val="center"/>
        <w:tblLook w:val="04A0" w:firstRow="1" w:lastRow="0" w:firstColumn="1" w:lastColumn="0" w:noHBand="0" w:noVBand="1"/>
      </w:tblPr>
      <w:tblGrid>
        <w:gridCol w:w="2204"/>
        <w:gridCol w:w="696"/>
        <w:gridCol w:w="767"/>
        <w:gridCol w:w="767"/>
        <w:gridCol w:w="767"/>
        <w:gridCol w:w="767"/>
        <w:gridCol w:w="767"/>
        <w:gridCol w:w="767"/>
        <w:gridCol w:w="767"/>
        <w:gridCol w:w="767"/>
        <w:gridCol w:w="767"/>
      </w:tblGrid>
      <w:tr w:rsidR="007E770D" w:rsidRPr="007E770D" w14:paraId="1CC6E185" w14:textId="77777777" w:rsidTr="00C130D2">
        <w:trPr>
          <w:cnfStyle w:val="100000000000" w:firstRow="1" w:lastRow="0" w:firstColumn="0" w:lastColumn="0" w:oddVBand="0" w:evenVBand="0" w:oddHBand="0" w:evenHBand="0" w:firstRowFirstColumn="0" w:firstRowLastColumn="0" w:lastRowFirstColumn="0" w:lastRowLastColumn="0"/>
          <w:trHeight w:val="291"/>
          <w:jc w:val="center"/>
        </w:trPr>
        <w:tc>
          <w:tcPr>
            <w:cnfStyle w:val="001000000000" w:firstRow="0" w:lastRow="0" w:firstColumn="1" w:lastColumn="0" w:oddVBand="0" w:evenVBand="0" w:oddHBand="0" w:evenHBand="0" w:firstRowFirstColumn="0" w:firstRowLastColumn="0" w:lastRowFirstColumn="0" w:lastRowLastColumn="0"/>
            <w:tcW w:w="1124" w:type="pct"/>
            <w:tcBorders>
              <w:top w:val="single" w:sz="4" w:space="0" w:color="002060"/>
              <w:bottom w:val="single" w:sz="4" w:space="0" w:color="002060"/>
            </w:tcBorders>
            <w:shd w:val="clear" w:color="auto" w:fill="auto"/>
            <w:vAlign w:val="center"/>
            <w:hideMark/>
          </w:tcPr>
          <w:p w14:paraId="1DE6DD48" w14:textId="77777777" w:rsidR="004044DC" w:rsidRPr="007E770D" w:rsidRDefault="004044DC" w:rsidP="001E3C08">
            <w:pPr>
              <w:ind w:right="-427"/>
              <w:rPr>
                <w:rFonts w:ascii="Calibri" w:eastAsia="Times New Roman" w:hAnsi="Calibri" w:cs="Calibri"/>
                <w:b w:val="0"/>
                <w:color w:val="auto"/>
                <w:sz w:val="18"/>
                <w:szCs w:val="18"/>
                <w:lang w:val="sr-Cyrl-CS"/>
              </w:rPr>
            </w:pPr>
            <w:r w:rsidRPr="007E770D">
              <w:rPr>
                <w:rFonts w:ascii="Calibri" w:eastAsia="Times New Roman" w:hAnsi="Calibri" w:cs="Calibri"/>
                <w:b w:val="0"/>
                <w:color w:val="auto"/>
                <w:sz w:val="18"/>
                <w:szCs w:val="18"/>
                <w:lang w:val="sr-Cyrl-CS"/>
              </w:rPr>
              <w:t>Основни сценарио</w:t>
            </w:r>
          </w:p>
        </w:tc>
        <w:tc>
          <w:tcPr>
            <w:tcW w:w="355" w:type="pct"/>
            <w:tcBorders>
              <w:top w:val="single" w:sz="4" w:space="0" w:color="002060"/>
              <w:bottom w:val="single" w:sz="4" w:space="0" w:color="002060"/>
            </w:tcBorders>
            <w:shd w:val="clear" w:color="auto" w:fill="auto"/>
            <w:noWrap/>
            <w:vAlign w:val="center"/>
            <w:hideMark/>
          </w:tcPr>
          <w:p w14:paraId="3CC3E13C" w14:textId="77777777" w:rsidR="004044DC" w:rsidRPr="007E770D" w:rsidRDefault="004044DC" w:rsidP="001E3C08">
            <w:pPr>
              <w:jc w:val="right"/>
              <w:cnfStyle w:val="100000000000" w:firstRow="1" w:lastRow="0" w:firstColumn="0" w:lastColumn="0" w:oddVBand="0" w:evenVBand="0" w:oddHBand="0" w:evenHBand="0" w:firstRowFirstColumn="0" w:firstRowLastColumn="0" w:lastRowFirstColumn="0" w:lastRowLastColumn="0"/>
              <w:rPr>
                <w:rFonts w:ascii="Calibri" w:hAnsi="Calibri" w:cs="Calibri"/>
                <w:b w:val="0"/>
                <w:color w:val="auto"/>
                <w:sz w:val="18"/>
                <w:szCs w:val="18"/>
                <w:lang w:val="sr-Cyrl-CS"/>
              </w:rPr>
            </w:pPr>
            <w:r w:rsidRPr="007E770D">
              <w:rPr>
                <w:rFonts w:ascii="Calibri" w:hAnsi="Calibri" w:cs="Calibri"/>
                <w:b w:val="0"/>
                <w:color w:val="auto"/>
                <w:sz w:val="18"/>
                <w:szCs w:val="18"/>
                <w:lang w:val="sr-Cyrl-CS"/>
              </w:rPr>
              <w:t>2018</w:t>
            </w:r>
          </w:p>
        </w:tc>
        <w:tc>
          <w:tcPr>
            <w:tcW w:w="391" w:type="pct"/>
            <w:tcBorders>
              <w:top w:val="single" w:sz="4" w:space="0" w:color="002060"/>
              <w:bottom w:val="single" w:sz="4" w:space="0" w:color="002060"/>
            </w:tcBorders>
            <w:shd w:val="clear" w:color="auto" w:fill="auto"/>
            <w:noWrap/>
            <w:vAlign w:val="center"/>
            <w:hideMark/>
          </w:tcPr>
          <w:p w14:paraId="41A4841D" w14:textId="77777777" w:rsidR="004044DC" w:rsidRPr="007E770D" w:rsidRDefault="004044DC" w:rsidP="001E3C08">
            <w:pPr>
              <w:jc w:val="right"/>
              <w:cnfStyle w:val="100000000000" w:firstRow="1" w:lastRow="0" w:firstColumn="0" w:lastColumn="0" w:oddVBand="0" w:evenVBand="0" w:oddHBand="0" w:evenHBand="0" w:firstRowFirstColumn="0" w:firstRowLastColumn="0" w:lastRowFirstColumn="0" w:lastRowLastColumn="0"/>
              <w:rPr>
                <w:rFonts w:ascii="Calibri" w:hAnsi="Calibri" w:cs="Calibri"/>
                <w:b w:val="0"/>
                <w:color w:val="auto"/>
                <w:sz w:val="18"/>
                <w:szCs w:val="18"/>
                <w:lang w:val="sr-Cyrl-CS"/>
              </w:rPr>
            </w:pPr>
            <w:r w:rsidRPr="007E770D">
              <w:rPr>
                <w:rFonts w:ascii="Calibri" w:hAnsi="Calibri" w:cs="Calibri"/>
                <w:b w:val="0"/>
                <w:color w:val="auto"/>
                <w:sz w:val="18"/>
                <w:szCs w:val="18"/>
                <w:lang w:val="sr-Cyrl-CS"/>
              </w:rPr>
              <w:t>2019</w:t>
            </w:r>
          </w:p>
        </w:tc>
        <w:tc>
          <w:tcPr>
            <w:tcW w:w="391" w:type="pct"/>
            <w:tcBorders>
              <w:top w:val="single" w:sz="4" w:space="0" w:color="002060"/>
              <w:bottom w:val="single" w:sz="4" w:space="0" w:color="002060"/>
            </w:tcBorders>
            <w:shd w:val="clear" w:color="auto" w:fill="auto"/>
            <w:noWrap/>
            <w:vAlign w:val="center"/>
            <w:hideMark/>
          </w:tcPr>
          <w:p w14:paraId="5F6D2F70" w14:textId="77777777" w:rsidR="004044DC" w:rsidRPr="007E770D" w:rsidRDefault="004044DC" w:rsidP="001E3C08">
            <w:pPr>
              <w:jc w:val="right"/>
              <w:cnfStyle w:val="100000000000" w:firstRow="1" w:lastRow="0" w:firstColumn="0" w:lastColumn="0" w:oddVBand="0" w:evenVBand="0" w:oddHBand="0" w:evenHBand="0" w:firstRowFirstColumn="0" w:firstRowLastColumn="0" w:lastRowFirstColumn="0" w:lastRowLastColumn="0"/>
              <w:rPr>
                <w:rFonts w:ascii="Calibri" w:hAnsi="Calibri" w:cs="Calibri"/>
                <w:b w:val="0"/>
                <w:color w:val="auto"/>
                <w:sz w:val="18"/>
                <w:szCs w:val="18"/>
                <w:lang w:val="sr-Cyrl-CS"/>
              </w:rPr>
            </w:pPr>
            <w:r w:rsidRPr="007E770D">
              <w:rPr>
                <w:rFonts w:ascii="Calibri" w:hAnsi="Calibri" w:cs="Calibri"/>
                <w:b w:val="0"/>
                <w:color w:val="auto"/>
                <w:sz w:val="18"/>
                <w:szCs w:val="18"/>
                <w:lang w:val="sr-Cyrl-CS"/>
              </w:rPr>
              <w:t>2020</w:t>
            </w:r>
          </w:p>
        </w:tc>
        <w:tc>
          <w:tcPr>
            <w:tcW w:w="391" w:type="pct"/>
            <w:tcBorders>
              <w:top w:val="single" w:sz="4" w:space="0" w:color="002060"/>
              <w:bottom w:val="single" w:sz="4" w:space="0" w:color="002060"/>
            </w:tcBorders>
            <w:shd w:val="clear" w:color="auto" w:fill="auto"/>
            <w:noWrap/>
            <w:vAlign w:val="center"/>
            <w:hideMark/>
          </w:tcPr>
          <w:p w14:paraId="7AC1D2E5" w14:textId="77777777" w:rsidR="004044DC" w:rsidRPr="007E770D" w:rsidRDefault="004044DC" w:rsidP="001E3C08">
            <w:pPr>
              <w:jc w:val="right"/>
              <w:cnfStyle w:val="100000000000" w:firstRow="1" w:lastRow="0" w:firstColumn="0" w:lastColumn="0" w:oddVBand="0" w:evenVBand="0" w:oddHBand="0" w:evenHBand="0" w:firstRowFirstColumn="0" w:firstRowLastColumn="0" w:lastRowFirstColumn="0" w:lastRowLastColumn="0"/>
              <w:rPr>
                <w:rFonts w:ascii="Calibri" w:hAnsi="Calibri" w:cs="Calibri"/>
                <w:b w:val="0"/>
                <w:color w:val="auto"/>
                <w:sz w:val="18"/>
                <w:szCs w:val="18"/>
                <w:lang w:val="sr-Cyrl-CS"/>
              </w:rPr>
            </w:pPr>
            <w:r w:rsidRPr="007E770D">
              <w:rPr>
                <w:rFonts w:ascii="Calibri" w:hAnsi="Calibri" w:cs="Calibri"/>
                <w:b w:val="0"/>
                <w:color w:val="auto"/>
                <w:sz w:val="18"/>
                <w:szCs w:val="18"/>
                <w:lang w:val="sr-Cyrl-CS"/>
              </w:rPr>
              <w:t>2021</w:t>
            </w:r>
          </w:p>
        </w:tc>
        <w:tc>
          <w:tcPr>
            <w:tcW w:w="391" w:type="pct"/>
            <w:tcBorders>
              <w:top w:val="single" w:sz="4" w:space="0" w:color="002060"/>
              <w:bottom w:val="single" w:sz="4" w:space="0" w:color="002060"/>
            </w:tcBorders>
            <w:shd w:val="clear" w:color="auto" w:fill="auto"/>
            <w:noWrap/>
            <w:vAlign w:val="center"/>
            <w:hideMark/>
          </w:tcPr>
          <w:p w14:paraId="78C49B04" w14:textId="77777777" w:rsidR="004044DC" w:rsidRPr="007E770D" w:rsidRDefault="004044DC" w:rsidP="001E3C08">
            <w:pPr>
              <w:jc w:val="right"/>
              <w:cnfStyle w:val="100000000000" w:firstRow="1" w:lastRow="0" w:firstColumn="0" w:lastColumn="0" w:oddVBand="0" w:evenVBand="0" w:oddHBand="0" w:evenHBand="0" w:firstRowFirstColumn="0" w:firstRowLastColumn="0" w:lastRowFirstColumn="0" w:lastRowLastColumn="0"/>
              <w:rPr>
                <w:rFonts w:ascii="Calibri" w:hAnsi="Calibri" w:cs="Calibri"/>
                <w:b w:val="0"/>
                <w:color w:val="auto"/>
                <w:sz w:val="18"/>
                <w:szCs w:val="18"/>
                <w:lang w:val="sr-Cyrl-CS"/>
              </w:rPr>
            </w:pPr>
            <w:r w:rsidRPr="007E770D">
              <w:rPr>
                <w:rFonts w:ascii="Calibri" w:hAnsi="Calibri" w:cs="Calibri"/>
                <w:b w:val="0"/>
                <w:color w:val="auto"/>
                <w:sz w:val="18"/>
                <w:szCs w:val="18"/>
                <w:lang w:val="sr-Cyrl-CS"/>
              </w:rPr>
              <w:t>2022</w:t>
            </w:r>
          </w:p>
        </w:tc>
        <w:tc>
          <w:tcPr>
            <w:tcW w:w="391" w:type="pct"/>
            <w:tcBorders>
              <w:top w:val="single" w:sz="4" w:space="0" w:color="002060"/>
              <w:bottom w:val="single" w:sz="4" w:space="0" w:color="002060"/>
            </w:tcBorders>
            <w:shd w:val="clear" w:color="auto" w:fill="auto"/>
            <w:noWrap/>
            <w:vAlign w:val="center"/>
            <w:hideMark/>
          </w:tcPr>
          <w:p w14:paraId="297BE429" w14:textId="77777777" w:rsidR="004044DC" w:rsidRPr="007E770D" w:rsidRDefault="004044DC" w:rsidP="001E3C08">
            <w:pPr>
              <w:jc w:val="right"/>
              <w:cnfStyle w:val="100000000000" w:firstRow="1" w:lastRow="0" w:firstColumn="0" w:lastColumn="0" w:oddVBand="0" w:evenVBand="0" w:oddHBand="0" w:evenHBand="0" w:firstRowFirstColumn="0" w:firstRowLastColumn="0" w:lastRowFirstColumn="0" w:lastRowLastColumn="0"/>
              <w:rPr>
                <w:rFonts w:ascii="Calibri" w:hAnsi="Calibri" w:cs="Calibri"/>
                <w:b w:val="0"/>
                <w:color w:val="auto"/>
                <w:sz w:val="18"/>
                <w:szCs w:val="18"/>
                <w:lang w:val="sr-Cyrl-CS"/>
              </w:rPr>
            </w:pPr>
            <w:r w:rsidRPr="007E770D">
              <w:rPr>
                <w:rFonts w:ascii="Calibri" w:hAnsi="Calibri" w:cs="Calibri"/>
                <w:b w:val="0"/>
                <w:color w:val="auto"/>
                <w:sz w:val="18"/>
                <w:szCs w:val="18"/>
                <w:lang w:val="sr-Cyrl-CS"/>
              </w:rPr>
              <w:t>2023</w:t>
            </w:r>
          </w:p>
        </w:tc>
        <w:tc>
          <w:tcPr>
            <w:tcW w:w="391" w:type="pct"/>
            <w:tcBorders>
              <w:top w:val="single" w:sz="4" w:space="0" w:color="002060"/>
              <w:bottom w:val="single" w:sz="4" w:space="0" w:color="002060"/>
            </w:tcBorders>
            <w:shd w:val="clear" w:color="auto" w:fill="auto"/>
            <w:noWrap/>
            <w:vAlign w:val="center"/>
            <w:hideMark/>
          </w:tcPr>
          <w:p w14:paraId="10ECCE8A" w14:textId="77777777" w:rsidR="004044DC" w:rsidRPr="007E770D" w:rsidRDefault="004044DC" w:rsidP="001E3C08">
            <w:pPr>
              <w:jc w:val="right"/>
              <w:cnfStyle w:val="100000000000" w:firstRow="1" w:lastRow="0" w:firstColumn="0" w:lastColumn="0" w:oddVBand="0" w:evenVBand="0" w:oddHBand="0" w:evenHBand="0" w:firstRowFirstColumn="0" w:firstRowLastColumn="0" w:lastRowFirstColumn="0" w:lastRowLastColumn="0"/>
              <w:rPr>
                <w:rFonts w:ascii="Calibri" w:hAnsi="Calibri" w:cs="Calibri"/>
                <w:b w:val="0"/>
                <w:color w:val="auto"/>
                <w:sz w:val="18"/>
                <w:szCs w:val="18"/>
                <w:lang w:val="sr-Cyrl-CS"/>
              </w:rPr>
            </w:pPr>
            <w:r w:rsidRPr="007E770D">
              <w:rPr>
                <w:rFonts w:ascii="Calibri" w:hAnsi="Calibri" w:cs="Calibri"/>
                <w:b w:val="0"/>
                <w:color w:val="auto"/>
                <w:sz w:val="18"/>
                <w:szCs w:val="18"/>
                <w:lang w:val="sr-Cyrl-CS"/>
              </w:rPr>
              <w:t>2024</w:t>
            </w:r>
          </w:p>
        </w:tc>
        <w:tc>
          <w:tcPr>
            <w:tcW w:w="391" w:type="pct"/>
            <w:tcBorders>
              <w:top w:val="single" w:sz="4" w:space="0" w:color="002060"/>
              <w:bottom w:val="single" w:sz="4" w:space="0" w:color="002060"/>
            </w:tcBorders>
            <w:shd w:val="clear" w:color="auto" w:fill="auto"/>
            <w:noWrap/>
            <w:vAlign w:val="center"/>
            <w:hideMark/>
          </w:tcPr>
          <w:p w14:paraId="67BC4F35" w14:textId="77777777" w:rsidR="004044DC" w:rsidRPr="007E770D" w:rsidRDefault="004044DC" w:rsidP="001E3C08">
            <w:pPr>
              <w:jc w:val="right"/>
              <w:cnfStyle w:val="100000000000" w:firstRow="1" w:lastRow="0" w:firstColumn="0" w:lastColumn="0" w:oddVBand="0" w:evenVBand="0" w:oddHBand="0" w:evenHBand="0" w:firstRowFirstColumn="0" w:firstRowLastColumn="0" w:lastRowFirstColumn="0" w:lastRowLastColumn="0"/>
              <w:rPr>
                <w:rFonts w:ascii="Calibri" w:hAnsi="Calibri" w:cs="Calibri"/>
                <w:b w:val="0"/>
                <w:color w:val="auto"/>
                <w:sz w:val="18"/>
                <w:szCs w:val="18"/>
                <w:lang w:val="sr-Cyrl-CS"/>
              </w:rPr>
            </w:pPr>
            <w:r w:rsidRPr="007E770D">
              <w:rPr>
                <w:rFonts w:ascii="Calibri" w:hAnsi="Calibri" w:cs="Calibri"/>
                <w:b w:val="0"/>
                <w:color w:val="auto"/>
                <w:sz w:val="18"/>
                <w:szCs w:val="18"/>
                <w:lang w:val="sr-Cyrl-CS"/>
              </w:rPr>
              <w:t>2025</w:t>
            </w:r>
          </w:p>
        </w:tc>
        <w:tc>
          <w:tcPr>
            <w:tcW w:w="391" w:type="pct"/>
            <w:tcBorders>
              <w:top w:val="single" w:sz="4" w:space="0" w:color="002060"/>
              <w:bottom w:val="single" w:sz="4" w:space="0" w:color="002060"/>
            </w:tcBorders>
            <w:shd w:val="clear" w:color="auto" w:fill="auto"/>
            <w:noWrap/>
            <w:vAlign w:val="center"/>
            <w:hideMark/>
          </w:tcPr>
          <w:p w14:paraId="3E37A49B" w14:textId="77777777" w:rsidR="004044DC" w:rsidRPr="007E770D" w:rsidRDefault="004044DC" w:rsidP="001E3C08">
            <w:pPr>
              <w:jc w:val="right"/>
              <w:cnfStyle w:val="100000000000" w:firstRow="1" w:lastRow="0" w:firstColumn="0" w:lastColumn="0" w:oddVBand="0" w:evenVBand="0" w:oddHBand="0" w:evenHBand="0" w:firstRowFirstColumn="0" w:firstRowLastColumn="0" w:lastRowFirstColumn="0" w:lastRowLastColumn="0"/>
              <w:rPr>
                <w:rFonts w:ascii="Calibri" w:hAnsi="Calibri" w:cs="Calibri"/>
                <w:b w:val="0"/>
                <w:color w:val="auto"/>
                <w:sz w:val="18"/>
                <w:szCs w:val="18"/>
                <w:lang w:val="sr-Cyrl-CS"/>
              </w:rPr>
            </w:pPr>
            <w:r w:rsidRPr="007E770D">
              <w:rPr>
                <w:rFonts w:ascii="Calibri" w:hAnsi="Calibri" w:cs="Calibri"/>
                <w:b w:val="0"/>
                <w:color w:val="auto"/>
                <w:sz w:val="18"/>
                <w:szCs w:val="18"/>
                <w:lang w:val="sr-Cyrl-CS"/>
              </w:rPr>
              <w:t>2026</w:t>
            </w:r>
          </w:p>
        </w:tc>
        <w:tc>
          <w:tcPr>
            <w:tcW w:w="391" w:type="pct"/>
            <w:tcBorders>
              <w:top w:val="single" w:sz="4" w:space="0" w:color="002060"/>
              <w:bottom w:val="single" w:sz="4" w:space="0" w:color="002060"/>
            </w:tcBorders>
            <w:shd w:val="clear" w:color="auto" w:fill="auto"/>
            <w:noWrap/>
            <w:vAlign w:val="center"/>
            <w:hideMark/>
          </w:tcPr>
          <w:p w14:paraId="77B2ADEA" w14:textId="77777777" w:rsidR="004044DC" w:rsidRPr="007E770D" w:rsidRDefault="004044DC" w:rsidP="001E3C08">
            <w:pPr>
              <w:jc w:val="right"/>
              <w:cnfStyle w:val="100000000000" w:firstRow="1" w:lastRow="0" w:firstColumn="0" w:lastColumn="0" w:oddVBand="0" w:evenVBand="0" w:oddHBand="0" w:evenHBand="0" w:firstRowFirstColumn="0" w:firstRowLastColumn="0" w:lastRowFirstColumn="0" w:lastRowLastColumn="0"/>
              <w:rPr>
                <w:rFonts w:ascii="Calibri" w:hAnsi="Calibri" w:cs="Calibri"/>
                <w:b w:val="0"/>
                <w:color w:val="auto"/>
                <w:sz w:val="18"/>
                <w:szCs w:val="18"/>
                <w:lang w:val="sr-Cyrl-CS"/>
              </w:rPr>
            </w:pPr>
            <w:r w:rsidRPr="007E770D">
              <w:rPr>
                <w:rFonts w:ascii="Calibri" w:hAnsi="Calibri" w:cs="Calibri"/>
                <w:b w:val="0"/>
                <w:color w:val="auto"/>
                <w:sz w:val="18"/>
                <w:szCs w:val="18"/>
                <w:lang w:val="sr-Cyrl-CS"/>
              </w:rPr>
              <w:t>2027</w:t>
            </w:r>
          </w:p>
        </w:tc>
      </w:tr>
      <w:tr w:rsidR="007E770D" w:rsidRPr="007E770D" w14:paraId="1CEF8C30" w14:textId="77777777" w:rsidTr="00E4657F">
        <w:trPr>
          <w:cnfStyle w:val="000000100000" w:firstRow="0" w:lastRow="0" w:firstColumn="0" w:lastColumn="0" w:oddVBand="0" w:evenVBand="0" w:oddHBand="1" w:evenHBand="0" w:firstRowFirstColumn="0" w:firstRowLastColumn="0" w:lastRowFirstColumn="0" w:lastRowLastColumn="0"/>
          <w:trHeight w:val="291"/>
          <w:jc w:val="center"/>
        </w:trPr>
        <w:tc>
          <w:tcPr>
            <w:cnfStyle w:val="001000000000" w:firstRow="0" w:lastRow="0" w:firstColumn="1" w:lastColumn="0" w:oddVBand="0" w:evenVBand="0" w:oddHBand="0" w:evenHBand="0" w:firstRowFirstColumn="0" w:firstRowLastColumn="0" w:lastRowFirstColumn="0" w:lastRowLastColumn="0"/>
            <w:tcW w:w="1124" w:type="pct"/>
            <w:tcBorders>
              <w:top w:val="single" w:sz="4" w:space="0" w:color="002060"/>
              <w:bottom w:val="nil"/>
            </w:tcBorders>
            <w:shd w:val="clear" w:color="auto" w:fill="auto"/>
            <w:noWrap/>
            <w:vAlign w:val="center"/>
            <w:hideMark/>
          </w:tcPr>
          <w:p w14:paraId="14C67A5E" w14:textId="77777777" w:rsidR="004044DC" w:rsidRPr="007E770D" w:rsidRDefault="004044DC" w:rsidP="00E4657F">
            <w:pPr>
              <w:rPr>
                <w:rFonts w:ascii="Calibri" w:eastAsia="Times New Roman" w:hAnsi="Calibri" w:cs="Calibri"/>
                <w:b w:val="0"/>
                <w:color w:val="auto"/>
                <w:sz w:val="18"/>
                <w:szCs w:val="18"/>
                <w:lang w:val="sr-Cyrl-CS"/>
              </w:rPr>
            </w:pPr>
            <w:r w:rsidRPr="007E770D">
              <w:rPr>
                <w:rFonts w:ascii="Calibri" w:eastAsia="Times New Roman" w:hAnsi="Calibri" w:cs="Calibri"/>
                <w:b w:val="0"/>
                <w:color w:val="auto"/>
                <w:sz w:val="18"/>
                <w:szCs w:val="18"/>
                <w:lang w:val="sr-Cyrl-CS"/>
              </w:rPr>
              <w:t>Приходи</w:t>
            </w:r>
          </w:p>
        </w:tc>
        <w:tc>
          <w:tcPr>
            <w:tcW w:w="355" w:type="pct"/>
            <w:tcBorders>
              <w:top w:val="single" w:sz="4" w:space="0" w:color="002060"/>
              <w:bottom w:val="nil"/>
            </w:tcBorders>
            <w:shd w:val="clear" w:color="auto" w:fill="auto"/>
            <w:noWrap/>
            <w:vAlign w:val="center"/>
            <w:hideMark/>
          </w:tcPr>
          <w:p w14:paraId="1D5133D4"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41,5</w:t>
            </w:r>
          </w:p>
        </w:tc>
        <w:tc>
          <w:tcPr>
            <w:tcW w:w="391" w:type="pct"/>
            <w:tcBorders>
              <w:top w:val="single" w:sz="4" w:space="0" w:color="002060"/>
              <w:bottom w:val="nil"/>
            </w:tcBorders>
            <w:shd w:val="clear" w:color="auto" w:fill="auto"/>
            <w:noWrap/>
            <w:vAlign w:val="center"/>
            <w:hideMark/>
          </w:tcPr>
          <w:p w14:paraId="4F3E1106"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41,4</w:t>
            </w:r>
          </w:p>
        </w:tc>
        <w:tc>
          <w:tcPr>
            <w:tcW w:w="391" w:type="pct"/>
            <w:tcBorders>
              <w:top w:val="single" w:sz="4" w:space="0" w:color="002060"/>
              <w:bottom w:val="nil"/>
            </w:tcBorders>
            <w:shd w:val="clear" w:color="auto" w:fill="auto"/>
            <w:noWrap/>
            <w:vAlign w:val="center"/>
            <w:hideMark/>
          </w:tcPr>
          <w:p w14:paraId="1B1FF830" w14:textId="52336F4D" w:rsidR="004044DC" w:rsidRPr="007E770D" w:rsidRDefault="00BE1556"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40,2</w:t>
            </w:r>
          </w:p>
        </w:tc>
        <w:tc>
          <w:tcPr>
            <w:tcW w:w="391" w:type="pct"/>
            <w:tcBorders>
              <w:top w:val="single" w:sz="4" w:space="0" w:color="002060"/>
              <w:bottom w:val="nil"/>
            </w:tcBorders>
            <w:shd w:val="clear" w:color="auto" w:fill="auto"/>
            <w:noWrap/>
            <w:vAlign w:val="center"/>
            <w:hideMark/>
          </w:tcPr>
          <w:p w14:paraId="3480F738"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39,4</w:t>
            </w:r>
          </w:p>
        </w:tc>
        <w:tc>
          <w:tcPr>
            <w:tcW w:w="391" w:type="pct"/>
            <w:tcBorders>
              <w:top w:val="single" w:sz="4" w:space="0" w:color="002060"/>
              <w:bottom w:val="nil"/>
            </w:tcBorders>
            <w:shd w:val="clear" w:color="auto" w:fill="auto"/>
            <w:noWrap/>
            <w:vAlign w:val="center"/>
            <w:hideMark/>
          </w:tcPr>
          <w:p w14:paraId="5298F882"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38,7</w:t>
            </w:r>
          </w:p>
        </w:tc>
        <w:tc>
          <w:tcPr>
            <w:tcW w:w="391" w:type="pct"/>
            <w:tcBorders>
              <w:top w:val="single" w:sz="4" w:space="0" w:color="002060"/>
              <w:bottom w:val="nil"/>
            </w:tcBorders>
            <w:shd w:val="clear" w:color="auto" w:fill="auto"/>
            <w:noWrap/>
            <w:vAlign w:val="center"/>
            <w:hideMark/>
          </w:tcPr>
          <w:p w14:paraId="518272E9"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38,5</w:t>
            </w:r>
          </w:p>
        </w:tc>
        <w:tc>
          <w:tcPr>
            <w:tcW w:w="391" w:type="pct"/>
            <w:tcBorders>
              <w:top w:val="single" w:sz="4" w:space="0" w:color="002060"/>
              <w:bottom w:val="nil"/>
            </w:tcBorders>
            <w:shd w:val="clear" w:color="auto" w:fill="auto"/>
            <w:noWrap/>
            <w:vAlign w:val="center"/>
            <w:hideMark/>
          </w:tcPr>
          <w:p w14:paraId="147F2CC3"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38,3</w:t>
            </w:r>
          </w:p>
        </w:tc>
        <w:tc>
          <w:tcPr>
            <w:tcW w:w="391" w:type="pct"/>
            <w:tcBorders>
              <w:top w:val="single" w:sz="4" w:space="0" w:color="002060"/>
              <w:bottom w:val="nil"/>
            </w:tcBorders>
            <w:shd w:val="clear" w:color="auto" w:fill="auto"/>
            <w:noWrap/>
            <w:vAlign w:val="center"/>
            <w:hideMark/>
          </w:tcPr>
          <w:p w14:paraId="6DE4FFB1"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38,1</w:t>
            </w:r>
          </w:p>
        </w:tc>
        <w:tc>
          <w:tcPr>
            <w:tcW w:w="391" w:type="pct"/>
            <w:tcBorders>
              <w:top w:val="single" w:sz="4" w:space="0" w:color="002060"/>
              <w:bottom w:val="nil"/>
            </w:tcBorders>
            <w:shd w:val="clear" w:color="auto" w:fill="auto"/>
            <w:noWrap/>
            <w:vAlign w:val="center"/>
            <w:hideMark/>
          </w:tcPr>
          <w:p w14:paraId="053214C0"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37,9</w:t>
            </w:r>
          </w:p>
        </w:tc>
        <w:tc>
          <w:tcPr>
            <w:tcW w:w="391" w:type="pct"/>
            <w:tcBorders>
              <w:top w:val="single" w:sz="4" w:space="0" w:color="002060"/>
              <w:bottom w:val="nil"/>
            </w:tcBorders>
            <w:shd w:val="clear" w:color="auto" w:fill="auto"/>
            <w:noWrap/>
            <w:vAlign w:val="center"/>
            <w:hideMark/>
          </w:tcPr>
          <w:p w14:paraId="6D52CF81"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37,7</w:t>
            </w:r>
          </w:p>
        </w:tc>
      </w:tr>
      <w:tr w:rsidR="007E770D" w:rsidRPr="007E770D" w14:paraId="6FE7B514" w14:textId="77777777" w:rsidTr="00E4657F">
        <w:trPr>
          <w:trHeight w:val="291"/>
          <w:jc w:val="center"/>
        </w:trPr>
        <w:tc>
          <w:tcPr>
            <w:cnfStyle w:val="001000000000" w:firstRow="0" w:lastRow="0" w:firstColumn="1" w:lastColumn="0" w:oddVBand="0" w:evenVBand="0" w:oddHBand="0" w:evenHBand="0" w:firstRowFirstColumn="0" w:firstRowLastColumn="0" w:lastRowFirstColumn="0" w:lastRowLastColumn="0"/>
            <w:tcW w:w="1124" w:type="pct"/>
            <w:tcBorders>
              <w:top w:val="nil"/>
              <w:left w:val="nil"/>
              <w:bottom w:val="nil"/>
              <w:right w:val="nil"/>
            </w:tcBorders>
            <w:shd w:val="clear" w:color="auto" w:fill="auto"/>
            <w:noWrap/>
            <w:vAlign w:val="center"/>
            <w:hideMark/>
          </w:tcPr>
          <w:p w14:paraId="2CE1DEE3" w14:textId="77777777" w:rsidR="004044DC" w:rsidRPr="007E770D" w:rsidRDefault="004044DC" w:rsidP="00E4657F">
            <w:pPr>
              <w:rPr>
                <w:rFonts w:ascii="Calibri" w:eastAsia="Times New Roman" w:hAnsi="Calibri" w:cs="Calibri"/>
                <w:b w:val="0"/>
                <w:color w:val="auto"/>
                <w:sz w:val="18"/>
                <w:szCs w:val="18"/>
                <w:lang w:val="sr-Cyrl-CS"/>
              </w:rPr>
            </w:pPr>
            <w:r w:rsidRPr="007E770D">
              <w:rPr>
                <w:rFonts w:ascii="Calibri" w:eastAsia="Times New Roman" w:hAnsi="Calibri" w:cs="Calibri"/>
                <w:b w:val="0"/>
                <w:color w:val="auto"/>
                <w:sz w:val="18"/>
                <w:szCs w:val="18"/>
                <w:lang w:val="sr-Cyrl-CS"/>
              </w:rPr>
              <w:t>Расходи</w:t>
            </w:r>
          </w:p>
        </w:tc>
        <w:tc>
          <w:tcPr>
            <w:tcW w:w="355" w:type="pct"/>
            <w:tcBorders>
              <w:top w:val="nil"/>
              <w:left w:val="nil"/>
              <w:bottom w:val="nil"/>
              <w:right w:val="nil"/>
            </w:tcBorders>
            <w:shd w:val="clear" w:color="auto" w:fill="auto"/>
            <w:noWrap/>
            <w:vAlign w:val="center"/>
            <w:hideMark/>
          </w:tcPr>
          <w:p w14:paraId="70306EF2" w14:textId="77777777" w:rsidR="004044DC" w:rsidRPr="007E770D" w:rsidRDefault="004044DC" w:rsidP="00E4657F">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40,9</w:t>
            </w:r>
          </w:p>
        </w:tc>
        <w:tc>
          <w:tcPr>
            <w:tcW w:w="391" w:type="pct"/>
            <w:tcBorders>
              <w:top w:val="nil"/>
              <w:left w:val="nil"/>
              <w:bottom w:val="nil"/>
              <w:right w:val="nil"/>
            </w:tcBorders>
            <w:shd w:val="clear" w:color="auto" w:fill="auto"/>
            <w:noWrap/>
            <w:vAlign w:val="center"/>
            <w:hideMark/>
          </w:tcPr>
          <w:p w14:paraId="0D1D3ADE" w14:textId="77777777" w:rsidR="004044DC" w:rsidRPr="007E770D" w:rsidRDefault="004044DC" w:rsidP="00E4657F">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41,9</w:t>
            </w:r>
          </w:p>
        </w:tc>
        <w:tc>
          <w:tcPr>
            <w:tcW w:w="391" w:type="pct"/>
            <w:tcBorders>
              <w:top w:val="nil"/>
              <w:left w:val="nil"/>
              <w:bottom w:val="nil"/>
              <w:right w:val="nil"/>
            </w:tcBorders>
            <w:shd w:val="clear" w:color="auto" w:fill="auto"/>
            <w:noWrap/>
            <w:vAlign w:val="center"/>
            <w:hideMark/>
          </w:tcPr>
          <w:p w14:paraId="3568215A" w14:textId="5426AD08" w:rsidR="004044DC" w:rsidRPr="007E770D" w:rsidRDefault="004044DC" w:rsidP="00BE155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40,</w:t>
            </w:r>
            <w:r w:rsidR="00BE1556" w:rsidRPr="007E770D">
              <w:rPr>
                <w:rFonts w:asciiTheme="minorHAnsi" w:hAnsiTheme="minorHAnsi" w:cstheme="minorHAnsi"/>
                <w:color w:val="auto"/>
                <w:sz w:val="18"/>
                <w:szCs w:val="18"/>
                <w:lang w:val="sr-Cyrl-CS"/>
              </w:rPr>
              <w:t>7</w:t>
            </w:r>
          </w:p>
        </w:tc>
        <w:tc>
          <w:tcPr>
            <w:tcW w:w="391" w:type="pct"/>
            <w:tcBorders>
              <w:top w:val="nil"/>
              <w:left w:val="nil"/>
              <w:bottom w:val="nil"/>
              <w:right w:val="nil"/>
            </w:tcBorders>
            <w:shd w:val="clear" w:color="auto" w:fill="auto"/>
            <w:noWrap/>
            <w:vAlign w:val="center"/>
            <w:hideMark/>
          </w:tcPr>
          <w:p w14:paraId="76D45734" w14:textId="3A4924E0" w:rsidR="004044DC" w:rsidRPr="007E770D" w:rsidRDefault="004044DC" w:rsidP="00E4657F">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3</w:t>
            </w:r>
            <w:r w:rsidR="00BE1556" w:rsidRPr="007E770D">
              <w:rPr>
                <w:rFonts w:asciiTheme="minorHAnsi" w:hAnsiTheme="minorHAnsi" w:cstheme="minorHAnsi"/>
                <w:color w:val="auto"/>
                <w:sz w:val="18"/>
                <w:szCs w:val="18"/>
                <w:lang w:val="sr-Cyrl-CS"/>
              </w:rPr>
              <w:t>9,9</w:t>
            </w:r>
          </w:p>
        </w:tc>
        <w:tc>
          <w:tcPr>
            <w:tcW w:w="391" w:type="pct"/>
            <w:tcBorders>
              <w:top w:val="nil"/>
              <w:left w:val="nil"/>
              <w:bottom w:val="nil"/>
              <w:right w:val="nil"/>
            </w:tcBorders>
            <w:shd w:val="clear" w:color="auto" w:fill="auto"/>
            <w:noWrap/>
            <w:vAlign w:val="center"/>
            <w:hideMark/>
          </w:tcPr>
          <w:p w14:paraId="4B225A1B" w14:textId="77777777" w:rsidR="004044DC" w:rsidRPr="007E770D" w:rsidRDefault="004044DC" w:rsidP="00E4657F">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39,2</w:t>
            </w:r>
          </w:p>
        </w:tc>
        <w:tc>
          <w:tcPr>
            <w:tcW w:w="391" w:type="pct"/>
            <w:tcBorders>
              <w:top w:val="nil"/>
              <w:left w:val="nil"/>
              <w:bottom w:val="nil"/>
              <w:right w:val="nil"/>
            </w:tcBorders>
            <w:shd w:val="clear" w:color="auto" w:fill="auto"/>
            <w:noWrap/>
            <w:vAlign w:val="center"/>
            <w:hideMark/>
          </w:tcPr>
          <w:p w14:paraId="7FE78D27" w14:textId="77777777" w:rsidR="004044DC" w:rsidRPr="007E770D" w:rsidRDefault="004044DC" w:rsidP="00E4657F">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39,0</w:t>
            </w:r>
          </w:p>
        </w:tc>
        <w:tc>
          <w:tcPr>
            <w:tcW w:w="391" w:type="pct"/>
            <w:tcBorders>
              <w:top w:val="nil"/>
              <w:left w:val="nil"/>
              <w:bottom w:val="nil"/>
              <w:right w:val="nil"/>
            </w:tcBorders>
            <w:shd w:val="clear" w:color="auto" w:fill="auto"/>
            <w:noWrap/>
            <w:vAlign w:val="center"/>
            <w:hideMark/>
          </w:tcPr>
          <w:p w14:paraId="711F1F14" w14:textId="77777777" w:rsidR="004044DC" w:rsidRPr="007E770D" w:rsidRDefault="004044DC" w:rsidP="00E4657F">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38,8</w:t>
            </w:r>
          </w:p>
        </w:tc>
        <w:tc>
          <w:tcPr>
            <w:tcW w:w="391" w:type="pct"/>
            <w:tcBorders>
              <w:top w:val="nil"/>
              <w:left w:val="nil"/>
              <w:bottom w:val="nil"/>
              <w:right w:val="nil"/>
            </w:tcBorders>
            <w:shd w:val="clear" w:color="auto" w:fill="auto"/>
            <w:noWrap/>
            <w:vAlign w:val="center"/>
            <w:hideMark/>
          </w:tcPr>
          <w:p w14:paraId="51F843AB" w14:textId="77777777" w:rsidR="004044DC" w:rsidRPr="007E770D" w:rsidRDefault="004044DC" w:rsidP="00E4657F">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38,6</w:t>
            </w:r>
          </w:p>
        </w:tc>
        <w:tc>
          <w:tcPr>
            <w:tcW w:w="391" w:type="pct"/>
            <w:tcBorders>
              <w:top w:val="nil"/>
              <w:left w:val="nil"/>
              <w:bottom w:val="nil"/>
              <w:right w:val="nil"/>
            </w:tcBorders>
            <w:shd w:val="clear" w:color="auto" w:fill="auto"/>
            <w:noWrap/>
            <w:vAlign w:val="center"/>
            <w:hideMark/>
          </w:tcPr>
          <w:p w14:paraId="3C48C546" w14:textId="77777777" w:rsidR="004044DC" w:rsidRPr="007E770D" w:rsidRDefault="004044DC" w:rsidP="00E4657F">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38,4</w:t>
            </w:r>
          </w:p>
        </w:tc>
        <w:tc>
          <w:tcPr>
            <w:tcW w:w="391" w:type="pct"/>
            <w:tcBorders>
              <w:top w:val="nil"/>
              <w:left w:val="nil"/>
              <w:bottom w:val="nil"/>
              <w:right w:val="nil"/>
            </w:tcBorders>
            <w:shd w:val="clear" w:color="auto" w:fill="auto"/>
            <w:noWrap/>
            <w:vAlign w:val="center"/>
            <w:hideMark/>
          </w:tcPr>
          <w:p w14:paraId="4EC4D337" w14:textId="77777777" w:rsidR="004044DC" w:rsidRPr="007E770D" w:rsidRDefault="004044DC" w:rsidP="00E4657F">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38,2</w:t>
            </w:r>
          </w:p>
        </w:tc>
      </w:tr>
      <w:tr w:rsidR="007E770D" w:rsidRPr="007E770D" w14:paraId="2B3B3FB2" w14:textId="77777777" w:rsidTr="00E4657F">
        <w:trPr>
          <w:cnfStyle w:val="000000100000" w:firstRow="0" w:lastRow="0" w:firstColumn="0" w:lastColumn="0" w:oddVBand="0" w:evenVBand="0" w:oddHBand="1" w:evenHBand="0" w:firstRowFirstColumn="0" w:firstRowLastColumn="0" w:lastRowFirstColumn="0" w:lastRowLastColumn="0"/>
          <w:trHeight w:val="291"/>
          <w:jc w:val="center"/>
        </w:trPr>
        <w:tc>
          <w:tcPr>
            <w:cnfStyle w:val="001000000000" w:firstRow="0" w:lastRow="0" w:firstColumn="1" w:lastColumn="0" w:oddVBand="0" w:evenVBand="0" w:oddHBand="0" w:evenHBand="0" w:firstRowFirstColumn="0" w:firstRowLastColumn="0" w:lastRowFirstColumn="0" w:lastRowLastColumn="0"/>
            <w:tcW w:w="1124" w:type="pct"/>
            <w:tcBorders>
              <w:top w:val="nil"/>
              <w:bottom w:val="nil"/>
            </w:tcBorders>
            <w:shd w:val="clear" w:color="auto" w:fill="auto"/>
            <w:noWrap/>
            <w:vAlign w:val="center"/>
            <w:hideMark/>
          </w:tcPr>
          <w:p w14:paraId="271AA0C6" w14:textId="77777777" w:rsidR="004044DC" w:rsidRPr="007E770D" w:rsidRDefault="004044DC" w:rsidP="00E4657F">
            <w:pPr>
              <w:rPr>
                <w:rFonts w:ascii="Calibri" w:eastAsia="Times New Roman" w:hAnsi="Calibri" w:cs="Calibri"/>
                <w:b w:val="0"/>
                <w:iCs/>
                <w:color w:val="auto"/>
                <w:sz w:val="18"/>
                <w:szCs w:val="18"/>
                <w:lang w:val="sr-Cyrl-CS"/>
              </w:rPr>
            </w:pPr>
            <w:r w:rsidRPr="007E770D">
              <w:rPr>
                <w:rFonts w:ascii="Calibri" w:eastAsia="Times New Roman" w:hAnsi="Calibri" w:cs="Calibri"/>
                <w:b w:val="0"/>
                <w:iCs/>
                <w:color w:val="auto"/>
                <w:sz w:val="18"/>
                <w:szCs w:val="18"/>
                <w:lang w:val="sr-Cyrl-CS"/>
              </w:rPr>
              <w:t>Пад учешћа расхода</w:t>
            </w:r>
          </w:p>
        </w:tc>
        <w:tc>
          <w:tcPr>
            <w:tcW w:w="355" w:type="pct"/>
            <w:tcBorders>
              <w:top w:val="nil"/>
              <w:bottom w:val="nil"/>
            </w:tcBorders>
            <w:shd w:val="clear" w:color="auto" w:fill="auto"/>
            <w:noWrap/>
            <w:vAlign w:val="center"/>
            <w:hideMark/>
          </w:tcPr>
          <w:p w14:paraId="4396A3F8"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p>
        </w:tc>
        <w:tc>
          <w:tcPr>
            <w:tcW w:w="391" w:type="pct"/>
            <w:tcBorders>
              <w:top w:val="nil"/>
              <w:bottom w:val="nil"/>
            </w:tcBorders>
            <w:shd w:val="clear" w:color="auto" w:fill="auto"/>
            <w:noWrap/>
            <w:vAlign w:val="center"/>
            <w:hideMark/>
          </w:tcPr>
          <w:p w14:paraId="051D4B59"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1,0</w:t>
            </w:r>
          </w:p>
        </w:tc>
        <w:tc>
          <w:tcPr>
            <w:tcW w:w="391" w:type="pct"/>
            <w:tcBorders>
              <w:top w:val="nil"/>
              <w:bottom w:val="nil"/>
            </w:tcBorders>
            <w:shd w:val="clear" w:color="auto" w:fill="auto"/>
            <w:noWrap/>
            <w:vAlign w:val="center"/>
            <w:hideMark/>
          </w:tcPr>
          <w:p w14:paraId="4FE0382C"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-1,5</w:t>
            </w:r>
          </w:p>
        </w:tc>
        <w:tc>
          <w:tcPr>
            <w:tcW w:w="391" w:type="pct"/>
            <w:tcBorders>
              <w:top w:val="nil"/>
              <w:bottom w:val="nil"/>
            </w:tcBorders>
            <w:shd w:val="clear" w:color="auto" w:fill="auto"/>
            <w:noWrap/>
            <w:vAlign w:val="center"/>
            <w:hideMark/>
          </w:tcPr>
          <w:p w14:paraId="67D7DB94"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-0,7</w:t>
            </w:r>
          </w:p>
        </w:tc>
        <w:tc>
          <w:tcPr>
            <w:tcW w:w="391" w:type="pct"/>
            <w:tcBorders>
              <w:top w:val="nil"/>
              <w:bottom w:val="nil"/>
            </w:tcBorders>
            <w:shd w:val="clear" w:color="auto" w:fill="auto"/>
            <w:noWrap/>
            <w:vAlign w:val="center"/>
            <w:hideMark/>
          </w:tcPr>
          <w:p w14:paraId="5F0FB6AC"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-0,6</w:t>
            </w:r>
          </w:p>
        </w:tc>
        <w:tc>
          <w:tcPr>
            <w:tcW w:w="391" w:type="pct"/>
            <w:tcBorders>
              <w:top w:val="nil"/>
              <w:bottom w:val="nil"/>
            </w:tcBorders>
            <w:shd w:val="clear" w:color="auto" w:fill="auto"/>
            <w:noWrap/>
            <w:vAlign w:val="center"/>
            <w:hideMark/>
          </w:tcPr>
          <w:p w14:paraId="78DFD2A0"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-0,2</w:t>
            </w:r>
          </w:p>
        </w:tc>
        <w:tc>
          <w:tcPr>
            <w:tcW w:w="391" w:type="pct"/>
            <w:tcBorders>
              <w:top w:val="nil"/>
              <w:bottom w:val="nil"/>
            </w:tcBorders>
            <w:shd w:val="clear" w:color="auto" w:fill="auto"/>
            <w:noWrap/>
            <w:vAlign w:val="center"/>
            <w:hideMark/>
          </w:tcPr>
          <w:p w14:paraId="3DA044C7"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-0,2</w:t>
            </w:r>
          </w:p>
        </w:tc>
        <w:tc>
          <w:tcPr>
            <w:tcW w:w="391" w:type="pct"/>
            <w:tcBorders>
              <w:top w:val="nil"/>
              <w:bottom w:val="nil"/>
            </w:tcBorders>
            <w:shd w:val="clear" w:color="auto" w:fill="auto"/>
            <w:noWrap/>
            <w:vAlign w:val="center"/>
            <w:hideMark/>
          </w:tcPr>
          <w:p w14:paraId="487B5B7C"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-0,2</w:t>
            </w:r>
          </w:p>
        </w:tc>
        <w:tc>
          <w:tcPr>
            <w:tcW w:w="391" w:type="pct"/>
            <w:tcBorders>
              <w:top w:val="nil"/>
              <w:bottom w:val="nil"/>
            </w:tcBorders>
            <w:shd w:val="clear" w:color="auto" w:fill="auto"/>
            <w:noWrap/>
            <w:vAlign w:val="center"/>
            <w:hideMark/>
          </w:tcPr>
          <w:p w14:paraId="3F71920B"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-0,2</w:t>
            </w:r>
          </w:p>
        </w:tc>
        <w:tc>
          <w:tcPr>
            <w:tcW w:w="391" w:type="pct"/>
            <w:tcBorders>
              <w:top w:val="nil"/>
              <w:bottom w:val="nil"/>
            </w:tcBorders>
            <w:shd w:val="clear" w:color="auto" w:fill="auto"/>
            <w:noWrap/>
            <w:vAlign w:val="center"/>
            <w:hideMark/>
          </w:tcPr>
          <w:p w14:paraId="02FC7C5A"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-0,2</w:t>
            </w:r>
          </w:p>
        </w:tc>
      </w:tr>
      <w:tr w:rsidR="007E770D" w:rsidRPr="007E770D" w14:paraId="3D7A0AA7" w14:textId="77777777" w:rsidTr="00E4657F">
        <w:trPr>
          <w:trHeight w:val="291"/>
          <w:jc w:val="center"/>
        </w:trPr>
        <w:tc>
          <w:tcPr>
            <w:cnfStyle w:val="001000000000" w:firstRow="0" w:lastRow="0" w:firstColumn="1" w:lastColumn="0" w:oddVBand="0" w:evenVBand="0" w:oddHBand="0" w:evenHBand="0" w:firstRowFirstColumn="0" w:firstRowLastColumn="0" w:lastRowFirstColumn="0" w:lastRowLastColumn="0"/>
            <w:tcW w:w="1124" w:type="pct"/>
            <w:tcBorders>
              <w:top w:val="nil"/>
              <w:left w:val="nil"/>
              <w:bottom w:val="nil"/>
              <w:right w:val="nil"/>
            </w:tcBorders>
            <w:shd w:val="clear" w:color="auto" w:fill="auto"/>
            <w:noWrap/>
            <w:vAlign w:val="center"/>
            <w:hideMark/>
          </w:tcPr>
          <w:p w14:paraId="1B074F95" w14:textId="77777777" w:rsidR="004044DC" w:rsidRPr="007E770D" w:rsidRDefault="004044DC" w:rsidP="00E4657F">
            <w:pPr>
              <w:rPr>
                <w:rFonts w:ascii="Calibri" w:eastAsia="Times New Roman" w:hAnsi="Calibri" w:cs="Calibri"/>
                <w:b w:val="0"/>
                <w:color w:val="auto"/>
                <w:sz w:val="18"/>
                <w:szCs w:val="18"/>
                <w:lang w:val="sr-Cyrl-CS"/>
              </w:rPr>
            </w:pPr>
            <w:r w:rsidRPr="007E770D">
              <w:rPr>
                <w:rFonts w:ascii="Calibri" w:eastAsia="Times New Roman" w:hAnsi="Calibri" w:cs="Calibri"/>
                <w:b w:val="0"/>
                <w:color w:val="auto"/>
                <w:sz w:val="18"/>
                <w:szCs w:val="18"/>
                <w:lang w:val="sr-Cyrl-CS"/>
              </w:rPr>
              <w:t xml:space="preserve">Фискални резултат </w:t>
            </w:r>
          </w:p>
        </w:tc>
        <w:tc>
          <w:tcPr>
            <w:tcW w:w="355" w:type="pct"/>
            <w:tcBorders>
              <w:top w:val="nil"/>
              <w:left w:val="nil"/>
              <w:bottom w:val="nil"/>
              <w:right w:val="nil"/>
            </w:tcBorders>
            <w:shd w:val="clear" w:color="auto" w:fill="auto"/>
            <w:noWrap/>
            <w:vAlign w:val="center"/>
            <w:hideMark/>
          </w:tcPr>
          <w:p w14:paraId="0284CF4A" w14:textId="77777777" w:rsidR="004044DC" w:rsidRPr="007E770D" w:rsidRDefault="004044DC" w:rsidP="00E4657F">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0,6</w:t>
            </w:r>
          </w:p>
        </w:tc>
        <w:tc>
          <w:tcPr>
            <w:tcW w:w="391" w:type="pct"/>
            <w:tcBorders>
              <w:top w:val="nil"/>
              <w:left w:val="nil"/>
              <w:bottom w:val="nil"/>
              <w:right w:val="nil"/>
            </w:tcBorders>
            <w:shd w:val="clear" w:color="auto" w:fill="auto"/>
            <w:noWrap/>
            <w:vAlign w:val="center"/>
            <w:hideMark/>
          </w:tcPr>
          <w:p w14:paraId="3C10FA49" w14:textId="77777777" w:rsidR="004044DC" w:rsidRPr="007E770D" w:rsidRDefault="004044DC" w:rsidP="00E4657F">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-0,5</w:t>
            </w:r>
          </w:p>
        </w:tc>
        <w:tc>
          <w:tcPr>
            <w:tcW w:w="391" w:type="pct"/>
            <w:tcBorders>
              <w:top w:val="nil"/>
              <w:left w:val="nil"/>
              <w:bottom w:val="nil"/>
              <w:right w:val="nil"/>
            </w:tcBorders>
            <w:shd w:val="clear" w:color="auto" w:fill="auto"/>
            <w:noWrap/>
            <w:vAlign w:val="center"/>
            <w:hideMark/>
          </w:tcPr>
          <w:p w14:paraId="725EA965" w14:textId="77777777" w:rsidR="004044DC" w:rsidRPr="007E770D" w:rsidRDefault="004044DC" w:rsidP="00E4657F">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-0,5</w:t>
            </w:r>
          </w:p>
        </w:tc>
        <w:tc>
          <w:tcPr>
            <w:tcW w:w="391" w:type="pct"/>
            <w:tcBorders>
              <w:top w:val="nil"/>
              <w:left w:val="nil"/>
              <w:bottom w:val="nil"/>
              <w:right w:val="nil"/>
            </w:tcBorders>
            <w:shd w:val="clear" w:color="auto" w:fill="auto"/>
            <w:noWrap/>
            <w:vAlign w:val="center"/>
            <w:hideMark/>
          </w:tcPr>
          <w:p w14:paraId="34958798" w14:textId="77777777" w:rsidR="004044DC" w:rsidRPr="007E770D" w:rsidRDefault="004044DC" w:rsidP="00E4657F">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-0,5</w:t>
            </w:r>
          </w:p>
        </w:tc>
        <w:tc>
          <w:tcPr>
            <w:tcW w:w="391" w:type="pct"/>
            <w:tcBorders>
              <w:top w:val="nil"/>
              <w:left w:val="nil"/>
              <w:bottom w:val="nil"/>
              <w:right w:val="nil"/>
            </w:tcBorders>
            <w:shd w:val="clear" w:color="auto" w:fill="auto"/>
            <w:noWrap/>
            <w:vAlign w:val="center"/>
            <w:hideMark/>
          </w:tcPr>
          <w:p w14:paraId="677FAE74" w14:textId="77777777" w:rsidR="004044DC" w:rsidRPr="007E770D" w:rsidRDefault="004044DC" w:rsidP="00E4657F">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-0,5</w:t>
            </w:r>
          </w:p>
        </w:tc>
        <w:tc>
          <w:tcPr>
            <w:tcW w:w="391" w:type="pct"/>
            <w:tcBorders>
              <w:top w:val="nil"/>
              <w:left w:val="nil"/>
              <w:bottom w:val="nil"/>
              <w:right w:val="nil"/>
            </w:tcBorders>
            <w:shd w:val="clear" w:color="auto" w:fill="auto"/>
            <w:noWrap/>
            <w:vAlign w:val="center"/>
            <w:hideMark/>
          </w:tcPr>
          <w:p w14:paraId="285488FC" w14:textId="77777777" w:rsidR="004044DC" w:rsidRPr="007E770D" w:rsidRDefault="004044DC" w:rsidP="00E4657F">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-0,5</w:t>
            </w:r>
          </w:p>
        </w:tc>
        <w:tc>
          <w:tcPr>
            <w:tcW w:w="391" w:type="pct"/>
            <w:tcBorders>
              <w:top w:val="nil"/>
              <w:left w:val="nil"/>
              <w:bottom w:val="nil"/>
              <w:right w:val="nil"/>
            </w:tcBorders>
            <w:shd w:val="clear" w:color="auto" w:fill="auto"/>
            <w:noWrap/>
            <w:vAlign w:val="center"/>
            <w:hideMark/>
          </w:tcPr>
          <w:p w14:paraId="4E17F427" w14:textId="77777777" w:rsidR="004044DC" w:rsidRPr="007E770D" w:rsidRDefault="004044DC" w:rsidP="00E4657F">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-0,5</w:t>
            </w:r>
          </w:p>
        </w:tc>
        <w:tc>
          <w:tcPr>
            <w:tcW w:w="391" w:type="pct"/>
            <w:tcBorders>
              <w:top w:val="nil"/>
              <w:left w:val="nil"/>
              <w:bottom w:val="nil"/>
              <w:right w:val="nil"/>
            </w:tcBorders>
            <w:shd w:val="clear" w:color="auto" w:fill="auto"/>
            <w:noWrap/>
            <w:vAlign w:val="center"/>
            <w:hideMark/>
          </w:tcPr>
          <w:p w14:paraId="07FE5663" w14:textId="77777777" w:rsidR="004044DC" w:rsidRPr="007E770D" w:rsidRDefault="004044DC" w:rsidP="00E4657F">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-0,5</w:t>
            </w:r>
          </w:p>
        </w:tc>
        <w:tc>
          <w:tcPr>
            <w:tcW w:w="391" w:type="pct"/>
            <w:tcBorders>
              <w:top w:val="nil"/>
              <w:left w:val="nil"/>
              <w:bottom w:val="nil"/>
              <w:right w:val="nil"/>
            </w:tcBorders>
            <w:shd w:val="clear" w:color="auto" w:fill="auto"/>
            <w:noWrap/>
            <w:vAlign w:val="center"/>
            <w:hideMark/>
          </w:tcPr>
          <w:p w14:paraId="4344BBC0" w14:textId="77777777" w:rsidR="004044DC" w:rsidRPr="007E770D" w:rsidRDefault="004044DC" w:rsidP="00E4657F">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-0,5</w:t>
            </w:r>
          </w:p>
        </w:tc>
        <w:tc>
          <w:tcPr>
            <w:tcW w:w="391" w:type="pct"/>
            <w:tcBorders>
              <w:top w:val="nil"/>
              <w:left w:val="nil"/>
              <w:bottom w:val="nil"/>
              <w:right w:val="nil"/>
            </w:tcBorders>
            <w:shd w:val="clear" w:color="auto" w:fill="auto"/>
            <w:noWrap/>
            <w:vAlign w:val="center"/>
            <w:hideMark/>
          </w:tcPr>
          <w:p w14:paraId="3EE39FE6" w14:textId="77777777" w:rsidR="004044DC" w:rsidRPr="007E770D" w:rsidRDefault="004044DC" w:rsidP="00E4657F">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-0,5</w:t>
            </w:r>
          </w:p>
        </w:tc>
      </w:tr>
      <w:tr w:rsidR="007E770D" w:rsidRPr="007E770D" w14:paraId="6EED86F8" w14:textId="77777777" w:rsidTr="00E4657F">
        <w:trPr>
          <w:cnfStyle w:val="000000100000" w:firstRow="0" w:lastRow="0" w:firstColumn="0" w:lastColumn="0" w:oddVBand="0" w:evenVBand="0" w:oddHBand="1" w:evenHBand="0" w:firstRowFirstColumn="0" w:firstRowLastColumn="0" w:lastRowFirstColumn="0" w:lastRowLastColumn="0"/>
          <w:trHeight w:val="291"/>
          <w:jc w:val="center"/>
        </w:trPr>
        <w:tc>
          <w:tcPr>
            <w:cnfStyle w:val="001000000000" w:firstRow="0" w:lastRow="0" w:firstColumn="1" w:lastColumn="0" w:oddVBand="0" w:evenVBand="0" w:oddHBand="0" w:evenHBand="0" w:firstRowFirstColumn="0" w:firstRowLastColumn="0" w:lastRowFirstColumn="0" w:lastRowLastColumn="0"/>
            <w:tcW w:w="1124" w:type="pct"/>
            <w:tcBorders>
              <w:top w:val="nil"/>
              <w:bottom w:val="nil"/>
            </w:tcBorders>
            <w:shd w:val="clear" w:color="auto" w:fill="auto"/>
            <w:noWrap/>
            <w:vAlign w:val="center"/>
            <w:hideMark/>
          </w:tcPr>
          <w:p w14:paraId="0DF7892E" w14:textId="77777777" w:rsidR="004044DC" w:rsidRPr="007E770D" w:rsidRDefault="004044DC" w:rsidP="00E4657F">
            <w:pPr>
              <w:rPr>
                <w:rFonts w:ascii="Calibri" w:eastAsia="Times New Roman" w:hAnsi="Calibri" w:cs="Calibri"/>
                <w:b w:val="0"/>
                <w:color w:val="auto"/>
                <w:sz w:val="18"/>
                <w:szCs w:val="18"/>
                <w:lang w:val="sr-Cyrl-CS"/>
              </w:rPr>
            </w:pPr>
            <w:r w:rsidRPr="007E770D">
              <w:rPr>
                <w:rFonts w:ascii="Calibri" w:eastAsia="Times New Roman" w:hAnsi="Calibri" w:cs="Calibri"/>
                <w:b w:val="0"/>
                <w:color w:val="auto"/>
                <w:sz w:val="18"/>
                <w:szCs w:val="18"/>
                <w:lang w:val="sr-Cyrl-CS"/>
              </w:rPr>
              <w:t> </w:t>
            </w:r>
          </w:p>
        </w:tc>
        <w:tc>
          <w:tcPr>
            <w:tcW w:w="355" w:type="pct"/>
            <w:tcBorders>
              <w:top w:val="nil"/>
              <w:bottom w:val="nil"/>
            </w:tcBorders>
            <w:shd w:val="clear" w:color="auto" w:fill="auto"/>
            <w:noWrap/>
            <w:vAlign w:val="center"/>
            <w:hideMark/>
          </w:tcPr>
          <w:p w14:paraId="6C565B63"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p>
        </w:tc>
        <w:tc>
          <w:tcPr>
            <w:tcW w:w="391" w:type="pct"/>
            <w:tcBorders>
              <w:top w:val="nil"/>
              <w:bottom w:val="nil"/>
            </w:tcBorders>
            <w:shd w:val="clear" w:color="auto" w:fill="auto"/>
            <w:noWrap/>
            <w:vAlign w:val="center"/>
            <w:hideMark/>
          </w:tcPr>
          <w:p w14:paraId="47FCCF37"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p>
        </w:tc>
        <w:tc>
          <w:tcPr>
            <w:tcW w:w="391" w:type="pct"/>
            <w:tcBorders>
              <w:top w:val="nil"/>
              <w:bottom w:val="nil"/>
            </w:tcBorders>
            <w:shd w:val="clear" w:color="auto" w:fill="auto"/>
            <w:noWrap/>
            <w:vAlign w:val="center"/>
            <w:hideMark/>
          </w:tcPr>
          <w:p w14:paraId="48A63A56"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p>
        </w:tc>
        <w:tc>
          <w:tcPr>
            <w:tcW w:w="391" w:type="pct"/>
            <w:tcBorders>
              <w:top w:val="nil"/>
              <w:bottom w:val="nil"/>
            </w:tcBorders>
            <w:shd w:val="clear" w:color="auto" w:fill="auto"/>
            <w:noWrap/>
            <w:vAlign w:val="center"/>
            <w:hideMark/>
          </w:tcPr>
          <w:p w14:paraId="2C18C86A"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p>
        </w:tc>
        <w:tc>
          <w:tcPr>
            <w:tcW w:w="391" w:type="pct"/>
            <w:tcBorders>
              <w:top w:val="nil"/>
              <w:bottom w:val="nil"/>
            </w:tcBorders>
            <w:shd w:val="clear" w:color="auto" w:fill="auto"/>
            <w:noWrap/>
            <w:vAlign w:val="center"/>
            <w:hideMark/>
          </w:tcPr>
          <w:p w14:paraId="4DCD55CF"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p>
        </w:tc>
        <w:tc>
          <w:tcPr>
            <w:tcW w:w="391" w:type="pct"/>
            <w:tcBorders>
              <w:top w:val="nil"/>
              <w:bottom w:val="nil"/>
            </w:tcBorders>
            <w:shd w:val="clear" w:color="auto" w:fill="auto"/>
            <w:noWrap/>
            <w:vAlign w:val="center"/>
            <w:hideMark/>
          </w:tcPr>
          <w:p w14:paraId="5961D518"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p>
        </w:tc>
        <w:tc>
          <w:tcPr>
            <w:tcW w:w="391" w:type="pct"/>
            <w:tcBorders>
              <w:top w:val="nil"/>
              <w:bottom w:val="nil"/>
            </w:tcBorders>
            <w:shd w:val="clear" w:color="auto" w:fill="auto"/>
            <w:noWrap/>
            <w:vAlign w:val="center"/>
            <w:hideMark/>
          </w:tcPr>
          <w:p w14:paraId="1938CCF7"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p>
        </w:tc>
        <w:tc>
          <w:tcPr>
            <w:tcW w:w="391" w:type="pct"/>
            <w:tcBorders>
              <w:top w:val="nil"/>
              <w:bottom w:val="nil"/>
            </w:tcBorders>
            <w:shd w:val="clear" w:color="auto" w:fill="auto"/>
            <w:noWrap/>
            <w:vAlign w:val="center"/>
            <w:hideMark/>
          </w:tcPr>
          <w:p w14:paraId="331BF201"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p>
        </w:tc>
        <w:tc>
          <w:tcPr>
            <w:tcW w:w="391" w:type="pct"/>
            <w:tcBorders>
              <w:top w:val="nil"/>
              <w:bottom w:val="nil"/>
            </w:tcBorders>
            <w:shd w:val="clear" w:color="auto" w:fill="auto"/>
            <w:noWrap/>
            <w:vAlign w:val="center"/>
            <w:hideMark/>
          </w:tcPr>
          <w:p w14:paraId="521FD4C6"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p>
        </w:tc>
        <w:tc>
          <w:tcPr>
            <w:tcW w:w="391" w:type="pct"/>
            <w:tcBorders>
              <w:top w:val="nil"/>
              <w:bottom w:val="nil"/>
            </w:tcBorders>
            <w:shd w:val="clear" w:color="auto" w:fill="auto"/>
            <w:noWrap/>
            <w:vAlign w:val="center"/>
            <w:hideMark/>
          </w:tcPr>
          <w:p w14:paraId="2A32838D"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p>
        </w:tc>
      </w:tr>
      <w:tr w:rsidR="007E770D" w:rsidRPr="007E770D" w14:paraId="4EB3DBCD" w14:textId="77777777" w:rsidTr="00E4657F">
        <w:trPr>
          <w:trHeight w:val="291"/>
          <w:jc w:val="center"/>
        </w:trPr>
        <w:tc>
          <w:tcPr>
            <w:cnfStyle w:val="001000000000" w:firstRow="0" w:lastRow="0" w:firstColumn="1" w:lastColumn="0" w:oddVBand="0" w:evenVBand="0" w:oddHBand="0" w:evenHBand="0" w:firstRowFirstColumn="0" w:firstRowLastColumn="0" w:lastRowFirstColumn="0" w:lastRowLastColumn="0"/>
            <w:tcW w:w="1124" w:type="pct"/>
            <w:tcBorders>
              <w:top w:val="nil"/>
              <w:left w:val="nil"/>
              <w:bottom w:val="nil"/>
              <w:right w:val="nil"/>
            </w:tcBorders>
            <w:shd w:val="clear" w:color="auto" w:fill="auto"/>
            <w:noWrap/>
            <w:vAlign w:val="center"/>
            <w:hideMark/>
          </w:tcPr>
          <w:p w14:paraId="295FD4A0" w14:textId="77777777" w:rsidR="004044DC" w:rsidRPr="007E770D" w:rsidRDefault="004044DC" w:rsidP="00E4657F">
            <w:pPr>
              <w:rPr>
                <w:rFonts w:ascii="Calibri" w:eastAsia="Times New Roman" w:hAnsi="Calibri" w:cs="Calibri"/>
                <w:b w:val="0"/>
                <w:color w:val="auto"/>
                <w:sz w:val="18"/>
                <w:szCs w:val="18"/>
                <w:lang w:val="sr-Cyrl-CS"/>
              </w:rPr>
            </w:pPr>
            <w:r w:rsidRPr="007E770D">
              <w:rPr>
                <w:rFonts w:ascii="Calibri" w:eastAsia="Times New Roman" w:hAnsi="Calibri" w:cs="Calibri"/>
                <w:b w:val="0"/>
                <w:color w:val="auto"/>
                <w:sz w:val="18"/>
                <w:szCs w:val="18"/>
                <w:lang w:val="sr-Cyrl-CS"/>
              </w:rPr>
              <w:t>Јавни дуг у БДП</w:t>
            </w:r>
          </w:p>
        </w:tc>
        <w:tc>
          <w:tcPr>
            <w:tcW w:w="355" w:type="pct"/>
            <w:tcBorders>
              <w:top w:val="nil"/>
              <w:left w:val="nil"/>
              <w:bottom w:val="nil"/>
              <w:right w:val="nil"/>
            </w:tcBorders>
            <w:shd w:val="clear" w:color="auto" w:fill="auto"/>
            <w:noWrap/>
            <w:vAlign w:val="center"/>
            <w:hideMark/>
          </w:tcPr>
          <w:p w14:paraId="5C6CD3C4" w14:textId="77777777" w:rsidR="004044DC" w:rsidRPr="007E770D" w:rsidRDefault="004044DC" w:rsidP="00E4657F">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54,4</w:t>
            </w:r>
          </w:p>
        </w:tc>
        <w:tc>
          <w:tcPr>
            <w:tcW w:w="391" w:type="pct"/>
            <w:tcBorders>
              <w:top w:val="nil"/>
              <w:left w:val="nil"/>
              <w:bottom w:val="nil"/>
              <w:right w:val="nil"/>
            </w:tcBorders>
            <w:shd w:val="clear" w:color="auto" w:fill="auto"/>
            <w:noWrap/>
            <w:vAlign w:val="center"/>
            <w:hideMark/>
          </w:tcPr>
          <w:p w14:paraId="5604F7A5" w14:textId="77777777" w:rsidR="004044DC" w:rsidRPr="007E770D" w:rsidRDefault="004044DC" w:rsidP="00E4657F">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52,9</w:t>
            </w:r>
          </w:p>
        </w:tc>
        <w:tc>
          <w:tcPr>
            <w:tcW w:w="391" w:type="pct"/>
            <w:tcBorders>
              <w:top w:val="nil"/>
              <w:left w:val="nil"/>
              <w:bottom w:val="nil"/>
              <w:right w:val="nil"/>
            </w:tcBorders>
            <w:shd w:val="clear" w:color="auto" w:fill="auto"/>
            <w:noWrap/>
            <w:vAlign w:val="center"/>
            <w:hideMark/>
          </w:tcPr>
          <w:p w14:paraId="179D4EEF" w14:textId="77777777" w:rsidR="004044DC" w:rsidRPr="007E770D" w:rsidRDefault="004044DC" w:rsidP="00E4657F">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51,4</w:t>
            </w:r>
          </w:p>
        </w:tc>
        <w:tc>
          <w:tcPr>
            <w:tcW w:w="391" w:type="pct"/>
            <w:tcBorders>
              <w:top w:val="nil"/>
              <w:left w:val="nil"/>
              <w:bottom w:val="nil"/>
              <w:right w:val="nil"/>
            </w:tcBorders>
            <w:shd w:val="clear" w:color="auto" w:fill="auto"/>
            <w:noWrap/>
            <w:vAlign w:val="center"/>
            <w:hideMark/>
          </w:tcPr>
          <w:p w14:paraId="08E9E013" w14:textId="77777777" w:rsidR="004044DC" w:rsidRPr="007E770D" w:rsidRDefault="004044DC" w:rsidP="00E4657F">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50,1</w:t>
            </w:r>
          </w:p>
        </w:tc>
        <w:tc>
          <w:tcPr>
            <w:tcW w:w="391" w:type="pct"/>
            <w:tcBorders>
              <w:top w:val="nil"/>
              <w:left w:val="nil"/>
              <w:bottom w:val="nil"/>
              <w:right w:val="nil"/>
            </w:tcBorders>
            <w:shd w:val="clear" w:color="auto" w:fill="auto"/>
            <w:noWrap/>
            <w:vAlign w:val="center"/>
            <w:hideMark/>
          </w:tcPr>
          <w:p w14:paraId="0F45E3B1" w14:textId="77777777" w:rsidR="004044DC" w:rsidRPr="007E770D" w:rsidRDefault="004044DC" w:rsidP="00E4657F">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48,3</w:t>
            </w:r>
          </w:p>
        </w:tc>
        <w:tc>
          <w:tcPr>
            <w:tcW w:w="391" w:type="pct"/>
            <w:tcBorders>
              <w:top w:val="nil"/>
              <w:left w:val="nil"/>
              <w:bottom w:val="nil"/>
              <w:right w:val="nil"/>
            </w:tcBorders>
            <w:shd w:val="clear" w:color="auto" w:fill="auto"/>
            <w:noWrap/>
            <w:vAlign w:val="center"/>
            <w:hideMark/>
          </w:tcPr>
          <w:p w14:paraId="073CA5EA" w14:textId="77777777" w:rsidR="004044DC" w:rsidRPr="007E770D" w:rsidRDefault="004044DC" w:rsidP="00E4657F">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46,2</w:t>
            </w:r>
          </w:p>
        </w:tc>
        <w:tc>
          <w:tcPr>
            <w:tcW w:w="391" w:type="pct"/>
            <w:tcBorders>
              <w:top w:val="nil"/>
              <w:left w:val="nil"/>
              <w:bottom w:val="nil"/>
              <w:right w:val="nil"/>
            </w:tcBorders>
            <w:shd w:val="clear" w:color="auto" w:fill="auto"/>
            <w:noWrap/>
            <w:vAlign w:val="center"/>
            <w:hideMark/>
          </w:tcPr>
          <w:p w14:paraId="3CB5C6B8" w14:textId="77777777" w:rsidR="004044DC" w:rsidRPr="007E770D" w:rsidRDefault="004044DC" w:rsidP="00E4657F">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44,1</w:t>
            </w:r>
          </w:p>
        </w:tc>
        <w:tc>
          <w:tcPr>
            <w:tcW w:w="391" w:type="pct"/>
            <w:tcBorders>
              <w:top w:val="nil"/>
              <w:left w:val="nil"/>
              <w:bottom w:val="nil"/>
              <w:right w:val="nil"/>
            </w:tcBorders>
            <w:shd w:val="clear" w:color="auto" w:fill="auto"/>
            <w:noWrap/>
            <w:vAlign w:val="center"/>
            <w:hideMark/>
          </w:tcPr>
          <w:p w14:paraId="249549FA" w14:textId="77777777" w:rsidR="004044DC" w:rsidRPr="007E770D" w:rsidRDefault="004044DC" w:rsidP="00E4657F">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42,2</w:t>
            </w:r>
          </w:p>
        </w:tc>
        <w:tc>
          <w:tcPr>
            <w:tcW w:w="391" w:type="pct"/>
            <w:tcBorders>
              <w:top w:val="nil"/>
              <w:left w:val="nil"/>
              <w:bottom w:val="nil"/>
              <w:right w:val="nil"/>
            </w:tcBorders>
            <w:shd w:val="clear" w:color="auto" w:fill="auto"/>
            <w:noWrap/>
            <w:vAlign w:val="center"/>
            <w:hideMark/>
          </w:tcPr>
          <w:p w14:paraId="0E43BA17" w14:textId="77777777" w:rsidR="004044DC" w:rsidRPr="007E770D" w:rsidRDefault="004044DC" w:rsidP="00E4657F">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40,4</w:t>
            </w:r>
          </w:p>
        </w:tc>
        <w:tc>
          <w:tcPr>
            <w:tcW w:w="391" w:type="pct"/>
            <w:tcBorders>
              <w:top w:val="nil"/>
              <w:left w:val="nil"/>
              <w:bottom w:val="nil"/>
              <w:right w:val="nil"/>
            </w:tcBorders>
            <w:shd w:val="clear" w:color="auto" w:fill="auto"/>
            <w:noWrap/>
            <w:vAlign w:val="center"/>
            <w:hideMark/>
          </w:tcPr>
          <w:p w14:paraId="5746B5A8" w14:textId="77777777" w:rsidR="004044DC" w:rsidRPr="007E770D" w:rsidRDefault="004044DC" w:rsidP="00E4657F">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38,7</w:t>
            </w:r>
          </w:p>
        </w:tc>
      </w:tr>
      <w:tr w:rsidR="007E770D" w:rsidRPr="007E770D" w14:paraId="283B254F" w14:textId="77777777" w:rsidTr="00E4657F">
        <w:trPr>
          <w:cnfStyle w:val="000000100000" w:firstRow="0" w:lastRow="0" w:firstColumn="0" w:lastColumn="0" w:oddVBand="0" w:evenVBand="0" w:oddHBand="1" w:evenHBand="0" w:firstRowFirstColumn="0" w:firstRowLastColumn="0" w:lastRowFirstColumn="0" w:lastRowLastColumn="0"/>
          <w:trHeight w:val="291"/>
          <w:jc w:val="center"/>
        </w:trPr>
        <w:tc>
          <w:tcPr>
            <w:cnfStyle w:val="001000000000" w:firstRow="0" w:lastRow="0" w:firstColumn="1" w:lastColumn="0" w:oddVBand="0" w:evenVBand="0" w:oddHBand="0" w:evenHBand="0" w:firstRowFirstColumn="0" w:firstRowLastColumn="0" w:lastRowFirstColumn="0" w:lastRowLastColumn="0"/>
            <w:tcW w:w="1124" w:type="pct"/>
            <w:tcBorders>
              <w:top w:val="nil"/>
              <w:bottom w:val="single" w:sz="4" w:space="0" w:color="002060"/>
            </w:tcBorders>
            <w:shd w:val="clear" w:color="auto" w:fill="auto"/>
            <w:noWrap/>
            <w:vAlign w:val="center"/>
            <w:hideMark/>
          </w:tcPr>
          <w:p w14:paraId="65042548" w14:textId="77777777" w:rsidR="004044DC" w:rsidRPr="007E770D" w:rsidRDefault="004044DC" w:rsidP="00E4657F">
            <w:pPr>
              <w:rPr>
                <w:rFonts w:ascii="Calibri" w:eastAsia="Times New Roman" w:hAnsi="Calibri" w:cs="Calibri"/>
                <w:b w:val="0"/>
                <w:color w:val="auto"/>
                <w:sz w:val="18"/>
                <w:szCs w:val="18"/>
                <w:lang w:val="sr-Cyrl-CS"/>
              </w:rPr>
            </w:pPr>
            <w:r w:rsidRPr="007E770D">
              <w:rPr>
                <w:rFonts w:ascii="Calibri" w:eastAsia="Times New Roman" w:hAnsi="Calibri" w:cs="Calibri"/>
                <w:b w:val="0"/>
                <w:color w:val="auto"/>
                <w:sz w:val="18"/>
                <w:szCs w:val="18"/>
                <w:lang w:val="sr-Cyrl-CS"/>
              </w:rPr>
              <w:t>БДП реални раст, %</w:t>
            </w:r>
          </w:p>
        </w:tc>
        <w:tc>
          <w:tcPr>
            <w:tcW w:w="355" w:type="pct"/>
            <w:tcBorders>
              <w:top w:val="nil"/>
              <w:bottom w:val="single" w:sz="4" w:space="0" w:color="002060"/>
            </w:tcBorders>
            <w:shd w:val="clear" w:color="auto" w:fill="auto"/>
            <w:noWrap/>
            <w:vAlign w:val="center"/>
            <w:hideMark/>
          </w:tcPr>
          <w:p w14:paraId="6B1724E1"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4,4</w:t>
            </w:r>
          </w:p>
        </w:tc>
        <w:tc>
          <w:tcPr>
            <w:tcW w:w="391" w:type="pct"/>
            <w:tcBorders>
              <w:top w:val="nil"/>
              <w:bottom w:val="single" w:sz="4" w:space="0" w:color="002060"/>
            </w:tcBorders>
            <w:shd w:val="clear" w:color="auto" w:fill="auto"/>
            <w:noWrap/>
            <w:vAlign w:val="center"/>
            <w:hideMark/>
          </w:tcPr>
          <w:p w14:paraId="71EEB0E4"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3,5</w:t>
            </w:r>
          </w:p>
        </w:tc>
        <w:tc>
          <w:tcPr>
            <w:tcW w:w="391" w:type="pct"/>
            <w:tcBorders>
              <w:top w:val="nil"/>
              <w:bottom w:val="single" w:sz="4" w:space="0" w:color="002060"/>
            </w:tcBorders>
            <w:shd w:val="clear" w:color="auto" w:fill="auto"/>
            <w:noWrap/>
            <w:vAlign w:val="center"/>
            <w:hideMark/>
          </w:tcPr>
          <w:p w14:paraId="6D04FD0F"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4,0</w:t>
            </w:r>
          </w:p>
        </w:tc>
        <w:tc>
          <w:tcPr>
            <w:tcW w:w="391" w:type="pct"/>
            <w:tcBorders>
              <w:top w:val="nil"/>
              <w:bottom w:val="single" w:sz="4" w:space="0" w:color="002060"/>
            </w:tcBorders>
            <w:shd w:val="clear" w:color="auto" w:fill="auto"/>
            <w:noWrap/>
            <w:vAlign w:val="center"/>
            <w:hideMark/>
          </w:tcPr>
          <w:p w14:paraId="736D0761"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4,0</w:t>
            </w:r>
          </w:p>
        </w:tc>
        <w:tc>
          <w:tcPr>
            <w:tcW w:w="391" w:type="pct"/>
            <w:tcBorders>
              <w:top w:val="nil"/>
              <w:bottom w:val="single" w:sz="4" w:space="0" w:color="002060"/>
            </w:tcBorders>
            <w:shd w:val="clear" w:color="auto" w:fill="auto"/>
            <w:noWrap/>
            <w:vAlign w:val="center"/>
            <w:hideMark/>
          </w:tcPr>
          <w:p w14:paraId="38C119D6"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4,0</w:t>
            </w:r>
          </w:p>
        </w:tc>
        <w:tc>
          <w:tcPr>
            <w:tcW w:w="391" w:type="pct"/>
            <w:tcBorders>
              <w:top w:val="nil"/>
              <w:bottom w:val="single" w:sz="4" w:space="0" w:color="002060"/>
            </w:tcBorders>
            <w:shd w:val="clear" w:color="auto" w:fill="auto"/>
            <w:noWrap/>
            <w:vAlign w:val="center"/>
            <w:hideMark/>
          </w:tcPr>
          <w:p w14:paraId="6308FB7C"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4,0</w:t>
            </w:r>
          </w:p>
        </w:tc>
        <w:tc>
          <w:tcPr>
            <w:tcW w:w="391" w:type="pct"/>
            <w:tcBorders>
              <w:top w:val="nil"/>
              <w:bottom w:val="single" w:sz="4" w:space="0" w:color="002060"/>
            </w:tcBorders>
            <w:shd w:val="clear" w:color="auto" w:fill="auto"/>
            <w:noWrap/>
            <w:vAlign w:val="center"/>
            <w:hideMark/>
          </w:tcPr>
          <w:p w14:paraId="6AA4AE98"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4,0</w:t>
            </w:r>
          </w:p>
        </w:tc>
        <w:tc>
          <w:tcPr>
            <w:tcW w:w="391" w:type="pct"/>
            <w:tcBorders>
              <w:top w:val="nil"/>
              <w:bottom w:val="single" w:sz="4" w:space="0" w:color="002060"/>
            </w:tcBorders>
            <w:shd w:val="clear" w:color="auto" w:fill="auto"/>
            <w:noWrap/>
            <w:vAlign w:val="center"/>
            <w:hideMark/>
          </w:tcPr>
          <w:p w14:paraId="4ACAE24C"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4,0</w:t>
            </w:r>
          </w:p>
        </w:tc>
        <w:tc>
          <w:tcPr>
            <w:tcW w:w="391" w:type="pct"/>
            <w:tcBorders>
              <w:top w:val="nil"/>
              <w:bottom w:val="single" w:sz="4" w:space="0" w:color="002060"/>
            </w:tcBorders>
            <w:shd w:val="clear" w:color="auto" w:fill="auto"/>
            <w:noWrap/>
            <w:vAlign w:val="center"/>
            <w:hideMark/>
          </w:tcPr>
          <w:p w14:paraId="645858B8"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4,0</w:t>
            </w:r>
          </w:p>
        </w:tc>
        <w:tc>
          <w:tcPr>
            <w:tcW w:w="391" w:type="pct"/>
            <w:tcBorders>
              <w:top w:val="nil"/>
              <w:bottom w:val="single" w:sz="4" w:space="0" w:color="002060"/>
            </w:tcBorders>
            <w:shd w:val="clear" w:color="auto" w:fill="auto"/>
            <w:noWrap/>
            <w:vAlign w:val="center"/>
            <w:hideMark/>
          </w:tcPr>
          <w:p w14:paraId="2C508641" w14:textId="77777777" w:rsidR="004044DC" w:rsidRPr="007E770D" w:rsidRDefault="004044DC" w:rsidP="00E4657F">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auto"/>
                <w:sz w:val="18"/>
                <w:szCs w:val="18"/>
                <w:lang w:val="sr-Cyrl-CS"/>
              </w:rPr>
            </w:pPr>
            <w:r w:rsidRPr="007E770D">
              <w:rPr>
                <w:rFonts w:asciiTheme="minorHAnsi" w:hAnsiTheme="minorHAnsi" w:cstheme="minorHAnsi"/>
                <w:color w:val="auto"/>
                <w:sz w:val="18"/>
                <w:szCs w:val="18"/>
                <w:lang w:val="sr-Cyrl-CS"/>
              </w:rPr>
              <w:t>4,0</w:t>
            </w:r>
          </w:p>
        </w:tc>
      </w:tr>
    </w:tbl>
    <w:p w14:paraId="00131C4C" w14:textId="77777777" w:rsidR="004044DC" w:rsidRPr="007E770D" w:rsidRDefault="004044DC" w:rsidP="00570B3E">
      <w:pPr>
        <w:spacing w:line="276" w:lineRule="auto"/>
        <w:jc w:val="left"/>
        <w:rPr>
          <w:rFonts w:ascii="Calibri" w:eastAsia="MS PGothic" w:hAnsi="Calibri" w:cs="Calibri"/>
          <w:color w:val="auto"/>
          <w:sz w:val="16"/>
          <w:szCs w:val="16"/>
          <w:lang w:val="sr-Cyrl-CS" w:eastAsia="ja-JP"/>
        </w:rPr>
      </w:pPr>
      <w:r w:rsidRPr="007E770D">
        <w:rPr>
          <w:rFonts w:ascii="Calibri" w:eastAsia="MS PGothic" w:hAnsi="Calibri" w:cs="Calibri"/>
          <w:color w:val="auto"/>
          <w:sz w:val="16"/>
          <w:szCs w:val="16"/>
          <w:lang w:val="sr-Cyrl-CS" w:eastAsia="ja-JP"/>
        </w:rPr>
        <w:t xml:space="preserve">Извор: </w:t>
      </w:r>
      <w:r w:rsidRPr="007E770D">
        <w:rPr>
          <w:rFonts w:ascii="Calibri" w:eastAsia="Calibri" w:hAnsi="Calibri" w:cs="Calibri"/>
          <w:color w:val="auto"/>
          <w:sz w:val="16"/>
          <w:szCs w:val="20"/>
          <w:lang w:val="sr-Cyrl-CS"/>
        </w:rPr>
        <w:t>Министарство финансија</w:t>
      </w:r>
    </w:p>
    <w:p w14:paraId="783145DB" w14:textId="77777777" w:rsidR="004044DC" w:rsidRPr="007E770D" w:rsidRDefault="004044DC" w:rsidP="00570B3E">
      <w:pPr>
        <w:spacing w:line="276" w:lineRule="auto"/>
        <w:rPr>
          <w:rFonts w:ascii="Calibri" w:eastAsia="Calibri" w:hAnsi="Calibri" w:cs="Calibri"/>
          <w:color w:val="auto"/>
          <w:szCs w:val="20"/>
          <w:lang w:val="sr-Cyrl-CS" w:eastAsia="ja-JP"/>
        </w:rPr>
        <w:sectPr w:rsidR="004044DC" w:rsidRPr="007E770D">
          <w:type w:val="continuous"/>
          <w:pgSz w:w="12240" w:h="15840"/>
          <w:pgMar w:top="1417" w:right="1417" w:bottom="1417" w:left="1417" w:header="720" w:footer="720" w:gutter="0"/>
          <w:cols w:space="720"/>
        </w:sectPr>
      </w:pPr>
    </w:p>
    <w:p w14:paraId="1551CFE2" w14:textId="77777777" w:rsidR="004044DC" w:rsidRPr="007E770D" w:rsidRDefault="004044DC" w:rsidP="00BF2027">
      <w:pPr>
        <w:spacing w:after="0"/>
        <w:rPr>
          <w:rFonts w:ascii="Calibri" w:eastAsia="Calibri" w:hAnsi="Calibri" w:cs="Calibri"/>
          <w:color w:val="auto"/>
          <w:szCs w:val="20"/>
          <w:lang w:val="sr-Cyrl-CS"/>
        </w:rPr>
      </w:pPr>
      <w:r w:rsidRPr="007E770D">
        <w:rPr>
          <w:rFonts w:ascii="Calibri" w:eastAsia="Calibri" w:hAnsi="Calibri" w:cs="Calibri"/>
          <w:color w:val="auto"/>
          <w:szCs w:val="20"/>
          <w:lang w:val="sr-Cyrl-CS"/>
        </w:rPr>
        <w:t xml:space="preserve">Основни сценарио претпоставља да се ниво јавног дуга спусти на око 45% БДП у 2024. години. </w:t>
      </w:r>
      <w:r w:rsidRPr="007E770D">
        <w:rPr>
          <w:rFonts w:ascii="Calibri" w:eastAsia="Calibri" w:hAnsi="Calibri" w:cs="Calibri"/>
          <w:color w:val="auto"/>
          <w:spacing w:val="-2"/>
          <w:szCs w:val="20"/>
          <w:lang w:val="sr-Cyrl-CS"/>
        </w:rPr>
        <w:t xml:space="preserve">На графикону су приказане симулације алтернативних сценарија кретања јавног дуга, у зависности од промена одређених претпоставки у основном сценарију. </w:t>
      </w:r>
      <w:r w:rsidRPr="007E770D">
        <w:rPr>
          <w:rFonts w:ascii="Calibri" w:eastAsia="Calibri" w:hAnsi="Calibri" w:cs="Calibri"/>
          <w:color w:val="auto"/>
          <w:szCs w:val="20"/>
          <w:lang w:val="sr-Cyrl-CS"/>
        </w:rPr>
        <w:t>Ради бољег поређења, извршена је варијација само једне варијабле, као фактора ризика који утиче на ниво дуга.</w:t>
      </w:r>
    </w:p>
    <w:p w14:paraId="7EA0D2CF" w14:textId="77777777" w:rsidR="004044DC" w:rsidRPr="007E770D" w:rsidRDefault="004044DC" w:rsidP="00570B3E">
      <w:pPr>
        <w:spacing w:line="276" w:lineRule="auto"/>
        <w:rPr>
          <w:rFonts w:ascii="Calibri" w:eastAsia="Calibri" w:hAnsi="Calibri" w:cs="Calibri"/>
          <w:color w:val="auto"/>
          <w:szCs w:val="20"/>
          <w:lang w:val="sr-Cyrl-CS"/>
        </w:rPr>
      </w:pPr>
      <w:r w:rsidRPr="007E770D">
        <w:rPr>
          <w:rFonts w:ascii="Calibri" w:eastAsia="Calibri" w:hAnsi="Calibri" w:cs="Calibri"/>
          <w:color w:val="auto"/>
          <w:szCs w:val="20"/>
          <w:lang w:val="sr-Cyrl-CS"/>
        </w:rPr>
        <w:t xml:space="preserve">Сценарио „успорени раст након 2023” подразумева просечан реални раст БДП од око 0,7% у посматраном периоду, уз исти ниво фискалног дефицита у односу на основни сценарио. Ово не подразумева и исти ниво фискалног прилагођавања јер је потребна већа акомодација на расходној страни у ситуацијама када се бележи нижи привредни раст. На крају </w:t>
      </w:r>
      <w:r w:rsidRPr="007E770D">
        <w:rPr>
          <w:rFonts w:ascii="Calibri" w:eastAsia="Calibri" w:hAnsi="Calibri" w:cs="Calibri"/>
          <w:color w:val="auto"/>
          <w:szCs w:val="20"/>
          <w:lang w:val="sr-Cyrl-CS"/>
        </w:rPr>
        <w:lastRenderedPageBreak/>
        <w:t>2027. године, јавни дуг према овом сценарију достиже законски предвиђен ниво од 44,9% БДП. Једна од опасности коју носи сценарио продуженог успореног раста, лежи у томе што и поред одржавања нивоа фискалног дефицита на ниском нивоу, ниво јавног дуга не пада довољно брзо. Са друге стране, успорени раст, путем аутоматских стабилизатора, продукује више нивое фискалног дефицита, па су неопходна већа смањења расхода како би се задржала опадајућа путања учешћа јавног дуга. Присутан је ризик уласка у спиралу успореног раста и неопходност за додатним мерама штедње. И поред ових ризика, сценарио омогућава постепено смањење учешћа јавног дуга и одржавање на нивоу испод 45%, при осталим датим претпоставкама.</w:t>
      </w:r>
    </w:p>
    <w:p w14:paraId="7AC45ADD" w14:textId="77777777" w:rsidR="004044DC" w:rsidRPr="007E770D" w:rsidRDefault="004044DC" w:rsidP="002E527B">
      <w:pPr>
        <w:spacing w:after="120" w:line="276" w:lineRule="auto"/>
        <w:jc w:val="center"/>
        <w:rPr>
          <w:rFonts w:cstheme="minorHAnsi"/>
          <w:b/>
          <w:color w:val="auto"/>
          <w:lang w:val="sr-Cyrl-CS"/>
        </w:rPr>
      </w:pPr>
      <w:r w:rsidRPr="007E770D">
        <w:rPr>
          <w:rFonts w:cstheme="minorHAnsi"/>
          <w:b/>
          <w:color w:val="auto"/>
          <w:lang w:val="sr-Cyrl-CS"/>
        </w:rPr>
        <w:t>Поређење различитих сценарија и утицај на висину јавног дуга, % БДП</w:t>
      </w:r>
    </w:p>
    <w:p w14:paraId="59DEC04D" w14:textId="77777777" w:rsidR="004044DC" w:rsidRPr="007E770D" w:rsidRDefault="004044DC" w:rsidP="00E4657F">
      <w:pPr>
        <w:spacing w:after="120" w:line="276" w:lineRule="auto"/>
        <w:rPr>
          <w:rFonts w:ascii="Calibri" w:eastAsia="Calibri" w:hAnsi="Calibri" w:cs="Calibri"/>
          <w:b/>
          <w:bCs/>
          <w:color w:val="auto"/>
          <w:sz w:val="18"/>
          <w:szCs w:val="18"/>
          <w:lang w:val="sr-Cyrl-CS"/>
        </w:rPr>
      </w:pPr>
      <w:r w:rsidRPr="007E770D">
        <w:rPr>
          <w:noProof/>
          <w:color w:val="auto"/>
        </w:rPr>
        <w:drawing>
          <wp:inline distT="0" distB="0" distL="0" distR="0" wp14:anchorId="57C3C631" wp14:editId="0C972AE2">
            <wp:extent cx="2815244" cy="2486025"/>
            <wp:effectExtent l="0" t="0" r="4445" b="0"/>
            <wp:docPr id="70" name="Chart 70"/>
            <wp:cNvGraphicFramePr/>
            <a:graphic xmlns:a="http://schemas.openxmlformats.org/drawingml/2006/main">
              <a:graphicData uri="http://schemas.openxmlformats.org/drawingml/2006/chart">
                <c:chart xmlns:c="http://schemas.openxmlformats.org/drawingml/2006/chart" xmlns:r="http://schemas.openxmlformats.org/officeDocument/2006/relationships" r:id="rId155"/>
              </a:graphicData>
            </a:graphic>
          </wp:inline>
        </w:drawing>
      </w:r>
      <w:r w:rsidRPr="007E770D">
        <w:rPr>
          <w:rFonts w:ascii="Calibri" w:eastAsia="MS PGothic" w:hAnsi="Calibri" w:cs="Calibri"/>
          <w:color w:val="auto"/>
          <w:sz w:val="16"/>
          <w:szCs w:val="16"/>
          <w:lang w:val="sr-Cyrl-CS" w:eastAsia="ja-JP"/>
        </w:rPr>
        <w:t xml:space="preserve">Извор: </w:t>
      </w:r>
      <w:r w:rsidRPr="007E770D">
        <w:rPr>
          <w:rFonts w:ascii="Calibri" w:eastAsia="Calibri" w:hAnsi="Calibri" w:cs="Calibri"/>
          <w:color w:val="auto"/>
          <w:sz w:val="16"/>
          <w:szCs w:val="20"/>
          <w:lang w:val="sr-Cyrl-CS"/>
        </w:rPr>
        <w:t>Министарство финансија</w:t>
      </w:r>
    </w:p>
    <w:p w14:paraId="51843917" w14:textId="77777777" w:rsidR="004044DC" w:rsidRPr="007E770D" w:rsidRDefault="004044DC" w:rsidP="001E3C08">
      <w:pPr>
        <w:spacing w:after="120" w:line="276" w:lineRule="auto"/>
        <w:rPr>
          <w:rFonts w:ascii="Calibri" w:eastAsia="Calibri" w:hAnsi="Calibri" w:cs="Calibri"/>
          <w:color w:val="auto"/>
          <w:szCs w:val="20"/>
          <w:lang w:val="sr-Cyrl-CS"/>
        </w:rPr>
      </w:pPr>
      <w:r w:rsidRPr="007E770D">
        <w:rPr>
          <w:rFonts w:ascii="Calibri" w:eastAsia="Calibri" w:hAnsi="Calibri" w:cs="Calibri"/>
          <w:color w:val="auto"/>
          <w:szCs w:val="20"/>
          <w:lang w:val="sr-Cyrl-CS"/>
        </w:rPr>
        <w:t xml:space="preserve">Сценарио „фискална експанзија након 2023. године” подразумева значајније одступање од садашњег средњорочно постављеног циља фискалне политике и достизање фискалног дефицита од 2,5%. У овом случају, учешће јавног дуга у БДП у почетку стагнира да би у 2027. години достигло 48,4% БДП. Јавни дуг не достиже законску границу од 45% БДП, а ниво испод 60% одржава се у целом посматраном периоду. И поред значајног погоршања фискалних перформанси, овај сценарио подразумева и даље </w:t>
      </w:r>
      <w:r w:rsidRPr="007E770D">
        <w:rPr>
          <w:rFonts w:ascii="Calibri" w:eastAsia="Calibri" w:hAnsi="Calibri" w:cs="Calibri"/>
          <w:color w:val="auto"/>
          <w:szCs w:val="20"/>
          <w:lang w:val="sr-Cyrl-CS"/>
        </w:rPr>
        <w:t>присутан примарни фискални резултат који омогућава релативну стабилност учешћа дуга при датим стопама раста БДП.</w:t>
      </w:r>
    </w:p>
    <w:p w14:paraId="588F0F81" w14:textId="77777777" w:rsidR="004044DC" w:rsidRPr="007E770D" w:rsidRDefault="004044DC" w:rsidP="00642DA6">
      <w:pPr>
        <w:spacing w:after="120" w:line="276" w:lineRule="auto"/>
        <w:rPr>
          <w:rFonts w:ascii="Calibri" w:eastAsia="Calibri" w:hAnsi="Calibri" w:cs="Calibri"/>
          <w:color w:val="auto"/>
          <w:szCs w:val="20"/>
          <w:lang w:val="sr-Cyrl-CS"/>
        </w:rPr>
      </w:pPr>
      <w:r w:rsidRPr="007E770D">
        <w:rPr>
          <w:rFonts w:ascii="Calibri" w:eastAsia="Calibri" w:hAnsi="Calibri" w:cs="Calibri"/>
          <w:color w:val="auto"/>
          <w:szCs w:val="20"/>
          <w:lang w:val="sr-Cyrl-CS"/>
        </w:rPr>
        <w:t>Сценарио који комбинује мањи реални раст БДП и подизање нивоа фискалног дефицита у просеку од 2,5% БДП има најнеповољнију путању јавног дуга. При томе једино у овом сценарију дуг има изразито растућу путању у периоду након 2023. године, а учешће јавног дуга почиње да убрзава ка нивоу од 60% БДП на крају посматраног периода.</w:t>
      </w:r>
      <w:bookmarkStart w:id="27" w:name="_Toc530635111"/>
    </w:p>
    <w:bookmarkEnd w:id="27"/>
    <w:p w14:paraId="0352B424" w14:textId="77777777" w:rsidR="004044DC" w:rsidRPr="007E770D" w:rsidRDefault="004044DC" w:rsidP="00570B3E">
      <w:pPr>
        <w:rPr>
          <w:color w:val="auto"/>
          <w:lang w:val="sr-Cyrl-CS"/>
        </w:rPr>
      </w:pPr>
    </w:p>
    <w:p w14:paraId="16D56840" w14:textId="77777777" w:rsidR="004044DC" w:rsidRPr="007E770D" w:rsidRDefault="004044DC" w:rsidP="00570B3E">
      <w:pPr>
        <w:rPr>
          <w:color w:val="auto"/>
          <w:lang w:val="sr-Cyrl-CS"/>
        </w:rPr>
      </w:pPr>
    </w:p>
    <w:p w14:paraId="140D284F" w14:textId="77777777" w:rsidR="004044DC" w:rsidRPr="007E770D" w:rsidRDefault="004044DC" w:rsidP="00570B3E">
      <w:pPr>
        <w:rPr>
          <w:color w:val="auto"/>
          <w:lang w:val="sr-Cyrl-CS"/>
        </w:rPr>
      </w:pPr>
    </w:p>
    <w:p w14:paraId="57D02D00" w14:textId="77777777" w:rsidR="004044DC" w:rsidRPr="007E770D" w:rsidRDefault="004044DC" w:rsidP="00570B3E">
      <w:pPr>
        <w:rPr>
          <w:color w:val="auto"/>
          <w:lang w:val="sr-Cyrl-CS"/>
        </w:rPr>
      </w:pPr>
    </w:p>
    <w:p w14:paraId="685B2BB8" w14:textId="77777777" w:rsidR="004044DC" w:rsidRPr="007E770D" w:rsidRDefault="004044DC" w:rsidP="00570B3E">
      <w:pPr>
        <w:rPr>
          <w:color w:val="auto"/>
          <w:lang w:val="sr-Cyrl-CS"/>
        </w:rPr>
      </w:pPr>
    </w:p>
    <w:p w14:paraId="0CA92011" w14:textId="77777777" w:rsidR="004044DC" w:rsidRPr="007E770D" w:rsidRDefault="004044DC" w:rsidP="00570B3E">
      <w:pPr>
        <w:rPr>
          <w:color w:val="auto"/>
          <w:lang w:val="sr-Cyrl-CS"/>
        </w:rPr>
      </w:pPr>
    </w:p>
    <w:p w14:paraId="4F3FE712" w14:textId="77777777" w:rsidR="004044DC" w:rsidRPr="007E770D" w:rsidRDefault="004044DC" w:rsidP="00570B3E">
      <w:pPr>
        <w:rPr>
          <w:color w:val="auto"/>
          <w:lang w:val="sr-Cyrl-CS"/>
        </w:rPr>
      </w:pPr>
    </w:p>
    <w:p w14:paraId="61906E89" w14:textId="77777777" w:rsidR="004044DC" w:rsidRPr="007E770D" w:rsidRDefault="004044DC" w:rsidP="00570B3E">
      <w:pPr>
        <w:rPr>
          <w:color w:val="auto"/>
          <w:lang w:val="sr-Cyrl-CS"/>
        </w:rPr>
      </w:pPr>
    </w:p>
    <w:p w14:paraId="7CED652B" w14:textId="77777777" w:rsidR="004044DC" w:rsidRPr="007E770D" w:rsidRDefault="004044DC" w:rsidP="00570B3E">
      <w:pPr>
        <w:rPr>
          <w:color w:val="auto"/>
          <w:lang w:val="sr-Cyrl-CS"/>
        </w:rPr>
      </w:pPr>
    </w:p>
    <w:p w14:paraId="3A4F15F0" w14:textId="77777777" w:rsidR="004044DC" w:rsidRPr="007E770D" w:rsidRDefault="004044DC" w:rsidP="00570B3E">
      <w:pPr>
        <w:rPr>
          <w:color w:val="auto"/>
          <w:lang w:val="sr-Cyrl-CS"/>
        </w:rPr>
      </w:pPr>
    </w:p>
    <w:p w14:paraId="070960A6" w14:textId="77777777" w:rsidR="004044DC" w:rsidRPr="007E770D" w:rsidRDefault="004044DC" w:rsidP="00570B3E">
      <w:pPr>
        <w:rPr>
          <w:color w:val="auto"/>
          <w:lang w:val="sr-Cyrl-CS"/>
        </w:rPr>
      </w:pPr>
    </w:p>
    <w:p w14:paraId="0DCD6639" w14:textId="77777777" w:rsidR="004044DC" w:rsidRPr="007E770D" w:rsidRDefault="004044DC" w:rsidP="00570B3E">
      <w:pPr>
        <w:rPr>
          <w:color w:val="auto"/>
          <w:lang w:val="sr-Cyrl-CS"/>
        </w:rPr>
      </w:pPr>
    </w:p>
    <w:p w14:paraId="1BD748BD" w14:textId="77777777" w:rsidR="004044DC" w:rsidRPr="007E770D" w:rsidRDefault="004044DC" w:rsidP="00570B3E">
      <w:pPr>
        <w:rPr>
          <w:color w:val="auto"/>
          <w:lang w:val="sr-Cyrl-CS"/>
        </w:rPr>
      </w:pPr>
    </w:p>
    <w:p w14:paraId="2D0E3EB2" w14:textId="77777777" w:rsidR="004044DC" w:rsidRPr="007E770D" w:rsidRDefault="004044DC" w:rsidP="00570B3E">
      <w:pPr>
        <w:rPr>
          <w:color w:val="auto"/>
          <w:lang w:val="sr-Cyrl-CS"/>
        </w:rPr>
      </w:pPr>
    </w:p>
    <w:p w14:paraId="168809CF" w14:textId="77777777" w:rsidR="004044DC" w:rsidRPr="007E770D" w:rsidRDefault="004044DC" w:rsidP="00570B3E">
      <w:pPr>
        <w:rPr>
          <w:color w:val="auto"/>
          <w:lang w:val="sr-Cyrl-CS"/>
        </w:rPr>
      </w:pPr>
    </w:p>
    <w:p w14:paraId="7BED0730" w14:textId="77777777" w:rsidR="004044DC" w:rsidRPr="007E770D" w:rsidRDefault="004044DC" w:rsidP="00570B3E">
      <w:pPr>
        <w:rPr>
          <w:color w:val="auto"/>
          <w:lang w:val="sr-Cyrl-CS"/>
        </w:rPr>
      </w:pPr>
    </w:p>
    <w:p w14:paraId="4F39B718" w14:textId="77777777" w:rsidR="004044DC" w:rsidRPr="007E770D" w:rsidRDefault="004044DC" w:rsidP="00570B3E">
      <w:pPr>
        <w:rPr>
          <w:color w:val="auto"/>
          <w:lang w:val="sr-Cyrl-CS"/>
        </w:rPr>
      </w:pPr>
    </w:p>
    <w:p w14:paraId="7431FAE4" w14:textId="77777777" w:rsidR="004044DC" w:rsidRPr="007E770D" w:rsidRDefault="004044DC" w:rsidP="00570B3E">
      <w:pPr>
        <w:rPr>
          <w:color w:val="auto"/>
          <w:lang w:val="sr-Cyrl-CS"/>
        </w:rPr>
      </w:pPr>
    </w:p>
    <w:p w14:paraId="3C73019A" w14:textId="77777777" w:rsidR="004044DC" w:rsidRPr="007E770D" w:rsidRDefault="004044DC" w:rsidP="00570B3E">
      <w:pPr>
        <w:rPr>
          <w:color w:val="auto"/>
          <w:lang w:val="sr-Cyrl-CS"/>
        </w:rPr>
      </w:pPr>
    </w:p>
    <w:p w14:paraId="231145B1" w14:textId="77777777" w:rsidR="004044DC" w:rsidRPr="007E770D" w:rsidRDefault="004044DC" w:rsidP="00570B3E">
      <w:pPr>
        <w:rPr>
          <w:color w:val="auto"/>
          <w:lang w:val="sr-Cyrl-CS"/>
        </w:rPr>
      </w:pPr>
    </w:p>
    <w:p w14:paraId="68AB5B7C" w14:textId="77777777" w:rsidR="004044DC" w:rsidRPr="007E770D" w:rsidRDefault="004044DC" w:rsidP="00570B3E">
      <w:pPr>
        <w:rPr>
          <w:color w:val="auto"/>
          <w:lang w:val="sr-Cyrl-CS"/>
        </w:rPr>
      </w:pPr>
    </w:p>
    <w:p w14:paraId="10E18921" w14:textId="77777777" w:rsidR="004044DC" w:rsidRPr="007E770D" w:rsidRDefault="004044DC" w:rsidP="00570B3E">
      <w:pPr>
        <w:rPr>
          <w:color w:val="auto"/>
          <w:lang w:val="sr-Cyrl-CS"/>
        </w:rPr>
      </w:pPr>
    </w:p>
    <w:p w14:paraId="37566BBD" w14:textId="77777777" w:rsidR="004044DC" w:rsidRPr="007E770D" w:rsidRDefault="004044DC" w:rsidP="00570B3E">
      <w:pPr>
        <w:rPr>
          <w:color w:val="auto"/>
          <w:lang w:val="sr-Cyrl-CS"/>
        </w:rPr>
      </w:pPr>
    </w:p>
    <w:p w14:paraId="097006B5" w14:textId="77777777" w:rsidR="004044DC" w:rsidRPr="007E770D" w:rsidRDefault="004044DC" w:rsidP="00570B3E">
      <w:pPr>
        <w:rPr>
          <w:color w:val="auto"/>
          <w:lang w:val="sr-Cyrl-CS"/>
        </w:rPr>
        <w:sectPr w:rsidR="004044DC" w:rsidRPr="007E770D" w:rsidSect="00570B3E">
          <w:headerReference w:type="even" r:id="rId156"/>
          <w:headerReference w:type="default" r:id="rId157"/>
          <w:footerReference w:type="even" r:id="rId158"/>
          <w:footerReference w:type="default" r:id="rId159"/>
          <w:headerReference w:type="first" r:id="rId160"/>
          <w:type w:val="continuous"/>
          <w:pgSz w:w="12240" w:h="15840"/>
          <w:pgMar w:top="1440" w:right="1440" w:bottom="1440" w:left="1440" w:header="720" w:footer="720" w:gutter="0"/>
          <w:cols w:num="2" w:space="720"/>
          <w:docGrid w:linePitch="360"/>
        </w:sectPr>
      </w:pPr>
    </w:p>
    <w:p w14:paraId="29BE0773" w14:textId="77777777" w:rsidR="004044DC" w:rsidRPr="007E770D" w:rsidRDefault="004044DC" w:rsidP="00E4657F">
      <w:pPr>
        <w:pStyle w:val="Heading1"/>
        <w:spacing w:after="240"/>
        <w:jc w:val="center"/>
        <w:rPr>
          <w:rFonts w:asciiTheme="minorHAnsi" w:hAnsiTheme="minorHAnsi" w:cstheme="minorHAnsi"/>
          <w:b/>
          <w:color w:val="auto"/>
          <w:sz w:val="26"/>
          <w:szCs w:val="26"/>
          <w:lang w:val="sr-Cyrl-CS"/>
        </w:rPr>
      </w:pPr>
      <w:bookmarkStart w:id="28" w:name="_Toc23342472"/>
      <w:r w:rsidRPr="007E770D">
        <w:rPr>
          <w:rFonts w:asciiTheme="minorHAnsi" w:hAnsiTheme="minorHAnsi" w:cstheme="minorHAnsi"/>
          <w:b/>
          <w:color w:val="auto"/>
          <w:sz w:val="26"/>
          <w:szCs w:val="26"/>
          <w:lang w:val="sr-Cyrl-CS"/>
        </w:rPr>
        <w:lastRenderedPageBreak/>
        <w:t>III. СТРАТЕГИЈА УПРАВЉАЊА ЈАВНИМ ДУГОМ ОД 2020. ДО 2022. ГОДИНЕ</w:t>
      </w:r>
      <w:bookmarkEnd w:id="28"/>
    </w:p>
    <w:p w14:paraId="7A309B5E" w14:textId="77777777" w:rsidR="004044DC" w:rsidRPr="007E770D" w:rsidRDefault="004044DC" w:rsidP="00E4657F">
      <w:pPr>
        <w:spacing w:after="120" w:line="276" w:lineRule="auto"/>
        <w:jc w:val="center"/>
        <w:rPr>
          <w:rFonts w:ascii="Calibri" w:eastAsia="Calibri" w:hAnsi="Calibri" w:cs="Calibri"/>
          <w:color w:val="auto"/>
          <w:szCs w:val="20"/>
          <w:lang w:val="sr-Cyrl-CS"/>
        </w:rPr>
        <w:sectPr w:rsidR="004044DC" w:rsidRPr="007E770D" w:rsidSect="00E4657F">
          <w:type w:val="continuous"/>
          <w:pgSz w:w="12240" w:h="15840"/>
          <w:pgMar w:top="1440" w:right="1440" w:bottom="1440" w:left="1440" w:header="720" w:footer="720" w:gutter="0"/>
          <w:cols w:space="720"/>
          <w:docGrid w:linePitch="360"/>
        </w:sectPr>
      </w:pPr>
    </w:p>
    <w:p w14:paraId="35C56820" w14:textId="5E821D78"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 xml:space="preserve">Према Закону о јавном дугу, као правном основу задуживања Републике Србије, јавни дуг чине све директне обавезе Републике по основу задуживања, као и гаранције издате од Републике за задуживање јавних предузећа и </w:t>
      </w:r>
      <w:r w:rsidR="00A8223D" w:rsidRPr="007E770D">
        <w:rPr>
          <w:rFonts w:cstheme="minorHAnsi"/>
          <w:bCs/>
          <w:color w:val="auto"/>
          <w:szCs w:val="72"/>
          <w:lang w:val="sr-Cyrl-CS"/>
        </w:rPr>
        <w:t>јединица локалне самоуправе</w:t>
      </w:r>
      <w:r w:rsidRPr="007E770D">
        <w:rPr>
          <w:rFonts w:cstheme="minorHAnsi"/>
          <w:bCs/>
          <w:color w:val="auto"/>
          <w:szCs w:val="72"/>
          <w:lang w:val="sr-Cyrl-CS"/>
        </w:rPr>
        <w:t xml:space="preserve">, као и других правних лица. </w:t>
      </w:r>
      <w:r w:rsidRPr="007E770D">
        <w:rPr>
          <w:rFonts w:cstheme="minorHAnsi"/>
          <w:bCs/>
          <w:color w:val="auto"/>
          <w:spacing w:val="-2"/>
          <w:szCs w:val="72"/>
          <w:lang w:val="sr-Cyrl-CS"/>
        </w:rPr>
        <w:t>Република се може задуживати у домаћој и страној валути, ради финансирања буџетског дефицита, дефицита текуће ликвидности, рефинансирања неизмиреног дуга, за финансирање инвестиционих пројеката, као и за извршавање обавеза по датим гаранцијама.</w:t>
      </w:r>
      <w:r w:rsidRPr="007E770D">
        <w:rPr>
          <w:rFonts w:cstheme="minorHAnsi"/>
          <w:bCs/>
          <w:color w:val="auto"/>
          <w:szCs w:val="72"/>
          <w:lang w:val="sr-Cyrl-CS"/>
        </w:rPr>
        <w:t xml:space="preserve"> Одредбама Закона о јавном дугу назначено је да јавни дуг представља безусловну и неопозиву обавезу Републике Србије у односу на отплату главнице, камате и осталих припадајућих трошкова.</w:t>
      </w:r>
    </w:p>
    <w:p w14:paraId="71385A94" w14:textId="7571F5B5"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За формулисање Стратегије за управљање јавним дугом коришћен је квантитативни приступ, идентификујући могућа ограничења кроз макро-економске показатеље, анализу трошкова и ризика и тржишних услова који утичу на управљање јавним дугом. У сврху анализе коришћени су инструменти финансирања доступни на домаћем и међународном финансијском тржишту. Стратегија управљања јавним дугом заснива се на принципима који дефинишу потребу за транспарентним и предвидивим процесом задуживања, уз перманентан развој тржишта државних хартија од вредности и прихватљив ниво изложености финансијским ризицима.</w:t>
      </w:r>
    </w:p>
    <w:p w14:paraId="19F7E07F"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 xml:space="preserve">Анализирајући могуће стратегије задуживања, модел Светске банке MTDS указује да структура задуживања која се заснивала на хартијама од вредности емитованим у динарима и еврима представља најбољу опцију са аспекта трошкова (ризика). Стратегија задуживања Републике Србије која је примењивана у протеклих пет година и која се заснивала на комбинацији финансирања из тржишних извора највећим делом и делимично из концесионалних извора финансирања показала је да у ситуацијама када се могу обезбедити концесионални извори финансирања треба искористити та средства, јер се на тај начин смањују трошкови финансирања уз </w:t>
      </w:r>
      <w:r w:rsidRPr="007E770D">
        <w:rPr>
          <w:rFonts w:cstheme="minorHAnsi"/>
          <w:bCs/>
          <w:color w:val="auto"/>
          <w:szCs w:val="72"/>
          <w:lang w:val="sr-Cyrl-CS"/>
        </w:rPr>
        <w:t>прихватљив ризик, чиме се остварује основни циљ управљања јавним дугом. Ситуација на међународном и домаћем финансијском тржишту, успешна примена мера фискалне консолидације уз добру координацију фискалне и монетарне политике довела је до значајног пада трошкова задуживања на динарским и евро деноминованим хартијама од вредности у последње три године и смањивања ризико премије за српске државне хартије од вредности на историјски минимум. Нови оквир анализе могућих стратегија задуживања заснива се на компарацији стратегије примењиване у протеклих пет година са стратегијама које се заснивају искључиво на тржишним финансијским инструментима деноминованим у динарима и еврима.</w:t>
      </w:r>
    </w:p>
    <w:p w14:paraId="556C1E02"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Фискална стратегија предвиђа смањење јавног дуга општег нивоа државе до краја 2022. године на ниво од 48,3% БДП, при чему се у складу са Смерницама управљања јавним дугом дефинисаним од стране Светске банке и Међународног монетарног фонда, у оквиру Стратегије управљања јавним дугом врши стрес-сценарио анализа утицаја промене девизног курса домаће валуте у односу на валуте у којима је деноминован јавни дуг Републике Србије.</w:t>
      </w:r>
    </w:p>
    <w:p w14:paraId="2FC82392"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У последњих седам година учињен је значајан напредак у погледу повећања просечне рочности динарских државних хартија од вредности и смањења трошкова финансирања по основу овог вида задуживања, чиме је смањена изложеност ризику рефинансирања. Битно је напоменути да је у наведеном периоду просечна купонска стопа динарских државних хартија од вредности смањена са 12,4%, колико је износила на крају септембра 2012. године, на 5,5% на крају августа 2019. године.</w:t>
      </w:r>
    </w:p>
    <w:p w14:paraId="2C0960A5" w14:textId="77777777" w:rsidR="004044DC" w:rsidRPr="007E770D" w:rsidRDefault="004044DC" w:rsidP="00E4657F">
      <w:pPr>
        <w:rPr>
          <w:rFonts w:cstheme="minorHAnsi"/>
          <w:bCs/>
          <w:color w:val="auto"/>
          <w:spacing w:val="-2"/>
          <w:szCs w:val="72"/>
          <w:lang w:val="sr-Cyrl-CS"/>
        </w:rPr>
      </w:pPr>
      <w:r w:rsidRPr="007E770D">
        <w:rPr>
          <w:rFonts w:cstheme="minorHAnsi"/>
          <w:bCs/>
          <w:color w:val="auto"/>
          <w:spacing w:val="-2"/>
          <w:szCs w:val="72"/>
          <w:lang w:val="sr-Cyrl-CS"/>
        </w:rPr>
        <w:t xml:space="preserve">Стратегијом управљања јавним дугом се дефинишу основне мере за даљи наставак развоја динарског тржишта државних хартија од вредности, јер ће се развојем овог тржишта створити један од неопходних предуслова за повећање кредитног </w:t>
      </w:r>
      <w:r w:rsidRPr="007E770D">
        <w:rPr>
          <w:rFonts w:cstheme="minorHAnsi"/>
          <w:bCs/>
          <w:color w:val="auto"/>
          <w:spacing w:val="-2"/>
          <w:szCs w:val="72"/>
          <w:lang w:val="sr-Cyrl-CS"/>
        </w:rPr>
        <w:lastRenderedPageBreak/>
        <w:t>рејтинга Републике Србије и смањење изложености јавног дуга према девизном ризику.</w:t>
      </w:r>
    </w:p>
    <w:p w14:paraId="7ECD7427" w14:textId="77777777" w:rsidR="004044DC" w:rsidRPr="007E770D" w:rsidRDefault="004044DC" w:rsidP="00E4657F">
      <w:pPr>
        <w:rPr>
          <w:rFonts w:cstheme="minorHAnsi"/>
          <w:bCs/>
          <w:color w:val="auto"/>
          <w:spacing w:val="-2"/>
          <w:szCs w:val="72"/>
          <w:lang w:val="sr-Cyrl-CS"/>
        </w:rPr>
      </w:pPr>
      <w:r w:rsidRPr="007E770D">
        <w:rPr>
          <w:rFonts w:cstheme="minorHAnsi"/>
          <w:bCs/>
          <w:color w:val="auto"/>
          <w:spacing w:val="-2"/>
          <w:szCs w:val="72"/>
          <w:lang w:val="sr-Cyrl-CS"/>
        </w:rPr>
        <w:t xml:space="preserve">Република Србија се након неколико година одсуства 2019. године појавила као емитент на међународном финансијском тржишту са жељом да искористи повољне околности и велико интересовање инвеститора и намером да скупљи доларски дуг замени јефтинијим дугом у еврима. Емитована је еврообвезница у еврима Србија 2029 вредности 1 млрд евра са купонском стопом од 1,5% и стопом приноса од 1,619%, а средства су искоришћена за превремени откуп доларских еврообвезница Србија 2020 и Србија 2021 у укупној вредности од 1,1 млрд америчких долара, чије су купонске стопе 4,875% и 7,25%. </w:t>
      </w:r>
    </w:p>
    <w:p w14:paraId="2AEDF0AF" w14:textId="3EA546D6"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 xml:space="preserve">На крају августа 2019. године укупно стање јавног дуга општег нивоа државе износило је 2.846,7 млрд динара, односно 52,6% БДП. Од тога се на директне обавезе односило 2.629,9 млрд динара, </w:t>
      </w:r>
      <w:r w:rsidRPr="007E770D">
        <w:rPr>
          <w:rFonts w:cstheme="minorHAnsi"/>
          <w:bCs/>
          <w:color w:val="auto"/>
          <w:szCs w:val="72"/>
          <w:lang w:val="sr-Cyrl-CS"/>
        </w:rPr>
        <w:t xml:space="preserve">на индиректне обавезе 177,1 млрд динара, док се 39,4 млрд динара односи на негарантовани дуг јединица локалне </w:t>
      </w:r>
      <w:r w:rsidR="00785ED4" w:rsidRPr="007E770D">
        <w:rPr>
          <w:rFonts w:cstheme="minorHAnsi"/>
          <w:bCs/>
          <w:color w:val="auto"/>
          <w:szCs w:val="72"/>
          <w:lang w:val="sr-Cyrl-CS"/>
        </w:rPr>
        <w:t xml:space="preserve">самоуправе </w:t>
      </w:r>
      <w:r w:rsidRPr="007E770D">
        <w:rPr>
          <w:rFonts w:cstheme="minorHAnsi"/>
          <w:bCs/>
          <w:color w:val="auto"/>
          <w:szCs w:val="72"/>
          <w:lang w:val="sr-Cyrl-CS"/>
        </w:rPr>
        <w:t>и 300,6 мил. динара на негарантовани дуг ЈП „Путеви Србије”.</w:t>
      </w:r>
    </w:p>
    <w:p w14:paraId="05372E70" w14:textId="77777777" w:rsidR="004044DC" w:rsidRPr="007E770D" w:rsidRDefault="004044DC" w:rsidP="00E4657F">
      <w:pPr>
        <w:keepNext/>
        <w:spacing w:after="200" w:line="240" w:lineRule="auto"/>
        <w:rPr>
          <w:b/>
          <w:color w:val="auto"/>
          <w:lang w:val="sr-Cyrl-CS"/>
        </w:rPr>
      </w:pPr>
      <w:r w:rsidRPr="007E770D">
        <w:rPr>
          <w:b/>
          <w:color w:val="auto"/>
          <w:lang w:val="sr-Cyrl-CS"/>
        </w:rPr>
        <w:t>Учешће јавног дуга општег нивоа државе у БДП,%</w:t>
      </w:r>
    </w:p>
    <w:p w14:paraId="30FD2F64" w14:textId="77777777" w:rsidR="004044DC" w:rsidRPr="007E770D" w:rsidRDefault="004044DC" w:rsidP="00E4657F">
      <w:pPr>
        <w:rPr>
          <w:b/>
          <w:color w:val="auto"/>
          <w:lang w:val="sr-Cyrl-CS"/>
        </w:rPr>
      </w:pPr>
      <w:r w:rsidRPr="007E770D">
        <w:rPr>
          <w:noProof/>
          <w:color w:val="auto"/>
        </w:rPr>
        <w:drawing>
          <wp:inline distT="0" distB="0" distL="0" distR="0" wp14:anchorId="1E54E051" wp14:editId="392E5074">
            <wp:extent cx="2809875" cy="2181225"/>
            <wp:effectExtent l="0" t="0" r="0" b="0"/>
            <wp:docPr id="71" name="Chart 7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1"/>
              </a:graphicData>
            </a:graphic>
          </wp:inline>
        </w:drawing>
      </w:r>
    </w:p>
    <w:p w14:paraId="7C0FEBB6" w14:textId="77777777" w:rsidR="004044DC" w:rsidRPr="007E770D" w:rsidRDefault="004044DC" w:rsidP="00E4657F">
      <w:pPr>
        <w:rPr>
          <w:b/>
          <w:color w:val="auto"/>
          <w:lang w:val="sr-Cyrl-CS"/>
        </w:rPr>
        <w:sectPr w:rsidR="004044DC" w:rsidRPr="007E770D" w:rsidSect="00D01AB2">
          <w:type w:val="continuous"/>
          <w:pgSz w:w="12240" w:h="15840"/>
          <w:pgMar w:top="1440" w:right="1440" w:bottom="1440" w:left="1440" w:header="720" w:footer="720" w:gutter="0"/>
          <w:cols w:num="2" w:space="720"/>
          <w:docGrid w:linePitch="360"/>
        </w:sectPr>
      </w:pPr>
    </w:p>
    <w:p w14:paraId="09D2A3E6" w14:textId="77777777" w:rsidR="004044DC" w:rsidRPr="007E770D" w:rsidRDefault="004044DC" w:rsidP="00E4657F">
      <w:pPr>
        <w:jc w:val="center"/>
        <w:rPr>
          <w:b/>
          <w:color w:val="auto"/>
          <w:lang w:val="sr-Cyrl-CS"/>
        </w:rPr>
      </w:pPr>
      <w:r w:rsidRPr="007E770D">
        <w:rPr>
          <w:b/>
          <w:color w:val="auto"/>
          <w:lang w:val="sr-Cyrl-CS"/>
        </w:rPr>
        <w:t xml:space="preserve">Табела 21. </w:t>
      </w:r>
      <w:r w:rsidRPr="007E770D">
        <w:rPr>
          <w:b/>
          <w:bCs/>
          <w:color w:val="auto"/>
          <w:lang w:val="sr-Cyrl-CS"/>
        </w:rPr>
        <w:t xml:space="preserve">Јавни дуг општег нивоа државе Републике Србије у периоду </w:t>
      </w:r>
      <w:r w:rsidRPr="007E770D">
        <w:rPr>
          <w:b/>
          <w:bCs/>
          <w:color w:val="auto"/>
          <w:lang w:val="sr-Cyrl-CS"/>
        </w:rPr>
        <w:br w:type="textWrapping" w:clear="all"/>
        <w:t>крај 2016–31. август 2019. године</w:t>
      </w:r>
    </w:p>
    <w:tbl>
      <w:tblPr>
        <w:tblStyle w:val="LightShading-Accent1212"/>
        <w:tblW w:w="5000" w:type="pct"/>
        <w:tblLook w:val="04A0" w:firstRow="1" w:lastRow="0" w:firstColumn="1" w:lastColumn="0" w:noHBand="0" w:noVBand="1"/>
      </w:tblPr>
      <w:tblGrid>
        <w:gridCol w:w="4046"/>
        <w:gridCol w:w="1329"/>
        <w:gridCol w:w="1329"/>
        <w:gridCol w:w="1329"/>
        <w:gridCol w:w="1327"/>
      </w:tblGrid>
      <w:tr w:rsidR="007E770D" w:rsidRPr="007E770D" w14:paraId="6765EA8A" w14:textId="77777777" w:rsidTr="00E4657F">
        <w:trPr>
          <w:cnfStyle w:val="100000000000" w:firstRow="1" w:lastRow="0" w:firstColumn="0" w:lastColumn="0" w:oddVBand="0" w:evenVBand="0" w:oddHBand="0" w:evenHBand="0" w:firstRowFirstColumn="0" w:firstRowLastColumn="0" w:lastRowFirstColumn="0" w:lastRowLastColumn="0"/>
          <w:trHeight w:val="14"/>
        </w:trPr>
        <w:tc>
          <w:tcPr>
            <w:cnfStyle w:val="001000000000" w:firstRow="0" w:lastRow="0" w:firstColumn="1" w:lastColumn="0" w:oddVBand="0" w:evenVBand="0" w:oddHBand="0" w:evenHBand="0" w:firstRowFirstColumn="0" w:firstRowLastColumn="0" w:lastRowFirstColumn="0" w:lastRowLastColumn="0"/>
            <w:tcW w:w="2161" w:type="pct"/>
            <w:tcBorders>
              <w:top w:val="single" w:sz="4" w:space="0" w:color="002060"/>
              <w:bottom w:val="single" w:sz="4" w:space="0" w:color="FFFFFF" w:themeColor="background1"/>
            </w:tcBorders>
            <w:shd w:val="clear" w:color="auto" w:fill="auto"/>
            <w:noWrap/>
            <w:hideMark/>
          </w:tcPr>
          <w:p w14:paraId="70E66EEA" w14:textId="77777777" w:rsidR="004044DC" w:rsidRPr="007E770D" w:rsidRDefault="004044DC" w:rsidP="00E4657F">
            <w:pPr>
              <w:jc w:val="center"/>
              <w:rPr>
                <w:rFonts w:asciiTheme="minorHAnsi" w:hAnsiTheme="minorHAnsi" w:cstheme="minorHAnsi"/>
                <w:color w:val="auto"/>
                <w:sz w:val="18"/>
                <w:szCs w:val="18"/>
                <w:lang w:val="sr-Cyrl-CS"/>
              </w:rPr>
            </w:pPr>
            <w:bookmarkStart w:id="29" w:name="_Hlk529193448"/>
            <w:r w:rsidRPr="007E770D">
              <w:rPr>
                <w:rFonts w:asciiTheme="minorHAnsi" w:hAnsiTheme="minorHAnsi" w:cstheme="minorHAnsi"/>
                <w:color w:val="auto"/>
                <w:sz w:val="18"/>
                <w:szCs w:val="18"/>
                <w:lang w:val="sr-Cyrl-CS"/>
              </w:rPr>
              <w:t> </w:t>
            </w:r>
          </w:p>
        </w:tc>
        <w:tc>
          <w:tcPr>
            <w:tcW w:w="710" w:type="pct"/>
            <w:tcBorders>
              <w:top w:val="single" w:sz="4" w:space="0" w:color="002060"/>
              <w:bottom w:val="single" w:sz="4" w:space="0" w:color="002060"/>
            </w:tcBorders>
            <w:shd w:val="clear" w:color="auto" w:fill="auto"/>
            <w:vAlign w:val="center"/>
          </w:tcPr>
          <w:p w14:paraId="533A0855" w14:textId="77777777" w:rsidR="004044DC" w:rsidRPr="007E770D" w:rsidRDefault="004044DC" w:rsidP="00E4657F">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2016</w:t>
            </w:r>
          </w:p>
        </w:tc>
        <w:tc>
          <w:tcPr>
            <w:tcW w:w="710" w:type="pct"/>
            <w:tcBorders>
              <w:top w:val="single" w:sz="4" w:space="0" w:color="002060"/>
              <w:bottom w:val="single" w:sz="4" w:space="0" w:color="002060"/>
            </w:tcBorders>
            <w:shd w:val="clear" w:color="auto" w:fill="auto"/>
            <w:vAlign w:val="center"/>
          </w:tcPr>
          <w:p w14:paraId="745E927F" w14:textId="77777777" w:rsidR="004044DC" w:rsidRPr="007E770D" w:rsidRDefault="004044DC" w:rsidP="00E4657F">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2017</w:t>
            </w:r>
          </w:p>
        </w:tc>
        <w:tc>
          <w:tcPr>
            <w:tcW w:w="710" w:type="pct"/>
            <w:tcBorders>
              <w:top w:val="single" w:sz="4" w:space="0" w:color="002060"/>
              <w:bottom w:val="single" w:sz="4" w:space="0" w:color="002060"/>
            </w:tcBorders>
            <w:shd w:val="clear" w:color="auto" w:fill="auto"/>
            <w:noWrap/>
            <w:vAlign w:val="center"/>
            <w:hideMark/>
          </w:tcPr>
          <w:p w14:paraId="6B27085F" w14:textId="77777777" w:rsidR="004044DC" w:rsidRPr="007E770D" w:rsidRDefault="004044DC" w:rsidP="00E4657F">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2018</w:t>
            </w:r>
          </w:p>
        </w:tc>
        <w:tc>
          <w:tcPr>
            <w:tcW w:w="709" w:type="pct"/>
            <w:tcBorders>
              <w:top w:val="single" w:sz="4" w:space="0" w:color="002060"/>
              <w:bottom w:val="single" w:sz="4" w:space="0" w:color="002060"/>
            </w:tcBorders>
            <w:shd w:val="clear" w:color="auto" w:fill="auto"/>
            <w:noWrap/>
            <w:vAlign w:val="center"/>
            <w:hideMark/>
          </w:tcPr>
          <w:p w14:paraId="537916A0" w14:textId="77777777" w:rsidR="004044DC" w:rsidRPr="007E770D" w:rsidRDefault="004044DC" w:rsidP="00E4657F">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2019/VIII</w:t>
            </w:r>
          </w:p>
        </w:tc>
      </w:tr>
      <w:tr w:rsidR="007E770D" w:rsidRPr="007E770D" w14:paraId="1B466C08" w14:textId="77777777" w:rsidTr="00E4657F">
        <w:trPr>
          <w:cnfStyle w:val="000000100000" w:firstRow="0" w:lastRow="0" w:firstColumn="0" w:lastColumn="0" w:oddVBand="0" w:evenVBand="0" w:oddHBand="1" w:evenHBand="0" w:firstRowFirstColumn="0" w:firstRowLastColumn="0" w:lastRowFirstColumn="0" w:lastRowLastColumn="0"/>
          <w:trHeight w:val="323"/>
        </w:trPr>
        <w:tc>
          <w:tcPr>
            <w:cnfStyle w:val="001000000000" w:firstRow="0" w:lastRow="0" w:firstColumn="1" w:lastColumn="0" w:oddVBand="0" w:evenVBand="0" w:oddHBand="0" w:evenHBand="0" w:firstRowFirstColumn="0" w:firstRowLastColumn="0" w:lastRowFirstColumn="0" w:lastRowLastColumn="0"/>
            <w:tcW w:w="2161" w:type="pct"/>
            <w:tcBorders>
              <w:top w:val="single" w:sz="4" w:space="0" w:color="FFFFFF" w:themeColor="background1"/>
            </w:tcBorders>
            <w:shd w:val="clear" w:color="auto" w:fill="auto"/>
            <w:noWrap/>
            <w:vAlign w:val="center"/>
            <w:hideMark/>
          </w:tcPr>
          <w:p w14:paraId="4BE397FC" w14:textId="77777777" w:rsidR="004044DC" w:rsidRPr="007E770D" w:rsidRDefault="004044DC" w:rsidP="00E4657F">
            <w:pPr>
              <w:spacing w:line="240" w:lineRule="auto"/>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Јавни дуг (у млрд динара)</w:t>
            </w:r>
          </w:p>
        </w:tc>
        <w:tc>
          <w:tcPr>
            <w:tcW w:w="710" w:type="pct"/>
            <w:tcBorders>
              <w:top w:val="single" w:sz="4" w:space="0" w:color="002060"/>
            </w:tcBorders>
            <w:shd w:val="clear" w:color="auto" w:fill="auto"/>
            <w:vAlign w:val="center"/>
          </w:tcPr>
          <w:p w14:paraId="754A6EF1" w14:textId="77777777" w:rsidR="004044DC" w:rsidRPr="007E770D" w:rsidRDefault="004044DC" w:rsidP="00E4657F">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3.110,8</w:t>
            </w:r>
          </w:p>
        </w:tc>
        <w:tc>
          <w:tcPr>
            <w:tcW w:w="710" w:type="pct"/>
            <w:tcBorders>
              <w:top w:val="single" w:sz="4" w:space="0" w:color="002060"/>
            </w:tcBorders>
            <w:shd w:val="clear" w:color="auto" w:fill="auto"/>
            <w:vAlign w:val="center"/>
          </w:tcPr>
          <w:p w14:paraId="438F0FEF" w14:textId="77777777" w:rsidR="004044DC" w:rsidRPr="007E770D" w:rsidRDefault="004044DC" w:rsidP="00E4657F">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2.790,5</w:t>
            </w:r>
          </w:p>
        </w:tc>
        <w:tc>
          <w:tcPr>
            <w:tcW w:w="710" w:type="pct"/>
            <w:tcBorders>
              <w:top w:val="single" w:sz="4" w:space="0" w:color="002060"/>
            </w:tcBorders>
            <w:shd w:val="clear" w:color="auto" w:fill="auto"/>
            <w:noWrap/>
            <w:vAlign w:val="center"/>
            <w:hideMark/>
          </w:tcPr>
          <w:p w14:paraId="62630B61" w14:textId="77777777" w:rsidR="004044DC" w:rsidRPr="007E770D" w:rsidRDefault="004044DC" w:rsidP="00E4657F">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2.757,3</w:t>
            </w:r>
          </w:p>
        </w:tc>
        <w:tc>
          <w:tcPr>
            <w:tcW w:w="709" w:type="pct"/>
            <w:tcBorders>
              <w:top w:val="single" w:sz="4" w:space="0" w:color="002060"/>
            </w:tcBorders>
            <w:shd w:val="clear" w:color="auto" w:fill="auto"/>
            <w:noWrap/>
            <w:vAlign w:val="center"/>
            <w:hideMark/>
          </w:tcPr>
          <w:p w14:paraId="0CB873FD" w14:textId="77777777" w:rsidR="004044DC" w:rsidRPr="007E770D" w:rsidRDefault="004044DC" w:rsidP="00E4657F">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2.846,7</w:t>
            </w:r>
          </w:p>
        </w:tc>
      </w:tr>
      <w:tr w:rsidR="007E770D" w:rsidRPr="007E770D" w14:paraId="0E898FC4" w14:textId="77777777" w:rsidTr="00E4657F">
        <w:trPr>
          <w:trHeight w:val="252"/>
        </w:trPr>
        <w:tc>
          <w:tcPr>
            <w:cnfStyle w:val="001000000000" w:firstRow="0" w:lastRow="0" w:firstColumn="1" w:lastColumn="0" w:oddVBand="0" w:evenVBand="0" w:oddHBand="0" w:evenHBand="0" w:firstRowFirstColumn="0" w:firstRowLastColumn="0" w:lastRowFirstColumn="0" w:lastRowLastColumn="0"/>
            <w:tcW w:w="2161" w:type="pct"/>
            <w:shd w:val="clear" w:color="auto" w:fill="auto"/>
            <w:noWrap/>
            <w:vAlign w:val="center"/>
            <w:hideMark/>
          </w:tcPr>
          <w:p w14:paraId="77AB2E71" w14:textId="77777777" w:rsidR="004044DC" w:rsidRPr="007E770D" w:rsidRDefault="004044DC" w:rsidP="00E4657F">
            <w:pPr>
              <w:spacing w:line="240" w:lineRule="auto"/>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Јавни дуг (у мил. евра)</w:t>
            </w:r>
          </w:p>
        </w:tc>
        <w:tc>
          <w:tcPr>
            <w:tcW w:w="710" w:type="pct"/>
            <w:shd w:val="clear" w:color="auto" w:fill="auto"/>
            <w:vAlign w:val="center"/>
          </w:tcPr>
          <w:p w14:paraId="7D21A673" w14:textId="77777777" w:rsidR="004044DC" w:rsidRPr="007E770D" w:rsidRDefault="004044DC" w:rsidP="00E4657F">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25.194,3</w:t>
            </w:r>
          </w:p>
        </w:tc>
        <w:tc>
          <w:tcPr>
            <w:tcW w:w="710" w:type="pct"/>
            <w:shd w:val="clear" w:color="auto" w:fill="auto"/>
            <w:vAlign w:val="center"/>
          </w:tcPr>
          <w:p w14:paraId="0EFB7E4B" w14:textId="77777777" w:rsidR="004044DC" w:rsidRPr="007E770D" w:rsidRDefault="004044DC" w:rsidP="00E4657F">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23.554,0</w:t>
            </w:r>
          </w:p>
        </w:tc>
        <w:tc>
          <w:tcPr>
            <w:tcW w:w="710" w:type="pct"/>
            <w:shd w:val="clear" w:color="auto" w:fill="auto"/>
            <w:noWrap/>
            <w:vAlign w:val="center"/>
            <w:hideMark/>
          </w:tcPr>
          <w:p w14:paraId="6128C81A" w14:textId="77777777" w:rsidR="004044DC" w:rsidRPr="007E770D" w:rsidRDefault="004044DC" w:rsidP="00E4657F">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23.328,4</w:t>
            </w:r>
          </w:p>
        </w:tc>
        <w:tc>
          <w:tcPr>
            <w:tcW w:w="709" w:type="pct"/>
            <w:shd w:val="clear" w:color="auto" w:fill="auto"/>
            <w:noWrap/>
            <w:vAlign w:val="center"/>
            <w:hideMark/>
          </w:tcPr>
          <w:p w14:paraId="74918ADF" w14:textId="77777777" w:rsidR="004044DC" w:rsidRPr="007E770D" w:rsidRDefault="004044DC" w:rsidP="00E4657F">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24.169,8</w:t>
            </w:r>
          </w:p>
        </w:tc>
      </w:tr>
      <w:tr w:rsidR="007E770D" w:rsidRPr="007E770D" w14:paraId="2CBF0A84" w14:textId="77777777" w:rsidTr="00E4657F">
        <w:trPr>
          <w:cnfStyle w:val="000000100000" w:firstRow="0" w:lastRow="0" w:firstColumn="0" w:lastColumn="0" w:oddVBand="0" w:evenVBand="0" w:oddHBand="1" w:evenHBand="0" w:firstRowFirstColumn="0" w:firstRowLastColumn="0" w:lastRowFirstColumn="0" w:lastRowLastColumn="0"/>
          <w:trHeight w:val="333"/>
        </w:trPr>
        <w:tc>
          <w:tcPr>
            <w:cnfStyle w:val="001000000000" w:firstRow="0" w:lastRow="0" w:firstColumn="1" w:lastColumn="0" w:oddVBand="0" w:evenVBand="0" w:oddHBand="0" w:evenHBand="0" w:firstRowFirstColumn="0" w:firstRowLastColumn="0" w:lastRowFirstColumn="0" w:lastRowLastColumn="0"/>
            <w:tcW w:w="2161" w:type="pct"/>
            <w:tcBorders>
              <w:bottom w:val="single" w:sz="4" w:space="0" w:color="002060"/>
            </w:tcBorders>
            <w:shd w:val="clear" w:color="auto" w:fill="auto"/>
            <w:noWrap/>
            <w:vAlign w:val="center"/>
            <w:hideMark/>
          </w:tcPr>
          <w:p w14:paraId="4E5D0454" w14:textId="77777777" w:rsidR="004044DC" w:rsidRPr="007E770D" w:rsidRDefault="004044DC" w:rsidP="00E4657F">
            <w:pPr>
              <w:spacing w:line="240" w:lineRule="auto"/>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Јавни дуг (у мил. долара)</w:t>
            </w:r>
          </w:p>
        </w:tc>
        <w:tc>
          <w:tcPr>
            <w:tcW w:w="710" w:type="pct"/>
            <w:tcBorders>
              <w:bottom w:val="single" w:sz="4" w:space="0" w:color="002060"/>
            </w:tcBorders>
            <w:shd w:val="clear" w:color="auto" w:fill="auto"/>
            <w:vAlign w:val="center"/>
          </w:tcPr>
          <w:p w14:paraId="617BF835" w14:textId="77777777" w:rsidR="004044DC" w:rsidRPr="007E770D" w:rsidRDefault="004044DC" w:rsidP="00E4657F">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26.557,3</w:t>
            </w:r>
          </w:p>
        </w:tc>
        <w:tc>
          <w:tcPr>
            <w:tcW w:w="710" w:type="pct"/>
            <w:tcBorders>
              <w:bottom w:val="single" w:sz="4" w:space="0" w:color="002060"/>
            </w:tcBorders>
            <w:shd w:val="clear" w:color="auto" w:fill="auto"/>
            <w:vAlign w:val="center"/>
          </w:tcPr>
          <w:p w14:paraId="6BEE0675" w14:textId="77777777" w:rsidR="004044DC" w:rsidRPr="007E770D" w:rsidRDefault="004044DC" w:rsidP="00E4657F">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28.154,0</w:t>
            </w:r>
          </w:p>
        </w:tc>
        <w:tc>
          <w:tcPr>
            <w:tcW w:w="710" w:type="pct"/>
            <w:tcBorders>
              <w:bottom w:val="single" w:sz="4" w:space="0" w:color="002060"/>
            </w:tcBorders>
            <w:shd w:val="clear" w:color="auto" w:fill="auto"/>
            <w:noWrap/>
            <w:vAlign w:val="center"/>
            <w:hideMark/>
          </w:tcPr>
          <w:p w14:paraId="257AA45A" w14:textId="77777777" w:rsidR="004044DC" w:rsidRPr="007E770D" w:rsidRDefault="004044DC" w:rsidP="00E4657F">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26.669,1</w:t>
            </w:r>
          </w:p>
        </w:tc>
        <w:tc>
          <w:tcPr>
            <w:tcW w:w="709" w:type="pct"/>
            <w:tcBorders>
              <w:bottom w:val="single" w:sz="4" w:space="0" w:color="002060"/>
            </w:tcBorders>
            <w:shd w:val="clear" w:color="auto" w:fill="auto"/>
            <w:noWrap/>
            <w:vAlign w:val="center"/>
            <w:hideMark/>
          </w:tcPr>
          <w:p w14:paraId="6CFFCF42" w14:textId="77777777" w:rsidR="004044DC" w:rsidRPr="007E770D" w:rsidRDefault="004044DC" w:rsidP="00E4657F">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26.702,8</w:t>
            </w:r>
          </w:p>
        </w:tc>
      </w:tr>
      <w:bookmarkEnd w:id="29"/>
    </w:tbl>
    <w:p w14:paraId="38034764" w14:textId="77777777" w:rsidR="004044DC" w:rsidRPr="007E770D" w:rsidRDefault="004044DC" w:rsidP="00E4657F">
      <w:pPr>
        <w:rPr>
          <w:b/>
          <w:color w:val="auto"/>
          <w:lang w:val="sr-Cyrl-CS"/>
        </w:rPr>
      </w:pPr>
    </w:p>
    <w:p w14:paraId="70D68E35" w14:textId="77777777" w:rsidR="004044DC" w:rsidRPr="00E07FF8" w:rsidRDefault="004044DC" w:rsidP="00E4657F">
      <w:pPr>
        <w:rPr>
          <w:rFonts w:cstheme="minorHAnsi"/>
          <w:bCs/>
          <w:color w:val="auto"/>
          <w:sz w:val="10"/>
          <w:szCs w:val="10"/>
          <w:lang w:val="sr-Cyrl-CS"/>
        </w:rPr>
        <w:sectPr w:rsidR="004044DC" w:rsidRPr="00E07FF8" w:rsidSect="004E661B">
          <w:type w:val="continuous"/>
          <w:pgSz w:w="12240" w:h="15840"/>
          <w:pgMar w:top="1440" w:right="1440" w:bottom="1440" w:left="1440" w:header="720" w:footer="720" w:gutter="0"/>
          <w:cols w:space="720"/>
          <w:docGrid w:linePitch="360"/>
        </w:sectPr>
      </w:pPr>
    </w:p>
    <w:p w14:paraId="721A8102" w14:textId="77777777" w:rsidR="004044DC" w:rsidRPr="007E770D" w:rsidRDefault="004044DC" w:rsidP="00CD0079">
      <w:pPr>
        <w:spacing w:after="120"/>
        <w:rPr>
          <w:rFonts w:cstheme="minorHAnsi"/>
          <w:bCs/>
          <w:color w:val="auto"/>
          <w:szCs w:val="72"/>
          <w:lang w:val="sr-Cyrl-CS"/>
        </w:rPr>
        <w:sectPr w:rsidR="004044DC" w:rsidRPr="007E770D" w:rsidSect="004E661B">
          <w:type w:val="continuous"/>
          <w:pgSz w:w="12240" w:h="15840"/>
          <w:pgMar w:top="1440" w:right="1440" w:bottom="1440" w:left="1440" w:header="720" w:footer="720" w:gutter="0"/>
          <w:cols w:num="2" w:space="720"/>
          <w:docGrid w:linePitch="360"/>
        </w:sectPr>
      </w:pPr>
      <w:r w:rsidRPr="007E770D">
        <w:rPr>
          <w:rFonts w:cstheme="minorHAnsi"/>
          <w:bCs/>
          <w:color w:val="auto"/>
          <w:szCs w:val="72"/>
          <w:lang w:val="sr-Cyrl-CS"/>
        </w:rPr>
        <w:t xml:space="preserve">У првих осам месеци 2019. године приметан је благи раст јавног дуга централног нивоа власти у валутама са највећим учешћем у јавном дугу, тј. у еврима и динарима. Услед задуживања на домаћем тржишту хартија од вредности које се током 2019. године доминантно обављало у динарима дошло је до раста јавног дуга у динарима од 61,7 млрд динара. У еврима је дошло до раста од 816,1 мил. евра, услед емитовања Еврообвезнице на међународном финансијском </w:t>
      </w:r>
      <w:r w:rsidRPr="007E770D">
        <w:rPr>
          <w:rFonts w:cstheme="minorHAnsi"/>
          <w:bCs/>
          <w:color w:val="auto"/>
          <w:szCs w:val="72"/>
          <w:lang w:val="sr-Cyrl-CS"/>
        </w:rPr>
        <w:t>тржишту за превремени откуп доларских еврообвезница Србија 2020 у износу од 700 мил. америчких долара и Србија 2021 у износу од 400 мил. америчких долара. Услед ове трансакције са друге стране је дошло до пада дуга деноминованог у америчким доларима за првих осам месеци 2019. године за 1,1 млрд америчких долара, а до краја 2019. године се очекује додатни пад услед даљег превременог откупа еврообвезницe Србија 2020.</w:t>
      </w:r>
    </w:p>
    <w:p w14:paraId="7DD4305F" w14:textId="77777777" w:rsidR="004044DC" w:rsidRPr="007E770D" w:rsidRDefault="004044DC" w:rsidP="00E4657F">
      <w:pPr>
        <w:jc w:val="center"/>
        <w:rPr>
          <w:b/>
          <w:color w:val="auto"/>
          <w:lang w:val="sr-Cyrl-CS"/>
        </w:rPr>
      </w:pPr>
      <w:r w:rsidRPr="007E770D">
        <w:rPr>
          <w:b/>
          <w:color w:val="auto"/>
          <w:lang w:val="sr-Cyrl-CS"/>
        </w:rPr>
        <w:t xml:space="preserve">Табела 22. Стање јавног дуга централног нивоа државе по оригиналним валутама у периоду </w:t>
      </w:r>
      <w:r w:rsidRPr="007E770D">
        <w:rPr>
          <w:b/>
          <w:color w:val="auto"/>
          <w:lang w:val="sr-Cyrl-CS"/>
        </w:rPr>
        <w:br/>
        <w:t>крај 2016–31. август 2019. године, у милионима</w:t>
      </w:r>
    </w:p>
    <w:tbl>
      <w:tblPr>
        <w:tblStyle w:val="LightShading-Accent1212"/>
        <w:tblW w:w="5000" w:type="pct"/>
        <w:tblInd w:w="-48" w:type="dxa"/>
        <w:tblLook w:val="04A0" w:firstRow="1" w:lastRow="0" w:firstColumn="1" w:lastColumn="0" w:noHBand="0" w:noVBand="1"/>
      </w:tblPr>
      <w:tblGrid>
        <w:gridCol w:w="3230"/>
        <w:gridCol w:w="1532"/>
        <w:gridCol w:w="1534"/>
        <w:gridCol w:w="1531"/>
        <w:gridCol w:w="1533"/>
      </w:tblGrid>
      <w:tr w:rsidR="007E770D" w:rsidRPr="007E770D" w14:paraId="7042280B" w14:textId="77777777" w:rsidTr="00E4657F">
        <w:trPr>
          <w:cnfStyle w:val="100000000000" w:firstRow="1" w:lastRow="0" w:firstColumn="0" w:lastColumn="0" w:oddVBand="0" w:evenVBand="0" w:oddHBand="0" w:evenHBand="0" w:firstRowFirstColumn="0" w:firstRowLastColumn="0" w:lastRowFirstColumn="0" w:lastRowLastColumn="0"/>
          <w:trHeight w:val="258"/>
        </w:trPr>
        <w:tc>
          <w:tcPr>
            <w:cnfStyle w:val="001000000000" w:firstRow="0" w:lastRow="0" w:firstColumn="1" w:lastColumn="0" w:oddVBand="0" w:evenVBand="0" w:oddHBand="0" w:evenHBand="0" w:firstRowFirstColumn="0" w:firstRowLastColumn="0" w:lastRowFirstColumn="0" w:lastRowLastColumn="0"/>
            <w:tcW w:w="1725" w:type="pct"/>
            <w:tcBorders>
              <w:top w:val="single" w:sz="4" w:space="0" w:color="002060"/>
              <w:bottom w:val="single" w:sz="4" w:space="0" w:color="FFFFFF" w:themeColor="background1"/>
            </w:tcBorders>
            <w:shd w:val="clear" w:color="auto" w:fill="auto"/>
            <w:noWrap/>
            <w:hideMark/>
          </w:tcPr>
          <w:p w14:paraId="50509616" w14:textId="77777777" w:rsidR="004044DC" w:rsidRPr="007E770D" w:rsidRDefault="004044DC" w:rsidP="00E4657F">
            <w:pPr>
              <w:jc w:val="right"/>
              <w:rPr>
                <w:rFonts w:asciiTheme="minorHAnsi" w:hAnsiTheme="minorHAnsi" w:cstheme="minorHAnsi"/>
                <w:b w:val="0"/>
                <w:bCs w:val="0"/>
                <w:color w:val="auto"/>
                <w:sz w:val="18"/>
                <w:szCs w:val="18"/>
                <w:lang w:val="sr-Cyrl-CS"/>
              </w:rPr>
            </w:pPr>
            <w:r w:rsidRPr="007E770D">
              <w:rPr>
                <w:rFonts w:asciiTheme="minorHAnsi" w:hAnsiTheme="minorHAnsi" w:cstheme="minorHAnsi"/>
                <w:b w:val="0"/>
                <w:bCs w:val="0"/>
                <w:color w:val="auto"/>
                <w:sz w:val="18"/>
                <w:szCs w:val="18"/>
                <w:lang w:val="sr-Cyrl-CS"/>
              </w:rPr>
              <w:t> </w:t>
            </w:r>
          </w:p>
        </w:tc>
        <w:tc>
          <w:tcPr>
            <w:tcW w:w="818" w:type="pct"/>
            <w:tcBorders>
              <w:top w:val="single" w:sz="4" w:space="0" w:color="002060"/>
              <w:bottom w:val="single" w:sz="4" w:space="0" w:color="002060"/>
            </w:tcBorders>
            <w:shd w:val="clear" w:color="auto" w:fill="auto"/>
            <w:noWrap/>
            <w:hideMark/>
          </w:tcPr>
          <w:p w14:paraId="3E9AA149" w14:textId="77777777" w:rsidR="004044DC" w:rsidRPr="007E770D" w:rsidRDefault="004044DC" w:rsidP="00E4657F">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auto"/>
                <w:sz w:val="18"/>
                <w:szCs w:val="18"/>
                <w:lang w:val="sr-Cyrl-CS"/>
              </w:rPr>
            </w:pPr>
            <w:r w:rsidRPr="007E770D">
              <w:rPr>
                <w:rFonts w:asciiTheme="minorHAnsi" w:hAnsiTheme="minorHAnsi" w:cstheme="minorHAnsi"/>
                <w:b w:val="0"/>
                <w:bCs w:val="0"/>
                <w:color w:val="auto"/>
                <w:sz w:val="18"/>
                <w:szCs w:val="18"/>
                <w:lang w:val="sr-Cyrl-CS"/>
              </w:rPr>
              <w:t>2016</w:t>
            </w:r>
          </w:p>
        </w:tc>
        <w:tc>
          <w:tcPr>
            <w:tcW w:w="819" w:type="pct"/>
            <w:tcBorders>
              <w:top w:val="single" w:sz="4" w:space="0" w:color="002060"/>
              <w:bottom w:val="single" w:sz="4" w:space="0" w:color="002060"/>
            </w:tcBorders>
            <w:shd w:val="clear" w:color="auto" w:fill="auto"/>
            <w:noWrap/>
            <w:hideMark/>
          </w:tcPr>
          <w:p w14:paraId="4D2A3873" w14:textId="77777777" w:rsidR="004044DC" w:rsidRPr="007E770D" w:rsidRDefault="004044DC" w:rsidP="00E4657F">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auto"/>
                <w:sz w:val="18"/>
                <w:szCs w:val="18"/>
                <w:lang w:val="sr-Cyrl-CS"/>
              </w:rPr>
            </w:pPr>
            <w:r w:rsidRPr="007E770D">
              <w:rPr>
                <w:rFonts w:asciiTheme="minorHAnsi" w:hAnsiTheme="minorHAnsi" w:cstheme="minorHAnsi"/>
                <w:b w:val="0"/>
                <w:bCs w:val="0"/>
                <w:color w:val="auto"/>
                <w:sz w:val="18"/>
                <w:szCs w:val="18"/>
                <w:lang w:val="sr-Cyrl-CS"/>
              </w:rPr>
              <w:t>2017</w:t>
            </w:r>
          </w:p>
        </w:tc>
        <w:tc>
          <w:tcPr>
            <w:tcW w:w="818" w:type="pct"/>
            <w:tcBorders>
              <w:top w:val="single" w:sz="4" w:space="0" w:color="002060"/>
              <w:bottom w:val="single" w:sz="4" w:space="0" w:color="002060"/>
            </w:tcBorders>
            <w:shd w:val="clear" w:color="auto" w:fill="auto"/>
            <w:noWrap/>
            <w:hideMark/>
          </w:tcPr>
          <w:p w14:paraId="67C45FD4" w14:textId="77777777" w:rsidR="004044DC" w:rsidRPr="007E770D" w:rsidRDefault="004044DC" w:rsidP="00E4657F">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auto"/>
                <w:sz w:val="18"/>
                <w:szCs w:val="18"/>
                <w:lang w:val="sr-Cyrl-CS"/>
              </w:rPr>
            </w:pPr>
            <w:r w:rsidRPr="007E770D">
              <w:rPr>
                <w:rFonts w:asciiTheme="minorHAnsi" w:hAnsiTheme="minorHAnsi" w:cstheme="minorHAnsi"/>
                <w:b w:val="0"/>
                <w:bCs w:val="0"/>
                <w:color w:val="auto"/>
                <w:sz w:val="18"/>
                <w:szCs w:val="18"/>
                <w:lang w:val="sr-Cyrl-CS"/>
              </w:rPr>
              <w:t>2018</w:t>
            </w:r>
          </w:p>
        </w:tc>
        <w:tc>
          <w:tcPr>
            <w:tcW w:w="819" w:type="pct"/>
            <w:tcBorders>
              <w:top w:val="single" w:sz="4" w:space="0" w:color="002060"/>
              <w:bottom w:val="single" w:sz="4" w:space="0" w:color="002060"/>
            </w:tcBorders>
            <w:shd w:val="clear" w:color="auto" w:fill="auto"/>
            <w:noWrap/>
            <w:hideMark/>
          </w:tcPr>
          <w:p w14:paraId="739D2FDD" w14:textId="77777777" w:rsidR="004044DC" w:rsidRPr="007E770D" w:rsidRDefault="004044DC" w:rsidP="00E4657F">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auto"/>
                <w:sz w:val="18"/>
                <w:szCs w:val="18"/>
                <w:lang w:val="sr-Cyrl-CS"/>
              </w:rPr>
            </w:pPr>
            <w:r w:rsidRPr="007E770D">
              <w:rPr>
                <w:rFonts w:asciiTheme="minorHAnsi" w:hAnsiTheme="minorHAnsi" w:cstheme="minorHAnsi"/>
                <w:b w:val="0"/>
                <w:color w:val="auto"/>
                <w:sz w:val="18"/>
                <w:szCs w:val="18"/>
                <w:lang w:val="sr-Cyrl-CS"/>
              </w:rPr>
              <w:t>2019/VIII</w:t>
            </w:r>
          </w:p>
        </w:tc>
      </w:tr>
      <w:tr w:rsidR="007E770D" w:rsidRPr="007E770D" w14:paraId="7740F443" w14:textId="77777777" w:rsidTr="00E4657F">
        <w:trPr>
          <w:cnfStyle w:val="000000100000" w:firstRow="0" w:lastRow="0" w:firstColumn="0" w:lastColumn="0" w:oddVBand="0" w:evenVBand="0" w:oddHBand="1" w:evenHBand="0" w:firstRowFirstColumn="0" w:firstRowLastColumn="0" w:lastRowFirstColumn="0" w:lastRowLastColumn="0"/>
          <w:trHeight w:val="258"/>
        </w:trPr>
        <w:tc>
          <w:tcPr>
            <w:cnfStyle w:val="001000000000" w:firstRow="0" w:lastRow="0" w:firstColumn="1" w:lastColumn="0" w:oddVBand="0" w:evenVBand="0" w:oddHBand="0" w:evenHBand="0" w:firstRowFirstColumn="0" w:firstRowLastColumn="0" w:lastRowFirstColumn="0" w:lastRowLastColumn="0"/>
            <w:tcW w:w="1725" w:type="pct"/>
            <w:tcBorders>
              <w:top w:val="single" w:sz="4" w:space="0" w:color="FFFFFF" w:themeColor="background1"/>
            </w:tcBorders>
            <w:shd w:val="clear" w:color="auto" w:fill="auto"/>
            <w:noWrap/>
            <w:hideMark/>
          </w:tcPr>
          <w:p w14:paraId="35072A74" w14:textId="77777777" w:rsidR="004044DC" w:rsidRPr="007E770D" w:rsidRDefault="004044DC" w:rsidP="00E4657F">
            <w:pPr>
              <w:spacing w:line="240" w:lineRule="auto"/>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ЕУР</w:t>
            </w:r>
          </w:p>
        </w:tc>
        <w:tc>
          <w:tcPr>
            <w:tcW w:w="818" w:type="pct"/>
            <w:tcBorders>
              <w:top w:val="single" w:sz="4" w:space="0" w:color="002060"/>
            </w:tcBorders>
            <w:shd w:val="clear" w:color="auto" w:fill="auto"/>
            <w:noWrap/>
            <w:hideMark/>
          </w:tcPr>
          <w:p w14:paraId="6EF472BD" w14:textId="77777777" w:rsidR="004044DC" w:rsidRPr="007E770D" w:rsidRDefault="004044DC" w:rsidP="00E4657F">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9.862,6</w:t>
            </w:r>
          </w:p>
        </w:tc>
        <w:tc>
          <w:tcPr>
            <w:tcW w:w="819" w:type="pct"/>
            <w:tcBorders>
              <w:top w:val="single" w:sz="4" w:space="0" w:color="002060"/>
            </w:tcBorders>
            <w:shd w:val="clear" w:color="auto" w:fill="auto"/>
            <w:noWrap/>
          </w:tcPr>
          <w:p w14:paraId="32E2AB41" w14:textId="77777777" w:rsidR="004044DC" w:rsidRPr="007E770D" w:rsidRDefault="004044DC" w:rsidP="00E4657F">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9.656,4</w:t>
            </w:r>
          </w:p>
        </w:tc>
        <w:tc>
          <w:tcPr>
            <w:tcW w:w="818" w:type="pct"/>
            <w:tcBorders>
              <w:top w:val="single" w:sz="4" w:space="0" w:color="002060"/>
            </w:tcBorders>
            <w:shd w:val="clear" w:color="auto" w:fill="auto"/>
            <w:noWrap/>
          </w:tcPr>
          <w:p w14:paraId="3CD0BA59" w14:textId="77777777" w:rsidR="004044DC" w:rsidRPr="007E770D" w:rsidRDefault="004044DC" w:rsidP="00E4657F">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9.216,7</w:t>
            </w:r>
          </w:p>
        </w:tc>
        <w:tc>
          <w:tcPr>
            <w:tcW w:w="819" w:type="pct"/>
            <w:tcBorders>
              <w:top w:val="single" w:sz="4" w:space="0" w:color="002060"/>
            </w:tcBorders>
            <w:shd w:val="clear" w:color="auto" w:fill="auto"/>
            <w:noWrap/>
          </w:tcPr>
          <w:p w14:paraId="2E89CB17" w14:textId="77777777" w:rsidR="004044DC" w:rsidRPr="007E770D" w:rsidRDefault="004044DC" w:rsidP="00E4657F">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10.032,8</w:t>
            </w:r>
          </w:p>
        </w:tc>
      </w:tr>
      <w:tr w:rsidR="007E770D" w:rsidRPr="007E770D" w14:paraId="362B4D0D" w14:textId="77777777" w:rsidTr="00E4657F">
        <w:trPr>
          <w:trHeight w:val="258"/>
        </w:trPr>
        <w:tc>
          <w:tcPr>
            <w:cnfStyle w:val="001000000000" w:firstRow="0" w:lastRow="0" w:firstColumn="1" w:lastColumn="0" w:oddVBand="0" w:evenVBand="0" w:oddHBand="0" w:evenHBand="0" w:firstRowFirstColumn="0" w:firstRowLastColumn="0" w:lastRowFirstColumn="0" w:lastRowLastColumn="0"/>
            <w:tcW w:w="1725" w:type="pct"/>
            <w:shd w:val="clear" w:color="auto" w:fill="auto"/>
            <w:noWrap/>
            <w:hideMark/>
          </w:tcPr>
          <w:p w14:paraId="11E7B66A" w14:textId="77777777" w:rsidR="004044DC" w:rsidRPr="007E770D" w:rsidRDefault="004044DC" w:rsidP="00E4657F">
            <w:pPr>
              <w:spacing w:line="240" w:lineRule="auto"/>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УСД</w:t>
            </w:r>
          </w:p>
        </w:tc>
        <w:tc>
          <w:tcPr>
            <w:tcW w:w="818" w:type="pct"/>
            <w:shd w:val="clear" w:color="auto" w:fill="auto"/>
            <w:noWrap/>
            <w:hideMark/>
          </w:tcPr>
          <w:p w14:paraId="014DAE98" w14:textId="77777777" w:rsidR="004044DC" w:rsidRPr="007E770D" w:rsidRDefault="004044DC" w:rsidP="00E4657F">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8.861,4</w:t>
            </w:r>
          </w:p>
        </w:tc>
        <w:tc>
          <w:tcPr>
            <w:tcW w:w="819" w:type="pct"/>
            <w:shd w:val="clear" w:color="auto" w:fill="auto"/>
            <w:noWrap/>
          </w:tcPr>
          <w:p w14:paraId="1C2FA588" w14:textId="77777777" w:rsidR="004044DC" w:rsidRPr="007E770D" w:rsidRDefault="004044DC" w:rsidP="00E4657F">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8.181,3</w:t>
            </w:r>
          </w:p>
        </w:tc>
        <w:tc>
          <w:tcPr>
            <w:tcW w:w="818" w:type="pct"/>
            <w:shd w:val="clear" w:color="auto" w:fill="auto"/>
            <w:noWrap/>
          </w:tcPr>
          <w:p w14:paraId="6AEE219B" w14:textId="77777777" w:rsidR="004044DC" w:rsidRPr="007E770D" w:rsidRDefault="004044DC" w:rsidP="00E4657F">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6.963,9</w:t>
            </w:r>
          </w:p>
        </w:tc>
        <w:tc>
          <w:tcPr>
            <w:tcW w:w="819" w:type="pct"/>
            <w:shd w:val="clear" w:color="auto" w:fill="auto"/>
            <w:noWrap/>
          </w:tcPr>
          <w:p w14:paraId="4C8C1C6D" w14:textId="77777777" w:rsidR="004044DC" w:rsidRPr="007E770D" w:rsidRDefault="004044DC" w:rsidP="00E4657F">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5.891,4</w:t>
            </w:r>
          </w:p>
        </w:tc>
      </w:tr>
      <w:tr w:rsidR="007E770D" w:rsidRPr="007E770D" w14:paraId="21F9D8AE" w14:textId="77777777" w:rsidTr="00E4657F">
        <w:trPr>
          <w:cnfStyle w:val="000000100000" w:firstRow="0" w:lastRow="0" w:firstColumn="0" w:lastColumn="0" w:oddVBand="0" w:evenVBand="0" w:oddHBand="1" w:evenHBand="0" w:firstRowFirstColumn="0" w:firstRowLastColumn="0" w:lastRowFirstColumn="0" w:lastRowLastColumn="0"/>
          <w:trHeight w:val="258"/>
        </w:trPr>
        <w:tc>
          <w:tcPr>
            <w:cnfStyle w:val="001000000000" w:firstRow="0" w:lastRow="0" w:firstColumn="1" w:lastColumn="0" w:oddVBand="0" w:evenVBand="0" w:oddHBand="0" w:evenHBand="0" w:firstRowFirstColumn="0" w:firstRowLastColumn="0" w:lastRowFirstColumn="0" w:lastRowLastColumn="0"/>
            <w:tcW w:w="1725" w:type="pct"/>
            <w:shd w:val="clear" w:color="auto" w:fill="auto"/>
            <w:noWrap/>
            <w:hideMark/>
          </w:tcPr>
          <w:p w14:paraId="3637C231" w14:textId="77777777" w:rsidR="004044DC" w:rsidRPr="007E770D" w:rsidRDefault="004044DC" w:rsidP="00E4657F">
            <w:pPr>
              <w:spacing w:line="240" w:lineRule="auto"/>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РСД</w:t>
            </w:r>
          </w:p>
        </w:tc>
        <w:tc>
          <w:tcPr>
            <w:tcW w:w="818" w:type="pct"/>
            <w:shd w:val="clear" w:color="auto" w:fill="auto"/>
            <w:noWrap/>
            <w:hideMark/>
          </w:tcPr>
          <w:p w14:paraId="14219CCF" w14:textId="77777777" w:rsidR="004044DC" w:rsidRPr="007E770D" w:rsidRDefault="004044DC" w:rsidP="00E4657F">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639.844,1</w:t>
            </w:r>
          </w:p>
        </w:tc>
        <w:tc>
          <w:tcPr>
            <w:tcW w:w="819" w:type="pct"/>
            <w:shd w:val="clear" w:color="auto" w:fill="auto"/>
            <w:noWrap/>
          </w:tcPr>
          <w:p w14:paraId="68895DDB" w14:textId="77777777" w:rsidR="004044DC" w:rsidRPr="007E770D" w:rsidRDefault="004044DC" w:rsidP="00E4657F">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632.485,6</w:t>
            </w:r>
          </w:p>
        </w:tc>
        <w:tc>
          <w:tcPr>
            <w:tcW w:w="818" w:type="pct"/>
            <w:shd w:val="clear" w:color="auto" w:fill="auto"/>
            <w:noWrap/>
          </w:tcPr>
          <w:p w14:paraId="78E27E49" w14:textId="77777777" w:rsidR="004044DC" w:rsidRPr="007E770D" w:rsidRDefault="004044DC" w:rsidP="00E4657F">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708.389,1</w:t>
            </w:r>
          </w:p>
        </w:tc>
        <w:tc>
          <w:tcPr>
            <w:tcW w:w="819" w:type="pct"/>
            <w:shd w:val="clear" w:color="auto" w:fill="auto"/>
            <w:noWrap/>
          </w:tcPr>
          <w:p w14:paraId="2413ADA8" w14:textId="77777777" w:rsidR="004044DC" w:rsidRPr="007E770D" w:rsidRDefault="004044DC" w:rsidP="00E4657F">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770.119,1</w:t>
            </w:r>
          </w:p>
        </w:tc>
      </w:tr>
      <w:tr w:rsidR="007E770D" w:rsidRPr="007E770D" w14:paraId="5E34E610" w14:textId="77777777" w:rsidTr="00E4657F">
        <w:trPr>
          <w:trHeight w:val="258"/>
        </w:trPr>
        <w:tc>
          <w:tcPr>
            <w:cnfStyle w:val="001000000000" w:firstRow="0" w:lastRow="0" w:firstColumn="1" w:lastColumn="0" w:oddVBand="0" w:evenVBand="0" w:oddHBand="0" w:evenHBand="0" w:firstRowFirstColumn="0" w:firstRowLastColumn="0" w:lastRowFirstColumn="0" w:lastRowLastColumn="0"/>
            <w:tcW w:w="1725" w:type="pct"/>
            <w:shd w:val="clear" w:color="auto" w:fill="auto"/>
            <w:noWrap/>
          </w:tcPr>
          <w:p w14:paraId="08FA4C1A" w14:textId="77777777" w:rsidR="004044DC" w:rsidRPr="007E770D" w:rsidRDefault="004044DC" w:rsidP="00E4657F">
            <w:pPr>
              <w:spacing w:line="240" w:lineRule="auto"/>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ЦХФ</w:t>
            </w:r>
          </w:p>
        </w:tc>
        <w:tc>
          <w:tcPr>
            <w:tcW w:w="818" w:type="pct"/>
            <w:shd w:val="clear" w:color="auto" w:fill="auto"/>
            <w:noWrap/>
          </w:tcPr>
          <w:p w14:paraId="05464077" w14:textId="77777777" w:rsidR="004044DC" w:rsidRPr="007E770D" w:rsidRDefault="004044DC" w:rsidP="00E4657F">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146,4</w:t>
            </w:r>
          </w:p>
        </w:tc>
        <w:tc>
          <w:tcPr>
            <w:tcW w:w="819" w:type="pct"/>
            <w:shd w:val="clear" w:color="auto" w:fill="auto"/>
            <w:noWrap/>
          </w:tcPr>
          <w:p w14:paraId="7323BF7D" w14:textId="77777777" w:rsidR="004044DC" w:rsidRPr="007E770D" w:rsidRDefault="004044DC" w:rsidP="00E4657F">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129,6</w:t>
            </w:r>
          </w:p>
        </w:tc>
        <w:tc>
          <w:tcPr>
            <w:tcW w:w="818" w:type="pct"/>
            <w:shd w:val="clear" w:color="auto" w:fill="auto"/>
            <w:noWrap/>
          </w:tcPr>
          <w:p w14:paraId="3D760955" w14:textId="77777777" w:rsidR="004044DC" w:rsidRPr="007E770D" w:rsidRDefault="004044DC" w:rsidP="00E4657F">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120,7</w:t>
            </w:r>
          </w:p>
        </w:tc>
        <w:tc>
          <w:tcPr>
            <w:tcW w:w="819" w:type="pct"/>
            <w:shd w:val="clear" w:color="auto" w:fill="auto"/>
            <w:noWrap/>
          </w:tcPr>
          <w:p w14:paraId="7450E382" w14:textId="77777777" w:rsidR="004044DC" w:rsidRPr="007E770D" w:rsidRDefault="004044DC" w:rsidP="00E4657F">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115,8</w:t>
            </w:r>
          </w:p>
        </w:tc>
      </w:tr>
      <w:tr w:rsidR="007E770D" w:rsidRPr="007E770D" w14:paraId="3B8AC164" w14:textId="77777777" w:rsidTr="00E4657F">
        <w:trPr>
          <w:cnfStyle w:val="000000100000" w:firstRow="0" w:lastRow="0" w:firstColumn="0" w:lastColumn="0" w:oddVBand="0" w:evenVBand="0" w:oddHBand="1" w:evenHBand="0" w:firstRowFirstColumn="0" w:firstRowLastColumn="0" w:lastRowFirstColumn="0" w:lastRowLastColumn="0"/>
          <w:trHeight w:val="258"/>
        </w:trPr>
        <w:tc>
          <w:tcPr>
            <w:cnfStyle w:val="001000000000" w:firstRow="0" w:lastRow="0" w:firstColumn="1" w:lastColumn="0" w:oddVBand="0" w:evenVBand="0" w:oddHBand="0" w:evenHBand="0" w:firstRowFirstColumn="0" w:firstRowLastColumn="0" w:lastRowFirstColumn="0" w:lastRowLastColumn="0"/>
            <w:tcW w:w="1725" w:type="pct"/>
            <w:shd w:val="clear" w:color="auto" w:fill="auto"/>
            <w:noWrap/>
          </w:tcPr>
          <w:p w14:paraId="2E6AED1F" w14:textId="77777777" w:rsidR="004044DC" w:rsidRPr="007E770D" w:rsidRDefault="004044DC" w:rsidP="00E4657F">
            <w:pPr>
              <w:spacing w:line="240" w:lineRule="auto"/>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Специјална права вучења</w:t>
            </w:r>
          </w:p>
        </w:tc>
        <w:tc>
          <w:tcPr>
            <w:tcW w:w="818" w:type="pct"/>
            <w:shd w:val="clear" w:color="auto" w:fill="auto"/>
            <w:noWrap/>
          </w:tcPr>
          <w:p w14:paraId="57179B06" w14:textId="77777777" w:rsidR="004044DC" w:rsidRPr="007E770D" w:rsidRDefault="004044DC" w:rsidP="00E4657F">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713,1</w:t>
            </w:r>
          </w:p>
        </w:tc>
        <w:tc>
          <w:tcPr>
            <w:tcW w:w="819" w:type="pct"/>
            <w:shd w:val="clear" w:color="auto" w:fill="auto"/>
            <w:noWrap/>
          </w:tcPr>
          <w:p w14:paraId="3FA30A13" w14:textId="77777777" w:rsidR="004044DC" w:rsidRPr="007E770D" w:rsidRDefault="004044DC" w:rsidP="00E4657F">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665,8</w:t>
            </w:r>
          </w:p>
        </w:tc>
        <w:tc>
          <w:tcPr>
            <w:tcW w:w="818" w:type="pct"/>
            <w:shd w:val="clear" w:color="auto" w:fill="auto"/>
            <w:noWrap/>
          </w:tcPr>
          <w:p w14:paraId="6CC64D05" w14:textId="77777777" w:rsidR="004044DC" w:rsidRPr="007E770D" w:rsidRDefault="004044DC" w:rsidP="00E4657F">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618,1</w:t>
            </w:r>
          </w:p>
        </w:tc>
        <w:tc>
          <w:tcPr>
            <w:tcW w:w="819" w:type="pct"/>
            <w:shd w:val="clear" w:color="auto" w:fill="auto"/>
            <w:noWrap/>
          </w:tcPr>
          <w:p w14:paraId="0E85BC05" w14:textId="77777777" w:rsidR="004044DC" w:rsidRPr="007E770D" w:rsidRDefault="004044DC" w:rsidP="00E4657F">
            <w:pPr>
              <w:spacing w:line="240" w:lineRule="auto"/>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579,1</w:t>
            </w:r>
          </w:p>
        </w:tc>
      </w:tr>
      <w:tr w:rsidR="007E770D" w:rsidRPr="007E770D" w14:paraId="540B8AC4" w14:textId="77777777" w:rsidTr="00E4657F">
        <w:trPr>
          <w:trHeight w:val="288"/>
        </w:trPr>
        <w:tc>
          <w:tcPr>
            <w:cnfStyle w:val="001000000000" w:firstRow="0" w:lastRow="0" w:firstColumn="1" w:lastColumn="0" w:oddVBand="0" w:evenVBand="0" w:oddHBand="0" w:evenHBand="0" w:firstRowFirstColumn="0" w:firstRowLastColumn="0" w:lastRowFirstColumn="0" w:lastRowLastColumn="0"/>
            <w:tcW w:w="1725" w:type="pct"/>
            <w:tcBorders>
              <w:bottom w:val="single" w:sz="4" w:space="0" w:color="002060"/>
            </w:tcBorders>
            <w:shd w:val="clear" w:color="auto" w:fill="auto"/>
            <w:noWrap/>
            <w:hideMark/>
          </w:tcPr>
          <w:p w14:paraId="5529EE4C" w14:textId="77777777" w:rsidR="004044DC" w:rsidRPr="007E770D" w:rsidRDefault="004044DC" w:rsidP="00E4657F">
            <w:pPr>
              <w:spacing w:line="240" w:lineRule="auto"/>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Друге валуте (у РСД)</w:t>
            </w:r>
          </w:p>
        </w:tc>
        <w:tc>
          <w:tcPr>
            <w:tcW w:w="818" w:type="pct"/>
            <w:tcBorders>
              <w:bottom w:val="single" w:sz="4" w:space="0" w:color="002060"/>
            </w:tcBorders>
            <w:shd w:val="clear" w:color="auto" w:fill="auto"/>
            <w:noWrap/>
            <w:hideMark/>
          </w:tcPr>
          <w:p w14:paraId="44A7B2B3" w14:textId="77777777" w:rsidR="004044DC" w:rsidRPr="007E770D" w:rsidRDefault="004044DC" w:rsidP="00E4657F">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40.270,4</w:t>
            </w:r>
          </w:p>
        </w:tc>
        <w:tc>
          <w:tcPr>
            <w:tcW w:w="819" w:type="pct"/>
            <w:tcBorders>
              <w:bottom w:val="single" w:sz="4" w:space="0" w:color="002060"/>
            </w:tcBorders>
            <w:shd w:val="clear" w:color="auto" w:fill="auto"/>
            <w:noWrap/>
          </w:tcPr>
          <w:p w14:paraId="707F55BD" w14:textId="77777777" w:rsidR="004044DC" w:rsidRPr="007E770D" w:rsidRDefault="004044DC" w:rsidP="00E4657F">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56.843,9</w:t>
            </w:r>
          </w:p>
        </w:tc>
        <w:tc>
          <w:tcPr>
            <w:tcW w:w="818" w:type="pct"/>
            <w:tcBorders>
              <w:bottom w:val="single" w:sz="4" w:space="0" w:color="002060"/>
            </w:tcBorders>
            <w:shd w:val="clear" w:color="auto" w:fill="auto"/>
            <w:noWrap/>
          </w:tcPr>
          <w:p w14:paraId="60093642" w14:textId="77777777" w:rsidR="004044DC" w:rsidRPr="007E770D" w:rsidRDefault="004044DC" w:rsidP="00E4657F">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100.910,4</w:t>
            </w:r>
          </w:p>
        </w:tc>
        <w:tc>
          <w:tcPr>
            <w:tcW w:w="819" w:type="pct"/>
            <w:tcBorders>
              <w:bottom w:val="single" w:sz="4" w:space="0" w:color="002060"/>
            </w:tcBorders>
            <w:shd w:val="clear" w:color="auto" w:fill="auto"/>
            <w:noWrap/>
          </w:tcPr>
          <w:p w14:paraId="5C7372E4" w14:textId="77777777" w:rsidR="004044DC" w:rsidRPr="007E770D" w:rsidRDefault="004044DC" w:rsidP="00E4657F">
            <w:pPr>
              <w:spacing w:line="240" w:lineRule="auto"/>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130.117,4</w:t>
            </w:r>
          </w:p>
        </w:tc>
      </w:tr>
    </w:tbl>
    <w:p w14:paraId="59D7574B" w14:textId="77777777" w:rsidR="004044DC" w:rsidRPr="007E770D" w:rsidRDefault="004044DC" w:rsidP="00E4657F">
      <w:pPr>
        <w:rPr>
          <w:rFonts w:cstheme="minorHAnsi"/>
          <w:color w:val="auto"/>
          <w:sz w:val="14"/>
          <w:lang w:val="sr-Cyrl-CS"/>
        </w:rPr>
        <w:sectPr w:rsidR="004044DC" w:rsidRPr="007E770D" w:rsidSect="004E661B">
          <w:type w:val="continuous"/>
          <w:pgSz w:w="12240" w:h="15840"/>
          <w:pgMar w:top="1440" w:right="1440" w:bottom="1440" w:left="1440" w:header="720" w:footer="720" w:gutter="0"/>
          <w:cols w:space="720"/>
          <w:docGrid w:linePitch="360"/>
        </w:sectPr>
      </w:pPr>
    </w:p>
    <w:p w14:paraId="353CCD23"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lastRenderedPageBreak/>
        <w:t>У складу са тежњом да се смањи изложеност валутном ризику, продужи рочност и настави са развојем нових инструмената задуживања на домаћем финансијском тржишту, основни извор финансирања у периоду 2016–2019. године су емисије динарских хартија од вредности, што је утицало на повећање учешћа јавног дуга централног нивоа власти у динарима са 20,9% на крају 2016. године на 27,4% јавног дуга Републике Србије на крају августа 2019. године, односно са 639,8 млрд динара колико је износио јавни дуг у динарима на крају 2016. године на 770,1 млрд динара на крају августа 2019. године.</w:t>
      </w:r>
    </w:p>
    <w:p w14:paraId="789678F9" w14:textId="1DC24C03" w:rsidR="004044DC" w:rsidRPr="007E770D" w:rsidRDefault="004044DC" w:rsidP="00E4657F">
      <w:pPr>
        <w:rPr>
          <w:b/>
          <w:color w:val="auto"/>
          <w:lang w:val="sr-Cyrl-CS"/>
        </w:rPr>
      </w:pPr>
      <w:r w:rsidRPr="007E770D">
        <w:rPr>
          <w:rFonts w:cstheme="minorHAnsi"/>
          <w:bCs/>
          <w:color w:val="auto"/>
          <w:szCs w:val="72"/>
          <w:lang w:val="sr-Cyrl-CS"/>
        </w:rPr>
        <w:t>Према подацима од 31. августа 2019. године, највећи део јавног дуга општег нивоа државе Републике Србије је и даље деноминован у еврима и износи 42,6%. Затим су највише заступљени динар са 27,4% и амерички долар са 22,1%. Остатак дуга је деноминован у специјалним правима вучења 3,0% и осталим валутама 5,0%. Током 2019. године дошло је до значајног смањења учешћа јавног дуга у доларима услед емисије нове Еврообвезнице Србија 2029 у еврима на међународном финансијском тржишту за потребе превременог откупа доларских еврообвезница Србија 2020 и Србија 2021. А до краја 2019. године извршиће се реотварање е</w:t>
      </w:r>
      <w:r w:rsidR="00DB229D" w:rsidRPr="007E770D">
        <w:rPr>
          <w:rFonts w:cstheme="minorHAnsi"/>
          <w:bCs/>
          <w:color w:val="auto"/>
          <w:szCs w:val="72"/>
          <w:lang w:val="sr-Cyrl-CS"/>
        </w:rPr>
        <w:t>мисије Еврообвезнице Србија 2029</w:t>
      </w:r>
      <w:r w:rsidRPr="007E770D">
        <w:rPr>
          <w:rFonts w:cstheme="minorHAnsi"/>
          <w:bCs/>
          <w:color w:val="auto"/>
          <w:szCs w:val="72"/>
          <w:lang w:val="sr-Cyrl-CS"/>
        </w:rPr>
        <w:t xml:space="preserve"> и додатног превременог откупа доларске еврообвезнице Србија 2020. Ове трансакције доводе до значајног раста учешћа јавног дуга у еврима, а са друге стране смањења доларског дуга и ризика изложености курсу долара, што је један од циљева дефинисаних овом стратегијом. Наведеним трансакцијама долази и до смањења трошкова задуживања због замене скупљег дуга јефтинијим, с обзиром да је купон нове еврообвезнице Србија 2029 емитоване у еврима износио 1,5%, док су купони превремено откупљених доларских еврообвезница 4,875% и 7,25%. Такође, током 2019. године је услед операција на домаћем тржишту хартија од вредности (75% планираних емисија је у динарима) дошло до раста учешћа и јавног дуга у динарима, те је начињен додатни помак у процесу динаризације.</w:t>
      </w:r>
    </w:p>
    <w:p w14:paraId="3FABF0AD" w14:textId="77777777" w:rsidR="004044DC" w:rsidRPr="007E770D" w:rsidRDefault="004044DC" w:rsidP="00E4657F">
      <w:pPr>
        <w:jc w:val="center"/>
        <w:rPr>
          <w:b/>
          <w:color w:val="auto"/>
          <w:lang w:val="sr-Cyrl-CS"/>
        </w:rPr>
      </w:pPr>
    </w:p>
    <w:p w14:paraId="423CFF61" w14:textId="77777777" w:rsidR="004044DC" w:rsidRPr="007E770D" w:rsidRDefault="004044DC" w:rsidP="00E4657F">
      <w:pPr>
        <w:jc w:val="center"/>
        <w:rPr>
          <w:b/>
          <w:color w:val="auto"/>
          <w:lang w:val="sr-Cyrl-CS"/>
        </w:rPr>
      </w:pPr>
      <w:r w:rsidRPr="007E770D">
        <w:rPr>
          <w:b/>
          <w:color w:val="auto"/>
          <w:lang w:val="sr-Cyrl-CS"/>
        </w:rPr>
        <w:t>Валутна структура дуга општег нивоа државе у периоду од 2016. до 31. августа 2019. године, %</w:t>
      </w:r>
    </w:p>
    <w:p w14:paraId="391E009C" w14:textId="77777777" w:rsidR="004044DC" w:rsidRPr="007E770D" w:rsidRDefault="004044DC" w:rsidP="00E4657F">
      <w:pPr>
        <w:rPr>
          <w:b/>
          <w:color w:val="auto"/>
          <w:lang w:val="sr-Cyrl-CS"/>
        </w:rPr>
      </w:pPr>
      <w:r w:rsidRPr="007E770D">
        <w:rPr>
          <w:noProof/>
          <w:color w:val="auto"/>
        </w:rPr>
        <w:drawing>
          <wp:inline distT="0" distB="0" distL="0" distR="0" wp14:anchorId="40D1417D" wp14:editId="36CA3FF6">
            <wp:extent cx="2924175" cy="1866900"/>
            <wp:effectExtent l="0" t="0" r="0" b="0"/>
            <wp:docPr id="72" name="Chart 72"/>
            <wp:cNvGraphicFramePr/>
            <a:graphic xmlns:a="http://schemas.openxmlformats.org/drawingml/2006/main">
              <a:graphicData uri="http://schemas.openxmlformats.org/drawingml/2006/chart">
                <c:chart xmlns:c="http://schemas.openxmlformats.org/drawingml/2006/chart" xmlns:r="http://schemas.openxmlformats.org/officeDocument/2006/relationships" r:id="rId162"/>
              </a:graphicData>
            </a:graphic>
          </wp:inline>
        </w:drawing>
      </w:r>
    </w:p>
    <w:p w14:paraId="4F0A2861"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На дан 31. август 2019. године, највећи део јавног дуга општег нивоа државе Републике Србије је са фиксном каматном стопом – 80,8%, док се на јавни дуг са варијабилном каматном стопом односи 19,2% укупног јавног дуга. Међу варијабилним каматним стопама највише су заступљени EURIBOR и LIBOR на евро који чине 80,3%, затим варијабилна каматна стопа за специјална права вучења 10,3% и LIBOR на амерички долар 4,3%, док је учешће обавеза са осталим каматним стопама 5,1%.</w:t>
      </w:r>
    </w:p>
    <w:p w14:paraId="53BBE48F" w14:textId="77777777" w:rsidR="004044DC" w:rsidRPr="007E770D" w:rsidRDefault="004044DC" w:rsidP="00E4657F">
      <w:pPr>
        <w:jc w:val="center"/>
        <w:rPr>
          <w:rFonts w:cstheme="minorHAnsi"/>
          <w:bCs/>
          <w:color w:val="auto"/>
          <w:szCs w:val="72"/>
          <w:lang w:val="sr-Cyrl-CS"/>
        </w:rPr>
      </w:pPr>
      <w:r w:rsidRPr="007E770D">
        <w:rPr>
          <w:b/>
          <w:color w:val="auto"/>
          <w:lang w:val="sr-Cyrl-CS"/>
        </w:rPr>
        <w:t>Структура каматних стопа дуга општег нивоа државе у периоду од 2016. до 31. августа 2019. године, %</w:t>
      </w:r>
    </w:p>
    <w:p w14:paraId="6A3C1B30" w14:textId="77777777" w:rsidR="004044DC" w:rsidRPr="007E770D" w:rsidRDefault="004044DC" w:rsidP="00E4657F">
      <w:pPr>
        <w:rPr>
          <w:rFonts w:cstheme="minorHAnsi"/>
          <w:bCs/>
          <w:color w:val="auto"/>
          <w:szCs w:val="72"/>
          <w:lang w:val="sr-Cyrl-CS"/>
        </w:rPr>
      </w:pPr>
      <w:r w:rsidRPr="007E770D">
        <w:rPr>
          <w:noProof/>
          <w:color w:val="auto"/>
        </w:rPr>
        <w:drawing>
          <wp:inline distT="0" distB="0" distL="0" distR="0" wp14:anchorId="08049B42" wp14:editId="33C4F31E">
            <wp:extent cx="2743200" cy="1657350"/>
            <wp:effectExtent l="0" t="0" r="0" b="0"/>
            <wp:docPr id="73" name="Chart 73"/>
            <wp:cNvGraphicFramePr/>
            <a:graphic xmlns:a="http://schemas.openxmlformats.org/drawingml/2006/main">
              <a:graphicData uri="http://schemas.openxmlformats.org/drawingml/2006/chart">
                <c:chart xmlns:c="http://schemas.openxmlformats.org/drawingml/2006/chart" xmlns:r="http://schemas.openxmlformats.org/officeDocument/2006/relationships" r:id="rId163"/>
              </a:graphicData>
            </a:graphic>
          </wp:inline>
        </w:drawing>
      </w:r>
    </w:p>
    <w:p w14:paraId="1EEBE717"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 xml:space="preserve">Током 2018. и 2019. године дошло је до даљег пада трошкова задуживања Републике Србије по основу динарских и евро деноминованих хартија од вредности захваљујући расту кредитног рејтинга земље, односно смањењу премије ризика, ниској стопи инфлације и паду референтне каматне стопе НБС, која тренутно износи 2,5%, чиме је настављен тренд започет у последњем кварталу 2012. године. Током 2019. године, </w:t>
      </w:r>
      <w:r w:rsidRPr="007E770D">
        <w:rPr>
          <w:rFonts w:cstheme="minorHAnsi"/>
          <w:bCs/>
          <w:color w:val="auto"/>
          <w:szCs w:val="72"/>
          <w:lang w:val="sr-Cyrl-CS"/>
        </w:rPr>
        <w:lastRenderedPageBreak/>
        <w:t>захваљујући оствареним резултатима, међу којима је као један од најзначајнијих наведен управљање јавним дугом, агенција Fitch Ratings је повећала кредитни рејтинг Републике Србије, док је агенција Moody’s повећала изгледе са стабилног на позитивни ниво.</w:t>
      </w:r>
    </w:p>
    <w:p w14:paraId="5B0D3159" w14:textId="77777777" w:rsidR="004044DC" w:rsidRPr="007E770D" w:rsidRDefault="004044DC" w:rsidP="00E4657F">
      <w:pPr>
        <w:jc w:val="center"/>
        <w:rPr>
          <w:b/>
          <w:color w:val="auto"/>
          <w:spacing w:val="-2"/>
          <w:lang w:val="sr-Cyrl-CS"/>
        </w:rPr>
      </w:pPr>
      <w:r w:rsidRPr="007E770D">
        <w:rPr>
          <w:b/>
          <w:color w:val="auto"/>
          <w:spacing w:val="-2"/>
          <w:lang w:val="sr-Cyrl-CS"/>
        </w:rPr>
        <w:t>Преглед кретања просечних извршних каматних стопа на динарске државне хартије од вредности у периоду 2014–31. август 2019. године, %</w:t>
      </w:r>
    </w:p>
    <w:p w14:paraId="242B14ED" w14:textId="77777777" w:rsidR="004044DC" w:rsidRPr="007E770D" w:rsidRDefault="004044DC" w:rsidP="00E4657F">
      <w:pPr>
        <w:rPr>
          <w:b/>
          <w:color w:val="auto"/>
          <w:lang w:val="sr-Cyrl-CS"/>
        </w:rPr>
      </w:pPr>
      <w:r w:rsidRPr="007E770D">
        <w:rPr>
          <w:noProof/>
          <w:color w:val="auto"/>
        </w:rPr>
        <w:drawing>
          <wp:inline distT="0" distB="0" distL="0" distR="0" wp14:anchorId="25AF8BF5" wp14:editId="5A990979">
            <wp:extent cx="3096895" cy="2609850"/>
            <wp:effectExtent l="0" t="0" r="8255" b="0"/>
            <wp:docPr id="85" name="Chart 85"/>
            <wp:cNvGraphicFramePr/>
            <a:graphic xmlns:a="http://schemas.openxmlformats.org/drawingml/2006/main">
              <a:graphicData uri="http://schemas.openxmlformats.org/drawingml/2006/chart">
                <c:chart xmlns:c="http://schemas.openxmlformats.org/drawingml/2006/chart" xmlns:r="http://schemas.openxmlformats.org/officeDocument/2006/relationships" r:id="rId164"/>
              </a:graphicData>
            </a:graphic>
          </wp:inline>
        </w:drawing>
      </w:r>
    </w:p>
    <w:p w14:paraId="23CE89A9" w14:textId="77777777" w:rsidR="004044DC" w:rsidRPr="007E770D" w:rsidRDefault="004044DC" w:rsidP="00E4657F">
      <w:pPr>
        <w:rPr>
          <w:b/>
          <w:color w:val="auto"/>
          <w:lang w:val="sr-Cyrl-CS"/>
        </w:rPr>
      </w:pPr>
      <w:r w:rsidRPr="007E770D">
        <w:rPr>
          <w:b/>
          <w:color w:val="auto"/>
          <w:spacing w:val="-4"/>
          <w:lang w:val="sr-Cyrl-CS"/>
        </w:rPr>
        <w:t>Преглед кретања просечних извршних каматних стопа на евро деноминоване државне хартије од вредности у периоду 2014–31. август 2019. године, %</w:t>
      </w:r>
    </w:p>
    <w:p w14:paraId="4583EFC3" w14:textId="77777777" w:rsidR="004044DC" w:rsidRPr="007E770D" w:rsidRDefault="004044DC" w:rsidP="00E4657F">
      <w:pPr>
        <w:rPr>
          <w:b/>
          <w:color w:val="auto"/>
          <w:lang w:val="sr-Cyrl-CS"/>
        </w:rPr>
      </w:pPr>
      <w:r w:rsidRPr="007E770D">
        <w:rPr>
          <w:noProof/>
          <w:color w:val="auto"/>
        </w:rPr>
        <w:drawing>
          <wp:inline distT="0" distB="0" distL="0" distR="0" wp14:anchorId="3C0D4E22" wp14:editId="657B4CC2">
            <wp:extent cx="2952750" cy="2495550"/>
            <wp:effectExtent l="0" t="0" r="0" b="0"/>
            <wp:docPr id="89" name="Chart 89"/>
            <wp:cNvGraphicFramePr/>
            <a:graphic xmlns:a="http://schemas.openxmlformats.org/drawingml/2006/main">
              <a:graphicData uri="http://schemas.openxmlformats.org/drawingml/2006/chart">
                <c:chart xmlns:c="http://schemas.openxmlformats.org/drawingml/2006/chart" xmlns:r="http://schemas.openxmlformats.org/officeDocument/2006/relationships" r:id="rId165"/>
              </a:graphicData>
            </a:graphic>
          </wp:inline>
        </w:drawing>
      </w:r>
    </w:p>
    <w:p w14:paraId="7191DDBC" w14:textId="77777777" w:rsidR="004044DC" w:rsidRPr="007E770D" w:rsidRDefault="004044DC" w:rsidP="00E4657F">
      <w:pPr>
        <w:spacing w:after="0"/>
        <w:jc w:val="center"/>
        <w:rPr>
          <w:b/>
          <w:bCs/>
          <w:color w:val="auto"/>
          <w:spacing w:val="-4"/>
          <w:lang w:val="sr-Cyrl-CS"/>
        </w:rPr>
      </w:pPr>
      <w:r w:rsidRPr="007E770D">
        <w:rPr>
          <w:b/>
          <w:bCs/>
          <w:color w:val="auto"/>
          <w:spacing w:val="-4"/>
          <w:lang w:val="sr-Cyrl-CS"/>
        </w:rPr>
        <w:t xml:space="preserve">Преглед кретања стопе приноса на </w:t>
      </w:r>
      <w:r w:rsidRPr="007E770D">
        <w:rPr>
          <w:b/>
          <w:bCs/>
          <w:color w:val="auto"/>
          <w:spacing w:val="-4"/>
          <w:lang w:val="sr-Cyrl-CS"/>
        </w:rPr>
        <w:br w:type="textWrapping" w:clear="all"/>
        <w:t>еврообвезницу Србија 2021, %</w:t>
      </w:r>
    </w:p>
    <w:p w14:paraId="03F46398" w14:textId="77777777" w:rsidR="004044DC" w:rsidRPr="007E770D" w:rsidRDefault="004044DC" w:rsidP="00E4657F">
      <w:pPr>
        <w:spacing w:after="0"/>
        <w:jc w:val="center"/>
        <w:rPr>
          <w:b/>
          <w:bCs/>
          <w:color w:val="auto"/>
          <w:spacing w:val="-4"/>
          <w:lang w:val="sr-Cyrl-CS"/>
        </w:rPr>
      </w:pPr>
    </w:p>
    <w:p w14:paraId="519D8014" w14:textId="77777777" w:rsidR="004044DC" w:rsidRPr="007E770D" w:rsidRDefault="004044DC" w:rsidP="00E4657F">
      <w:pPr>
        <w:rPr>
          <w:b/>
          <w:color w:val="auto"/>
          <w:lang w:val="sr-Cyrl-CS"/>
        </w:rPr>
      </w:pPr>
      <w:r w:rsidRPr="007E770D">
        <w:rPr>
          <w:b/>
          <w:noProof/>
          <w:color w:val="auto"/>
        </w:rPr>
        <w:drawing>
          <wp:inline distT="0" distB="0" distL="0" distR="0" wp14:anchorId="463CA995" wp14:editId="2042A3AE">
            <wp:extent cx="3143250" cy="2106295"/>
            <wp:effectExtent l="0" t="0" r="0" b="825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3192523" cy="2139313"/>
                    </a:xfrm>
                    <a:prstGeom prst="rect">
                      <a:avLst/>
                    </a:prstGeom>
                    <a:noFill/>
                  </pic:spPr>
                </pic:pic>
              </a:graphicData>
            </a:graphic>
          </wp:inline>
        </w:drawing>
      </w:r>
    </w:p>
    <w:p w14:paraId="22477282" w14:textId="77777777" w:rsidR="004044DC" w:rsidRPr="007E770D" w:rsidRDefault="004044DC" w:rsidP="00E4657F">
      <w:pPr>
        <w:rPr>
          <w:b/>
          <w:color w:val="auto"/>
          <w:lang w:val="sr-Cyrl-CS"/>
        </w:rPr>
      </w:pPr>
    </w:p>
    <w:p w14:paraId="2A00A6A4" w14:textId="77777777" w:rsidR="004044DC" w:rsidRPr="007E770D" w:rsidRDefault="004044DC" w:rsidP="00E4657F">
      <w:pPr>
        <w:spacing w:after="0"/>
        <w:jc w:val="center"/>
        <w:rPr>
          <w:b/>
          <w:bCs/>
          <w:color w:val="auto"/>
          <w:spacing w:val="-4"/>
          <w:lang w:val="sr-Cyrl-CS"/>
        </w:rPr>
      </w:pPr>
      <w:r w:rsidRPr="007E770D">
        <w:rPr>
          <w:b/>
          <w:bCs/>
          <w:color w:val="auto"/>
          <w:spacing w:val="-4"/>
          <w:lang w:val="sr-Cyrl-CS"/>
        </w:rPr>
        <w:t xml:space="preserve">Преглед кретања цене и приноса на </w:t>
      </w:r>
      <w:r w:rsidRPr="007E770D">
        <w:rPr>
          <w:b/>
          <w:bCs/>
          <w:color w:val="auto"/>
          <w:spacing w:val="-4"/>
          <w:lang w:val="sr-Cyrl-CS"/>
        </w:rPr>
        <w:br w:type="textWrapping" w:clear="all"/>
        <w:t>еврообвезницу Србија 2029, %</w:t>
      </w:r>
    </w:p>
    <w:p w14:paraId="7605AB01" w14:textId="77777777" w:rsidR="004044DC" w:rsidRPr="007E770D" w:rsidRDefault="004044DC" w:rsidP="00E4657F">
      <w:pPr>
        <w:spacing w:after="0"/>
        <w:jc w:val="center"/>
        <w:rPr>
          <w:b/>
          <w:bCs/>
          <w:color w:val="auto"/>
          <w:spacing w:val="-4"/>
          <w:lang w:val="sr-Cyrl-CS"/>
        </w:rPr>
      </w:pPr>
    </w:p>
    <w:p w14:paraId="527E45DD" w14:textId="2639A157" w:rsidR="004044DC" w:rsidRPr="007E770D" w:rsidRDefault="005D7980" w:rsidP="00E4657F">
      <w:pPr>
        <w:spacing w:after="0"/>
        <w:jc w:val="center"/>
        <w:rPr>
          <w:b/>
          <w:bCs/>
          <w:color w:val="auto"/>
          <w:spacing w:val="-4"/>
          <w:lang w:val="sr-Cyrl-CS"/>
        </w:rPr>
      </w:pPr>
      <w:r w:rsidRPr="007E770D">
        <w:rPr>
          <w:b/>
          <w:bCs/>
          <w:noProof/>
          <w:color w:val="auto"/>
          <w:spacing w:val="-4"/>
        </w:rPr>
        <w:drawing>
          <wp:inline distT="0" distB="0" distL="0" distR="0" wp14:anchorId="0BEF501D" wp14:editId="33A1831C">
            <wp:extent cx="3399155" cy="2114550"/>
            <wp:effectExtent l="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7" cstate="print">
                      <a:extLst>
                        <a:ext uri="{28A0092B-C50C-407E-A947-70E740481C1C}">
                          <a14:useLocalDpi xmlns:a14="http://schemas.microsoft.com/office/drawing/2010/main" val="0"/>
                        </a:ext>
                      </a:extLst>
                    </a:blip>
                    <a:srcRect/>
                    <a:stretch>
                      <a:fillRect/>
                    </a:stretch>
                  </pic:blipFill>
                  <pic:spPr bwMode="auto">
                    <a:xfrm>
                      <a:off x="0" y="0"/>
                      <a:ext cx="3425272" cy="2130797"/>
                    </a:xfrm>
                    <a:prstGeom prst="rect">
                      <a:avLst/>
                    </a:prstGeom>
                    <a:noFill/>
                  </pic:spPr>
                </pic:pic>
              </a:graphicData>
            </a:graphic>
          </wp:inline>
        </w:drawing>
      </w:r>
    </w:p>
    <w:p w14:paraId="514B1CE8" w14:textId="77777777" w:rsidR="004044DC" w:rsidRPr="007E770D" w:rsidRDefault="004044DC" w:rsidP="00E4657F">
      <w:pPr>
        <w:rPr>
          <w:b/>
          <w:color w:val="auto"/>
          <w:lang w:val="sr-Cyrl-CS"/>
        </w:rPr>
      </w:pPr>
    </w:p>
    <w:p w14:paraId="49A0C028" w14:textId="77777777" w:rsidR="004044DC" w:rsidRPr="007E770D" w:rsidRDefault="004044DC" w:rsidP="00E4657F">
      <w:pPr>
        <w:rPr>
          <w:b/>
          <w:color w:val="auto"/>
          <w:lang w:val="sr-Cyrl-CS"/>
        </w:rPr>
      </w:pPr>
    </w:p>
    <w:p w14:paraId="36F88A23" w14:textId="77777777" w:rsidR="004044DC" w:rsidRPr="007E770D" w:rsidRDefault="004044DC" w:rsidP="00E4657F">
      <w:pPr>
        <w:rPr>
          <w:b/>
          <w:color w:val="auto"/>
          <w:lang w:val="sr-Cyrl-CS"/>
        </w:rPr>
      </w:pPr>
    </w:p>
    <w:p w14:paraId="77D81EC1" w14:textId="77777777" w:rsidR="004044DC" w:rsidRPr="007E770D" w:rsidRDefault="004044DC" w:rsidP="00E4657F">
      <w:pPr>
        <w:rPr>
          <w:b/>
          <w:color w:val="auto"/>
          <w:lang w:val="sr-Cyrl-CS"/>
        </w:rPr>
      </w:pPr>
    </w:p>
    <w:p w14:paraId="3920BB3D" w14:textId="77777777" w:rsidR="004044DC" w:rsidRPr="007E770D" w:rsidRDefault="004044DC" w:rsidP="00E4657F">
      <w:pPr>
        <w:rPr>
          <w:b/>
          <w:color w:val="auto"/>
          <w:lang w:val="sr-Cyrl-CS"/>
        </w:rPr>
      </w:pPr>
    </w:p>
    <w:p w14:paraId="37BBE701" w14:textId="77777777" w:rsidR="004044DC" w:rsidRPr="007E770D" w:rsidRDefault="004044DC" w:rsidP="00E4657F">
      <w:pPr>
        <w:rPr>
          <w:b/>
          <w:color w:val="auto"/>
          <w:lang w:val="sr-Cyrl-CS"/>
        </w:rPr>
      </w:pPr>
    </w:p>
    <w:p w14:paraId="3E99F505" w14:textId="77777777" w:rsidR="004044DC" w:rsidRPr="007E770D" w:rsidRDefault="004044DC" w:rsidP="00E4657F">
      <w:pPr>
        <w:rPr>
          <w:b/>
          <w:color w:val="auto"/>
          <w:lang w:val="sr-Cyrl-CS"/>
        </w:rPr>
      </w:pPr>
    </w:p>
    <w:p w14:paraId="33598A9F" w14:textId="77777777" w:rsidR="004044DC" w:rsidRPr="007E770D" w:rsidRDefault="004044DC" w:rsidP="00E4657F">
      <w:pPr>
        <w:rPr>
          <w:b/>
          <w:color w:val="auto"/>
          <w:lang w:val="sr-Cyrl-CS"/>
        </w:rPr>
      </w:pPr>
    </w:p>
    <w:p w14:paraId="0D27CC62" w14:textId="77777777" w:rsidR="004044DC" w:rsidRPr="007E770D" w:rsidRDefault="004044DC" w:rsidP="00E4657F">
      <w:pPr>
        <w:rPr>
          <w:b/>
          <w:color w:val="auto"/>
          <w:lang w:val="sr-Cyrl-CS"/>
        </w:rPr>
      </w:pPr>
    </w:p>
    <w:p w14:paraId="4AD87E2E" w14:textId="77777777" w:rsidR="004044DC" w:rsidRPr="007E770D" w:rsidRDefault="004044DC" w:rsidP="00E4657F">
      <w:pPr>
        <w:rPr>
          <w:b/>
          <w:color w:val="auto"/>
          <w:lang w:val="sr-Cyrl-CS"/>
        </w:rPr>
        <w:sectPr w:rsidR="004044DC" w:rsidRPr="007E770D" w:rsidSect="004E661B">
          <w:type w:val="continuous"/>
          <w:pgSz w:w="12240" w:h="15840"/>
          <w:pgMar w:top="1440" w:right="1440" w:bottom="1440" w:left="1440" w:header="720" w:footer="720" w:gutter="0"/>
          <w:cols w:num="2" w:space="720"/>
          <w:docGrid w:linePitch="360"/>
        </w:sectPr>
      </w:pPr>
    </w:p>
    <w:p w14:paraId="7CD8DE8F" w14:textId="77777777" w:rsidR="005D7980" w:rsidRPr="007E770D" w:rsidRDefault="005D7980" w:rsidP="00E4657F">
      <w:pPr>
        <w:jc w:val="center"/>
        <w:rPr>
          <w:b/>
          <w:color w:val="auto"/>
          <w:lang w:val="sr-Cyrl-CS"/>
        </w:rPr>
      </w:pPr>
    </w:p>
    <w:p w14:paraId="6E6D757D" w14:textId="326C3924" w:rsidR="004044DC" w:rsidRPr="007E770D" w:rsidRDefault="004044DC" w:rsidP="00E4657F">
      <w:pPr>
        <w:jc w:val="center"/>
        <w:rPr>
          <w:b/>
          <w:color w:val="auto"/>
          <w:lang w:val="sr-Cyrl-CS"/>
        </w:rPr>
      </w:pPr>
      <w:r w:rsidRPr="007E770D">
        <w:rPr>
          <w:b/>
          <w:color w:val="auto"/>
          <w:lang w:val="sr-Cyrl-CS"/>
        </w:rPr>
        <w:lastRenderedPageBreak/>
        <w:t>Табела 23. Пројекције отплате камата и главница до 2022. године</w:t>
      </w:r>
      <w:r w:rsidRPr="007E770D">
        <w:rPr>
          <w:color w:val="auto"/>
          <w:lang w:val="sr-Cyrl-CS"/>
        </w:rPr>
        <w:t xml:space="preserve"> </w:t>
      </w:r>
      <w:r w:rsidRPr="007E770D">
        <w:rPr>
          <w:b/>
          <w:color w:val="auto"/>
          <w:lang w:val="sr-Cyrl-CS"/>
        </w:rPr>
        <w:t>(млрд динара)</w:t>
      </w:r>
    </w:p>
    <w:tbl>
      <w:tblPr>
        <w:tblStyle w:val="LightShading-Accent122"/>
        <w:tblW w:w="5000" w:type="pct"/>
        <w:tblLook w:val="0420" w:firstRow="1" w:lastRow="0" w:firstColumn="0" w:lastColumn="0" w:noHBand="0" w:noVBand="1"/>
      </w:tblPr>
      <w:tblGrid>
        <w:gridCol w:w="4936"/>
        <w:gridCol w:w="824"/>
        <w:gridCol w:w="1262"/>
        <w:gridCol w:w="1168"/>
        <w:gridCol w:w="1170"/>
      </w:tblGrid>
      <w:tr w:rsidR="007E770D" w:rsidRPr="007E770D" w14:paraId="7E613C6E" w14:textId="77777777" w:rsidTr="00E4657F">
        <w:trPr>
          <w:cnfStyle w:val="100000000000" w:firstRow="1" w:lastRow="0" w:firstColumn="0" w:lastColumn="0" w:oddVBand="0" w:evenVBand="0" w:oddHBand="0" w:evenHBand="0" w:firstRowFirstColumn="0" w:firstRowLastColumn="0" w:lastRowFirstColumn="0" w:lastRowLastColumn="0"/>
          <w:trHeight w:val="93"/>
        </w:trPr>
        <w:tc>
          <w:tcPr>
            <w:tcW w:w="2637" w:type="pct"/>
            <w:tcBorders>
              <w:top w:val="single" w:sz="4" w:space="0" w:color="002060"/>
              <w:bottom w:val="single" w:sz="4" w:space="0" w:color="FFFFFF" w:themeColor="background1"/>
            </w:tcBorders>
            <w:shd w:val="clear" w:color="auto" w:fill="auto"/>
            <w:noWrap/>
            <w:hideMark/>
          </w:tcPr>
          <w:p w14:paraId="784120E3" w14:textId="77777777" w:rsidR="004044DC" w:rsidRPr="007E770D" w:rsidRDefault="004044DC" w:rsidP="00E4657F">
            <w:pPr>
              <w:rPr>
                <w:rFonts w:asciiTheme="minorHAnsi" w:eastAsiaTheme="minorEastAsia" w:hAnsiTheme="minorHAnsi" w:cstheme="minorHAnsi"/>
                <w:b w:val="0"/>
                <w:bCs w:val="0"/>
                <w:color w:val="auto"/>
                <w:sz w:val="18"/>
                <w:szCs w:val="18"/>
                <w:lang w:val="sr-Cyrl-CS" w:eastAsia="ja-JP"/>
              </w:rPr>
            </w:pPr>
            <w:r w:rsidRPr="007E770D">
              <w:rPr>
                <w:rFonts w:asciiTheme="minorHAnsi" w:eastAsiaTheme="minorEastAsia" w:hAnsiTheme="minorHAnsi" w:cstheme="minorHAnsi"/>
                <w:b w:val="0"/>
                <w:bCs w:val="0"/>
                <w:color w:val="auto"/>
                <w:sz w:val="18"/>
                <w:szCs w:val="18"/>
                <w:lang w:val="sr-Cyrl-CS" w:eastAsia="ja-JP"/>
              </w:rPr>
              <w:t> </w:t>
            </w:r>
          </w:p>
        </w:tc>
        <w:tc>
          <w:tcPr>
            <w:tcW w:w="440" w:type="pct"/>
            <w:tcBorders>
              <w:top w:val="single" w:sz="4" w:space="0" w:color="002060"/>
              <w:bottom w:val="single" w:sz="4" w:space="0" w:color="002060"/>
            </w:tcBorders>
            <w:shd w:val="clear" w:color="auto" w:fill="auto"/>
            <w:noWrap/>
            <w:hideMark/>
          </w:tcPr>
          <w:p w14:paraId="759794A1" w14:textId="77777777" w:rsidR="004044DC" w:rsidRPr="007E770D" w:rsidRDefault="004044DC" w:rsidP="00E4657F">
            <w:pPr>
              <w:jc w:val="right"/>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2019 п</w:t>
            </w:r>
          </w:p>
        </w:tc>
        <w:tc>
          <w:tcPr>
            <w:tcW w:w="674" w:type="pct"/>
            <w:tcBorders>
              <w:top w:val="single" w:sz="4" w:space="0" w:color="002060"/>
              <w:bottom w:val="single" w:sz="4" w:space="0" w:color="002060"/>
            </w:tcBorders>
            <w:shd w:val="clear" w:color="auto" w:fill="auto"/>
            <w:noWrap/>
          </w:tcPr>
          <w:p w14:paraId="532DE18B" w14:textId="77777777" w:rsidR="004044DC" w:rsidRPr="007E770D" w:rsidRDefault="004044DC" w:rsidP="00E4657F">
            <w:pPr>
              <w:jc w:val="right"/>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2020 п</w:t>
            </w:r>
          </w:p>
        </w:tc>
        <w:tc>
          <w:tcPr>
            <w:tcW w:w="624" w:type="pct"/>
            <w:tcBorders>
              <w:top w:val="single" w:sz="4" w:space="0" w:color="002060"/>
              <w:bottom w:val="single" w:sz="4" w:space="0" w:color="002060"/>
            </w:tcBorders>
            <w:shd w:val="clear" w:color="auto" w:fill="auto"/>
            <w:noWrap/>
          </w:tcPr>
          <w:p w14:paraId="2232717B" w14:textId="77777777" w:rsidR="004044DC" w:rsidRPr="007E770D" w:rsidRDefault="004044DC" w:rsidP="00E4657F">
            <w:pPr>
              <w:jc w:val="right"/>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2021 п</w:t>
            </w:r>
          </w:p>
        </w:tc>
        <w:tc>
          <w:tcPr>
            <w:tcW w:w="625" w:type="pct"/>
            <w:tcBorders>
              <w:top w:val="single" w:sz="4" w:space="0" w:color="002060"/>
              <w:bottom w:val="single" w:sz="4" w:space="0" w:color="002060"/>
            </w:tcBorders>
            <w:shd w:val="clear" w:color="auto" w:fill="auto"/>
            <w:noWrap/>
          </w:tcPr>
          <w:p w14:paraId="04384950" w14:textId="77777777" w:rsidR="004044DC" w:rsidRPr="007E770D" w:rsidRDefault="004044DC" w:rsidP="00E4657F">
            <w:pPr>
              <w:jc w:val="right"/>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2022 п</w:t>
            </w:r>
          </w:p>
        </w:tc>
      </w:tr>
      <w:tr w:rsidR="007E770D" w:rsidRPr="007E770D" w14:paraId="13866FE0" w14:textId="77777777" w:rsidTr="00E4657F">
        <w:trPr>
          <w:cnfStyle w:val="000000100000" w:firstRow="0" w:lastRow="0" w:firstColumn="0" w:lastColumn="0" w:oddVBand="0" w:evenVBand="0" w:oddHBand="1" w:evenHBand="0" w:firstRowFirstColumn="0" w:firstRowLastColumn="0" w:lastRowFirstColumn="0" w:lastRowLastColumn="0"/>
          <w:trHeight w:val="253"/>
        </w:trPr>
        <w:tc>
          <w:tcPr>
            <w:tcW w:w="2637" w:type="pct"/>
            <w:tcBorders>
              <w:top w:val="single" w:sz="4" w:space="0" w:color="FFFFFF" w:themeColor="background1"/>
            </w:tcBorders>
            <w:shd w:val="clear" w:color="auto" w:fill="auto"/>
            <w:noWrap/>
            <w:hideMark/>
          </w:tcPr>
          <w:p w14:paraId="735834E7" w14:textId="77777777" w:rsidR="004044DC" w:rsidRPr="007E770D" w:rsidRDefault="004044DC" w:rsidP="00E4657F">
            <w:pPr>
              <w:spacing w:line="240" w:lineRule="auto"/>
              <w:rPr>
                <w:rFonts w:asciiTheme="minorHAnsi" w:hAnsiTheme="minorHAnsi" w:cstheme="minorHAnsi"/>
                <w:color w:val="auto"/>
                <w:sz w:val="18"/>
                <w:szCs w:val="18"/>
                <w:lang w:val="sr-Cyrl-CS"/>
              </w:rPr>
            </w:pPr>
            <w:r w:rsidRPr="007E770D">
              <w:rPr>
                <w:rFonts w:asciiTheme="minorHAnsi" w:hAnsiTheme="minorHAnsi" w:cstheme="minorHAnsi"/>
                <w:bCs/>
                <w:color w:val="auto"/>
                <w:sz w:val="18"/>
                <w:szCs w:val="18"/>
                <w:lang w:val="sr-Cyrl-CS"/>
              </w:rPr>
              <w:t>Главница</w:t>
            </w:r>
          </w:p>
        </w:tc>
        <w:tc>
          <w:tcPr>
            <w:tcW w:w="440" w:type="pct"/>
            <w:tcBorders>
              <w:top w:val="single" w:sz="4" w:space="0" w:color="002060"/>
            </w:tcBorders>
            <w:shd w:val="clear" w:color="auto" w:fill="auto"/>
            <w:noWrap/>
            <w:vAlign w:val="bottom"/>
          </w:tcPr>
          <w:p w14:paraId="19F28652"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654,0</w:t>
            </w:r>
          </w:p>
        </w:tc>
        <w:tc>
          <w:tcPr>
            <w:tcW w:w="674" w:type="pct"/>
            <w:tcBorders>
              <w:top w:val="single" w:sz="4" w:space="0" w:color="002060"/>
            </w:tcBorders>
            <w:shd w:val="clear" w:color="auto" w:fill="auto"/>
            <w:noWrap/>
            <w:vAlign w:val="bottom"/>
          </w:tcPr>
          <w:p w14:paraId="0817A9C5"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473,4</w:t>
            </w:r>
          </w:p>
        </w:tc>
        <w:tc>
          <w:tcPr>
            <w:tcW w:w="624" w:type="pct"/>
            <w:tcBorders>
              <w:top w:val="single" w:sz="4" w:space="0" w:color="002060"/>
            </w:tcBorders>
            <w:shd w:val="clear" w:color="auto" w:fill="auto"/>
            <w:noWrap/>
            <w:vAlign w:val="bottom"/>
          </w:tcPr>
          <w:p w14:paraId="0ED8A3F7"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325,0</w:t>
            </w:r>
          </w:p>
        </w:tc>
        <w:tc>
          <w:tcPr>
            <w:tcW w:w="625" w:type="pct"/>
            <w:tcBorders>
              <w:top w:val="single" w:sz="4" w:space="0" w:color="002060"/>
            </w:tcBorders>
            <w:shd w:val="clear" w:color="auto" w:fill="auto"/>
            <w:noWrap/>
            <w:vAlign w:val="bottom"/>
          </w:tcPr>
          <w:p w14:paraId="2816F374"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387,6</w:t>
            </w:r>
          </w:p>
        </w:tc>
      </w:tr>
      <w:tr w:rsidR="007E770D" w:rsidRPr="007E770D" w14:paraId="551D5B72" w14:textId="77777777" w:rsidTr="00E4657F">
        <w:trPr>
          <w:trHeight w:val="93"/>
        </w:trPr>
        <w:tc>
          <w:tcPr>
            <w:tcW w:w="2637" w:type="pct"/>
            <w:shd w:val="clear" w:color="auto" w:fill="auto"/>
            <w:noWrap/>
            <w:hideMark/>
          </w:tcPr>
          <w:p w14:paraId="277EA9D6" w14:textId="77777777" w:rsidR="004044DC" w:rsidRPr="007E770D" w:rsidRDefault="004044DC" w:rsidP="00E4657F">
            <w:pPr>
              <w:spacing w:line="240" w:lineRule="auto"/>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Камата</w:t>
            </w:r>
          </w:p>
        </w:tc>
        <w:tc>
          <w:tcPr>
            <w:tcW w:w="440" w:type="pct"/>
            <w:shd w:val="clear" w:color="auto" w:fill="auto"/>
            <w:noWrap/>
            <w:vAlign w:val="bottom"/>
          </w:tcPr>
          <w:p w14:paraId="414638D4"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110,4</w:t>
            </w:r>
          </w:p>
        </w:tc>
        <w:tc>
          <w:tcPr>
            <w:tcW w:w="674" w:type="pct"/>
            <w:shd w:val="clear" w:color="auto" w:fill="auto"/>
            <w:noWrap/>
            <w:vAlign w:val="bottom"/>
          </w:tcPr>
          <w:p w14:paraId="3DFEFECC"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111,2</w:t>
            </w:r>
          </w:p>
        </w:tc>
        <w:tc>
          <w:tcPr>
            <w:tcW w:w="624" w:type="pct"/>
            <w:shd w:val="clear" w:color="auto" w:fill="auto"/>
            <w:noWrap/>
            <w:vAlign w:val="bottom"/>
          </w:tcPr>
          <w:p w14:paraId="7A81B385"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106,3</w:t>
            </w:r>
          </w:p>
        </w:tc>
        <w:tc>
          <w:tcPr>
            <w:tcW w:w="625" w:type="pct"/>
            <w:shd w:val="clear" w:color="auto" w:fill="auto"/>
            <w:noWrap/>
            <w:vAlign w:val="bottom"/>
          </w:tcPr>
          <w:p w14:paraId="5CD0E63B"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108,5</w:t>
            </w:r>
          </w:p>
        </w:tc>
      </w:tr>
      <w:tr w:rsidR="007E770D" w:rsidRPr="007E770D" w14:paraId="2CEF5029" w14:textId="77777777" w:rsidTr="00E4657F">
        <w:trPr>
          <w:cnfStyle w:val="000000100000" w:firstRow="0" w:lastRow="0" w:firstColumn="0" w:lastColumn="0" w:oddVBand="0" w:evenVBand="0" w:oddHBand="1" w:evenHBand="0" w:firstRowFirstColumn="0" w:firstRowLastColumn="0" w:lastRowFirstColumn="0" w:lastRowLastColumn="0"/>
          <w:trHeight w:val="93"/>
        </w:trPr>
        <w:tc>
          <w:tcPr>
            <w:tcW w:w="2637" w:type="pct"/>
            <w:shd w:val="clear" w:color="auto" w:fill="auto"/>
            <w:noWrap/>
            <w:hideMark/>
          </w:tcPr>
          <w:p w14:paraId="624A0179" w14:textId="77777777" w:rsidR="004044DC" w:rsidRPr="007E770D" w:rsidRDefault="004044DC" w:rsidP="00E4657F">
            <w:pPr>
              <w:spacing w:line="240" w:lineRule="auto"/>
              <w:rPr>
                <w:rFonts w:asciiTheme="minorHAnsi" w:hAnsiTheme="minorHAnsi" w:cstheme="minorHAnsi"/>
                <w:color w:val="auto"/>
                <w:sz w:val="18"/>
                <w:szCs w:val="18"/>
                <w:lang w:val="sr-Cyrl-CS"/>
              </w:rPr>
            </w:pPr>
            <w:r w:rsidRPr="007E770D">
              <w:rPr>
                <w:rFonts w:asciiTheme="minorHAnsi" w:hAnsiTheme="minorHAnsi" w:cstheme="minorHAnsi"/>
                <w:bCs/>
                <w:color w:val="auto"/>
                <w:sz w:val="18"/>
                <w:szCs w:val="18"/>
                <w:lang w:val="sr-Cyrl-CS"/>
              </w:rPr>
              <w:t>Укупно</w:t>
            </w:r>
          </w:p>
        </w:tc>
        <w:tc>
          <w:tcPr>
            <w:tcW w:w="440" w:type="pct"/>
            <w:shd w:val="clear" w:color="auto" w:fill="auto"/>
            <w:noWrap/>
            <w:vAlign w:val="bottom"/>
          </w:tcPr>
          <w:p w14:paraId="4C276FB9"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764,4</w:t>
            </w:r>
          </w:p>
        </w:tc>
        <w:tc>
          <w:tcPr>
            <w:tcW w:w="674" w:type="pct"/>
            <w:shd w:val="clear" w:color="auto" w:fill="auto"/>
            <w:noWrap/>
            <w:vAlign w:val="bottom"/>
          </w:tcPr>
          <w:p w14:paraId="1FF5F436"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584,6</w:t>
            </w:r>
          </w:p>
        </w:tc>
        <w:tc>
          <w:tcPr>
            <w:tcW w:w="624" w:type="pct"/>
            <w:shd w:val="clear" w:color="auto" w:fill="auto"/>
            <w:noWrap/>
            <w:vAlign w:val="bottom"/>
          </w:tcPr>
          <w:p w14:paraId="39A67397"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431,3</w:t>
            </w:r>
          </w:p>
        </w:tc>
        <w:tc>
          <w:tcPr>
            <w:tcW w:w="625" w:type="pct"/>
            <w:shd w:val="clear" w:color="auto" w:fill="auto"/>
            <w:noWrap/>
            <w:vAlign w:val="bottom"/>
          </w:tcPr>
          <w:p w14:paraId="41AD35A2"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496,1</w:t>
            </w:r>
          </w:p>
        </w:tc>
      </w:tr>
      <w:tr w:rsidR="007E770D" w:rsidRPr="007E770D" w14:paraId="5DDD0E97" w14:textId="77777777" w:rsidTr="00E4657F">
        <w:trPr>
          <w:trHeight w:val="93"/>
        </w:trPr>
        <w:tc>
          <w:tcPr>
            <w:tcW w:w="2637" w:type="pct"/>
            <w:tcBorders>
              <w:bottom w:val="single" w:sz="4" w:space="0" w:color="002060"/>
            </w:tcBorders>
            <w:shd w:val="clear" w:color="auto" w:fill="auto"/>
            <w:noWrap/>
            <w:hideMark/>
          </w:tcPr>
          <w:p w14:paraId="73E2F33B" w14:textId="77777777" w:rsidR="004044DC" w:rsidRPr="007E770D" w:rsidRDefault="004044DC" w:rsidP="00E4657F">
            <w:pPr>
              <w:spacing w:line="240" w:lineRule="auto"/>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 xml:space="preserve"> У односу на јавни дуг на дан 31.8.2019. године</w:t>
            </w:r>
          </w:p>
        </w:tc>
        <w:tc>
          <w:tcPr>
            <w:tcW w:w="440" w:type="pct"/>
            <w:tcBorders>
              <w:bottom w:val="single" w:sz="4" w:space="0" w:color="002060"/>
            </w:tcBorders>
            <w:shd w:val="clear" w:color="auto" w:fill="auto"/>
            <w:noWrap/>
            <w:vAlign w:val="bottom"/>
          </w:tcPr>
          <w:p w14:paraId="649A236E"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27,2%</w:t>
            </w:r>
          </w:p>
        </w:tc>
        <w:tc>
          <w:tcPr>
            <w:tcW w:w="674" w:type="pct"/>
            <w:tcBorders>
              <w:bottom w:val="single" w:sz="4" w:space="0" w:color="002060"/>
            </w:tcBorders>
            <w:shd w:val="clear" w:color="auto" w:fill="auto"/>
            <w:noWrap/>
            <w:vAlign w:val="bottom"/>
          </w:tcPr>
          <w:p w14:paraId="084E1CB0"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20,8%</w:t>
            </w:r>
          </w:p>
        </w:tc>
        <w:tc>
          <w:tcPr>
            <w:tcW w:w="624" w:type="pct"/>
            <w:tcBorders>
              <w:bottom w:val="single" w:sz="4" w:space="0" w:color="002060"/>
            </w:tcBorders>
            <w:shd w:val="clear" w:color="auto" w:fill="auto"/>
            <w:noWrap/>
            <w:vAlign w:val="bottom"/>
          </w:tcPr>
          <w:p w14:paraId="37AF4ABA"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15,4%</w:t>
            </w:r>
          </w:p>
        </w:tc>
        <w:tc>
          <w:tcPr>
            <w:tcW w:w="625" w:type="pct"/>
            <w:tcBorders>
              <w:bottom w:val="single" w:sz="4" w:space="0" w:color="002060"/>
            </w:tcBorders>
            <w:shd w:val="clear" w:color="auto" w:fill="auto"/>
            <w:noWrap/>
            <w:vAlign w:val="bottom"/>
          </w:tcPr>
          <w:p w14:paraId="5AD2A3A6"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17,7%</w:t>
            </w:r>
          </w:p>
        </w:tc>
      </w:tr>
    </w:tbl>
    <w:p w14:paraId="0485974B" w14:textId="77777777" w:rsidR="004044DC" w:rsidRPr="007E770D" w:rsidRDefault="004044DC" w:rsidP="00E4657F">
      <w:pPr>
        <w:spacing w:after="240" w:line="240" w:lineRule="auto"/>
        <w:rPr>
          <w:rFonts w:cstheme="minorHAnsi"/>
          <w:bCs/>
          <w:color w:val="auto"/>
          <w:sz w:val="18"/>
          <w:szCs w:val="18"/>
          <w:lang w:val="sr-Cyrl-CS"/>
        </w:rPr>
      </w:pPr>
      <w:r w:rsidRPr="007E770D">
        <w:rPr>
          <w:rFonts w:eastAsia="Calibri" w:cstheme="minorHAnsi"/>
          <w:bCs/>
          <w:color w:val="auto"/>
          <w:sz w:val="18"/>
          <w:szCs w:val="18"/>
          <w:lang w:val="sr-Cyrl-CS" w:eastAsia="sr-Cyrl-CS"/>
        </w:rPr>
        <w:t xml:space="preserve">* са планираним </w:t>
      </w:r>
      <w:r w:rsidRPr="007E770D">
        <w:rPr>
          <w:rFonts w:eastAsia="Calibri" w:cstheme="minorHAnsi"/>
          <w:bCs/>
          <w:i/>
          <w:color w:val="auto"/>
          <w:sz w:val="18"/>
          <w:szCs w:val="18"/>
          <w:lang w:val="sr-Cyrl-CS" w:eastAsia="sr-Cyrl-CS"/>
        </w:rPr>
        <w:t>buy-back</w:t>
      </w:r>
      <w:r w:rsidRPr="007E770D">
        <w:rPr>
          <w:rFonts w:eastAsia="Calibri" w:cstheme="minorHAnsi"/>
          <w:bCs/>
          <w:color w:val="auto"/>
          <w:sz w:val="18"/>
          <w:szCs w:val="18"/>
          <w:lang w:val="sr-Cyrl-CS" w:eastAsia="sr-Cyrl-CS"/>
        </w:rPr>
        <w:t xml:space="preserve"> операцијама</w:t>
      </w:r>
    </w:p>
    <w:p w14:paraId="1409C2F5" w14:textId="77777777" w:rsidR="004044DC" w:rsidRPr="007E770D" w:rsidRDefault="004044DC" w:rsidP="00E4657F">
      <w:pPr>
        <w:jc w:val="center"/>
        <w:rPr>
          <w:b/>
          <w:color w:val="auto"/>
          <w:lang w:val="sr-Cyrl-CS"/>
        </w:rPr>
      </w:pPr>
      <w:r w:rsidRPr="007E770D">
        <w:rPr>
          <w:b/>
          <w:color w:val="auto"/>
          <w:lang w:val="sr-Cyrl-CS"/>
        </w:rPr>
        <w:t>Табела 24. Пројекције отплате камата и главница до 2022. године (% учешћа у БДП)</w:t>
      </w:r>
    </w:p>
    <w:tbl>
      <w:tblPr>
        <w:tblStyle w:val="LightShading-Accent122"/>
        <w:tblW w:w="5000" w:type="pct"/>
        <w:tblLook w:val="0420" w:firstRow="1" w:lastRow="0" w:firstColumn="0" w:lastColumn="0" w:noHBand="0" w:noVBand="1"/>
      </w:tblPr>
      <w:tblGrid>
        <w:gridCol w:w="4949"/>
        <w:gridCol w:w="811"/>
        <w:gridCol w:w="1170"/>
        <w:gridCol w:w="1260"/>
        <w:gridCol w:w="1170"/>
      </w:tblGrid>
      <w:tr w:rsidR="007E770D" w:rsidRPr="007E770D" w14:paraId="1C64C369" w14:textId="77777777" w:rsidTr="00E4657F">
        <w:trPr>
          <w:cnfStyle w:val="100000000000" w:firstRow="1" w:lastRow="0" w:firstColumn="0" w:lastColumn="0" w:oddVBand="0" w:evenVBand="0" w:oddHBand="0" w:evenHBand="0" w:firstRowFirstColumn="0" w:firstRowLastColumn="0" w:lastRowFirstColumn="0" w:lastRowLastColumn="0"/>
          <w:trHeight w:val="22"/>
        </w:trPr>
        <w:tc>
          <w:tcPr>
            <w:tcW w:w="2644" w:type="pct"/>
            <w:tcBorders>
              <w:top w:val="single" w:sz="4" w:space="0" w:color="002060"/>
              <w:bottom w:val="single" w:sz="4" w:space="0" w:color="FFFFFF" w:themeColor="background1"/>
            </w:tcBorders>
            <w:shd w:val="clear" w:color="auto" w:fill="auto"/>
            <w:noWrap/>
            <w:hideMark/>
          </w:tcPr>
          <w:p w14:paraId="5588F902" w14:textId="77777777" w:rsidR="004044DC" w:rsidRPr="007E770D" w:rsidRDefault="004044DC" w:rsidP="00E4657F">
            <w:pPr>
              <w:jc w:val="right"/>
              <w:rPr>
                <w:rFonts w:asciiTheme="minorHAnsi" w:hAnsiTheme="minorHAnsi" w:cstheme="minorHAnsi"/>
                <w:b w:val="0"/>
                <w:color w:val="auto"/>
                <w:sz w:val="18"/>
                <w:szCs w:val="18"/>
                <w:lang w:val="sr-Cyrl-CS"/>
              </w:rPr>
            </w:pPr>
            <w:bookmarkStart w:id="30" w:name="_Hlk529257961"/>
            <w:r w:rsidRPr="007E770D">
              <w:rPr>
                <w:rFonts w:asciiTheme="minorHAnsi" w:hAnsiTheme="minorHAnsi" w:cstheme="minorHAnsi"/>
                <w:b w:val="0"/>
                <w:color w:val="auto"/>
                <w:sz w:val="18"/>
                <w:szCs w:val="18"/>
                <w:lang w:val="sr-Cyrl-CS"/>
              </w:rPr>
              <w:t> </w:t>
            </w:r>
          </w:p>
        </w:tc>
        <w:tc>
          <w:tcPr>
            <w:tcW w:w="433" w:type="pct"/>
            <w:tcBorders>
              <w:top w:val="single" w:sz="4" w:space="0" w:color="002060"/>
              <w:bottom w:val="single" w:sz="4" w:space="0" w:color="002060"/>
            </w:tcBorders>
            <w:shd w:val="clear" w:color="auto" w:fill="auto"/>
            <w:noWrap/>
            <w:hideMark/>
          </w:tcPr>
          <w:p w14:paraId="02C5B0ED" w14:textId="77777777" w:rsidR="004044DC" w:rsidRPr="007E770D" w:rsidRDefault="004044DC" w:rsidP="00E4657F">
            <w:pPr>
              <w:jc w:val="right"/>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2019 п</w:t>
            </w:r>
          </w:p>
        </w:tc>
        <w:tc>
          <w:tcPr>
            <w:tcW w:w="625" w:type="pct"/>
            <w:tcBorders>
              <w:top w:val="single" w:sz="4" w:space="0" w:color="002060"/>
              <w:bottom w:val="single" w:sz="4" w:space="0" w:color="002060"/>
            </w:tcBorders>
            <w:shd w:val="clear" w:color="auto" w:fill="auto"/>
            <w:noWrap/>
            <w:hideMark/>
          </w:tcPr>
          <w:p w14:paraId="7521167D" w14:textId="77777777" w:rsidR="004044DC" w:rsidRPr="007E770D" w:rsidRDefault="004044DC" w:rsidP="00E4657F">
            <w:pPr>
              <w:jc w:val="right"/>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2020 п</w:t>
            </w:r>
          </w:p>
        </w:tc>
        <w:tc>
          <w:tcPr>
            <w:tcW w:w="673" w:type="pct"/>
            <w:tcBorders>
              <w:top w:val="single" w:sz="4" w:space="0" w:color="002060"/>
              <w:bottom w:val="single" w:sz="4" w:space="0" w:color="002060"/>
            </w:tcBorders>
            <w:shd w:val="clear" w:color="auto" w:fill="auto"/>
            <w:noWrap/>
            <w:hideMark/>
          </w:tcPr>
          <w:p w14:paraId="1168A191" w14:textId="77777777" w:rsidR="004044DC" w:rsidRPr="007E770D" w:rsidRDefault="004044DC" w:rsidP="00E4657F">
            <w:pPr>
              <w:jc w:val="right"/>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2021 п</w:t>
            </w:r>
          </w:p>
        </w:tc>
        <w:tc>
          <w:tcPr>
            <w:tcW w:w="625" w:type="pct"/>
            <w:tcBorders>
              <w:top w:val="single" w:sz="4" w:space="0" w:color="002060"/>
              <w:bottom w:val="single" w:sz="4" w:space="0" w:color="002060"/>
            </w:tcBorders>
            <w:shd w:val="clear" w:color="auto" w:fill="auto"/>
            <w:noWrap/>
            <w:hideMark/>
          </w:tcPr>
          <w:p w14:paraId="760AEE4C" w14:textId="77777777" w:rsidR="004044DC" w:rsidRPr="007E770D" w:rsidRDefault="004044DC" w:rsidP="00E4657F">
            <w:pPr>
              <w:jc w:val="right"/>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2022 п</w:t>
            </w:r>
          </w:p>
        </w:tc>
      </w:tr>
      <w:tr w:rsidR="007E770D" w:rsidRPr="007E770D" w14:paraId="0A78DF61" w14:textId="77777777" w:rsidTr="00E4657F">
        <w:trPr>
          <w:cnfStyle w:val="000000100000" w:firstRow="0" w:lastRow="0" w:firstColumn="0" w:lastColumn="0" w:oddVBand="0" w:evenVBand="0" w:oddHBand="1" w:evenHBand="0" w:firstRowFirstColumn="0" w:firstRowLastColumn="0" w:lastRowFirstColumn="0" w:lastRowLastColumn="0"/>
          <w:trHeight w:val="22"/>
        </w:trPr>
        <w:tc>
          <w:tcPr>
            <w:tcW w:w="2644" w:type="pct"/>
            <w:shd w:val="clear" w:color="auto" w:fill="auto"/>
            <w:noWrap/>
            <w:hideMark/>
          </w:tcPr>
          <w:p w14:paraId="60A958E7" w14:textId="77777777" w:rsidR="004044DC" w:rsidRPr="007E770D" w:rsidRDefault="004044DC" w:rsidP="00E4657F">
            <w:pPr>
              <w:spacing w:line="240" w:lineRule="auto"/>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Главница</w:t>
            </w:r>
          </w:p>
        </w:tc>
        <w:tc>
          <w:tcPr>
            <w:tcW w:w="433" w:type="pct"/>
            <w:shd w:val="clear" w:color="auto" w:fill="auto"/>
            <w:noWrap/>
            <w:vAlign w:val="bottom"/>
          </w:tcPr>
          <w:p w14:paraId="5BC473E0"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12,1%</w:t>
            </w:r>
          </w:p>
        </w:tc>
        <w:tc>
          <w:tcPr>
            <w:tcW w:w="625" w:type="pct"/>
            <w:shd w:val="clear" w:color="auto" w:fill="auto"/>
            <w:noWrap/>
            <w:vAlign w:val="bottom"/>
          </w:tcPr>
          <w:p w14:paraId="1A9E500A"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8,1%</w:t>
            </w:r>
          </w:p>
        </w:tc>
        <w:tc>
          <w:tcPr>
            <w:tcW w:w="673" w:type="pct"/>
            <w:shd w:val="clear" w:color="auto" w:fill="auto"/>
            <w:noWrap/>
            <w:vAlign w:val="bottom"/>
          </w:tcPr>
          <w:p w14:paraId="4671462E"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5,2%</w:t>
            </w:r>
          </w:p>
        </w:tc>
        <w:tc>
          <w:tcPr>
            <w:tcW w:w="625" w:type="pct"/>
            <w:shd w:val="clear" w:color="auto" w:fill="auto"/>
            <w:noWrap/>
            <w:vAlign w:val="bottom"/>
          </w:tcPr>
          <w:p w14:paraId="029E358C"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5,8%</w:t>
            </w:r>
          </w:p>
        </w:tc>
      </w:tr>
      <w:tr w:rsidR="007E770D" w:rsidRPr="007E770D" w14:paraId="0C53F408" w14:textId="77777777" w:rsidTr="00E4657F">
        <w:trPr>
          <w:trHeight w:val="90"/>
        </w:trPr>
        <w:tc>
          <w:tcPr>
            <w:tcW w:w="2644" w:type="pct"/>
            <w:shd w:val="clear" w:color="auto" w:fill="auto"/>
            <w:noWrap/>
            <w:hideMark/>
          </w:tcPr>
          <w:p w14:paraId="5A1E4376" w14:textId="77777777" w:rsidR="004044DC" w:rsidRPr="007E770D" w:rsidRDefault="004044DC" w:rsidP="00E4657F">
            <w:pPr>
              <w:spacing w:line="240" w:lineRule="auto"/>
              <w:rPr>
                <w:rFonts w:asciiTheme="minorHAnsi" w:hAnsiTheme="minorHAnsi" w:cstheme="minorHAnsi"/>
                <w:color w:val="auto"/>
                <w:sz w:val="18"/>
                <w:szCs w:val="18"/>
                <w:lang w:val="sr-Cyrl-CS"/>
              </w:rPr>
            </w:pPr>
            <w:r w:rsidRPr="007E770D">
              <w:rPr>
                <w:rFonts w:asciiTheme="minorHAnsi" w:hAnsiTheme="minorHAnsi" w:cstheme="minorHAnsi"/>
                <w:bCs/>
                <w:color w:val="auto"/>
                <w:sz w:val="18"/>
                <w:szCs w:val="18"/>
                <w:lang w:val="sr-Cyrl-CS"/>
              </w:rPr>
              <w:t>Камата</w:t>
            </w:r>
          </w:p>
        </w:tc>
        <w:tc>
          <w:tcPr>
            <w:tcW w:w="433" w:type="pct"/>
            <w:shd w:val="clear" w:color="auto" w:fill="auto"/>
            <w:noWrap/>
            <w:vAlign w:val="bottom"/>
          </w:tcPr>
          <w:p w14:paraId="560EF1AE"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2,0%</w:t>
            </w:r>
          </w:p>
        </w:tc>
        <w:tc>
          <w:tcPr>
            <w:tcW w:w="625" w:type="pct"/>
            <w:shd w:val="clear" w:color="auto" w:fill="auto"/>
            <w:noWrap/>
            <w:vAlign w:val="bottom"/>
          </w:tcPr>
          <w:p w14:paraId="165A7961"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1,9%</w:t>
            </w:r>
          </w:p>
        </w:tc>
        <w:tc>
          <w:tcPr>
            <w:tcW w:w="673" w:type="pct"/>
            <w:shd w:val="clear" w:color="auto" w:fill="auto"/>
            <w:noWrap/>
            <w:vAlign w:val="bottom"/>
          </w:tcPr>
          <w:p w14:paraId="27EF378F"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1,7%</w:t>
            </w:r>
          </w:p>
        </w:tc>
        <w:tc>
          <w:tcPr>
            <w:tcW w:w="625" w:type="pct"/>
            <w:shd w:val="clear" w:color="auto" w:fill="auto"/>
            <w:noWrap/>
            <w:vAlign w:val="bottom"/>
          </w:tcPr>
          <w:p w14:paraId="1F334111"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1,6%</w:t>
            </w:r>
          </w:p>
        </w:tc>
      </w:tr>
      <w:tr w:rsidR="007E770D" w:rsidRPr="007E770D" w14:paraId="3B5874BF" w14:textId="77777777" w:rsidTr="00E4657F">
        <w:trPr>
          <w:cnfStyle w:val="000000100000" w:firstRow="0" w:lastRow="0" w:firstColumn="0" w:lastColumn="0" w:oddVBand="0" w:evenVBand="0" w:oddHBand="1" w:evenHBand="0" w:firstRowFirstColumn="0" w:firstRowLastColumn="0" w:lastRowFirstColumn="0" w:lastRowLastColumn="0"/>
          <w:trHeight w:val="22"/>
        </w:trPr>
        <w:tc>
          <w:tcPr>
            <w:tcW w:w="2644" w:type="pct"/>
            <w:tcBorders>
              <w:bottom w:val="single" w:sz="4" w:space="0" w:color="002060"/>
            </w:tcBorders>
            <w:shd w:val="clear" w:color="auto" w:fill="auto"/>
            <w:noWrap/>
            <w:hideMark/>
          </w:tcPr>
          <w:p w14:paraId="0BC59BFE" w14:textId="77777777" w:rsidR="004044DC" w:rsidRPr="007E770D" w:rsidRDefault="004044DC" w:rsidP="00E4657F">
            <w:pPr>
              <w:spacing w:line="240" w:lineRule="auto"/>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Укупно</w:t>
            </w:r>
          </w:p>
        </w:tc>
        <w:tc>
          <w:tcPr>
            <w:tcW w:w="433" w:type="pct"/>
            <w:tcBorders>
              <w:bottom w:val="single" w:sz="4" w:space="0" w:color="002060"/>
            </w:tcBorders>
            <w:shd w:val="clear" w:color="auto" w:fill="auto"/>
            <w:noWrap/>
            <w:vAlign w:val="bottom"/>
          </w:tcPr>
          <w:p w14:paraId="36FE24E2"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14,1%</w:t>
            </w:r>
          </w:p>
        </w:tc>
        <w:tc>
          <w:tcPr>
            <w:tcW w:w="625" w:type="pct"/>
            <w:tcBorders>
              <w:bottom w:val="single" w:sz="4" w:space="0" w:color="002060"/>
            </w:tcBorders>
            <w:shd w:val="clear" w:color="auto" w:fill="auto"/>
            <w:noWrap/>
            <w:vAlign w:val="bottom"/>
          </w:tcPr>
          <w:p w14:paraId="4ED9C220"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10,0%</w:t>
            </w:r>
          </w:p>
        </w:tc>
        <w:tc>
          <w:tcPr>
            <w:tcW w:w="673" w:type="pct"/>
            <w:tcBorders>
              <w:bottom w:val="single" w:sz="4" w:space="0" w:color="002060"/>
            </w:tcBorders>
            <w:shd w:val="clear" w:color="auto" w:fill="auto"/>
            <w:noWrap/>
            <w:vAlign w:val="bottom"/>
          </w:tcPr>
          <w:p w14:paraId="12F91F2B"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6,9%</w:t>
            </w:r>
          </w:p>
        </w:tc>
        <w:tc>
          <w:tcPr>
            <w:tcW w:w="625" w:type="pct"/>
            <w:tcBorders>
              <w:bottom w:val="single" w:sz="4" w:space="0" w:color="002060"/>
            </w:tcBorders>
            <w:shd w:val="clear" w:color="auto" w:fill="auto"/>
            <w:noWrap/>
            <w:vAlign w:val="bottom"/>
          </w:tcPr>
          <w:p w14:paraId="7A2D6A6B"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7,4%</w:t>
            </w:r>
          </w:p>
        </w:tc>
      </w:tr>
      <w:bookmarkEnd w:id="30"/>
    </w:tbl>
    <w:p w14:paraId="4B839030" w14:textId="77777777" w:rsidR="004044DC" w:rsidRPr="007E770D" w:rsidRDefault="004044DC" w:rsidP="00E4657F">
      <w:pPr>
        <w:rPr>
          <w:rFonts w:cstheme="minorHAnsi"/>
          <w:bCs/>
          <w:color w:val="auto"/>
          <w:szCs w:val="72"/>
          <w:lang w:val="sr-Cyrl-CS"/>
        </w:rPr>
        <w:sectPr w:rsidR="004044DC" w:rsidRPr="007E770D" w:rsidSect="004E661B">
          <w:type w:val="continuous"/>
          <w:pgSz w:w="12240" w:h="15840"/>
          <w:pgMar w:top="1440" w:right="1440" w:bottom="1440" w:left="1440" w:header="720" w:footer="720" w:gutter="0"/>
          <w:cols w:space="720"/>
          <w:docGrid w:linePitch="360"/>
        </w:sectPr>
      </w:pPr>
    </w:p>
    <w:p w14:paraId="113F623F" w14:textId="5314E88C" w:rsidR="004044DC" w:rsidRPr="007E770D" w:rsidRDefault="004044DC" w:rsidP="00E4657F">
      <w:pPr>
        <w:spacing w:after="240"/>
        <w:rPr>
          <w:rFonts w:cstheme="minorHAnsi"/>
          <w:bCs/>
          <w:color w:val="auto"/>
          <w:szCs w:val="72"/>
          <w:lang w:val="sr-Cyrl-CS"/>
        </w:rPr>
      </w:pPr>
      <w:r w:rsidRPr="007E770D">
        <w:rPr>
          <w:rFonts w:cstheme="minorHAnsi"/>
          <w:bCs/>
          <w:color w:val="auto"/>
          <w:szCs w:val="72"/>
          <w:lang w:val="sr-Cyrl-CS"/>
        </w:rPr>
        <w:t>Планирани износи за отплату камата и главница у 2019. и 2020. години, на централном нивоу државе, укључују и средства за buy-back операције, како би се искористиле повољне околности на тржишту да се скупљи дуг замени јефтинијим и по том основу начине уштеде у наредним годинама. Само трансакција преврем</w:t>
      </w:r>
      <w:r w:rsidR="00462CF3">
        <w:rPr>
          <w:rFonts w:cstheme="minorHAnsi"/>
          <w:bCs/>
          <w:color w:val="auto"/>
          <w:szCs w:val="72"/>
          <w:lang w:val="sr-Cyrl-CS"/>
        </w:rPr>
        <w:t>е</w:t>
      </w:r>
      <w:r w:rsidRPr="007E770D">
        <w:rPr>
          <w:rFonts w:cstheme="minorHAnsi"/>
          <w:bCs/>
          <w:color w:val="auto"/>
          <w:szCs w:val="72"/>
          <w:lang w:val="sr-Cyrl-CS"/>
        </w:rPr>
        <w:t>ног откупа доларских обвезница новом емисијом у укупном номиналном износу од 1,0 млрд евра из јуна 2019. године, довешће до укупних уштеда на каматама од око 3,9 милијарди динара, током 2020. и 2021. године, када доспевају доларске обвезнице, тј. за наведени износ ће бити плаћено мање камата по основу купона до њиховог доспећа.</w:t>
      </w:r>
    </w:p>
    <w:p w14:paraId="47A8D870" w14:textId="77777777" w:rsidR="004044DC" w:rsidRPr="007E770D" w:rsidRDefault="004044DC" w:rsidP="00E4657F">
      <w:pPr>
        <w:rPr>
          <w:b/>
          <w:color w:val="auto"/>
          <w:sz w:val="22"/>
          <w:lang w:val="sr-Cyrl-CS"/>
        </w:rPr>
      </w:pPr>
      <w:r w:rsidRPr="007E770D">
        <w:rPr>
          <w:b/>
          <w:color w:val="auto"/>
          <w:sz w:val="22"/>
          <w:lang w:val="sr-Cyrl-CS"/>
        </w:rPr>
        <w:t>Пројекција стања јавног дуга општег нивоа државе у периоду 2019–2022. године</w:t>
      </w:r>
    </w:p>
    <w:p w14:paraId="33841A74" w14:textId="77777777" w:rsidR="004044DC" w:rsidRPr="007E770D" w:rsidRDefault="004044DC" w:rsidP="00E4657F">
      <w:pPr>
        <w:spacing w:after="240"/>
        <w:rPr>
          <w:rFonts w:cstheme="minorHAnsi"/>
          <w:bCs/>
          <w:color w:val="auto"/>
          <w:szCs w:val="72"/>
          <w:lang w:val="sr-Cyrl-CS"/>
        </w:rPr>
        <w:sectPr w:rsidR="004044DC" w:rsidRPr="007E770D" w:rsidSect="004E661B">
          <w:type w:val="continuous"/>
          <w:pgSz w:w="12240" w:h="15840"/>
          <w:pgMar w:top="1440" w:right="1440" w:bottom="1440" w:left="1440" w:header="720" w:footer="720" w:gutter="0"/>
          <w:cols w:num="2" w:space="720"/>
          <w:docGrid w:linePitch="360"/>
        </w:sectPr>
      </w:pPr>
      <w:r w:rsidRPr="007E770D">
        <w:rPr>
          <w:rFonts w:cstheme="minorHAnsi"/>
          <w:bCs/>
          <w:color w:val="auto"/>
          <w:szCs w:val="72"/>
          <w:lang w:val="sr-Cyrl-CS"/>
        </w:rPr>
        <w:t>Имајући у виду пројектовани примарни резултат буџета Републике Србије за период 2019–2022. године, укључујући и обим повлачења кредитних средстава за пројектно финансирање од буџетских корисника, ефекте промене девизног курса динара према евру и америчком долару, у основном макроекономском сценарију, стање дуга централног нивоа државе требало би да буде на нивоу од 47,2% БДП на крају 2022. године.</w:t>
      </w:r>
    </w:p>
    <w:p w14:paraId="6DF79ED7" w14:textId="77777777" w:rsidR="004044DC" w:rsidRPr="007E770D" w:rsidRDefault="004044DC" w:rsidP="00E4657F">
      <w:pPr>
        <w:jc w:val="center"/>
        <w:rPr>
          <w:b/>
          <w:color w:val="auto"/>
          <w:lang w:val="sr-Cyrl-CS"/>
        </w:rPr>
      </w:pPr>
      <w:r w:rsidRPr="007E770D">
        <w:rPr>
          <w:b/>
          <w:color w:val="auto"/>
          <w:lang w:val="sr-Cyrl-CS"/>
        </w:rPr>
        <w:t>Табела 25. Основна пројекција стања јавног дуга општег нивоа државе до 2022. године</w:t>
      </w:r>
    </w:p>
    <w:tbl>
      <w:tblPr>
        <w:tblStyle w:val="LightShading-Accent122"/>
        <w:tblW w:w="5000" w:type="pct"/>
        <w:tblLook w:val="0420" w:firstRow="1" w:lastRow="0" w:firstColumn="0" w:lastColumn="0" w:noHBand="0" w:noVBand="1"/>
      </w:tblPr>
      <w:tblGrid>
        <w:gridCol w:w="5100"/>
        <w:gridCol w:w="1065"/>
        <w:gridCol w:w="1065"/>
        <w:gridCol w:w="1065"/>
        <w:gridCol w:w="1065"/>
      </w:tblGrid>
      <w:tr w:rsidR="007E770D" w:rsidRPr="007E770D" w14:paraId="6F66568E" w14:textId="77777777" w:rsidTr="00E4657F">
        <w:trPr>
          <w:cnfStyle w:val="100000000000" w:firstRow="1" w:lastRow="0" w:firstColumn="0" w:lastColumn="0" w:oddVBand="0" w:evenVBand="0" w:oddHBand="0" w:evenHBand="0" w:firstRowFirstColumn="0" w:firstRowLastColumn="0" w:lastRowFirstColumn="0" w:lastRowLastColumn="0"/>
          <w:trHeight w:val="20"/>
        </w:trPr>
        <w:tc>
          <w:tcPr>
            <w:tcW w:w="2724" w:type="pct"/>
            <w:tcBorders>
              <w:top w:val="single" w:sz="4" w:space="0" w:color="002060"/>
              <w:bottom w:val="single" w:sz="8" w:space="0" w:color="FFFFFF" w:themeColor="background1"/>
            </w:tcBorders>
            <w:shd w:val="clear" w:color="auto" w:fill="auto"/>
            <w:noWrap/>
            <w:hideMark/>
          </w:tcPr>
          <w:p w14:paraId="4F95A1FB" w14:textId="77777777" w:rsidR="004044DC" w:rsidRPr="007E770D" w:rsidRDefault="004044DC" w:rsidP="00E4657F">
            <w:pPr>
              <w:rPr>
                <w:rFonts w:asciiTheme="minorHAnsi" w:hAnsiTheme="minorHAnsi" w:cstheme="minorHAnsi"/>
                <w:b w:val="0"/>
                <w:color w:val="auto"/>
                <w:sz w:val="18"/>
                <w:szCs w:val="18"/>
                <w:lang w:val="sr-Cyrl-CS"/>
              </w:rPr>
            </w:pPr>
          </w:p>
        </w:tc>
        <w:tc>
          <w:tcPr>
            <w:tcW w:w="569" w:type="pct"/>
            <w:tcBorders>
              <w:top w:val="single" w:sz="4" w:space="0" w:color="002060"/>
              <w:bottom w:val="single" w:sz="4" w:space="0" w:color="002060"/>
            </w:tcBorders>
            <w:shd w:val="clear" w:color="auto" w:fill="auto"/>
            <w:noWrap/>
            <w:hideMark/>
          </w:tcPr>
          <w:p w14:paraId="3A73E809" w14:textId="77777777" w:rsidR="004044DC" w:rsidRPr="007E770D" w:rsidRDefault="004044DC" w:rsidP="00E4657F">
            <w:pPr>
              <w:jc w:val="right"/>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2019 п</w:t>
            </w:r>
          </w:p>
        </w:tc>
        <w:tc>
          <w:tcPr>
            <w:tcW w:w="569" w:type="pct"/>
            <w:tcBorders>
              <w:top w:val="single" w:sz="4" w:space="0" w:color="002060"/>
              <w:bottom w:val="single" w:sz="4" w:space="0" w:color="002060"/>
            </w:tcBorders>
            <w:shd w:val="clear" w:color="auto" w:fill="auto"/>
            <w:noWrap/>
            <w:hideMark/>
          </w:tcPr>
          <w:p w14:paraId="0B99708C" w14:textId="77777777" w:rsidR="004044DC" w:rsidRPr="007E770D" w:rsidRDefault="004044DC" w:rsidP="00E4657F">
            <w:pPr>
              <w:jc w:val="right"/>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2020 п</w:t>
            </w:r>
          </w:p>
        </w:tc>
        <w:tc>
          <w:tcPr>
            <w:tcW w:w="569" w:type="pct"/>
            <w:tcBorders>
              <w:top w:val="single" w:sz="4" w:space="0" w:color="002060"/>
              <w:bottom w:val="single" w:sz="4" w:space="0" w:color="002060"/>
            </w:tcBorders>
            <w:shd w:val="clear" w:color="auto" w:fill="auto"/>
            <w:noWrap/>
            <w:hideMark/>
          </w:tcPr>
          <w:p w14:paraId="187F6515" w14:textId="77777777" w:rsidR="004044DC" w:rsidRPr="007E770D" w:rsidRDefault="004044DC" w:rsidP="00E4657F">
            <w:pPr>
              <w:jc w:val="right"/>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2021 п</w:t>
            </w:r>
          </w:p>
        </w:tc>
        <w:tc>
          <w:tcPr>
            <w:tcW w:w="569" w:type="pct"/>
            <w:tcBorders>
              <w:top w:val="single" w:sz="4" w:space="0" w:color="002060"/>
              <w:bottom w:val="single" w:sz="4" w:space="0" w:color="002060"/>
            </w:tcBorders>
            <w:shd w:val="clear" w:color="auto" w:fill="auto"/>
            <w:noWrap/>
            <w:hideMark/>
          </w:tcPr>
          <w:p w14:paraId="6A558F46" w14:textId="77777777" w:rsidR="004044DC" w:rsidRPr="007E770D" w:rsidRDefault="004044DC" w:rsidP="00E4657F">
            <w:pPr>
              <w:jc w:val="right"/>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2022 п</w:t>
            </w:r>
          </w:p>
        </w:tc>
      </w:tr>
      <w:tr w:rsidR="007E770D" w:rsidRPr="007E770D" w14:paraId="219100ED" w14:textId="77777777" w:rsidTr="00E4657F">
        <w:trPr>
          <w:cnfStyle w:val="000000100000" w:firstRow="0" w:lastRow="0" w:firstColumn="0" w:lastColumn="0" w:oddVBand="0" w:evenVBand="0" w:oddHBand="1" w:evenHBand="0" w:firstRowFirstColumn="0" w:firstRowLastColumn="0" w:lastRowFirstColumn="0" w:lastRowLastColumn="0"/>
          <w:trHeight w:val="20"/>
        </w:trPr>
        <w:tc>
          <w:tcPr>
            <w:tcW w:w="2724" w:type="pct"/>
            <w:shd w:val="clear" w:color="auto" w:fill="auto"/>
            <w:noWrap/>
            <w:hideMark/>
          </w:tcPr>
          <w:p w14:paraId="44137587" w14:textId="77777777" w:rsidR="004044DC" w:rsidRPr="007E770D" w:rsidRDefault="004044DC" w:rsidP="00E4657F">
            <w:pPr>
              <w:spacing w:line="240" w:lineRule="auto"/>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Јавни дуг (централни ниво власти)</w:t>
            </w:r>
          </w:p>
        </w:tc>
        <w:tc>
          <w:tcPr>
            <w:tcW w:w="569" w:type="pct"/>
            <w:tcBorders>
              <w:top w:val="single" w:sz="4" w:space="0" w:color="002060"/>
            </w:tcBorders>
            <w:shd w:val="clear" w:color="auto" w:fill="auto"/>
            <w:noWrap/>
            <w:hideMark/>
          </w:tcPr>
          <w:p w14:paraId="3990A445"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2.814,0</w:t>
            </w:r>
          </w:p>
        </w:tc>
        <w:tc>
          <w:tcPr>
            <w:tcW w:w="569" w:type="pct"/>
            <w:tcBorders>
              <w:top w:val="single" w:sz="4" w:space="0" w:color="002060"/>
            </w:tcBorders>
            <w:shd w:val="clear" w:color="auto" w:fill="auto"/>
            <w:noWrap/>
            <w:hideMark/>
          </w:tcPr>
          <w:p w14:paraId="7CFAB7F0"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2.933,7</w:t>
            </w:r>
          </w:p>
        </w:tc>
        <w:tc>
          <w:tcPr>
            <w:tcW w:w="569" w:type="pct"/>
            <w:tcBorders>
              <w:top w:val="single" w:sz="4" w:space="0" w:color="002060"/>
            </w:tcBorders>
            <w:shd w:val="clear" w:color="auto" w:fill="auto"/>
            <w:noWrap/>
            <w:hideMark/>
          </w:tcPr>
          <w:p w14:paraId="396F8054"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3.072,2</w:t>
            </w:r>
          </w:p>
        </w:tc>
        <w:tc>
          <w:tcPr>
            <w:tcW w:w="569" w:type="pct"/>
            <w:tcBorders>
              <w:top w:val="single" w:sz="4" w:space="0" w:color="002060"/>
            </w:tcBorders>
            <w:shd w:val="clear" w:color="auto" w:fill="auto"/>
            <w:noWrap/>
            <w:hideMark/>
          </w:tcPr>
          <w:p w14:paraId="059AE006"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3.183,7</w:t>
            </w:r>
          </w:p>
        </w:tc>
      </w:tr>
      <w:tr w:rsidR="007E770D" w:rsidRPr="007E770D" w14:paraId="74F8B8A2" w14:textId="77777777" w:rsidTr="00E4657F">
        <w:trPr>
          <w:trHeight w:val="20"/>
        </w:trPr>
        <w:tc>
          <w:tcPr>
            <w:tcW w:w="2724" w:type="pct"/>
            <w:shd w:val="clear" w:color="auto" w:fill="auto"/>
            <w:hideMark/>
          </w:tcPr>
          <w:p w14:paraId="52DD4728" w14:textId="77777777" w:rsidR="004044DC" w:rsidRPr="007E770D" w:rsidRDefault="004044DC" w:rsidP="00E4657F">
            <w:pPr>
              <w:spacing w:line="240" w:lineRule="auto"/>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Дуг централне државе, у % БДП</w:t>
            </w:r>
          </w:p>
        </w:tc>
        <w:tc>
          <w:tcPr>
            <w:tcW w:w="569" w:type="pct"/>
            <w:shd w:val="clear" w:color="auto" w:fill="auto"/>
            <w:noWrap/>
            <w:hideMark/>
          </w:tcPr>
          <w:p w14:paraId="0DFFB92E"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51,9%</w:t>
            </w:r>
          </w:p>
        </w:tc>
        <w:tc>
          <w:tcPr>
            <w:tcW w:w="569" w:type="pct"/>
            <w:shd w:val="clear" w:color="auto" w:fill="auto"/>
            <w:noWrap/>
            <w:hideMark/>
          </w:tcPr>
          <w:p w14:paraId="266FBF8D"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50,3%</w:t>
            </w:r>
          </w:p>
        </w:tc>
        <w:tc>
          <w:tcPr>
            <w:tcW w:w="569" w:type="pct"/>
            <w:shd w:val="clear" w:color="auto" w:fill="auto"/>
            <w:noWrap/>
            <w:hideMark/>
          </w:tcPr>
          <w:p w14:paraId="281453A6"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49,0%</w:t>
            </w:r>
          </w:p>
        </w:tc>
        <w:tc>
          <w:tcPr>
            <w:tcW w:w="569" w:type="pct"/>
            <w:shd w:val="clear" w:color="auto" w:fill="auto"/>
            <w:noWrap/>
            <w:hideMark/>
          </w:tcPr>
          <w:p w14:paraId="2ED9CF76"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47,2%</w:t>
            </w:r>
          </w:p>
        </w:tc>
      </w:tr>
      <w:tr w:rsidR="007E770D" w:rsidRPr="007E770D" w14:paraId="41F77DF5" w14:textId="77777777" w:rsidTr="00E4657F">
        <w:trPr>
          <w:cnfStyle w:val="000000100000" w:firstRow="0" w:lastRow="0" w:firstColumn="0" w:lastColumn="0" w:oddVBand="0" w:evenVBand="0" w:oddHBand="1" w:evenHBand="0" w:firstRowFirstColumn="0" w:firstRowLastColumn="0" w:lastRowFirstColumn="0" w:lastRowLastColumn="0"/>
          <w:trHeight w:val="20"/>
        </w:trPr>
        <w:tc>
          <w:tcPr>
            <w:tcW w:w="2724" w:type="pct"/>
            <w:tcBorders>
              <w:bottom w:val="nil"/>
            </w:tcBorders>
            <w:shd w:val="clear" w:color="auto" w:fill="auto"/>
          </w:tcPr>
          <w:p w14:paraId="04D005BB" w14:textId="6196CEF5" w:rsidR="004044DC" w:rsidRPr="007E770D" w:rsidRDefault="004044DC" w:rsidP="00785ED4">
            <w:pPr>
              <w:spacing w:line="240" w:lineRule="auto"/>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Негарантовани дуг</w:t>
            </w:r>
            <w:r w:rsidR="00C55095" w:rsidRPr="007E770D">
              <w:rPr>
                <w:rFonts w:asciiTheme="minorHAnsi" w:hAnsiTheme="minorHAnsi" w:cstheme="minorHAnsi"/>
                <w:bCs/>
                <w:color w:val="auto"/>
                <w:sz w:val="18"/>
                <w:szCs w:val="18"/>
                <w:lang w:val="sr-Cyrl-CS"/>
              </w:rPr>
              <w:t xml:space="preserve"> </w:t>
            </w:r>
            <w:r w:rsidR="00785ED4" w:rsidRPr="007E770D">
              <w:rPr>
                <w:rFonts w:asciiTheme="minorHAnsi" w:hAnsiTheme="minorHAnsi" w:cstheme="minorHAnsi"/>
                <w:bCs/>
                <w:color w:val="auto"/>
                <w:sz w:val="18"/>
                <w:szCs w:val="18"/>
                <w:lang w:val="sr-Cyrl-CS"/>
              </w:rPr>
              <w:t>јединица локалне самоуправе</w:t>
            </w:r>
            <w:r w:rsidRPr="007E770D">
              <w:rPr>
                <w:rFonts w:asciiTheme="minorHAnsi" w:hAnsiTheme="minorHAnsi" w:cstheme="minorHAnsi"/>
                <w:bCs/>
                <w:color w:val="auto"/>
                <w:sz w:val="18"/>
                <w:szCs w:val="18"/>
                <w:lang w:val="sr-Cyrl-CS"/>
              </w:rPr>
              <w:t>, у % БДП</w:t>
            </w:r>
          </w:p>
        </w:tc>
        <w:tc>
          <w:tcPr>
            <w:tcW w:w="569" w:type="pct"/>
            <w:tcBorders>
              <w:bottom w:val="nil"/>
            </w:tcBorders>
            <w:shd w:val="clear" w:color="auto" w:fill="auto"/>
            <w:noWrap/>
          </w:tcPr>
          <w:p w14:paraId="3B78998C"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1,0%</w:t>
            </w:r>
          </w:p>
        </w:tc>
        <w:tc>
          <w:tcPr>
            <w:tcW w:w="569" w:type="pct"/>
            <w:tcBorders>
              <w:bottom w:val="nil"/>
            </w:tcBorders>
            <w:shd w:val="clear" w:color="auto" w:fill="auto"/>
            <w:noWrap/>
          </w:tcPr>
          <w:p w14:paraId="1CA755B2"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1,1%</w:t>
            </w:r>
          </w:p>
        </w:tc>
        <w:tc>
          <w:tcPr>
            <w:tcW w:w="569" w:type="pct"/>
            <w:tcBorders>
              <w:bottom w:val="nil"/>
            </w:tcBorders>
            <w:shd w:val="clear" w:color="auto" w:fill="auto"/>
            <w:noWrap/>
          </w:tcPr>
          <w:p w14:paraId="5A8F4C3A"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1,1%</w:t>
            </w:r>
          </w:p>
        </w:tc>
        <w:tc>
          <w:tcPr>
            <w:tcW w:w="569" w:type="pct"/>
            <w:tcBorders>
              <w:bottom w:val="nil"/>
            </w:tcBorders>
            <w:shd w:val="clear" w:color="auto" w:fill="auto"/>
            <w:noWrap/>
          </w:tcPr>
          <w:p w14:paraId="466C409C"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1,1%</w:t>
            </w:r>
          </w:p>
        </w:tc>
      </w:tr>
      <w:tr w:rsidR="007E770D" w:rsidRPr="007E770D" w14:paraId="5851F624" w14:textId="77777777" w:rsidTr="00E4657F">
        <w:trPr>
          <w:trHeight w:val="20"/>
        </w:trPr>
        <w:tc>
          <w:tcPr>
            <w:tcW w:w="2724" w:type="pct"/>
            <w:tcBorders>
              <w:top w:val="nil"/>
              <w:bottom w:val="single" w:sz="4" w:space="0" w:color="002060"/>
            </w:tcBorders>
            <w:shd w:val="clear" w:color="auto" w:fill="auto"/>
          </w:tcPr>
          <w:p w14:paraId="4EA7FF50" w14:textId="77777777" w:rsidR="004044DC" w:rsidRPr="007E770D" w:rsidRDefault="004044DC" w:rsidP="00E4657F">
            <w:pPr>
              <w:spacing w:line="240" w:lineRule="auto"/>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Дуг опште државе, у % БДП</w:t>
            </w:r>
          </w:p>
        </w:tc>
        <w:tc>
          <w:tcPr>
            <w:tcW w:w="569" w:type="pct"/>
            <w:tcBorders>
              <w:top w:val="nil"/>
              <w:bottom w:val="single" w:sz="4" w:space="0" w:color="002060"/>
            </w:tcBorders>
            <w:shd w:val="clear" w:color="auto" w:fill="auto"/>
            <w:noWrap/>
          </w:tcPr>
          <w:p w14:paraId="1DFA7BB4"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52,9%</w:t>
            </w:r>
          </w:p>
        </w:tc>
        <w:tc>
          <w:tcPr>
            <w:tcW w:w="569" w:type="pct"/>
            <w:tcBorders>
              <w:top w:val="nil"/>
              <w:bottom w:val="single" w:sz="4" w:space="0" w:color="002060"/>
            </w:tcBorders>
            <w:shd w:val="clear" w:color="auto" w:fill="auto"/>
            <w:noWrap/>
          </w:tcPr>
          <w:p w14:paraId="2D68617D"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51,4%</w:t>
            </w:r>
          </w:p>
        </w:tc>
        <w:tc>
          <w:tcPr>
            <w:tcW w:w="569" w:type="pct"/>
            <w:tcBorders>
              <w:top w:val="nil"/>
              <w:bottom w:val="single" w:sz="4" w:space="0" w:color="002060"/>
            </w:tcBorders>
            <w:shd w:val="clear" w:color="auto" w:fill="auto"/>
            <w:noWrap/>
          </w:tcPr>
          <w:p w14:paraId="1870BBA0"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50,1%</w:t>
            </w:r>
          </w:p>
        </w:tc>
        <w:tc>
          <w:tcPr>
            <w:tcW w:w="569" w:type="pct"/>
            <w:tcBorders>
              <w:top w:val="nil"/>
              <w:bottom w:val="single" w:sz="4" w:space="0" w:color="002060"/>
            </w:tcBorders>
            <w:shd w:val="clear" w:color="auto" w:fill="auto"/>
            <w:noWrap/>
          </w:tcPr>
          <w:p w14:paraId="37DA99FB"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48,3%</w:t>
            </w:r>
          </w:p>
        </w:tc>
      </w:tr>
    </w:tbl>
    <w:p w14:paraId="5B5CB99D" w14:textId="77777777" w:rsidR="004044DC" w:rsidRPr="007E770D" w:rsidRDefault="004044DC" w:rsidP="00E4657F">
      <w:pPr>
        <w:rPr>
          <w:rFonts w:cstheme="minorHAnsi"/>
          <w:bCs/>
          <w:color w:val="auto"/>
          <w:sz w:val="4"/>
          <w:szCs w:val="72"/>
          <w:lang w:val="sr-Cyrl-CS"/>
        </w:rPr>
        <w:sectPr w:rsidR="004044DC" w:rsidRPr="007E770D" w:rsidSect="004E661B">
          <w:type w:val="continuous"/>
          <w:pgSz w:w="12240" w:h="15840"/>
          <w:pgMar w:top="1440" w:right="1440" w:bottom="1440" w:left="1440" w:header="720" w:footer="720" w:gutter="0"/>
          <w:cols w:space="720"/>
          <w:docGrid w:linePitch="360"/>
        </w:sectPr>
      </w:pPr>
    </w:p>
    <w:p w14:paraId="0F49A384" w14:textId="377DADBD" w:rsidR="004044DC" w:rsidRPr="007E770D" w:rsidRDefault="004044DC" w:rsidP="00E4657F">
      <w:pPr>
        <w:rPr>
          <w:rFonts w:cstheme="minorHAnsi"/>
          <w:bCs/>
          <w:color w:val="auto"/>
          <w:spacing w:val="-2"/>
          <w:szCs w:val="72"/>
          <w:lang w:val="sr-Cyrl-CS"/>
        </w:rPr>
      </w:pPr>
      <w:r w:rsidRPr="007E770D">
        <w:rPr>
          <w:rFonts w:cstheme="minorHAnsi"/>
          <w:bCs/>
          <w:color w:val="auto"/>
          <w:spacing w:val="-2"/>
          <w:szCs w:val="72"/>
          <w:lang w:val="sr-Cyrl-CS"/>
        </w:rPr>
        <w:t xml:space="preserve">У 2019. години се очекује пад рација који показује учешће јавног дуга општег нивоа државе у БДП на 52,9%, док се у 2020. години очекује даљи пад на 51,4%. У 2022. години, након неколико година константног пада, очекује се да овај рацио буде на нивоу од 48,3%, чиме би се значајно приближио нивоу дефинисаном фискалним правилом у Закону о буџетском систему (45%). Предвиђа се да ће негарантовани дуг </w:t>
      </w:r>
      <w:r w:rsidR="00785ED4" w:rsidRPr="007E770D">
        <w:rPr>
          <w:rFonts w:cstheme="minorHAnsi"/>
          <w:bCs/>
          <w:color w:val="auto"/>
          <w:spacing w:val="-2"/>
          <w:szCs w:val="72"/>
          <w:lang w:val="sr-Cyrl-CS"/>
        </w:rPr>
        <w:t xml:space="preserve">јединица локалне самоуправе </w:t>
      </w:r>
      <w:r w:rsidRPr="007E770D">
        <w:rPr>
          <w:rFonts w:cstheme="minorHAnsi"/>
          <w:bCs/>
          <w:color w:val="auto"/>
          <w:spacing w:val="-2"/>
          <w:szCs w:val="72"/>
          <w:lang w:val="sr-Cyrl-CS"/>
        </w:rPr>
        <w:t>у наредном периоду бити на релативно стабилном нивоу од око 1,0% БДП у 2019. години до 1,1% БДП у периоду од 2020. до 2022. године.</w:t>
      </w:r>
    </w:p>
    <w:p w14:paraId="1712AC83" w14:textId="77777777" w:rsidR="004044DC" w:rsidRPr="007E770D" w:rsidRDefault="004044DC" w:rsidP="00E4657F">
      <w:pPr>
        <w:rPr>
          <w:b/>
          <w:color w:val="auto"/>
          <w:sz w:val="22"/>
          <w:lang w:val="sr-Cyrl-CS"/>
        </w:rPr>
      </w:pPr>
      <w:r w:rsidRPr="007E770D">
        <w:rPr>
          <w:b/>
          <w:color w:val="auto"/>
          <w:sz w:val="22"/>
          <w:lang w:val="sr-Cyrl-CS"/>
        </w:rPr>
        <w:t>Стање јавног дуга према критеријумима из Мастрихта</w:t>
      </w:r>
    </w:p>
    <w:p w14:paraId="4270E1DA" w14:textId="3CF79842"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 xml:space="preserve">Важно је напоменути да, према националној методологији, у стање јавног дуга улазе директне обавезе централног нивоа власти, као и све индиректне обавезе, односно гарантовани дуг у корист јавних предузећа, </w:t>
      </w:r>
      <w:r w:rsidR="00A8223D" w:rsidRPr="007E770D">
        <w:rPr>
          <w:rFonts w:cstheme="minorHAnsi"/>
          <w:bCs/>
          <w:color w:val="auto"/>
          <w:szCs w:val="72"/>
          <w:lang w:val="sr-Cyrl-CS"/>
        </w:rPr>
        <w:t xml:space="preserve">јединица локалне самоуправе </w:t>
      </w:r>
      <w:r w:rsidRPr="007E770D">
        <w:rPr>
          <w:rFonts w:cstheme="minorHAnsi"/>
          <w:bCs/>
          <w:color w:val="auto"/>
          <w:szCs w:val="72"/>
          <w:lang w:val="sr-Cyrl-CS"/>
        </w:rPr>
        <w:t>и других правних лица чији је оснивач Република Србија.</w:t>
      </w:r>
      <w:r w:rsidRPr="007E770D">
        <w:rPr>
          <w:rFonts w:cstheme="minorHAnsi"/>
          <w:bCs/>
          <w:color w:val="auto"/>
          <w:spacing w:val="-4"/>
          <w:szCs w:val="72"/>
          <w:lang w:val="sr-Cyrl-CS"/>
        </w:rPr>
        <w:t xml:space="preserve"> У стање дуга улазе све гаранције, без обзира да ли ће у наредном периоду оне бити плаћене из буџета.</w:t>
      </w:r>
    </w:p>
    <w:p w14:paraId="7F952DE0" w14:textId="6D5FAECC"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lastRenderedPageBreak/>
        <w:t xml:space="preserve">С обзиром на то да је један од главних економских и политичких циљева Републике Србије прикључење ЕУ, као предуслов се намеће усклађивање домаће методологије у складу са европским стандардима. Из тог разлога, стање јавног дуга се анализира редовно и на основу критеријума постављених Уговором у Мастрихту, који представља систематизоване смернице у циљу одрживости јавног дуга и фискалног система, односно макроекономске стабилности. Према овим критеријумима, у стање јавног дуга треба укључити, поред директних обавеза </w:t>
      </w:r>
      <w:r w:rsidRPr="007E770D">
        <w:rPr>
          <w:rFonts w:cstheme="minorHAnsi"/>
          <w:bCs/>
          <w:color w:val="auto"/>
          <w:szCs w:val="72"/>
          <w:lang w:val="sr-Cyrl-CS"/>
        </w:rPr>
        <w:t xml:space="preserve">централног нивоа власти и негарантовани дуг </w:t>
      </w:r>
      <w:r w:rsidR="00A8223D" w:rsidRPr="007E770D">
        <w:rPr>
          <w:rFonts w:cstheme="minorHAnsi"/>
          <w:bCs/>
          <w:color w:val="auto"/>
          <w:szCs w:val="72"/>
          <w:lang w:val="sr-Cyrl-CS"/>
        </w:rPr>
        <w:t>јединица локалне самоуправе</w:t>
      </w:r>
      <w:r w:rsidRPr="007E770D">
        <w:rPr>
          <w:rFonts w:cstheme="minorHAnsi"/>
          <w:bCs/>
          <w:color w:val="auto"/>
          <w:szCs w:val="72"/>
          <w:lang w:val="sr-Cyrl-CS"/>
        </w:rPr>
        <w:t>, али искључити дуг по основу директних и индиректних обавеза за које се од стране Републике (централног нивоа власти) не врше плаћања.</w:t>
      </w:r>
    </w:p>
    <w:p w14:paraId="190DE7BC" w14:textId="77777777" w:rsidR="004044DC" w:rsidRPr="007E770D" w:rsidRDefault="004044DC" w:rsidP="00E4657F">
      <w:pPr>
        <w:spacing w:after="480"/>
        <w:rPr>
          <w:rFonts w:cstheme="minorHAnsi"/>
          <w:bCs/>
          <w:color w:val="auto"/>
          <w:szCs w:val="72"/>
          <w:lang w:val="sr-Cyrl-CS"/>
        </w:rPr>
        <w:sectPr w:rsidR="004044DC" w:rsidRPr="007E770D" w:rsidSect="004E661B">
          <w:type w:val="continuous"/>
          <w:pgSz w:w="12240" w:h="15840"/>
          <w:pgMar w:top="1440" w:right="1440" w:bottom="1440" w:left="1440" w:header="720" w:footer="720" w:gutter="0"/>
          <w:cols w:num="2" w:space="720"/>
          <w:docGrid w:linePitch="360"/>
        </w:sectPr>
      </w:pPr>
      <w:r w:rsidRPr="007E770D">
        <w:rPr>
          <w:rFonts w:cstheme="minorHAnsi"/>
          <w:bCs/>
          <w:color w:val="auto"/>
          <w:szCs w:val="72"/>
          <w:lang w:val="sr-Cyrl-CS"/>
        </w:rPr>
        <w:t>Овај дуг се мери по номиналној вредности који је једнак уговореним износима дуга који се враћа кредиторима о року доспећа, што значи да јавни дуг није под утицајем промене тржишних приноса и искључује неплаћену обрачунску камату.</w:t>
      </w:r>
    </w:p>
    <w:p w14:paraId="457FC66D" w14:textId="77777777" w:rsidR="004044DC" w:rsidRPr="007E770D" w:rsidRDefault="004044DC" w:rsidP="00E4657F">
      <w:pPr>
        <w:spacing w:before="120"/>
        <w:jc w:val="center"/>
        <w:rPr>
          <w:b/>
          <w:color w:val="auto"/>
          <w:lang w:val="sr-Cyrl-CS"/>
        </w:rPr>
      </w:pPr>
      <w:r w:rsidRPr="007E770D">
        <w:rPr>
          <w:b/>
          <w:color w:val="auto"/>
          <w:lang w:val="sr-Cyrl-CS"/>
        </w:rPr>
        <w:t xml:space="preserve">Табела 26. Структура и пројекција стања јавног дуга према Мастрихт критеријуму до 2022. године </w:t>
      </w:r>
      <w:r w:rsidRPr="007E770D">
        <w:rPr>
          <w:b/>
          <w:color w:val="auto"/>
          <w:lang w:val="sr-Cyrl-CS"/>
        </w:rPr>
        <w:br w:type="textWrapping" w:clear="all"/>
        <w:t>(млрд динара)</w:t>
      </w:r>
    </w:p>
    <w:tbl>
      <w:tblPr>
        <w:tblStyle w:val="LightShading-Accent122"/>
        <w:tblW w:w="4909" w:type="pct"/>
        <w:tblLayout w:type="fixed"/>
        <w:tblLook w:val="0420" w:firstRow="1" w:lastRow="0" w:firstColumn="0" w:lastColumn="0" w:noHBand="0" w:noVBand="1"/>
      </w:tblPr>
      <w:tblGrid>
        <w:gridCol w:w="3391"/>
        <w:gridCol w:w="1000"/>
        <w:gridCol w:w="1292"/>
        <w:gridCol w:w="860"/>
        <w:gridCol w:w="864"/>
        <w:gridCol w:w="858"/>
        <w:gridCol w:w="925"/>
      </w:tblGrid>
      <w:tr w:rsidR="007E770D" w:rsidRPr="007E770D" w14:paraId="778BF969" w14:textId="77777777" w:rsidTr="00E4657F">
        <w:trPr>
          <w:cnfStyle w:val="100000000000" w:firstRow="1" w:lastRow="0" w:firstColumn="0" w:lastColumn="0" w:oddVBand="0" w:evenVBand="0" w:oddHBand="0" w:evenHBand="0" w:firstRowFirstColumn="0" w:firstRowLastColumn="0" w:lastRowFirstColumn="0" w:lastRowLastColumn="0"/>
          <w:trHeight w:val="20"/>
        </w:trPr>
        <w:tc>
          <w:tcPr>
            <w:tcW w:w="1845" w:type="pct"/>
            <w:tcBorders>
              <w:top w:val="single" w:sz="4" w:space="0" w:color="002060"/>
              <w:bottom w:val="single" w:sz="8" w:space="0" w:color="FFFFFF" w:themeColor="background1"/>
            </w:tcBorders>
            <w:shd w:val="clear" w:color="auto" w:fill="auto"/>
            <w:noWrap/>
            <w:hideMark/>
          </w:tcPr>
          <w:p w14:paraId="51EC271A" w14:textId="77777777" w:rsidR="004044DC" w:rsidRPr="007E770D" w:rsidRDefault="004044DC" w:rsidP="00E4657F">
            <w:pPr>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 </w:t>
            </w:r>
          </w:p>
        </w:tc>
        <w:tc>
          <w:tcPr>
            <w:tcW w:w="544" w:type="pct"/>
            <w:tcBorders>
              <w:top w:val="single" w:sz="4" w:space="0" w:color="002060"/>
              <w:bottom w:val="single" w:sz="4" w:space="0" w:color="002060"/>
            </w:tcBorders>
            <w:shd w:val="clear" w:color="auto" w:fill="auto"/>
          </w:tcPr>
          <w:p w14:paraId="6BA4F2AD" w14:textId="77777777" w:rsidR="004044DC" w:rsidRPr="007E770D" w:rsidRDefault="004044DC" w:rsidP="00E4657F">
            <w:pPr>
              <w:jc w:val="right"/>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2018</w:t>
            </w:r>
          </w:p>
        </w:tc>
        <w:tc>
          <w:tcPr>
            <w:tcW w:w="703" w:type="pct"/>
            <w:tcBorders>
              <w:top w:val="single" w:sz="4" w:space="0" w:color="002060"/>
              <w:bottom w:val="single" w:sz="4" w:space="0" w:color="002060"/>
            </w:tcBorders>
            <w:shd w:val="clear" w:color="auto" w:fill="auto"/>
          </w:tcPr>
          <w:p w14:paraId="31FEB5B5" w14:textId="77777777" w:rsidR="004044DC" w:rsidRPr="007E770D" w:rsidRDefault="004044DC" w:rsidP="00E4657F">
            <w:pPr>
              <w:jc w:val="right"/>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31.8.2019.</w:t>
            </w:r>
          </w:p>
        </w:tc>
        <w:tc>
          <w:tcPr>
            <w:tcW w:w="468" w:type="pct"/>
            <w:tcBorders>
              <w:top w:val="single" w:sz="4" w:space="0" w:color="002060"/>
              <w:bottom w:val="single" w:sz="4" w:space="0" w:color="002060"/>
            </w:tcBorders>
            <w:shd w:val="clear" w:color="auto" w:fill="auto"/>
            <w:noWrap/>
            <w:hideMark/>
          </w:tcPr>
          <w:p w14:paraId="138DB919" w14:textId="77777777" w:rsidR="004044DC" w:rsidRPr="007E770D" w:rsidRDefault="004044DC" w:rsidP="00E4657F">
            <w:pPr>
              <w:jc w:val="right"/>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2019 п</w:t>
            </w:r>
          </w:p>
        </w:tc>
        <w:tc>
          <w:tcPr>
            <w:tcW w:w="470" w:type="pct"/>
            <w:tcBorders>
              <w:top w:val="single" w:sz="4" w:space="0" w:color="002060"/>
              <w:bottom w:val="single" w:sz="4" w:space="0" w:color="002060"/>
            </w:tcBorders>
            <w:shd w:val="clear" w:color="auto" w:fill="auto"/>
            <w:noWrap/>
          </w:tcPr>
          <w:p w14:paraId="3F02AD7A" w14:textId="77777777" w:rsidR="004044DC" w:rsidRPr="007E770D" w:rsidRDefault="004044DC" w:rsidP="00E4657F">
            <w:pPr>
              <w:jc w:val="right"/>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2020 п</w:t>
            </w:r>
          </w:p>
        </w:tc>
        <w:tc>
          <w:tcPr>
            <w:tcW w:w="467" w:type="pct"/>
            <w:tcBorders>
              <w:top w:val="single" w:sz="4" w:space="0" w:color="002060"/>
              <w:bottom w:val="single" w:sz="4" w:space="0" w:color="002060"/>
            </w:tcBorders>
            <w:shd w:val="clear" w:color="auto" w:fill="auto"/>
            <w:noWrap/>
          </w:tcPr>
          <w:p w14:paraId="64C60067" w14:textId="77777777" w:rsidR="004044DC" w:rsidRPr="007E770D" w:rsidRDefault="004044DC" w:rsidP="00E4657F">
            <w:pPr>
              <w:jc w:val="right"/>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2021 п</w:t>
            </w:r>
          </w:p>
        </w:tc>
        <w:tc>
          <w:tcPr>
            <w:tcW w:w="503" w:type="pct"/>
            <w:tcBorders>
              <w:top w:val="single" w:sz="4" w:space="0" w:color="002060"/>
              <w:bottom w:val="single" w:sz="4" w:space="0" w:color="002060"/>
            </w:tcBorders>
            <w:shd w:val="clear" w:color="auto" w:fill="auto"/>
            <w:noWrap/>
          </w:tcPr>
          <w:p w14:paraId="1B0A5C84" w14:textId="77777777" w:rsidR="004044DC" w:rsidRPr="007E770D" w:rsidRDefault="004044DC" w:rsidP="00E4657F">
            <w:pPr>
              <w:jc w:val="right"/>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2022 п</w:t>
            </w:r>
          </w:p>
        </w:tc>
      </w:tr>
      <w:tr w:rsidR="007E770D" w:rsidRPr="007E770D" w14:paraId="40176098" w14:textId="77777777" w:rsidTr="00E4657F">
        <w:trPr>
          <w:cnfStyle w:val="000000100000" w:firstRow="0" w:lastRow="0" w:firstColumn="0" w:lastColumn="0" w:oddVBand="0" w:evenVBand="0" w:oddHBand="1" w:evenHBand="0" w:firstRowFirstColumn="0" w:firstRowLastColumn="0" w:lastRowFirstColumn="0" w:lastRowLastColumn="0"/>
          <w:trHeight w:val="284"/>
        </w:trPr>
        <w:tc>
          <w:tcPr>
            <w:tcW w:w="1845" w:type="pct"/>
            <w:tcBorders>
              <w:top w:val="single" w:sz="8" w:space="0" w:color="FFFFFF" w:themeColor="background1"/>
            </w:tcBorders>
            <w:shd w:val="clear" w:color="auto" w:fill="auto"/>
            <w:noWrap/>
            <w:hideMark/>
          </w:tcPr>
          <w:p w14:paraId="4FEC1998" w14:textId="77777777" w:rsidR="004044DC" w:rsidRPr="007E770D" w:rsidRDefault="004044DC" w:rsidP="00E4657F">
            <w:pPr>
              <w:spacing w:line="240" w:lineRule="auto"/>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Укупне директне обавезе</w:t>
            </w:r>
          </w:p>
        </w:tc>
        <w:tc>
          <w:tcPr>
            <w:tcW w:w="544" w:type="pct"/>
            <w:tcBorders>
              <w:top w:val="single" w:sz="4" w:space="0" w:color="002060"/>
            </w:tcBorders>
            <w:shd w:val="clear" w:color="auto" w:fill="auto"/>
            <w:vAlign w:val="center"/>
          </w:tcPr>
          <w:p w14:paraId="2F9EBE27"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2.464,3</w:t>
            </w:r>
          </w:p>
        </w:tc>
        <w:tc>
          <w:tcPr>
            <w:tcW w:w="703" w:type="pct"/>
            <w:tcBorders>
              <w:top w:val="single" w:sz="4" w:space="0" w:color="002060"/>
            </w:tcBorders>
            <w:shd w:val="clear" w:color="auto" w:fill="auto"/>
            <w:vAlign w:val="center"/>
          </w:tcPr>
          <w:p w14:paraId="77F1A127"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2.553,9</w:t>
            </w:r>
          </w:p>
        </w:tc>
        <w:tc>
          <w:tcPr>
            <w:tcW w:w="468" w:type="pct"/>
            <w:tcBorders>
              <w:top w:val="single" w:sz="4" w:space="0" w:color="002060"/>
            </w:tcBorders>
            <w:shd w:val="clear" w:color="auto" w:fill="auto"/>
            <w:noWrap/>
            <w:vAlign w:val="center"/>
            <w:hideMark/>
          </w:tcPr>
          <w:p w14:paraId="0BC03DD9"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2.549,3</w:t>
            </w:r>
          </w:p>
        </w:tc>
        <w:tc>
          <w:tcPr>
            <w:tcW w:w="470" w:type="pct"/>
            <w:tcBorders>
              <w:top w:val="single" w:sz="4" w:space="0" w:color="002060"/>
            </w:tcBorders>
            <w:shd w:val="clear" w:color="auto" w:fill="auto"/>
            <w:noWrap/>
            <w:vAlign w:val="center"/>
            <w:hideMark/>
          </w:tcPr>
          <w:p w14:paraId="691157DD"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2.648,4</w:t>
            </w:r>
          </w:p>
        </w:tc>
        <w:tc>
          <w:tcPr>
            <w:tcW w:w="467" w:type="pct"/>
            <w:tcBorders>
              <w:top w:val="single" w:sz="4" w:space="0" w:color="002060"/>
            </w:tcBorders>
            <w:shd w:val="clear" w:color="auto" w:fill="auto"/>
            <w:noWrap/>
            <w:vAlign w:val="center"/>
            <w:hideMark/>
          </w:tcPr>
          <w:p w14:paraId="5964B5AA"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2.760,6</w:t>
            </w:r>
          </w:p>
        </w:tc>
        <w:tc>
          <w:tcPr>
            <w:tcW w:w="503" w:type="pct"/>
            <w:tcBorders>
              <w:top w:val="single" w:sz="4" w:space="0" w:color="002060"/>
            </w:tcBorders>
            <w:shd w:val="clear" w:color="auto" w:fill="auto"/>
            <w:noWrap/>
            <w:vAlign w:val="center"/>
            <w:hideMark/>
          </w:tcPr>
          <w:p w14:paraId="079A28AE"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2.889,5</w:t>
            </w:r>
          </w:p>
        </w:tc>
      </w:tr>
      <w:tr w:rsidR="007E770D" w:rsidRPr="007E770D" w14:paraId="5AEF725D" w14:textId="77777777" w:rsidTr="00E4657F">
        <w:trPr>
          <w:trHeight w:val="284"/>
        </w:trPr>
        <w:tc>
          <w:tcPr>
            <w:tcW w:w="1845" w:type="pct"/>
            <w:shd w:val="clear" w:color="auto" w:fill="auto"/>
            <w:noWrap/>
            <w:hideMark/>
          </w:tcPr>
          <w:p w14:paraId="5BE188B3" w14:textId="77777777" w:rsidR="004044DC" w:rsidRPr="007E770D" w:rsidRDefault="004044DC" w:rsidP="00E4657F">
            <w:pPr>
              <w:spacing w:line="240" w:lineRule="auto"/>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Гарантовани дуг</w:t>
            </w:r>
          </w:p>
        </w:tc>
        <w:tc>
          <w:tcPr>
            <w:tcW w:w="544" w:type="pct"/>
            <w:shd w:val="clear" w:color="auto" w:fill="auto"/>
            <w:vAlign w:val="center"/>
          </w:tcPr>
          <w:p w14:paraId="764620ED"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96,7</w:t>
            </w:r>
          </w:p>
        </w:tc>
        <w:tc>
          <w:tcPr>
            <w:tcW w:w="703" w:type="pct"/>
            <w:shd w:val="clear" w:color="auto" w:fill="auto"/>
            <w:vAlign w:val="center"/>
          </w:tcPr>
          <w:p w14:paraId="7B6A257F"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97,6</w:t>
            </w:r>
          </w:p>
        </w:tc>
        <w:tc>
          <w:tcPr>
            <w:tcW w:w="468" w:type="pct"/>
            <w:shd w:val="clear" w:color="auto" w:fill="auto"/>
            <w:noWrap/>
            <w:vAlign w:val="center"/>
          </w:tcPr>
          <w:p w14:paraId="322D6DA7"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99,8</w:t>
            </w:r>
          </w:p>
        </w:tc>
        <w:tc>
          <w:tcPr>
            <w:tcW w:w="470" w:type="pct"/>
            <w:shd w:val="clear" w:color="auto" w:fill="auto"/>
            <w:noWrap/>
            <w:vAlign w:val="center"/>
          </w:tcPr>
          <w:p w14:paraId="13D46488"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106,8</w:t>
            </w:r>
          </w:p>
        </w:tc>
        <w:tc>
          <w:tcPr>
            <w:tcW w:w="467" w:type="pct"/>
            <w:shd w:val="clear" w:color="auto" w:fill="auto"/>
            <w:noWrap/>
            <w:vAlign w:val="center"/>
          </w:tcPr>
          <w:p w14:paraId="5621661C"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110,1</w:t>
            </w:r>
          </w:p>
        </w:tc>
        <w:tc>
          <w:tcPr>
            <w:tcW w:w="503" w:type="pct"/>
            <w:shd w:val="clear" w:color="auto" w:fill="auto"/>
            <w:noWrap/>
            <w:vAlign w:val="center"/>
          </w:tcPr>
          <w:p w14:paraId="5A571C8F"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95,6</w:t>
            </w:r>
          </w:p>
        </w:tc>
      </w:tr>
      <w:tr w:rsidR="007E770D" w:rsidRPr="007E770D" w14:paraId="10A9F84F" w14:textId="77777777" w:rsidTr="00E4657F">
        <w:trPr>
          <w:cnfStyle w:val="000000100000" w:firstRow="0" w:lastRow="0" w:firstColumn="0" w:lastColumn="0" w:oddVBand="0" w:evenVBand="0" w:oddHBand="1" w:evenHBand="0" w:firstRowFirstColumn="0" w:firstRowLastColumn="0" w:lastRowFirstColumn="0" w:lastRowLastColumn="0"/>
          <w:trHeight w:val="284"/>
        </w:trPr>
        <w:tc>
          <w:tcPr>
            <w:tcW w:w="1845" w:type="pct"/>
            <w:shd w:val="clear" w:color="auto" w:fill="auto"/>
            <w:noWrap/>
            <w:hideMark/>
          </w:tcPr>
          <w:p w14:paraId="2F034083" w14:textId="77777777" w:rsidR="004044DC" w:rsidRPr="007E770D" w:rsidRDefault="004044DC" w:rsidP="00E4657F">
            <w:pPr>
              <w:spacing w:line="240" w:lineRule="auto"/>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Остали дуг сектора државе</w:t>
            </w:r>
          </w:p>
        </w:tc>
        <w:tc>
          <w:tcPr>
            <w:tcW w:w="544" w:type="pct"/>
            <w:shd w:val="clear" w:color="auto" w:fill="auto"/>
            <w:vAlign w:val="center"/>
          </w:tcPr>
          <w:p w14:paraId="2ACEBC8E"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0,3</w:t>
            </w:r>
          </w:p>
        </w:tc>
        <w:tc>
          <w:tcPr>
            <w:tcW w:w="703" w:type="pct"/>
            <w:shd w:val="clear" w:color="auto" w:fill="auto"/>
            <w:vAlign w:val="center"/>
          </w:tcPr>
          <w:p w14:paraId="58245AB1"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0,3</w:t>
            </w:r>
          </w:p>
        </w:tc>
        <w:tc>
          <w:tcPr>
            <w:tcW w:w="468" w:type="pct"/>
            <w:shd w:val="clear" w:color="auto" w:fill="auto"/>
            <w:noWrap/>
            <w:vAlign w:val="center"/>
          </w:tcPr>
          <w:p w14:paraId="05B8209B"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7,1</w:t>
            </w:r>
          </w:p>
        </w:tc>
        <w:tc>
          <w:tcPr>
            <w:tcW w:w="470" w:type="pct"/>
            <w:shd w:val="clear" w:color="auto" w:fill="auto"/>
            <w:noWrap/>
            <w:vAlign w:val="center"/>
          </w:tcPr>
          <w:p w14:paraId="03C787CB"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6,5</w:t>
            </w:r>
          </w:p>
        </w:tc>
        <w:tc>
          <w:tcPr>
            <w:tcW w:w="467" w:type="pct"/>
            <w:shd w:val="clear" w:color="auto" w:fill="auto"/>
            <w:noWrap/>
            <w:vAlign w:val="center"/>
          </w:tcPr>
          <w:p w14:paraId="18B1340A"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4,8</w:t>
            </w:r>
          </w:p>
        </w:tc>
        <w:tc>
          <w:tcPr>
            <w:tcW w:w="503" w:type="pct"/>
            <w:shd w:val="clear" w:color="auto" w:fill="auto"/>
            <w:noWrap/>
            <w:vAlign w:val="center"/>
          </w:tcPr>
          <w:p w14:paraId="61262D6F"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3,0</w:t>
            </w:r>
          </w:p>
        </w:tc>
      </w:tr>
      <w:tr w:rsidR="007E770D" w:rsidRPr="007E770D" w14:paraId="08804319" w14:textId="77777777" w:rsidTr="00E4657F">
        <w:trPr>
          <w:trHeight w:val="284"/>
        </w:trPr>
        <w:tc>
          <w:tcPr>
            <w:tcW w:w="1845" w:type="pct"/>
            <w:shd w:val="clear" w:color="auto" w:fill="auto"/>
            <w:noWrap/>
            <w:hideMark/>
          </w:tcPr>
          <w:p w14:paraId="63A7A146" w14:textId="14AF9D1E" w:rsidR="004044DC" w:rsidRPr="007E770D" w:rsidRDefault="004044DC" w:rsidP="00785ED4">
            <w:pPr>
              <w:spacing w:line="240" w:lineRule="auto"/>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 xml:space="preserve">Дуг </w:t>
            </w:r>
            <w:r w:rsidR="00785ED4" w:rsidRPr="007E770D">
              <w:rPr>
                <w:rFonts w:asciiTheme="minorHAnsi" w:hAnsiTheme="minorHAnsi" w:cstheme="minorHAnsi"/>
                <w:bCs/>
                <w:color w:val="auto"/>
                <w:sz w:val="18"/>
                <w:szCs w:val="18"/>
                <w:lang w:val="sr-Cyrl-CS"/>
              </w:rPr>
              <w:t>јединица локалне самоуправе</w:t>
            </w:r>
          </w:p>
        </w:tc>
        <w:tc>
          <w:tcPr>
            <w:tcW w:w="544" w:type="pct"/>
            <w:shd w:val="clear" w:color="auto" w:fill="auto"/>
            <w:vAlign w:val="center"/>
          </w:tcPr>
          <w:p w14:paraId="30E2EB93"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63,1</w:t>
            </w:r>
          </w:p>
        </w:tc>
        <w:tc>
          <w:tcPr>
            <w:tcW w:w="703" w:type="pct"/>
            <w:shd w:val="clear" w:color="auto" w:fill="auto"/>
            <w:vAlign w:val="center"/>
          </w:tcPr>
          <w:p w14:paraId="0C742485"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64,6</w:t>
            </w:r>
          </w:p>
        </w:tc>
        <w:tc>
          <w:tcPr>
            <w:tcW w:w="468" w:type="pct"/>
            <w:shd w:val="clear" w:color="auto" w:fill="auto"/>
            <w:noWrap/>
            <w:vAlign w:val="center"/>
          </w:tcPr>
          <w:p w14:paraId="5EA9CC0B"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71,9</w:t>
            </w:r>
          </w:p>
        </w:tc>
        <w:tc>
          <w:tcPr>
            <w:tcW w:w="470" w:type="pct"/>
            <w:shd w:val="clear" w:color="auto" w:fill="auto"/>
            <w:noWrap/>
            <w:vAlign w:val="center"/>
          </w:tcPr>
          <w:p w14:paraId="3305B802"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81,2</w:t>
            </w:r>
          </w:p>
        </w:tc>
        <w:tc>
          <w:tcPr>
            <w:tcW w:w="467" w:type="pct"/>
            <w:shd w:val="clear" w:color="auto" w:fill="auto"/>
            <w:noWrap/>
            <w:vAlign w:val="center"/>
          </w:tcPr>
          <w:p w14:paraId="7D7101C9"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86,2</w:t>
            </w:r>
          </w:p>
        </w:tc>
        <w:tc>
          <w:tcPr>
            <w:tcW w:w="503" w:type="pct"/>
            <w:shd w:val="clear" w:color="auto" w:fill="auto"/>
            <w:noWrap/>
            <w:vAlign w:val="center"/>
          </w:tcPr>
          <w:p w14:paraId="735E6CC9"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91,4</w:t>
            </w:r>
          </w:p>
        </w:tc>
      </w:tr>
      <w:tr w:rsidR="007E770D" w:rsidRPr="007E770D" w14:paraId="5E623D71" w14:textId="77777777" w:rsidTr="00E4657F">
        <w:trPr>
          <w:cnfStyle w:val="000000100000" w:firstRow="0" w:lastRow="0" w:firstColumn="0" w:lastColumn="0" w:oddVBand="0" w:evenVBand="0" w:oddHBand="1" w:evenHBand="0" w:firstRowFirstColumn="0" w:firstRowLastColumn="0" w:lastRowFirstColumn="0" w:lastRowLastColumn="0"/>
          <w:trHeight w:val="284"/>
        </w:trPr>
        <w:tc>
          <w:tcPr>
            <w:tcW w:w="1845" w:type="pct"/>
            <w:shd w:val="clear" w:color="auto" w:fill="auto"/>
            <w:hideMark/>
          </w:tcPr>
          <w:p w14:paraId="3B9AD519" w14:textId="77777777" w:rsidR="004044DC" w:rsidRPr="007E770D" w:rsidRDefault="004044DC" w:rsidP="00E4657F">
            <w:pPr>
              <w:spacing w:line="240" w:lineRule="auto"/>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Дуг институција социјалног осигурања</w:t>
            </w:r>
          </w:p>
        </w:tc>
        <w:tc>
          <w:tcPr>
            <w:tcW w:w="544" w:type="pct"/>
            <w:shd w:val="clear" w:color="auto" w:fill="auto"/>
            <w:vAlign w:val="center"/>
          </w:tcPr>
          <w:p w14:paraId="3DEDF0B5"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0,0</w:t>
            </w:r>
          </w:p>
        </w:tc>
        <w:tc>
          <w:tcPr>
            <w:tcW w:w="703" w:type="pct"/>
            <w:shd w:val="clear" w:color="auto" w:fill="auto"/>
            <w:vAlign w:val="center"/>
          </w:tcPr>
          <w:p w14:paraId="6C381450"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0,0</w:t>
            </w:r>
          </w:p>
        </w:tc>
        <w:tc>
          <w:tcPr>
            <w:tcW w:w="468" w:type="pct"/>
            <w:shd w:val="clear" w:color="auto" w:fill="auto"/>
            <w:noWrap/>
            <w:vAlign w:val="center"/>
          </w:tcPr>
          <w:p w14:paraId="3E70229F"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0,0</w:t>
            </w:r>
          </w:p>
        </w:tc>
        <w:tc>
          <w:tcPr>
            <w:tcW w:w="470" w:type="pct"/>
            <w:shd w:val="clear" w:color="auto" w:fill="auto"/>
            <w:noWrap/>
            <w:vAlign w:val="center"/>
          </w:tcPr>
          <w:p w14:paraId="6EECF46B"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0,0</w:t>
            </w:r>
          </w:p>
        </w:tc>
        <w:tc>
          <w:tcPr>
            <w:tcW w:w="467" w:type="pct"/>
            <w:shd w:val="clear" w:color="auto" w:fill="auto"/>
            <w:noWrap/>
            <w:vAlign w:val="center"/>
          </w:tcPr>
          <w:p w14:paraId="136991BA"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0,0</w:t>
            </w:r>
          </w:p>
        </w:tc>
        <w:tc>
          <w:tcPr>
            <w:tcW w:w="503" w:type="pct"/>
            <w:shd w:val="clear" w:color="auto" w:fill="auto"/>
            <w:noWrap/>
            <w:vAlign w:val="center"/>
          </w:tcPr>
          <w:p w14:paraId="540852ED"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0,0</w:t>
            </w:r>
          </w:p>
        </w:tc>
      </w:tr>
      <w:tr w:rsidR="007E770D" w:rsidRPr="007E770D" w14:paraId="5E0E0256" w14:textId="77777777" w:rsidTr="00E4657F">
        <w:trPr>
          <w:trHeight w:val="284"/>
        </w:trPr>
        <w:tc>
          <w:tcPr>
            <w:tcW w:w="1845" w:type="pct"/>
            <w:tcBorders>
              <w:bottom w:val="nil"/>
            </w:tcBorders>
            <w:shd w:val="clear" w:color="auto" w:fill="auto"/>
            <w:hideMark/>
          </w:tcPr>
          <w:p w14:paraId="79DBEEBD" w14:textId="77777777" w:rsidR="004044DC" w:rsidRPr="007E770D" w:rsidRDefault="004044DC" w:rsidP="00E4657F">
            <w:pPr>
              <w:spacing w:line="240" w:lineRule="auto"/>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Јавни дуг Републике Србије</w:t>
            </w:r>
          </w:p>
        </w:tc>
        <w:tc>
          <w:tcPr>
            <w:tcW w:w="544" w:type="pct"/>
            <w:tcBorders>
              <w:bottom w:val="nil"/>
            </w:tcBorders>
            <w:shd w:val="clear" w:color="auto" w:fill="auto"/>
            <w:vAlign w:val="center"/>
          </w:tcPr>
          <w:p w14:paraId="0562CEF0"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2.624,4</w:t>
            </w:r>
          </w:p>
        </w:tc>
        <w:tc>
          <w:tcPr>
            <w:tcW w:w="703" w:type="pct"/>
            <w:tcBorders>
              <w:bottom w:val="nil"/>
            </w:tcBorders>
            <w:shd w:val="clear" w:color="auto" w:fill="auto"/>
            <w:vAlign w:val="center"/>
          </w:tcPr>
          <w:p w14:paraId="3AA96D7B"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2.716,3</w:t>
            </w:r>
          </w:p>
        </w:tc>
        <w:tc>
          <w:tcPr>
            <w:tcW w:w="468" w:type="pct"/>
            <w:tcBorders>
              <w:bottom w:val="nil"/>
            </w:tcBorders>
            <w:shd w:val="clear" w:color="auto" w:fill="auto"/>
            <w:noWrap/>
            <w:vAlign w:val="center"/>
          </w:tcPr>
          <w:p w14:paraId="10D9EC8A"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2.728,1</w:t>
            </w:r>
          </w:p>
        </w:tc>
        <w:tc>
          <w:tcPr>
            <w:tcW w:w="470" w:type="pct"/>
            <w:tcBorders>
              <w:bottom w:val="nil"/>
            </w:tcBorders>
            <w:shd w:val="clear" w:color="auto" w:fill="auto"/>
            <w:noWrap/>
            <w:vAlign w:val="center"/>
          </w:tcPr>
          <w:p w14:paraId="13543058"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2.843,0</w:t>
            </w:r>
          </w:p>
        </w:tc>
        <w:tc>
          <w:tcPr>
            <w:tcW w:w="467" w:type="pct"/>
            <w:tcBorders>
              <w:bottom w:val="nil"/>
            </w:tcBorders>
            <w:shd w:val="clear" w:color="auto" w:fill="auto"/>
            <w:noWrap/>
            <w:vAlign w:val="center"/>
          </w:tcPr>
          <w:p w14:paraId="1FCF5B04"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2.961,8</w:t>
            </w:r>
          </w:p>
        </w:tc>
        <w:tc>
          <w:tcPr>
            <w:tcW w:w="503" w:type="pct"/>
            <w:tcBorders>
              <w:bottom w:val="nil"/>
            </w:tcBorders>
            <w:shd w:val="clear" w:color="auto" w:fill="auto"/>
            <w:noWrap/>
            <w:vAlign w:val="center"/>
          </w:tcPr>
          <w:p w14:paraId="70E36105"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3.079,5</w:t>
            </w:r>
          </w:p>
        </w:tc>
      </w:tr>
      <w:tr w:rsidR="007E770D" w:rsidRPr="007E770D" w14:paraId="560681BA" w14:textId="77777777" w:rsidTr="00E4657F">
        <w:trPr>
          <w:cnfStyle w:val="000000100000" w:firstRow="0" w:lastRow="0" w:firstColumn="0" w:lastColumn="0" w:oddVBand="0" w:evenVBand="0" w:oddHBand="1" w:evenHBand="0" w:firstRowFirstColumn="0" w:firstRowLastColumn="0" w:lastRowFirstColumn="0" w:lastRowLastColumn="0"/>
          <w:trHeight w:val="284"/>
        </w:trPr>
        <w:tc>
          <w:tcPr>
            <w:tcW w:w="1845" w:type="pct"/>
            <w:tcBorders>
              <w:top w:val="nil"/>
              <w:bottom w:val="single" w:sz="4" w:space="0" w:color="002060"/>
            </w:tcBorders>
            <w:shd w:val="clear" w:color="auto" w:fill="auto"/>
          </w:tcPr>
          <w:p w14:paraId="5A7C9174" w14:textId="77777777" w:rsidR="004044DC" w:rsidRPr="007E770D" w:rsidRDefault="004044DC" w:rsidP="00E4657F">
            <w:pPr>
              <w:spacing w:line="240" w:lineRule="auto"/>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Јавни дуг Републике Србије/БДП</w:t>
            </w:r>
          </w:p>
        </w:tc>
        <w:tc>
          <w:tcPr>
            <w:tcW w:w="544" w:type="pct"/>
            <w:tcBorders>
              <w:top w:val="nil"/>
              <w:bottom w:val="single" w:sz="4" w:space="0" w:color="002060"/>
            </w:tcBorders>
            <w:shd w:val="clear" w:color="auto" w:fill="auto"/>
            <w:vAlign w:val="center"/>
          </w:tcPr>
          <w:p w14:paraId="77E504C6"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51,8%</w:t>
            </w:r>
          </w:p>
        </w:tc>
        <w:tc>
          <w:tcPr>
            <w:tcW w:w="703" w:type="pct"/>
            <w:tcBorders>
              <w:top w:val="nil"/>
              <w:bottom w:val="single" w:sz="4" w:space="0" w:color="002060"/>
            </w:tcBorders>
            <w:shd w:val="clear" w:color="auto" w:fill="auto"/>
            <w:vAlign w:val="center"/>
          </w:tcPr>
          <w:p w14:paraId="27F526E1"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50,1%</w:t>
            </w:r>
          </w:p>
        </w:tc>
        <w:tc>
          <w:tcPr>
            <w:tcW w:w="468" w:type="pct"/>
            <w:tcBorders>
              <w:top w:val="nil"/>
              <w:bottom w:val="single" w:sz="4" w:space="0" w:color="002060"/>
            </w:tcBorders>
            <w:shd w:val="clear" w:color="auto" w:fill="auto"/>
            <w:noWrap/>
            <w:vAlign w:val="center"/>
          </w:tcPr>
          <w:p w14:paraId="02E13E77"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50,4%</w:t>
            </w:r>
          </w:p>
        </w:tc>
        <w:tc>
          <w:tcPr>
            <w:tcW w:w="470" w:type="pct"/>
            <w:tcBorders>
              <w:top w:val="nil"/>
              <w:bottom w:val="single" w:sz="4" w:space="0" w:color="002060"/>
            </w:tcBorders>
            <w:shd w:val="clear" w:color="auto" w:fill="auto"/>
            <w:noWrap/>
            <w:vAlign w:val="center"/>
          </w:tcPr>
          <w:p w14:paraId="1625FB9A"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48,8%</w:t>
            </w:r>
          </w:p>
        </w:tc>
        <w:tc>
          <w:tcPr>
            <w:tcW w:w="467" w:type="pct"/>
            <w:tcBorders>
              <w:top w:val="nil"/>
              <w:bottom w:val="single" w:sz="4" w:space="0" w:color="002060"/>
            </w:tcBorders>
            <w:shd w:val="clear" w:color="auto" w:fill="auto"/>
            <w:noWrap/>
            <w:vAlign w:val="center"/>
          </w:tcPr>
          <w:p w14:paraId="4A320868"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47,3%</w:t>
            </w:r>
          </w:p>
        </w:tc>
        <w:tc>
          <w:tcPr>
            <w:tcW w:w="503" w:type="pct"/>
            <w:tcBorders>
              <w:top w:val="nil"/>
              <w:bottom w:val="single" w:sz="4" w:space="0" w:color="002060"/>
            </w:tcBorders>
            <w:shd w:val="clear" w:color="auto" w:fill="auto"/>
            <w:noWrap/>
            <w:vAlign w:val="center"/>
          </w:tcPr>
          <w:p w14:paraId="7C7956DE" w14:textId="77777777" w:rsidR="004044DC" w:rsidRPr="007E770D" w:rsidRDefault="004044DC" w:rsidP="00E4657F">
            <w:pPr>
              <w:spacing w:line="240" w:lineRule="auto"/>
              <w:jc w:val="right"/>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45,7%</w:t>
            </w:r>
          </w:p>
        </w:tc>
      </w:tr>
    </w:tbl>
    <w:p w14:paraId="52AB98CE" w14:textId="77777777" w:rsidR="004044DC" w:rsidRPr="007E770D" w:rsidRDefault="004044DC" w:rsidP="00E4657F">
      <w:pPr>
        <w:rPr>
          <w:rFonts w:cstheme="minorHAnsi"/>
          <w:bCs/>
          <w:color w:val="auto"/>
          <w:szCs w:val="72"/>
          <w:lang w:val="sr-Cyrl-CS"/>
        </w:rPr>
        <w:sectPr w:rsidR="004044DC" w:rsidRPr="007E770D" w:rsidSect="004E661B">
          <w:type w:val="continuous"/>
          <w:pgSz w:w="12240" w:h="15840"/>
          <w:pgMar w:top="1440" w:right="1440" w:bottom="1440" w:left="1440" w:header="720" w:footer="720" w:gutter="0"/>
          <w:cols w:space="720"/>
          <w:docGrid w:linePitch="360"/>
        </w:sectPr>
      </w:pPr>
    </w:p>
    <w:p w14:paraId="1C1207AE" w14:textId="77777777" w:rsidR="004044DC" w:rsidRPr="007E770D" w:rsidRDefault="004044DC" w:rsidP="00E4657F">
      <w:pPr>
        <w:rPr>
          <w:b/>
          <w:color w:val="auto"/>
          <w:sz w:val="22"/>
          <w:lang w:val="sr-Cyrl-CS"/>
        </w:rPr>
      </w:pPr>
      <w:r w:rsidRPr="007E770D">
        <w:rPr>
          <w:b/>
          <w:color w:val="auto"/>
          <w:sz w:val="22"/>
          <w:lang w:val="sr-Cyrl-CS"/>
        </w:rPr>
        <w:t>Принципи управљања јавним дугом</w:t>
      </w:r>
    </w:p>
    <w:p w14:paraId="7ABD66D0"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Према Закону о јавном дугу, примарни циљ задуживања Републике Србије и управљања јавним дугом је обезбеђивање средстава за редовно сервисирање буџетских потреба по најповољнијим условима и трошковима финансирања уз прихватљив ниво ризика. На основу тога, Стратегија управљања јавним дугом Републике Србије дефинише следеће опште циљеве и принципе:</w:t>
      </w:r>
    </w:p>
    <w:p w14:paraId="4F1E3A24"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1) Осигурати финансирање фискалног дефицита и редовно сервисирање обавеза по основу јавног дуга Републике Србије;</w:t>
      </w:r>
    </w:p>
    <w:p w14:paraId="55A9453A"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2) Дефинисати прихватљив ниво ризика који треба да буде одређен у условима циљане структуре портфолија дуга у смислу валутне структуре дуга, структуре каматних стопа, структуре рочности и структуре дуга према инструментима;</w:t>
      </w:r>
    </w:p>
    <w:p w14:paraId="59D1AD37"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 xml:space="preserve">3) Наставити развој тржишта државних хартија од вредности које се емитују на домаћем и међународном тржишту, што би помогло у </w:t>
      </w:r>
      <w:r w:rsidRPr="007E770D">
        <w:rPr>
          <w:rFonts w:cstheme="minorHAnsi"/>
          <w:bCs/>
          <w:color w:val="auto"/>
          <w:szCs w:val="72"/>
          <w:lang w:val="sr-Cyrl-CS"/>
        </w:rPr>
        <w:t>смањењу трошкова задуживања у средњем и дугом року;</w:t>
      </w:r>
    </w:p>
    <w:p w14:paraId="5BEF0D71"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4) Омогућити транспарентност и предвидивост процеса задуживања.</w:t>
      </w:r>
    </w:p>
    <w:p w14:paraId="7CE3888E"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Стратегија управљања јавним дугом конзистентна је са општим средњорочним макроекономским и фискалним оквиром.</w:t>
      </w:r>
    </w:p>
    <w:p w14:paraId="3FFAADFE"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 xml:space="preserve">Стратегија управљања јавним дугом у наредном средњорочном периоду базира се на финансирању дефицита и главнице дуга буџета Републике Србије углавном путем емисије државних хартија од вредности на домаћем и међународном тржишту капитала. Тржиште државних хартија од вредности је још увек у развоју и један од принципа управљања јавним дугом је флексибилност, како би редовно сервисирање обавеза било обезбеђено. Флексибилност ће се огледати у домену избора тржишта на коме ће се вршити задуживање, валуте задуживања и инструмента финансирања. Избор структуре финансирања узимаће у обзир тренутно стање и тренд развоја домаћег и </w:t>
      </w:r>
      <w:r w:rsidRPr="007E770D">
        <w:rPr>
          <w:rFonts w:cstheme="minorHAnsi"/>
          <w:bCs/>
          <w:color w:val="auto"/>
          <w:szCs w:val="72"/>
          <w:lang w:val="sr-Cyrl-CS"/>
        </w:rPr>
        <w:lastRenderedPageBreak/>
        <w:t>међународног финансијског тржишта (ниво каматних стопа, премије ризика, криву приноса, девизне курсеве референтних валута) и прихватљив ниво изложености финансијским ризицима.</w:t>
      </w:r>
    </w:p>
    <w:p w14:paraId="0EF1AD3D"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Циљ је да се у наредном дугорочном периоду финансирање обавља пре свега емитовањем динарских хартија од вредности на домаћем тржишту. Тренутна ситуација упућује на то да, упркос чврстој одлучности ка развоју домаћег тржишта државних хартија од вредности, један део финансирања може бити обезбеђен на међународном финансијском тржишту у средњорочном периоду.</w:t>
      </w:r>
    </w:p>
    <w:p w14:paraId="688FA6F8"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Позајмљивање у страној валути, као нпр. у америчким доларима, за собом повлачи и девизни ризик услед промене курсa евро – амерички долар, те је из тог разлога неопходно размотрити и користити могућност хеџинга.</w:t>
      </w:r>
    </w:p>
    <w:p w14:paraId="6A055F91"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Политика управљања јавним дугом мора да узме у обзир дугорочну перспективу, али се одлука о финансирању буџетских издатака мора доносити годишње. Одлука о годишњем задуживању се доноси у оквиру закона о буџету за одређену фискалну годину. У зависности од промене основних фискалних агрегата могућа је корекција плана задуживања током фискалне године.</w:t>
      </w:r>
    </w:p>
    <w:p w14:paraId="6B3037F5" w14:textId="77777777" w:rsidR="004044DC" w:rsidRPr="007E770D" w:rsidRDefault="004044DC" w:rsidP="00E4657F">
      <w:pPr>
        <w:rPr>
          <w:b/>
          <w:color w:val="auto"/>
          <w:sz w:val="22"/>
          <w:lang w:val="sr-Cyrl-CS"/>
        </w:rPr>
      </w:pPr>
      <w:r w:rsidRPr="007E770D">
        <w:rPr>
          <w:b/>
          <w:color w:val="auto"/>
          <w:sz w:val="22"/>
          <w:lang w:val="sr-Cyrl-CS"/>
        </w:rPr>
        <w:t>Финансијски ризици и мере за управљање финансијским ризицима</w:t>
      </w:r>
    </w:p>
    <w:p w14:paraId="33DF9CA1" w14:textId="51EF4DDB"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Финансијски и фискални ризици могу довести до већег раста јавног дуга него што предвиђа основни сценарио. Ризици који су присутни и који могу да доведу до раста задужености и трошкова сервисирања јавног дуга су: ризик рефинансирања, девизни ризик, тржишни ризик (ризик каматних стопа, ризик инфлације), ризик ликвидности, кредитни и оперативни ризици и ризици везани за дистрибуцију трошкова сервисирања (структура дуга, концентрација обавеза).</w:t>
      </w:r>
    </w:p>
    <w:p w14:paraId="24889240" w14:textId="77777777" w:rsidR="004044DC" w:rsidRPr="007E770D" w:rsidRDefault="004044DC" w:rsidP="00E4657F">
      <w:pPr>
        <w:spacing w:after="120"/>
        <w:rPr>
          <w:rFonts w:cstheme="minorHAnsi"/>
          <w:bCs/>
          <w:color w:val="auto"/>
          <w:szCs w:val="72"/>
          <w:lang w:val="sr-Cyrl-CS"/>
        </w:rPr>
      </w:pPr>
      <w:r w:rsidRPr="007E770D">
        <w:rPr>
          <w:rFonts w:cstheme="minorHAnsi"/>
          <w:bCs/>
          <w:color w:val="auto"/>
          <w:szCs w:val="72"/>
          <w:lang w:val="sr-Cyrl-CS"/>
        </w:rPr>
        <w:br w:type="column"/>
      </w:r>
      <w:r w:rsidRPr="007E770D">
        <w:rPr>
          <w:rFonts w:cstheme="minorHAnsi"/>
          <w:bCs/>
          <w:color w:val="auto"/>
          <w:szCs w:val="72"/>
          <w:lang w:val="sr-Cyrl-CS"/>
        </w:rPr>
        <w:t>У циљу смањења изложености финансијским ризицима потребно је спроводити следеће мере:</w:t>
      </w:r>
    </w:p>
    <w:p w14:paraId="265F58D9" w14:textId="77777777" w:rsidR="004044DC" w:rsidRPr="007E770D" w:rsidRDefault="004044DC" w:rsidP="00E4657F">
      <w:pPr>
        <w:spacing w:after="60"/>
        <w:rPr>
          <w:rFonts w:cstheme="minorHAnsi"/>
          <w:bCs/>
          <w:color w:val="auto"/>
          <w:szCs w:val="72"/>
          <w:lang w:val="sr-Cyrl-CS"/>
        </w:rPr>
      </w:pPr>
      <w:r w:rsidRPr="007E770D">
        <w:rPr>
          <w:rFonts w:cstheme="minorHAnsi"/>
          <w:bCs/>
          <w:color w:val="auto"/>
          <w:szCs w:val="72"/>
          <w:lang w:val="sr-Cyrl-CS"/>
        </w:rPr>
        <w:t>1. ризик рефинансирања</w:t>
      </w:r>
    </w:p>
    <w:p w14:paraId="32E04E21" w14:textId="77777777" w:rsidR="004044DC" w:rsidRPr="007E770D" w:rsidRDefault="004044DC" w:rsidP="00E4657F">
      <w:pPr>
        <w:numPr>
          <w:ilvl w:val="0"/>
          <w:numId w:val="22"/>
        </w:numPr>
        <w:ind w:left="180" w:hanging="180"/>
        <w:contextualSpacing/>
        <w:rPr>
          <w:rFonts w:cstheme="minorHAnsi"/>
          <w:bCs/>
          <w:color w:val="auto"/>
          <w:szCs w:val="72"/>
          <w:lang w:val="sr-Cyrl-CS"/>
        </w:rPr>
      </w:pPr>
      <w:r w:rsidRPr="007E770D">
        <w:rPr>
          <w:rFonts w:cstheme="minorHAnsi"/>
          <w:bCs/>
          <w:color w:val="auto"/>
          <w:szCs w:val="72"/>
          <w:lang w:val="sr-Cyrl-CS"/>
        </w:rPr>
        <w:t>повећање учешћа средњорочних и дугорочних финансијских инструмената деноминованих у динарима на домаћем финансијском тржишту;</w:t>
      </w:r>
    </w:p>
    <w:p w14:paraId="622224E6" w14:textId="77777777" w:rsidR="004044DC" w:rsidRPr="007E770D" w:rsidRDefault="004044DC" w:rsidP="00E4657F">
      <w:pPr>
        <w:numPr>
          <w:ilvl w:val="0"/>
          <w:numId w:val="22"/>
        </w:numPr>
        <w:ind w:left="180" w:hanging="180"/>
        <w:contextualSpacing/>
        <w:rPr>
          <w:rFonts w:cstheme="minorHAnsi"/>
          <w:bCs/>
          <w:color w:val="auto"/>
          <w:szCs w:val="72"/>
          <w:lang w:val="sr-Cyrl-CS"/>
        </w:rPr>
      </w:pPr>
      <w:r w:rsidRPr="007E770D">
        <w:rPr>
          <w:rFonts w:cstheme="minorHAnsi"/>
          <w:bCs/>
          <w:color w:val="auto"/>
          <w:szCs w:val="72"/>
          <w:lang w:val="sr-Cyrl-CS"/>
        </w:rPr>
        <w:t>равномерна расподела обавеза по основу јавног дуга на годишњем нивоу у наредном дугорочном периоду;</w:t>
      </w:r>
    </w:p>
    <w:p w14:paraId="52EE6E62" w14:textId="77777777" w:rsidR="004044DC" w:rsidRPr="007E770D" w:rsidRDefault="004044DC" w:rsidP="00E4657F">
      <w:pPr>
        <w:numPr>
          <w:ilvl w:val="0"/>
          <w:numId w:val="22"/>
        </w:numPr>
        <w:spacing w:after="120"/>
        <w:ind w:left="181" w:hanging="181"/>
        <w:rPr>
          <w:rFonts w:cstheme="minorHAnsi"/>
          <w:bCs/>
          <w:color w:val="auto"/>
          <w:szCs w:val="72"/>
          <w:lang w:val="sr-Cyrl-CS"/>
        </w:rPr>
      </w:pPr>
      <w:r w:rsidRPr="007E770D">
        <w:rPr>
          <w:rFonts w:cstheme="minorHAnsi"/>
          <w:bCs/>
          <w:color w:val="auto"/>
          <w:szCs w:val="72"/>
          <w:lang w:val="sr-Cyrl-CS"/>
        </w:rPr>
        <w:t>продужавање просечне рочности дуга који се емитује у хартијама од вредности;</w:t>
      </w:r>
    </w:p>
    <w:p w14:paraId="200D95D9" w14:textId="77777777" w:rsidR="004044DC" w:rsidRPr="007E770D" w:rsidRDefault="004044DC" w:rsidP="00E4657F">
      <w:pPr>
        <w:spacing w:after="60"/>
        <w:rPr>
          <w:rFonts w:cstheme="minorHAnsi"/>
          <w:bCs/>
          <w:color w:val="auto"/>
          <w:szCs w:val="72"/>
          <w:lang w:val="sr-Cyrl-CS"/>
        </w:rPr>
      </w:pPr>
      <w:r w:rsidRPr="007E770D">
        <w:rPr>
          <w:rFonts w:cstheme="minorHAnsi"/>
          <w:bCs/>
          <w:color w:val="auto"/>
          <w:szCs w:val="72"/>
          <w:lang w:val="sr-Cyrl-CS"/>
        </w:rPr>
        <w:t>2. девизни ризик</w:t>
      </w:r>
    </w:p>
    <w:p w14:paraId="443A5D0E" w14:textId="77777777" w:rsidR="004044DC" w:rsidRPr="007E770D" w:rsidRDefault="004044DC" w:rsidP="00E4657F">
      <w:pPr>
        <w:numPr>
          <w:ilvl w:val="1"/>
          <w:numId w:val="25"/>
        </w:numPr>
        <w:ind w:left="180" w:hanging="180"/>
        <w:contextualSpacing/>
        <w:rPr>
          <w:rFonts w:cstheme="minorHAnsi"/>
          <w:bCs/>
          <w:color w:val="auto"/>
          <w:szCs w:val="72"/>
          <w:lang w:val="sr-Cyrl-CS"/>
        </w:rPr>
      </w:pPr>
      <w:r w:rsidRPr="007E770D">
        <w:rPr>
          <w:rFonts w:cstheme="minorHAnsi"/>
          <w:bCs/>
          <w:color w:val="auto"/>
          <w:szCs w:val="72"/>
          <w:lang w:val="sr-Cyrl-CS"/>
        </w:rPr>
        <w:t>настојање да се смањи учешће дуга деноминованог у ино-валути уз уважавање трошкова новог дуга (трошкови динаризације дуга);</w:t>
      </w:r>
    </w:p>
    <w:p w14:paraId="0E10B6E8" w14:textId="77777777" w:rsidR="004044DC" w:rsidRPr="007E770D" w:rsidRDefault="004044DC" w:rsidP="00E4657F">
      <w:pPr>
        <w:numPr>
          <w:ilvl w:val="1"/>
          <w:numId w:val="25"/>
        </w:numPr>
        <w:ind w:left="180" w:hanging="180"/>
        <w:contextualSpacing/>
        <w:rPr>
          <w:rFonts w:cstheme="minorHAnsi"/>
          <w:bCs/>
          <w:color w:val="auto"/>
          <w:szCs w:val="72"/>
          <w:lang w:val="sr-Cyrl-CS"/>
        </w:rPr>
      </w:pPr>
      <w:r w:rsidRPr="007E770D">
        <w:rPr>
          <w:rFonts w:cstheme="minorHAnsi"/>
          <w:bCs/>
          <w:color w:val="auto"/>
          <w:szCs w:val="72"/>
          <w:lang w:val="sr-Cyrl-CS"/>
        </w:rPr>
        <w:t>коришћење финансијских деривата у циљу лимитирања ефеката промене курсева референтних валута;</w:t>
      </w:r>
    </w:p>
    <w:p w14:paraId="3245AD6F" w14:textId="77777777" w:rsidR="004044DC" w:rsidRPr="007E770D" w:rsidRDefault="004044DC" w:rsidP="00E4657F">
      <w:pPr>
        <w:numPr>
          <w:ilvl w:val="1"/>
          <w:numId w:val="25"/>
        </w:numPr>
        <w:spacing w:after="120"/>
        <w:ind w:left="181" w:hanging="181"/>
        <w:rPr>
          <w:rFonts w:cstheme="minorHAnsi"/>
          <w:bCs/>
          <w:color w:val="auto"/>
          <w:szCs w:val="72"/>
          <w:lang w:val="sr-Cyrl-CS"/>
        </w:rPr>
      </w:pPr>
      <w:r w:rsidRPr="007E770D">
        <w:rPr>
          <w:rFonts w:cstheme="minorHAnsi"/>
          <w:bCs/>
          <w:color w:val="auto"/>
          <w:szCs w:val="72"/>
          <w:lang w:val="sr-Cyrl-CS"/>
        </w:rPr>
        <w:t>настојање да спољни дуг буде углавном у еврима и да се доларски дуг користи само ако је финансирање на међународном тржишту у доларима јефтиније уз коришћење финансијских деривата за лимитирање ризика;</w:t>
      </w:r>
    </w:p>
    <w:p w14:paraId="361B5C48" w14:textId="77777777" w:rsidR="004044DC" w:rsidRPr="007E770D" w:rsidRDefault="004044DC" w:rsidP="00E4657F">
      <w:pPr>
        <w:spacing w:after="60"/>
        <w:rPr>
          <w:rFonts w:cstheme="minorHAnsi"/>
          <w:bCs/>
          <w:color w:val="auto"/>
          <w:szCs w:val="72"/>
          <w:lang w:val="sr-Cyrl-CS"/>
        </w:rPr>
      </w:pPr>
      <w:r w:rsidRPr="007E770D">
        <w:rPr>
          <w:rFonts w:cstheme="minorHAnsi"/>
          <w:bCs/>
          <w:color w:val="auto"/>
          <w:szCs w:val="72"/>
          <w:lang w:val="sr-Cyrl-CS"/>
        </w:rPr>
        <w:t>3. тржишни ризик (ризик каматних стопа, ризик инфлације)</w:t>
      </w:r>
    </w:p>
    <w:p w14:paraId="52B011A5" w14:textId="77777777" w:rsidR="004044DC" w:rsidRPr="007E770D" w:rsidRDefault="004044DC" w:rsidP="00E4657F">
      <w:pPr>
        <w:numPr>
          <w:ilvl w:val="1"/>
          <w:numId w:val="27"/>
        </w:numPr>
        <w:ind w:left="180" w:hanging="180"/>
        <w:contextualSpacing/>
        <w:rPr>
          <w:rFonts w:cstheme="minorHAnsi"/>
          <w:bCs/>
          <w:color w:val="auto"/>
          <w:szCs w:val="72"/>
          <w:lang w:val="sr-Cyrl-CS"/>
        </w:rPr>
      </w:pPr>
      <w:r w:rsidRPr="007E770D">
        <w:rPr>
          <w:rFonts w:cstheme="minorHAnsi"/>
          <w:bCs/>
          <w:color w:val="auto"/>
          <w:szCs w:val="72"/>
          <w:lang w:val="sr-Cyrl-CS"/>
        </w:rPr>
        <w:t>настојање да се продужи просечна рочност домаћег дуга у динарима;</w:t>
      </w:r>
    </w:p>
    <w:p w14:paraId="47A1B877" w14:textId="77777777" w:rsidR="004044DC" w:rsidRPr="007E770D" w:rsidRDefault="004044DC" w:rsidP="00E4657F">
      <w:pPr>
        <w:numPr>
          <w:ilvl w:val="1"/>
          <w:numId w:val="27"/>
        </w:numPr>
        <w:spacing w:after="120"/>
        <w:ind w:left="181" w:hanging="181"/>
        <w:rPr>
          <w:rFonts w:cstheme="minorHAnsi"/>
          <w:bCs/>
          <w:color w:val="auto"/>
          <w:szCs w:val="72"/>
          <w:lang w:val="sr-Cyrl-CS"/>
        </w:rPr>
      </w:pPr>
      <w:r w:rsidRPr="007E770D">
        <w:rPr>
          <w:rFonts w:cstheme="minorHAnsi"/>
          <w:bCs/>
          <w:color w:val="auto"/>
          <w:szCs w:val="72"/>
          <w:lang w:val="sr-Cyrl-CS"/>
        </w:rPr>
        <w:t>настојање да ризик по основу каматних стопа на спољни дуг не угрожава дугорочни циљ минимизације трошкова јавног дуга;</w:t>
      </w:r>
    </w:p>
    <w:p w14:paraId="222E78AF" w14:textId="77777777" w:rsidR="004044DC" w:rsidRPr="007E770D" w:rsidRDefault="004044DC" w:rsidP="00E4657F">
      <w:pPr>
        <w:spacing w:after="60"/>
        <w:rPr>
          <w:rFonts w:cstheme="minorHAnsi"/>
          <w:bCs/>
          <w:color w:val="auto"/>
          <w:szCs w:val="72"/>
          <w:lang w:val="sr-Cyrl-CS"/>
        </w:rPr>
      </w:pPr>
      <w:r w:rsidRPr="007E770D">
        <w:rPr>
          <w:rFonts w:cstheme="minorHAnsi"/>
          <w:bCs/>
          <w:color w:val="auto"/>
          <w:szCs w:val="72"/>
          <w:lang w:val="sr-Cyrl-CS"/>
        </w:rPr>
        <w:t>4. ризик ликвидности</w:t>
      </w:r>
    </w:p>
    <w:p w14:paraId="6BD8A80A" w14:textId="77777777" w:rsidR="004044DC" w:rsidRPr="007E770D" w:rsidRDefault="004044DC" w:rsidP="00E4657F">
      <w:pPr>
        <w:numPr>
          <w:ilvl w:val="1"/>
          <w:numId w:val="29"/>
        </w:numPr>
        <w:ind w:left="180" w:hanging="180"/>
        <w:contextualSpacing/>
        <w:rPr>
          <w:rFonts w:cstheme="minorHAnsi"/>
          <w:bCs/>
          <w:color w:val="auto"/>
          <w:szCs w:val="72"/>
          <w:lang w:val="sr-Cyrl-CS"/>
        </w:rPr>
      </w:pPr>
      <w:r w:rsidRPr="007E770D">
        <w:rPr>
          <w:rFonts w:cstheme="minorHAnsi"/>
          <w:bCs/>
          <w:color w:val="auto"/>
          <w:szCs w:val="72"/>
          <w:lang w:val="sr-Cyrl-CS"/>
        </w:rPr>
        <w:t>перманентно одржавање нивоа готовине на рачунима Републике Србије на нивоу који омогућава несметано финансирање обавеза у минимуму од четири месеца и на нивоу који омогућава апсорпцију евентуалних мањих прилива по основу задуживања у односу на план;</w:t>
      </w:r>
    </w:p>
    <w:p w14:paraId="71B378FF" w14:textId="77777777" w:rsidR="004044DC" w:rsidRPr="007E770D" w:rsidRDefault="004044DC" w:rsidP="00E4657F">
      <w:pPr>
        <w:numPr>
          <w:ilvl w:val="1"/>
          <w:numId w:val="29"/>
        </w:numPr>
        <w:spacing w:after="120"/>
        <w:ind w:left="181" w:hanging="181"/>
        <w:rPr>
          <w:rFonts w:cstheme="minorHAnsi"/>
          <w:bCs/>
          <w:color w:val="auto"/>
          <w:szCs w:val="72"/>
          <w:lang w:val="sr-Cyrl-CS"/>
        </w:rPr>
      </w:pPr>
      <w:r w:rsidRPr="007E770D">
        <w:rPr>
          <w:rFonts w:cstheme="minorHAnsi"/>
          <w:bCs/>
          <w:color w:val="auto"/>
          <w:szCs w:val="72"/>
          <w:lang w:val="sr-Cyrl-CS"/>
        </w:rPr>
        <w:t>адекватно управљање слободним готовинским средствима на рачунима Републике Србије у складу са принципима asset-liability management и у складу са могућностима;</w:t>
      </w:r>
    </w:p>
    <w:p w14:paraId="0D35C819" w14:textId="77777777" w:rsidR="004044DC" w:rsidRPr="007E770D" w:rsidRDefault="004044DC" w:rsidP="00E4657F">
      <w:pPr>
        <w:spacing w:after="120"/>
        <w:rPr>
          <w:rFonts w:cstheme="minorHAnsi"/>
          <w:bCs/>
          <w:color w:val="auto"/>
          <w:szCs w:val="72"/>
          <w:lang w:val="sr-Cyrl-CS"/>
        </w:rPr>
      </w:pPr>
    </w:p>
    <w:p w14:paraId="634A2B7D" w14:textId="77777777" w:rsidR="004044DC" w:rsidRPr="007E770D" w:rsidRDefault="004044DC" w:rsidP="00E4657F">
      <w:pPr>
        <w:spacing w:after="120"/>
        <w:rPr>
          <w:rFonts w:cstheme="minorHAnsi"/>
          <w:bCs/>
          <w:color w:val="auto"/>
          <w:szCs w:val="72"/>
          <w:lang w:val="sr-Cyrl-CS"/>
        </w:rPr>
      </w:pPr>
    </w:p>
    <w:p w14:paraId="2F735465" w14:textId="77777777" w:rsidR="004044DC" w:rsidRPr="007E770D" w:rsidRDefault="004044DC" w:rsidP="00E4657F">
      <w:pPr>
        <w:spacing w:after="60"/>
        <w:rPr>
          <w:rFonts w:cstheme="minorHAnsi"/>
          <w:bCs/>
          <w:color w:val="auto"/>
          <w:szCs w:val="72"/>
          <w:lang w:val="sr-Cyrl-CS"/>
        </w:rPr>
      </w:pPr>
      <w:r w:rsidRPr="007E770D">
        <w:rPr>
          <w:rFonts w:cstheme="minorHAnsi"/>
          <w:bCs/>
          <w:color w:val="auto"/>
          <w:szCs w:val="72"/>
          <w:lang w:val="sr-Cyrl-CS"/>
        </w:rPr>
        <w:lastRenderedPageBreak/>
        <w:t>5. кредитни и оперативни ризици</w:t>
      </w:r>
    </w:p>
    <w:p w14:paraId="76797570" w14:textId="644668B6" w:rsidR="004044DC" w:rsidRPr="007E770D" w:rsidRDefault="004044DC" w:rsidP="00E4657F">
      <w:pPr>
        <w:numPr>
          <w:ilvl w:val="1"/>
          <w:numId w:val="31"/>
        </w:numPr>
        <w:ind w:left="180" w:hanging="180"/>
        <w:contextualSpacing/>
        <w:rPr>
          <w:rFonts w:cstheme="minorHAnsi"/>
          <w:bCs/>
          <w:color w:val="auto"/>
          <w:szCs w:val="72"/>
          <w:lang w:val="sr-Cyrl-CS"/>
        </w:rPr>
      </w:pPr>
      <w:r w:rsidRPr="007E770D">
        <w:rPr>
          <w:rFonts w:cstheme="minorHAnsi"/>
          <w:bCs/>
          <w:color w:val="auto"/>
          <w:szCs w:val="72"/>
          <w:lang w:val="sr-Cyrl-CS"/>
        </w:rPr>
        <w:t>спровођење т</w:t>
      </w:r>
      <w:r w:rsidR="00462CF3">
        <w:rPr>
          <w:rFonts w:cstheme="minorHAnsi"/>
          <w:bCs/>
          <w:color w:val="auto"/>
          <w:szCs w:val="72"/>
          <w:lang w:val="sr-Cyrl-CS"/>
        </w:rPr>
        <w:t>рансакција са финансијским дери</w:t>
      </w:r>
      <w:r w:rsidRPr="007E770D">
        <w:rPr>
          <w:rFonts w:cstheme="minorHAnsi"/>
          <w:bCs/>
          <w:color w:val="auto"/>
          <w:szCs w:val="72"/>
          <w:lang w:val="sr-Cyrl-CS"/>
        </w:rPr>
        <w:t>ватима само са финансијским институцијама које имају висок кредитни рејтинг;</w:t>
      </w:r>
    </w:p>
    <w:p w14:paraId="2C9B4638" w14:textId="77777777" w:rsidR="004044DC" w:rsidRPr="007E770D" w:rsidRDefault="004044DC" w:rsidP="00E4657F">
      <w:pPr>
        <w:numPr>
          <w:ilvl w:val="1"/>
          <w:numId w:val="31"/>
        </w:numPr>
        <w:ind w:left="180" w:hanging="180"/>
        <w:contextualSpacing/>
        <w:rPr>
          <w:rFonts w:cstheme="minorHAnsi"/>
          <w:bCs/>
          <w:color w:val="auto"/>
          <w:szCs w:val="72"/>
          <w:lang w:val="sr-Cyrl-CS"/>
        </w:rPr>
      </w:pPr>
      <w:r w:rsidRPr="007E770D">
        <w:rPr>
          <w:rFonts w:cstheme="minorHAnsi"/>
          <w:bCs/>
          <w:color w:val="auto"/>
          <w:szCs w:val="72"/>
          <w:lang w:val="sr-Cyrl-CS"/>
        </w:rPr>
        <w:t>коришћење финансијских инструмената који лимитирају кредитни ризик;</w:t>
      </w:r>
    </w:p>
    <w:p w14:paraId="5BE1A7FC" w14:textId="76F78F49" w:rsidR="004044DC" w:rsidRPr="007E770D" w:rsidRDefault="004044DC" w:rsidP="00E4657F">
      <w:pPr>
        <w:numPr>
          <w:ilvl w:val="1"/>
          <w:numId w:val="31"/>
        </w:numPr>
        <w:ind w:left="180" w:hanging="180"/>
        <w:contextualSpacing/>
        <w:rPr>
          <w:rFonts w:cstheme="minorHAnsi"/>
          <w:bCs/>
          <w:color w:val="auto"/>
          <w:szCs w:val="72"/>
          <w:lang w:val="sr-Cyrl-CS"/>
        </w:rPr>
      </w:pPr>
      <w:r w:rsidRPr="007E770D">
        <w:rPr>
          <w:rFonts w:cstheme="minorHAnsi"/>
          <w:bCs/>
          <w:color w:val="auto"/>
          <w:szCs w:val="72"/>
          <w:lang w:val="sr-Cyrl-CS"/>
        </w:rPr>
        <w:t xml:space="preserve">давање гаранција и одобравање новог дуга </w:t>
      </w:r>
      <w:r w:rsidR="00A8223D" w:rsidRPr="007E770D">
        <w:rPr>
          <w:rFonts w:cstheme="minorHAnsi"/>
          <w:bCs/>
          <w:color w:val="auto"/>
          <w:szCs w:val="72"/>
          <w:lang w:val="sr-Cyrl-CS"/>
        </w:rPr>
        <w:t>јединицама локалне самоуправе</w:t>
      </w:r>
      <w:r w:rsidRPr="007E770D">
        <w:rPr>
          <w:rFonts w:cstheme="minorHAnsi"/>
          <w:bCs/>
          <w:color w:val="auto"/>
          <w:szCs w:val="72"/>
          <w:lang w:val="sr-Cyrl-CS"/>
        </w:rPr>
        <w:t xml:space="preserve"> само ако постоји адекватна анализа о релативно ниском степену вероватноће да се реализује гаранција или да </w:t>
      </w:r>
      <w:r w:rsidR="00785ED4" w:rsidRPr="007E770D">
        <w:rPr>
          <w:rFonts w:cstheme="minorHAnsi"/>
          <w:bCs/>
          <w:color w:val="auto"/>
          <w:szCs w:val="72"/>
          <w:lang w:val="sr-Cyrl-CS"/>
        </w:rPr>
        <w:t>јединица локалне самоуправе</w:t>
      </w:r>
      <w:r w:rsidRPr="007E770D">
        <w:rPr>
          <w:rFonts w:cstheme="minorHAnsi"/>
          <w:bCs/>
          <w:color w:val="auto"/>
          <w:szCs w:val="72"/>
          <w:lang w:val="sr-Cyrl-CS"/>
        </w:rPr>
        <w:t xml:space="preserve"> постане несолвентна у средњорочном периоду;</w:t>
      </w:r>
    </w:p>
    <w:p w14:paraId="7AF65FFC" w14:textId="77777777" w:rsidR="004044DC" w:rsidRPr="007E770D" w:rsidRDefault="004044DC" w:rsidP="00E4657F">
      <w:pPr>
        <w:numPr>
          <w:ilvl w:val="0"/>
          <w:numId w:val="17"/>
        </w:numPr>
        <w:tabs>
          <w:tab w:val="left" w:pos="90"/>
        </w:tabs>
        <w:spacing w:after="120"/>
        <w:ind w:left="181" w:hanging="272"/>
        <w:rPr>
          <w:rFonts w:cstheme="minorHAnsi"/>
          <w:bCs/>
          <w:color w:val="auto"/>
          <w:szCs w:val="72"/>
          <w:lang w:val="sr-Cyrl-CS"/>
        </w:rPr>
      </w:pPr>
      <w:r w:rsidRPr="007E770D">
        <w:rPr>
          <w:rFonts w:cstheme="minorHAnsi"/>
          <w:bCs/>
          <w:color w:val="auto"/>
          <w:szCs w:val="72"/>
          <w:lang w:val="sr-Cyrl-CS"/>
        </w:rPr>
        <w:t>увођење адекватне контроле у свим пословним активностима у Управи за јавни дуг и унапређење знања запослених;</w:t>
      </w:r>
    </w:p>
    <w:p w14:paraId="58CD46E6" w14:textId="77777777" w:rsidR="004044DC" w:rsidRPr="007E770D" w:rsidRDefault="004044DC" w:rsidP="00E4657F">
      <w:pPr>
        <w:tabs>
          <w:tab w:val="left" w:pos="90"/>
        </w:tabs>
        <w:spacing w:after="60"/>
        <w:ind w:left="-90"/>
        <w:rPr>
          <w:rFonts w:cstheme="minorHAnsi"/>
          <w:bCs/>
          <w:color w:val="auto"/>
          <w:szCs w:val="72"/>
          <w:lang w:val="sr-Cyrl-CS"/>
        </w:rPr>
      </w:pPr>
      <w:r w:rsidRPr="007E770D">
        <w:rPr>
          <w:rFonts w:cstheme="minorHAnsi"/>
          <w:bCs/>
          <w:color w:val="auto"/>
          <w:szCs w:val="72"/>
          <w:lang w:val="sr-Cyrl-CS"/>
        </w:rPr>
        <w:t>6. ризици везани за дистрибуцију трошкова сервисирања</w:t>
      </w:r>
    </w:p>
    <w:p w14:paraId="5625C53D" w14:textId="77777777" w:rsidR="004044DC" w:rsidRPr="007E770D" w:rsidRDefault="004044DC" w:rsidP="00E4657F">
      <w:pPr>
        <w:numPr>
          <w:ilvl w:val="0"/>
          <w:numId w:val="17"/>
        </w:numPr>
        <w:tabs>
          <w:tab w:val="left" w:pos="90"/>
        </w:tabs>
        <w:ind w:left="180" w:hanging="270"/>
        <w:contextualSpacing/>
        <w:rPr>
          <w:rFonts w:cstheme="minorHAnsi"/>
          <w:bCs/>
          <w:color w:val="auto"/>
          <w:szCs w:val="72"/>
          <w:lang w:val="sr-Cyrl-CS"/>
        </w:rPr>
      </w:pPr>
      <w:r w:rsidRPr="007E770D">
        <w:rPr>
          <w:rFonts w:cstheme="minorHAnsi"/>
          <w:bCs/>
          <w:color w:val="auto"/>
          <w:szCs w:val="72"/>
          <w:lang w:val="sr-Cyrl-CS"/>
        </w:rPr>
        <w:t>адекватно планирање задуживања на годишњем нивоу и равномерна расподела у наредним годинама и током фискалне године како би се избегао ризик велике концентрације обавеза за рефинансирање;</w:t>
      </w:r>
    </w:p>
    <w:p w14:paraId="020C8D48" w14:textId="77777777" w:rsidR="004044DC" w:rsidRPr="007E770D" w:rsidRDefault="004044DC" w:rsidP="00E4657F">
      <w:pPr>
        <w:numPr>
          <w:ilvl w:val="0"/>
          <w:numId w:val="17"/>
        </w:numPr>
        <w:tabs>
          <w:tab w:val="left" w:pos="90"/>
        </w:tabs>
        <w:ind w:left="180" w:hanging="270"/>
        <w:contextualSpacing/>
        <w:rPr>
          <w:rFonts w:cstheme="minorHAnsi"/>
          <w:bCs/>
          <w:color w:val="auto"/>
          <w:szCs w:val="72"/>
          <w:lang w:val="sr-Cyrl-CS"/>
        </w:rPr>
      </w:pPr>
      <w:r w:rsidRPr="007E770D">
        <w:rPr>
          <w:rFonts w:cstheme="minorHAnsi"/>
          <w:bCs/>
          <w:color w:val="auto"/>
          <w:szCs w:val="72"/>
          <w:lang w:val="sr-Cyrl-CS"/>
        </w:rPr>
        <w:t>избегавање концентрације обавеза по основу јавног дуга на месечном нивоу, који не би могао бити амортизован слободним новчаним средствима на рачунима Републике Србије.</w:t>
      </w:r>
    </w:p>
    <w:p w14:paraId="3694A7A6" w14:textId="77777777" w:rsidR="004044DC" w:rsidRPr="007E770D" w:rsidRDefault="004044DC" w:rsidP="00E4657F">
      <w:pPr>
        <w:tabs>
          <w:tab w:val="left" w:pos="90"/>
        </w:tabs>
        <w:contextualSpacing/>
        <w:rPr>
          <w:rFonts w:cstheme="minorHAnsi"/>
          <w:bCs/>
          <w:color w:val="auto"/>
          <w:szCs w:val="72"/>
          <w:lang w:val="sr-Cyrl-CS"/>
        </w:rPr>
      </w:pPr>
    </w:p>
    <w:p w14:paraId="7FF05063" w14:textId="7FCAE024" w:rsidR="004044DC" w:rsidRPr="007E770D" w:rsidRDefault="004044DC" w:rsidP="00E4657F">
      <w:pPr>
        <w:tabs>
          <w:tab w:val="left" w:pos="90"/>
        </w:tabs>
        <w:contextualSpacing/>
        <w:rPr>
          <w:rFonts w:cstheme="minorHAnsi"/>
          <w:bCs/>
          <w:color w:val="auto"/>
          <w:szCs w:val="72"/>
          <w:lang w:val="sr-Cyrl-CS"/>
        </w:rPr>
      </w:pPr>
      <w:r w:rsidRPr="007E770D">
        <w:rPr>
          <w:rFonts w:cstheme="minorHAnsi"/>
          <w:bCs/>
          <w:color w:val="auto"/>
          <w:szCs w:val="72"/>
          <w:lang w:val="sr-Cyrl-CS"/>
        </w:rPr>
        <w:t>Захваљујући спровођењу дефинисаних мера у претходних неколико година дошло је до значајног побољшања структуре јавног дуга у скоро свим сегментима – побољшане су валутна структура и структура каматних стопа, значајно повећана рочност, смањени трошкови задуживања, смањен гарантовани јавни дуг, долази до равномерније расподеле обавеза уз перманентно одржавање адекватног нивоа ликвидности. Примера ради, удео јавног дуга у динарима је порастао са 20,9%, колико је и</w:t>
      </w:r>
      <w:r w:rsidR="00462CF3">
        <w:rPr>
          <w:rFonts w:cstheme="minorHAnsi"/>
          <w:bCs/>
          <w:color w:val="auto"/>
          <w:szCs w:val="72"/>
          <w:lang w:val="sr-Cyrl-CS"/>
        </w:rPr>
        <w:t>з</w:t>
      </w:r>
      <w:r w:rsidRPr="007E770D">
        <w:rPr>
          <w:rFonts w:cstheme="minorHAnsi"/>
          <w:bCs/>
          <w:color w:val="auto"/>
          <w:szCs w:val="72"/>
          <w:lang w:val="sr-Cyrl-CS"/>
        </w:rPr>
        <w:t>носио на крају 2016. године, на 27,4% на крају августа 2019. године. У истом временском интервалу удео јавног дуга у америчким доларима се смањио са 33,9% на 22,4% , док се након додатног превременог откупа еврообвезнице Србија 2020 очекује да његов удео у јавном дугу падне испод 20,0%</w:t>
      </w:r>
    </w:p>
    <w:p w14:paraId="4148E8F1" w14:textId="77777777" w:rsidR="004044DC" w:rsidRPr="007E770D" w:rsidRDefault="004044DC" w:rsidP="00E4657F">
      <w:pPr>
        <w:rPr>
          <w:b/>
          <w:color w:val="auto"/>
          <w:sz w:val="22"/>
          <w:lang w:val="sr-Cyrl-CS"/>
        </w:rPr>
      </w:pPr>
    </w:p>
    <w:p w14:paraId="251D2C83" w14:textId="77777777" w:rsidR="004044DC" w:rsidRPr="007E770D" w:rsidRDefault="004044DC" w:rsidP="00E4657F">
      <w:pPr>
        <w:rPr>
          <w:b/>
          <w:color w:val="auto"/>
          <w:sz w:val="22"/>
          <w:lang w:val="sr-Cyrl-CS"/>
        </w:rPr>
      </w:pPr>
      <w:r w:rsidRPr="007E770D">
        <w:rPr>
          <w:b/>
          <w:color w:val="auto"/>
          <w:sz w:val="22"/>
          <w:lang w:val="sr-Cyrl-CS"/>
        </w:rPr>
        <w:t>Анализе коришћене приликом израде Стратегије за управљање јавним дугом</w:t>
      </w:r>
    </w:p>
    <w:p w14:paraId="6B415196" w14:textId="4A3F69C6"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Управа за јавни дуг је користила квантитативни приступ за формулисање Стратегије за управљање јавним дугом, идентификујући могућа ограничења кроз макроекономске показатеље, анализу трошкова и ризика и тржишних услова који утичу на управљање јавним дугом. Приликом анализирања трошкова и ризика разматрају се све изводљиве алтернативе финансирања. Удео сваког инструмента у укупним потребама за финансирањем у датој години одређен је у складу са циљевима Стратегије.</w:t>
      </w:r>
    </w:p>
    <w:p w14:paraId="43E3E9F1"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У сврху анализе коришћени су доле описани инструменти доступни на домаћем и међународном финансијском тржишту.</w:t>
      </w:r>
    </w:p>
    <w:p w14:paraId="1992A589" w14:textId="77777777" w:rsidR="004044DC" w:rsidRPr="007E770D" w:rsidRDefault="004044DC" w:rsidP="00E4657F">
      <w:pPr>
        <w:rPr>
          <w:b/>
          <w:color w:val="auto"/>
          <w:sz w:val="22"/>
          <w:lang w:val="sr-Cyrl-CS"/>
        </w:rPr>
      </w:pPr>
      <w:r w:rsidRPr="007E770D">
        <w:rPr>
          <w:b/>
          <w:color w:val="auto"/>
          <w:sz w:val="22"/>
          <w:lang w:val="sr-Cyrl-CS"/>
        </w:rPr>
        <w:t>Извори финансирања деноминовани у страној валути</w:t>
      </w:r>
    </w:p>
    <w:p w14:paraId="29E52A39" w14:textId="77777777" w:rsidR="004044DC" w:rsidRPr="007E770D" w:rsidRDefault="004044DC" w:rsidP="00E4657F">
      <w:pPr>
        <w:numPr>
          <w:ilvl w:val="0"/>
          <w:numId w:val="18"/>
        </w:numPr>
        <w:ind w:left="180" w:hanging="180"/>
        <w:contextualSpacing/>
        <w:rPr>
          <w:rFonts w:cstheme="minorHAnsi"/>
          <w:bCs/>
          <w:color w:val="auto"/>
          <w:szCs w:val="72"/>
          <w:lang w:val="sr-Cyrl-CS"/>
        </w:rPr>
      </w:pPr>
      <w:r w:rsidRPr="007E770D">
        <w:rPr>
          <w:rFonts w:cstheme="minorHAnsi"/>
          <w:bCs/>
          <w:color w:val="auto"/>
          <w:szCs w:val="72"/>
          <w:lang w:val="sr-Cyrl-CS"/>
        </w:rPr>
        <w:t>Зајмови страних влада и међународних финансијских институција – приказани као концесионални инструменти деноминовани у еврима или америчким доларима, са фиксном или варијабилном каматном стопом;</w:t>
      </w:r>
    </w:p>
    <w:p w14:paraId="5791A20D" w14:textId="77777777" w:rsidR="004044DC" w:rsidRPr="007E770D" w:rsidRDefault="004044DC" w:rsidP="00E4657F">
      <w:pPr>
        <w:numPr>
          <w:ilvl w:val="0"/>
          <w:numId w:val="18"/>
        </w:numPr>
        <w:ind w:left="180" w:hanging="180"/>
        <w:contextualSpacing/>
        <w:rPr>
          <w:rFonts w:cstheme="minorHAnsi"/>
          <w:bCs/>
          <w:color w:val="auto"/>
          <w:szCs w:val="72"/>
          <w:lang w:val="sr-Cyrl-CS"/>
        </w:rPr>
      </w:pPr>
      <w:r w:rsidRPr="007E770D">
        <w:rPr>
          <w:rFonts w:cstheme="minorHAnsi"/>
          <w:bCs/>
          <w:color w:val="auto"/>
          <w:szCs w:val="72"/>
          <w:lang w:val="sr-Cyrl-CS"/>
        </w:rPr>
        <w:t>Домаћи дуг деноминован у еврима исказан кроз два инструмента – државни записи и државне обвезнице емитоване на домаћем финансијском тржишту;</w:t>
      </w:r>
    </w:p>
    <w:p w14:paraId="0902A24B" w14:textId="77777777" w:rsidR="004044DC" w:rsidRPr="007E770D" w:rsidRDefault="004044DC" w:rsidP="00E4657F">
      <w:pPr>
        <w:numPr>
          <w:ilvl w:val="1"/>
          <w:numId w:val="21"/>
        </w:numPr>
        <w:ind w:left="180" w:hanging="180"/>
        <w:contextualSpacing/>
        <w:rPr>
          <w:rFonts w:cstheme="minorHAnsi"/>
          <w:bCs/>
          <w:color w:val="auto"/>
          <w:szCs w:val="72"/>
          <w:lang w:val="sr-Cyrl-CS"/>
        </w:rPr>
      </w:pPr>
      <w:r w:rsidRPr="007E770D">
        <w:rPr>
          <w:rFonts w:cstheme="minorHAnsi"/>
          <w:bCs/>
          <w:color w:val="auto"/>
          <w:spacing w:val="-2"/>
          <w:szCs w:val="72"/>
          <w:lang w:val="sr-Cyrl-CS"/>
        </w:rPr>
        <w:t>Еврообвезница (еуробонд) – емитована у еврима</w:t>
      </w:r>
      <w:r w:rsidRPr="007E770D">
        <w:rPr>
          <w:rFonts w:cstheme="minorHAnsi"/>
          <w:bCs/>
          <w:color w:val="auto"/>
          <w:szCs w:val="72"/>
          <w:lang w:val="sr-Cyrl-CS"/>
        </w:rPr>
        <w:t xml:space="preserve"> или америчким доларима на међународном финансијском тржишту.</w:t>
      </w:r>
    </w:p>
    <w:p w14:paraId="4518DB5B" w14:textId="77777777" w:rsidR="004044DC" w:rsidRPr="007E770D" w:rsidRDefault="004044DC" w:rsidP="00E4657F">
      <w:pPr>
        <w:ind w:left="180"/>
        <w:contextualSpacing/>
        <w:rPr>
          <w:rFonts w:cstheme="minorHAnsi"/>
          <w:bCs/>
          <w:color w:val="auto"/>
          <w:szCs w:val="72"/>
          <w:lang w:val="sr-Cyrl-CS"/>
        </w:rPr>
      </w:pPr>
    </w:p>
    <w:p w14:paraId="65A4102B" w14:textId="77777777" w:rsidR="004044DC" w:rsidRPr="007E770D" w:rsidRDefault="004044DC" w:rsidP="00E4657F">
      <w:pPr>
        <w:rPr>
          <w:b/>
          <w:color w:val="auto"/>
          <w:sz w:val="22"/>
          <w:lang w:val="sr-Cyrl-CS"/>
        </w:rPr>
      </w:pPr>
      <w:r w:rsidRPr="007E770D">
        <w:rPr>
          <w:b/>
          <w:color w:val="auto"/>
          <w:sz w:val="22"/>
          <w:lang w:val="sr-Cyrl-CS"/>
        </w:rPr>
        <w:t>Извори финансирања у домаћој валути</w:t>
      </w:r>
    </w:p>
    <w:p w14:paraId="620D20DA"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Све државне хартије од вредности деноминоване у динарима груписане су у неколико група, и то: у краткорочне државне записе (са роковима доспећа до 53 недеље), двогодишње, трогодишње и дугорочне (петогодишње, седмогодишње и десетогодишње) државне обвезнице.</w:t>
      </w:r>
    </w:p>
    <w:p w14:paraId="2CB2463B" w14:textId="77777777" w:rsidR="004044DC" w:rsidRPr="007E770D" w:rsidRDefault="004044DC" w:rsidP="00E4657F">
      <w:pPr>
        <w:rPr>
          <w:b/>
          <w:color w:val="auto"/>
          <w:sz w:val="22"/>
          <w:lang w:val="sr-Cyrl-CS"/>
        </w:rPr>
      </w:pPr>
      <w:r w:rsidRPr="007E770D">
        <w:rPr>
          <w:b/>
          <w:color w:val="auto"/>
          <w:sz w:val="22"/>
          <w:lang w:val="sr-Cyrl-CS"/>
        </w:rPr>
        <w:t>Будуће тржишне каматне стопе и сценарио анализа</w:t>
      </w:r>
    </w:p>
    <w:p w14:paraId="4E3D02A6" w14:textId="6A0DF28E"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Приликом израде средњорочне стратегије управ</w:t>
      </w:r>
      <w:r w:rsidR="00D37C77" w:rsidRPr="007E770D">
        <w:rPr>
          <w:rFonts w:cstheme="minorHAnsi"/>
          <w:bCs/>
          <w:color w:val="auto"/>
          <w:szCs w:val="72"/>
          <w:lang w:val="sr-Cyrl-CS"/>
        </w:rPr>
        <w:t>љања јавним дугом за период 2020</w:t>
      </w:r>
      <w:r w:rsidRPr="007E770D">
        <w:rPr>
          <w:rFonts w:cstheme="minorHAnsi"/>
          <w:bCs/>
          <w:color w:val="auto"/>
          <w:szCs w:val="72"/>
          <w:lang w:val="sr-Cyrl-CS"/>
        </w:rPr>
        <w:t xml:space="preserve">–2022. године коришћене су квантитативне анализе </w:t>
      </w:r>
      <w:r w:rsidRPr="007E770D">
        <w:rPr>
          <w:rFonts w:cstheme="minorHAnsi"/>
          <w:bCs/>
          <w:color w:val="auto"/>
          <w:szCs w:val="72"/>
          <w:lang w:val="sr-Cyrl-CS"/>
        </w:rPr>
        <w:lastRenderedPageBreak/>
        <w:t>трошкова и ризика засноване на различитим сценаријима и пројекцијама.</w:t>
      </w:r>
    </w:p>
    <w:p w14:paraId="159B8382"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Полази се од основног сценарија који се базира на највише вероватним тржишним условима. Затим, идентификоване су три групе тржишних варијабли: девизни курс, каматне стопе на међународном тржишту и каматне стопе на динаре. Будуће тржишне стопе могу се извести анализом доступних предвиђања паритета куповне снаге или предвиђањем паритета каматних стопа. Претпостављено је кретање курса динара у односу на евро и у односу на амерички долар у складу са макроекономским оквиром у посматраном периоду и задржан је релативно стабилан однос евра и америчког долара, како би се добила чиста слика датог ефекта примењеног шока. У шоковима су тестирани ефекти промена тржишних каматних стопа. Приступ за динарске и евро каматне стопе заснива се на стопама оствареним током претходне и текуће године.</w:t>
      </w:r>
    </w:p>
    <w:p w14:paraId="0A10C69B"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Након дефинисања основног сценарија, у циљу стрес тестирања одабране су додатне врсте сценарија – шокова.</w:t>
      </w:r>
    </w:p>
    <w:p w14:paraId="409FDA83"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Депрецијација динара у односу на све валуте од 15% у 2020. години. У овом сценарију однос евра и америчког долара би остао стабилан, док би само динар депрецирао у односу на обе валуте.</w:t>
      </w:r>
    </w:p>
    <w:p w14:paraId="4F8EA1E4"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Повећање каматних стопа на домаћем и међународном тржишту за око 2 п. п.</w:t>
      </w:r>
    </w:p>
    <w:p w14:paraId="2DE57A8D" w14:textId="77777777" w:rsidR="004044DC" w:rsidRPr="007E770D" w:rsidRDefault="004044DC" w:rsidP="00E4657F">
      <w:pPr>
        <w:rPr>
          <w:rFonts w:cstheme="minorHAnsi"/>
          <w:bCs/>
          <w:color w:val="auto"/>
          <w:szCs w:val="72"/>
          <w:lang w:val="sr-Cyrl-CS"/>
        </w:rPr>
      </w:pPr>
      <w:r w:rsidRPr="007E770D">
        <w:rPr>
          <w:rFonts w:cstheme="minorHAnsi"/>
          <w:bCs/>
          <w:color w:val="auto"/>
          <w:spacing w:val="-2"/>
          <w:szCs w:val="72"/>
          <w:lang w:val="sr-Cyrl-CS"/>
        </w:rPr>
        <w:t>Повећање каматних стопа на међународном тржишту до 3 п. п., а на домаћем тржишту до 4 п. п</w:t>
      </w:r>
      <w:r w:rsidRPr="007E770D">
        <w:rPr>
          <w:rFonts w:cstheme="minorHAnsi"/>
          <w:bCs/>
          <w:color w:val="auto"/>
          <w:szCs w:val="72"/>
          <w:lang w:val="sr-Cyrl-CS"/>
        </w:rPr>
        <w:t>.</w:t>
      </w:r>
    </w:p>
    <w:p w14:paraId="579B3B14"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Комбиновани шок који се односи на депрецијацију динара у односу на долар 15% у 2021. години и раст каматних стопа за око 2 п. п.</w:t>
      </w:r>
    </w:p>
    <w:p w14:paraId="79364F85"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Сваки од горе наведених стрес тестова или сценарија ризика је коришћен за преглед ефеката коштања разматраних стратегија.</w:t>
      </w:r>
    </w:p>
    <w:p w14:paraId="339598AE" w14:textId="6DDA8B21" w:rsidR="004044DC" w:rsidRPr="007E770D" w:rsidRDefault="004044DC" w:rsidP="00E4657F">
      <w:pPr>
        <w:rPr>
          <w:b/>
          <w:color w:val="auto"/>
          <w:sz w:val="22"/>
          <w:lang w:val="sr-Cyrl-CS"/>
        </w:rPr>
      </w:pPr>
      <w:r w:rsidRPr="007E770D">
        <w:rPr>
          <w:b/>
          <w:color w:val="auto"/>
          <w:sz w:val="22"/>
          <w:lang w:val="sr-Cyrl-CS"/>
        </w:rPr>
        <w:t>Алтернативне стра</w:t>
      </w:r>
      <w:r w:rsidR="00D37C77" w:rsidRPr="007E770D">
        <w:rPr>
          <w:b/>
          <w:color w:val="auto"/>
          <w:sz w:val="22"/>
          <w:lang w:val="sr-Cyrl-CS"/>
        </w:rPr>
        <w:t>тегије задуживања за период 2020</w:t>
      </w:r>
      <w:r w:rsidRPr="007E770D">
        <w:rPr>
          <w:b/>
          <w:color w:val="auto"/>
          <w:sz w:val="22"/>
          <w:lang w:val="sr-Cyrl-CS"/>
        </w:rPr>
        <w:t>–2022. године</w:t>
      </w:r>
    </w:p>
    <w:p w14:paraId="0D0F0C54"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 xml:space="preserve">Оптимални избор између трошкова и ризика, на бази модела Светске банке </w:t>
      </w:r>
      <w:r w:rsidRPr="007E770D">
        <w:rPr>
          <w:rFonts w:cstheme="minorHAnsi"/>
          <w:bCs/>
          <w:i/>
          <w:color w:val="auto"/>
          <w:szCs w:val="72"/>
          <w:lang w:val="sr-Cyrl-CS"/>
        </w:rPr>
        <w:t>Medium Term Debt Strategy Model</w:t>
      </w:r>
      <w:r w:rsidRPr="007E770D">
        <w:rPr>
          <w:rFonts w:cstheme="minorHAnsi"/>
          <w:bCs/>
          <w:color w:val="auto"/>
          <w:szCs w:val="72"/>
          <w:lang w:val="sr-Cyrl-CS"/>
        </w:rPr>
        <w:t xml:space="preserve"> – MTDS, дефинисао је избор основне стратегије задуживања за наредни </w:t>
      </w:r>
      <w:r w:rsidRPr="007E770D">
        <w:rPr>
          <w:rFonts w:cstheme="minorHAnsi"/>
          <w:bCs/>
          <w:color w:val="auto"/>
          <w:szCs w:val="72"/>
          <w:lang w:val="sr-Cyrl-CS"/>
        </w:rPr>
        <w:t>средњорочни период. Анализиране алтернативне стратегије задуживања су:</w:t>
      </w:r>
    </w:p>
    <w:p w14:paraId="1558A013"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Основна стратегија (С1): представља стратегију која покрива потребе за финансирањем емисијама државних хартија од вредности највећим делом из динара на домаћем финансијском тржишту (87%), док је остатак обезбеђен из емисије евра на домаћем финансијском тржишту.</w:t>
      </w:r>
    </w:p>
    <w:p w14:paraId="0401BD2A"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 xml:space="preserve">Стратегија (С2): у односу на стратегију С1, потребе за финансирањем задовољавају се емисијом државних хартија од вредности на домаћем тржишту, у домаћој валути (50%) и страној валути (50%). </w:t>
      </w:r>
    </w:p>
    <w:p w14:paraId="51C2B9F1"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Стратегија заснована на емисијама еврообвезница (С3): стратегија С3, у односу на стратегију С1, представља стратегију која целокупно финансирање заснива на емисијама еврообвезница у еврима рочности пет и десет година.</w:t>
      </w:r>
    </w:p>
    <w:p w14:paraId="3664298B"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Стратегија додатне динаризације (С4): представља стратегију која целокупно финансирање заснива на емисијама динарских хартија од вредности.</w:t>
      </w:r>
    </w:p>
    <w:p w14:paraId="3B9A8EEA"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Финансирање издатака буџета Републике Србије по свим стратегијама вршиће се углавном путем емисија државних хартија од вредности на међународном и домаћем тржишту капитала.</w:t>
      </w:r>
    </w:p>
    <w:p w14:paraId="3369838C" w14:textId="77777777" w:rsidR="004044DC" w:rsidRPr="007E770D" w:rsidRDefault="004044DC" w:rsidP="00E4657F">
      <w:pPr>
        <w:rPr>
          <w:b/>
          <w:color w:val="auto"/>
          <w:lang w:val="sr-Cyrl-CS"/>
        </w:rPr>
      </w:pPr>
      <w:r w:rsidRPr="007E770D">
        <w:rPr>
          <w:b/>
          <w:color w:val="auto"/>
          <w:sz w:val="22"/>
          <w:lang w:val="sr-Cyrl-CS"/>
        </w:rPr>
        <w:t>Поређење алтернативних стратегија</w:t>
      </w:r>
    </w:p>
    <w:p w14:paraId="71E851D8"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Квантитативна анализа представља учинке сваке од четири алтернативне стратегије задуживања, где се на вертикалној оси налази учешће дуга у БДП, односно трошка камата у БДП при основном макроекономском оквиру, док се на хоризонталној оси налази потенцијални трошак одређене стратегије задуживања (резултат стрес теста). Примењене су две мере трошкова: однос јавног дуга према БДП и номинална камата као проценат БДП. Први однос је индикатор стања, а други индикатор тока. У циљу поређења, пажња је усмерена на резултате разматраних стратегија на крају 2022. године.</w:t>
      </w:r>
    </w:p>
    <w:p w14:paraId="7898D050" w14:textId="77777777" w:rsidR="004044DC" w:rsidRPr="007E770D" w:rsidRDefault="004044DC" w:rsidP="00E4657F">
      <w:pPr>
        <w:jc w:val="left"/>
        <w:rPr>
          <w:b/>
          <w:color w:val="auto"/>
          <w:lang w:val="sr-Cyrl-CS"/>
        </w:rPr>
      </w:pPr>
      <w:r w:rsidRPr="007E770D">
        <w:rPr>
          <w:b/>
          <w:color w:val="auto"/>
          <w:lang w:val="sr-Cyrl-CS"/>
        </w:rPr>
        <w:br w:type="page"/>
      </w:r>
    </w:p>
    <w:p w14:paraId="197C8F37" w14:textId="77777777" w:rsidR="004044DC" w:rsidRPr="007E770D" w:rsidRDefault="004044DC" w:rsidP="00E4657F">
      <w:pPr>
        <w:jc w:val="center"/>
        <w:rPr>
          <w:b/>
          <w:color w:val="auto"/>
          <w:lang w:val="sr-Cyrl-CS"/>
        </w:rPr>
      </w:pPr>
      <w:r w:rsidRPr="007E770D">
        <w:rPr>
          <w:b/>
          <w:color w:val="auto"/>
          <w:lang w:val="sr-Cyrl-CS"/>
        </w:rPr>
        <w:lastRenderedPageBreak/>
        <w:t>Однос дуга и БДП на крају 2022. године</w:t>
      </w:r>
    </w:p>
    <w:p w14:paraId="5A8EF816" w14:textId="77777777" w:rsidR="004044DC" w:rsidRPr="007E770D" w:rsidRDefault="004044DC" w:rsidP="00E4657F">
      <w:pPr>
        <w:jc w:val="center"/>
        <w:rPr>
          <w:b/>
          <w:color w:val="auto"/>
          <w:lang w:val="sr-Cyrl-CS"/>
        </w:rPr>
      </w:pPr>
      <w:r w:rsidRPr="007E770D">
        <w:rPr>
          <w:noProof/>
          <w:color w:val="auto"/>
        </w:rPr>
        <w:drawing>
          <wp:inline distT="0" distB="0" distL="0" distR="0" wp14:anchorId="1C2DB7AA" wp14:editId="20EBAE74">
            <wp:extent cx="2762250" cy="1609725"/>
            <wp:effectExtent l="0" t="0" r="0" b="0"/>
            <wp:docPr id="76" name="Chart 76"/>
            <wp:cNvGraphicFramePr/>
            <a:graphic xmlns:a="http://schemas.openxmlformats.org/drawingml/2006/main">
              <a:graphicData uri="http://schemas.openxmlformats.org/drawingml/2006/chart">
                <c:chart xmlns:c="http://schemas.openxmlformats.org/drawingml/2006/chart" xmlns:r="http://schemas.openxmlformats.org/officeDocument/2006/relationships" r:id="rId168"/>
              </a:graphicData>
            </a:graphic>
          </wp:inline>
        </w:drawing>
      </w:r>
    </w:p>
    <w:p w14:paraId="39D04C4B" w14:textId="77777777" w:rsidR="004044DC" w:rsidRPr="007E770D" w:rsidRDefault="004044DC" w:rsidP="00E4657F">
      <w:pPr>
        <w:jc w:val="center"/>
        <w:rPr>
          <w:b/>
          <w:color w:val="auto"/>
          <w:lang w:val="sr-Cyrl-CS"/>
        </w:rPr>
      </w:pPr>
    </w:p>
    <w:p w14:paraId="070BAD18" w14:textId="77777777" w:rsidR="004044DC" w:rsidRPr="007E770D" w:rsidRDefault="004044DC" w:rsidP="00E4657F">
      <w:pPr>
        <w:jc w:val="center"/>
        <w:rPr>
          <w:b/>
          <w:color w:val="auto"/>
          <w:lang w:val="sr-Cyrl-CS"/>
        </w:rPr>
      </w:pPr>
      <w:r w:rsidRPr="007E770D">
        <w:rPr>
          <w:b/>
          <w:color w:val="auto"/>
          <w:lang w:val="sr-Cyrl-CS"/>
        </w:rPr>
        <w:t>Однос камата и БДП на крају 2022. године</w:t>
      </w:r>
    </w:p>
    <w:p w14:paraId="65FC2F02" w14:textId="77777777" w:rsidR="004044DC" w:rsidRPr="007E770D" w:rsidRDefault="004044DC" w:rsidP="00E4657F">
      <w:pPr>
        <w:jc w:val="center"/>
        <w:rPr>
          <w:b/>
          <w:color w:val="auto"/>
          <w:lang w:val="sr-Cyrl-CS"/>
        </w:rPr>
      </w:pPr>
      <w:r w:rsidRPr="007E770D">
        <w:rPr>
          <w:noProof/>
          <w:color w:val="auto"/>
        </w:rPr>
        <w:drawing>
          <wp:inline distT="0" distB="0" distL="0" distR="0" wp14:anchorId="0C906CBD" wp14:editId="1BA844E9">
            <wp:extent cx="2790825" cy="2027555"/>
            <wp:effectExtent l="0" t="0" r="0" b="0"/>
            <wp:docPr id="77" name="Chart 77"/>
            <wp:cNvGraphicFramePr/>
            <a:graphic xmlns:a="http://schemas.openxmlformats.org/drawingml/2006/main">
              <a:graphicData uri="http://schemas.openxmlformats.org/drawingml/2006/chart">
                <c:chart xmlns:c="http://schemas.openxmlformats.org/drawingml/2006/chart" xmlns:r="http://schemas.openxmlformats.org/officeDocument/2006/relationships" r:id="rId169"/>
              </a:graphicData>
            </a:graphic>
          </wp:inline>
        </w:drawing>
      </w:r>
    </w:p>
    <w:p w14:paraId="16A44FE6"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br w:type="column"/>
      </w:r>
      <w:r w:rsidRPr="007E770D">
        <w:rPr>
          <w:rFonts w:cstheme="minorHAnsi"/>
          <w:bCs/>
          <w:color w:val="auto"/>
          <w:szCs w:val="72"/>
          <w:lang w:val="sr-Cyrl-CS"/>
        </w:rPr>
        <w:t>На основу графикона јасно се уочавају трошкови које свака од разматраних стратегија носи са собом – стратегија С3 има релативно највећу изложеност ризику девизног курса. Стратегија С4 има највећу изложеност могућим осцилацијама динарских каматних стопа, јер се целокупно додатно финансирање обезбеђује емисијама динарских хартија од вредности. Са друге стране, стратегије С3 и С2 при основном макроекономском оквиру имају нижи рацио учешћа дуга у БДП на крају 2022 године. Код стратегије С3 присутан је најмањи ризик код каматних стопа у односу на све четири посматране стратегије услед ниског фиксног трошка еврообвезница у еврима, али је релативно више ризична у погледу рација дуг-БДП. Стратегије С4 и С1 су релативно скупље, али најмање ризичне са аспекта девизног ризика, с обзиром на то да се по овој стратегији финансирање буџета врши емитовањем динарских хартија од вредности.</w:t>
      </w:r>
    </w:p>
    <w:p w14:paraId="3899DACF"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Приликом анализе односа јавног дуга и БДП оцењено је да стратегија С3, иако при основном сценарију има најнижи рацио дуг и БДП, представља најризичнији избор због ризика који произилази из промене девизног курса. Стратегија С4 има највише трошкове камата услед већег учешћа динарских хартија од вредности, као и ризик проузрокован могућим растом домаћих каматних стопа. На основу ових анализа евидентно је да ће се у наредном средњорочном периоду основне операције задуживања заснивати на стратегијама С1 и С2.</w:t>
      </w:r>
    </w:p>
    <w:p w14:paraId="016C1025" w14:textId="77777777" w:rsidR="004044DC" w:rsidRPr="007E770D" w:rsidRDefault="004044DC" w:rsidP="00E4657F">
      <w:pPr>
        <w:rPr>
          <w:rFonts w:cstheme="minorHAnsi"/>
          <w:bCs/>
          <w:color w:val="auto"/>
          <w:szCs w:val="72"/>
          <w:lang w:val="sr-Cyrl-CS"/>
        </w:rPr>
      </w:pPr>
    </w:p>
    <w:p w14:paraId="29B3FFDC" w14:textId="77777777" w:rsidR="004044DC" w:rsidRPr="007E770D" w:rsidRDefault="004044DC" w:rsidP="00E4657F">
      <w:pPr>
        <w:rPr>
          <w:rFonts w:cstheme="minorHAnsi"/>
          <w:bCs/>
          <w:color w:val="auto"/>
          <w:szCs w:val="72"/>
          <w:lang w:val="sr-Cyrl-CS"/>
        </w:rPr>
        <w:sectPr w:rsidR="004044DC" w:rsidRPr="007E770D" w:rsidSect="004E661B">
          <w:type w:val="continuous"/>
          <w:pgSz w:w="12240" w:h="15840"/>
          <w:pgMar w:top="1440" w:right="1440" w:bottom="1440" w:left="1440" w:header="720" w:footer="720" w:gutter="0"/>
          <w:cols w:num="2" w:space="720"/>
          <w:docGrid w:linePitch="360"/>
        </w:sectPr>
      </w:pPr>
    </w:p>
    <w:p w14:paraId="796B5909" w14:textId="77777777" w:rsidR="004044DC" w:rsidRPr="007E770D" w:rsidRDefault="004044DC" w:rsidP="00E4657F">
      <w:pPr>
        <w:jc w:val="center"/>
        <w:rPr>
          <w:b/>
          <w:color w:val="auto"/>
          <w:lang w:val="sr-Cyrl-CS"/>
        </w:rPr>
      </w:pPr>
      <w:r w:rsidRPr="007E770D">
        <w:rPr>
          <w:b/>
          <w:color w:val="auto"/>
          <w:lang w:val="sr-Cyrl-CS"/>
        </w:rPr>
        <w:t>Табела 27. Однос јавног дуга и БДП на крају 2022. године</w:t>
      </w:r>
    </w:p>
    <w:tbl>
      <w:tblPr>
        <w:tblStyle w:val="LightShading-Accent122"/>
        <w:tblW w:w="5000" w:type="pct"/>
        <w:tblLook w:val="04A0" w:firstRow="1" w:lastRow="0" w:firstColumn="1" w:lastColumn="0" w:noHBand="0" w:noVBand="1"/>
      </w:tblPr>
      <w:tblGrid>
        <w:gridCol w:w="5032"/>
        <w:gridCol w:w="1082"/>
        <w:gridCol w:w="1082"/>
        <w:gridCol w:w="1082"/>
        <w:gridCol w:w="1082"/>
      </w:tblGrid>
      <w:tr w:rsidR="007E770D" w:rsidRPr="007E770D" w14:paraId="6C22AFF6" w14:textId="77777777" w:rsidTr="00E4657F">
        <w:trPr>
          <w:cnfStyle w:val="100000000000" w:firstRow="1" w:lastRow="0" w:firstColumn="0" w:lastColumn="0" w:oddVBand="0" w:evenVBand="0" w:oddHBand="0" w:evenHBand="0" w:firstRowFirstColumn="0" w:firstRowLastColumn="0" w:lastRowFirstColumn="0" w:lastRowLastColumn="0"/>
          <w:trHeight w:val="225"/>
        </w:trPr>
        <w:tc>
          <w:tcPr>
            <w:cnfStyle w:val="001000000000" w:firstRow="0" w:lastRow="0" w:firstColumn="1" w:lastColumn="0" w:oddVBand="0" w:evenVBand="0" w:oddHBand="0" w:evenHBand="0" w:firstRowFirstColumn="0" w:firstRowLastColumn="0" w:lastRowFirstColumn="0" w:lastRowLastColumn="0"/>
            <w:tcW w:w="2688" w:type="pct"/>
            <w:vMerge w:val="restart"/>
            <w:tcBorders>
              <w:top w:val="single" w:sz="4" w:space="0" w:color="002060"/>
            </w:tcBorders>
            <w:shd w:val="clear" w:color="auto" w:fill="auto"/>
            <w:noWrap/>
            <w:hideMark/>
          </w:tcPr>
          <w:p w14:paraId="2643A9DE" w14:textId="77777777" w:rsidR="004044DC" w:rsidRPr="007E770D" w:rsidRDefault="004044DC" w:rsidP="00E4657F">
            <w:pPr>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Сценарији</w:t>
            </w:r>
          </w:p>
        </w:tc>
        <w:tc>
          <w:tcPr>
            <w:tcW w:w="578" w:type="pct"/>
            <w:tcBorders>
              <w:top w:val="single" w:sz="4" w:space="0" w:color="002060"/>
              <w:bottom w:val="single" w:sz="4" w:space="0" w:color="002060"/>
            </w:tcBorders>
            <w:shd w:val="clear" w:color="auto" w:fill="auto"/>
            <w:noWrap/>
            <w:hideMark/>
          </w:tcPr>
          <w:p w14:paraId="0CD861A0" w14:textId="77777777" w:rsidR="004044DC" w:rsidRPr="007E770D" w:rsidRDefault="004044DC" w:rsidP="00E4657F">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C1</w:t>
            </w:r>
          </w:p>
        </w:tc>
        <w:tc>
          <w:tcPr>
            <w:tcW w:w="578" w:type="pct"/>
            <w:tcBorders>
              <w:top w:val="single" w:sz="4" w:space="0" w:color="002060"/>
              <w:bottom w:val="single" w:sz="4" w:space="0" w:color="002060"/>
            </w:tcBorders>
            <w:shd w:val="clear" w:color="auto" w:fill="auto"/>
            <w:noWrap/>
            <w:hideMark/>
          </w:tcPr>
          <w:p w14:paraId="6425DE89" w14:textId="77777777" w:rsidR="004044DC" w:rsidRPr="007E770D" w:rsidRDefault="004044DC" w:rsidP="00E4657F">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C2</w:t>
            </w:r>
          </w:p>
        </w:tc>
        <w:tc>
          <w:tcPr>
            <w:tcW w:w="578" w:type="pct"/>
            <w:tcBorders>
              <w:top w:val="single" w:sz="4" w:space="0" w:color="002060"/>
              <w:bottom w:val="single" w:sz="4" w:space="0" w:color="002060"/>
            </w:tcBorders>
            <w:shd w:val="clear" w:color="auto" w:fill="auto"/>
            <w:noWrap/>
            <w:hideMark/>
          </w:tcPr>
          <w:p w14:paraId="1BD71C71" w14:textId="77777777" w:rsidR="004044DC" w:rsidRPr="007E770D" w:rsidRDefault="004044DC" w:rsidP="00E4657F">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C3</w:t>
            </w:r>
          </w:p>
        </w:tc>
        <w:tc>
          <w:tcPr>
            <w:tcW w:w="578" w:type="pct"/>
            <w:tcBorders>
              <w:top w:val="single" w:sz="4" w:space="0" w:color="002060"/>
              <w:bottom w:val="single" w:sz="4" w:space="0" w:color="002060"/>
            </w:tcBorders>
            <w:shd w:val="clear" w:color="auto" w:fill="auto"/>
            <w:noWrap/>
            <w:hideMark/>
          </w:tcPr>
          <w:p w14:paraId="266AD965" w14:textId="77777777" w:rsidR="004044DC" w:rsidRPr="007E770D" w:rsidRDefault="004044DC" w:rsidP="00E4657F">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C4</w:t>
            </w:r>
          </w:p>
        </w:tc>
      </w:tr>
      <w:tr w:rsidR="007E770D" w:rsidRPr="007E770D" w14:paraId="46A11BB8" w14:textId="77777777" w:rsidTr="00E4657F">
        <w:trPr>
          <w:cnfStyle w:val="000000100000" w:firstRow="0" w:lastRow="0" w:firstColumn="0" w:lastColumn="0" w:oddVBand="0" w:evenVBand="0" w:oddHBand="1" w:evenHBand="0" w:firstRowFirstColumn="0" w:firstRowLastColumn="0" w:lastRowFirstColumn="0" w:lastRowLastColumn="0"/>
          <w:trHeight w:val="15"/>
        </w:trPr>
        <w:tc>
          <w:tcPr>
            <w:cnfStyle w:val="001000000000" w:firstRow="0" w:lastRow="0" w:firstColumn="1" w:lastColumn="0" w:oddVBand="0" w:evenVBand="0" w:oddHBand="0" w:evenHBand="0" w:firstRowFirstColumn="0" w:firstRowLastColumn="0" w:lastRowFirstColumn="0" w:lastRowLastColumn="0"/>
            <w:tcW w:w="2688" w:type="pct"/>
            <w:vMerge/>
            <w:shd w:val="clear" w:color="auto" w:fill="auto"/>
            <w:noWrap/>
          </w:tcPr>
          <w:p w14:paraId="09C55A05" w14:textId="77777777" w:rsidR="004044DC" w:rsidRPr="007E770D" w:rsidRDefault="004044DC" w:rsidP="00E4657F">
            <w:pPr>
              <w:rPr>
                <w:rFonts w:cstheme="minorHAnsi"/>
                <w:b w:val="0"/>
                <w:color w:val="auto"/>
                <w:sz w:val="18"/>
                <w:szCs w:val="18"/>
                <w:lang w:val="sr-Cyrl-CS"/>
              </w:rPr>
            </w:pPr>
          </w:p>
        </w:tc>
        <w:tc>
          <w:tcPr>
            <w:tcW w:w="578" w:type="pct"/>
            <w:tcBorders>
              <w:top w:val="single" w:sz="4" w:space="0" w:color="002060"/>
            </w:tcBorders>
            <w:shd w:val="clear" w:color="auto" w:fill="auto"/>
            <w:noWrap/>
          </w:tcPr>
          <w:p w14:paraId="731B29C9" w14:textId="77777777" w:rsidR="004044DC" w:rsidRPr="007E770D" w:rsidRDefault="004044DC" w:rsidP="00E4657F">
            <w:pPr>
              <w:jc w:val="center"/>
              <w:cnfStyle w:val="000000100000" w:firstRow="0" w:lastRow="0" w:firstColumn="0" w:lastColumn="0" w:oddVBand="0" w:evenVBand="0" w:oddHBand="1" w:evenHBand="0" w:firstRowFirstColumn="0" w:firstRowLastColumn="0" w:lastRowFirstColumn="0" w:lastRowLastColumn="0"/>
              <w:rPr>
                <w:rFonts w:cstheme="minorHAnsi"/>
                <w:color w:val="auto"/>
                <w:sz w:val="18"/>
                <w:szCs w:val="18"/>
                <w:lang w:val="sr-Cyrl-CS"/>
              </w:rPr>
            </w:pPr>
          </w:p>
        </w:tc>
        <w:tc>
          <w:tcPr>
            <w:tcW w:w="578" w:type="pct"/>
            <w:tcBorders>
              <w:top w:val="single" w:sz="4" w:space="0" w:color="002060"/>
            </w:tcBorders>
            <w:shd w:val="clear" w:color="auto" w:fill="auto"/>
            <w:noWrap/>
          </w:tcPr>
          <w:p w14:paraId="741EF828" w14:textId="77777777" w:rsidR="004044DC" w:rsidRPr="007E770D" w:rsidRDefault="004044DC" w:rsidP="00E4657F">
            <w:pPr>
              <w:jc w:val="center"/>
              <w:cnfStyle w:val="000000100000" w:firstRow="0" w:lastRow="0" w:firstColumn="0" w:lastColumn="0" w:oddVBand="0" w:evenVBand="0" w:oddHBand="1" w:evenHBand="0" w:firstRowFirstColumn="0" w:firstRowLastColumn="0" w:lastRowFirstColumn="0" w:lastRowLastColumn="0"/>
              <w:rPr>
                <w:rFonts w:cstheme="minorHAnsi"/>
                <w:color w:val="auto"/>
                <w:sz w:val="18"/>
                <w:szCs w:val="18"/>
                <w:lang w:val="sr-Cyrl-CS"/>
              </w:rPr>
            </w:pPr>
          </w:p>
        </w:tc>
        <w:tc>
          <w:tcPr>
            <w:tcW w:w="578" w:type="pct"/>
            <w:tcBorders>
              <w:top w:val="single" w:sz="4" w:space="0" w:color="002060"/>
            </w:tcBorders>
            <w:shd w:val="clear" w:color="auto" w:fill="auto"/>
            <w:noWrap/>
          </w:tcPr>
          <w:p w14:paraId="63230559" w14:textId="77777777" w:rsidR="004044DC" w:rsidRPr="007E770D" w:rsidRDefault="004044DC" w:rsidP="00E4657F">
            <w:pPr>
              <w:jc w:val="center"/>
              <w:cnfStyle w:val="000000100000" w:firstRow="0" w:lastRow="0" w:firstColumn="0" w:lastColumn="0" w:oddVBand="0" w:evenVBand="0" w:oddHBand="1" w:evenHBand="0" w:firstRowFirstColumn="0" w:firstRowLastColumn="0" w:lastRowFirstColumn="0" w:lastRowLastColumn="0"/>
              <w:rPr>
                <w:rFonts w:cstheme="minorHAnsi"/>
                <w:color w:val="auto"/>
                <w:sz w:val="18"/>
                <w:szCs w:val="18"/>
                <w:lang w:val="sr-Cyrl-CS"/>
              </w:rPr>
            </w:pPr>
          </w:p>
        </w:tc>
        <w:tc>
          <w:tcPr>
            <w:tcW w:w="578" w:type="pct"/>
            <w:tcBorders>
              <w:top w:val="single" w:sz="4" w:space="0" w:color="002060"/>
            </w:tcBorders>
            <w:shd w:val="clear" w:color="auto" w:fill="auto"/>
            <w:noWrap/>
          </w:tcPr>
          <w:p w14:paraId="51911A0C" w14:textId="77777777" w:rsidR="004044DC" w:rsidRPr="007E770D" w:rsidRDefault="004044DC" w:rsidP="00E4657F">
            <w:pPr>
              <w:jc w:val="center"/>
              <w:cnfStyle w:val="000000100000" w:firstRow="0" w:lastRow="0" w:firstColumn="0" w:lastColumn="0" w:oddVBand="0" w:evenVBand="0" w:oddHBand="1" w:evenHBand="0" w:firstRowFirstColumn="0" w:firstRowLastColumn="0" w:lastRowFirstColumn="0" w:lastRowLastColumn="0"/>
              <w:rPr>
                <w:rFonts w:cstheme="minorHAnsi"/>
                <w:color w:val="auto"/>
                <w:sz w:val="18"/>
                <w:szCs w:val="18"/>
                <w:lang w:val="sr-Cyrl-CS"/>
              </w:rPr>
            </w:pPr>
          </w:p>
        </w:tc>
      </w:tr>
      <w:tr w:rsidR="007E770D" w:rsidRPr="007E770D" w14:paraId="4486337D" w14:textId="77777777" w:rsidTr="00E4657F">
        <w:trPr>
          <w:trHeight w:val="253"/>
        </w:trPr>
        <w:tc>
          <w:tcPr>
            <w:cnfStyle w:val="001000000000" w:firstRow="0" w:lastRow="0" w:firstColumn="1" w:lastColumn="0" w:oddVBand="0" w:evenVBand="0" w:oddHBand="0" w:evenHBand="0" w:firstRowFirstColumn="0" w:firstRowLastColumn="0" w:lastRowFirstColumn="0" w:lastRowLastColumn="0"/>
            <w:tcW w:w="2688" w:type="pct"/>
            <w:shd w:val="clear" w:color="auto" w:fill="auto"/>
            <w:noWrap/>
            <w:hideMark/>
          </w:tcPr>
          <w:p w14:paraId="2DB1481F" w14:textId="77777777" w:rsidR="004044DC" w:rsidRPr="007E770D" w:rsidRDefault="004044DC" w:rsidP="00E4657F">
            <w:pPr>
              <w:spacing w:line="240" w:lineRule="auto"/>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 xml:space="preserve"> Основни сценарио</w:t>
            </w:r>
          </w:p>
        </w:tc>
        <w:tc>
          <w:tcPr>
            <w:tcW w:w="578" w:type="pct"/>
            <w:shd w:val="clear" w:color="auto" w:fill="auto"/>
            <w:noWrap/>
            <w:hideMark/>
          </w:tcPr>
          <w:p w14:paraId="0528A4C8" w14:textId="77777777" w:rsidR="004044DC" w:rsidRPr="007E770D" w:rsidRDefault="004044DC" w:rsidP="00E4657F">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44,1</w:t>
            </w:r>
          </w:p>
        </w:tc>
        <w:tc>
          <w:tcPr>
            <w:tcW w:w="578" w:type="pct"/>
            <w:shd w:val="clear" w:color="auto" w:fill="auto"/>
            <w:noWrap/>
            <w:hideMark/>
          </w:tcPr>
          <w:p w14:paraId="03464621" w14:textId="77777777" w:rsidR="004044DC" w:rsidRPr="007E770D" w:rsidRDefault="004044DC" w:rsidP="00E4657F">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44,0</w:t>
            </w:r>
          </w:p>
        </w:tc>
        <w:tc>
          <w:tcPr>
            <w:tcW w:w="578" w:type="pct"/>
            <w:shd w:val="clear" w:color="auto" w:fill="auto"/>
            <w:noWrap/>
            <w:hideMark/>
          </w:tcPr>
          <w:p w14:paraId="39FD1FAE" w14:textId="77777777" w:rsidR="004044DC" w:rsidRPr="007E770D" w:rsidRDefault="004044DC" w:rsidP="00E4657F">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43,9</w:t>
            </w:r>
          </w:p>
        </w:tc>
        <w:tc>
          <w:tcPr>
            <w:tcW w:w="578" w:type="pct"/>
            <w:shd w:val="clear" w:color="auto" w:fill="auto"/>
            <w:noWrap/>
            <w:hideMark/>
          </w:tcPr>
          <w:p w14:paraId="3EB518D3" w14:textId="77777777" w:rsidR="004044DC" w:rsidRPr="007E770D" w:rsidRDefault="004044DC" w:rsidP="00E4657F">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44,1</w:t>
            </w:r>
          </w:p>
        </w:tc>
      </w:tr>
      <w:tr w:rsidR="007E770D" w:rsidRPr="007E770D" w14:paraId="3C547AEF" w14:textId="77777777" w:rsidTr="00E4657F">
        <w:trPr>
          <w:cnfStyle w:val="000000100000" w:firstRow="0" w:lastRow="0" w:firstColumn="0" w:lastColumn="0" w:oddVBand="0" w:evenVBand="0" w:oddHBand="1"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688" w:type="pct"/>
            <w:shd w:val="clear" w:color="auto" w:fill="auto"/>
            <w:noWrap/>
            <w:hideMark/>
          </w:tcPr>
          <w:p w14:paraId="6B721E45" w14:textId="77777777" w:rsidR="004044DC" w:rsidRPr="007E770D" w:rsidRDefault="004044DC" w:rsidP="00E4657F">
            <w:pPr>
              <w:spacing w:line="240" w:lineRule="auto"/>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 xml:space="preserve"> Шок девизног курса (15% све валуте) </w:t>
            </w:r>
          </w:p>
        </w:tc>
        <w:tc>
          <w:tcPr>
            <w:tcW w:w="578" w:type="pct"/>
            <w:shd w:val="clear" w:color="auto" w:fill="auto"/>
            <w:noWrap/>
            <w:hideMark/>
          </w:tcPr>
          <w:p w14:paraId="1400316F" w14:textId="77777777" w:rsidR="004044DC" w:rsidRPr="007E770D" w:rsidRDefault="004044DC" w:rsidP="00E4657F">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48,7</w:t>
            </w:r>
          </w:p>
        </w:tc>
        <w:tc>
          <w:tcPr>
            <w:tcW w:w="578" w:type="pct"/>
            <w:shd w:val="clear" w:color="auto" w:fill="auto"/>
            <w:noWrap/>
            <w:hideMark/>
          </w:tcPr>
          <w:p w14:paraId="6675263F" w14:textId="77777777" w:rsidR="004044DC" w:rsidRPr="007E770D" w:rsidRDefault="004044DC" w:rsidP="00E4657F">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48,9</w:t>
            </w:r>
          </w:p>
        </w:tc>
        <w:tc>
          <w:tcPr>
            <w:tcW w:w="578" w:type="pct"/>
            <w:shd w:val="clear" w:color="auto" w:fill="auto"/>
            <w:noWrap/>
            <w:hideMark/>
          </w:tcPr>
          <w:p w14:paraId="37491E32" w14:textId="77777777" w:rsidR="004044DC" w:rsidRPr="007E770D" w:rsidRDefault="004044DC" w:rsidP="00E4657F">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49,0</w:t>
            </w:r>
          </w:p>
        </w:tc>
        <w:tc>
          <w:tcPr>
            <w:tcW w:w="578" w:type="pct"/>
            <w:shd w:val="clear" w:color="auto" w:fill="auto"/>
            <w:noWrap/>
            <w:hideMark/>
          </w:tcPr>
          <w:p w14:paraId="0B183FCE" w14:textId="77777777" w:rsidR="004044DC" w:rsidRPr="007E770D" w:rsidRDefault="004044DC" w:rsidP="00E4657F">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48,6</w:t>
            </w:r>
          </w:p>
        </w:tc>
      </w:tr>
      <w:tr w:rsidR="007E770D" w:rsidRPr="007E770D" w14:paraId="5F4E3288" w14:textId="77777777" w:rsidTr="00E4657F">
        <w:trPr>
          <w:trHeight w:val="253"/>
        </w:trPr>
        <w:tc>
          <w:tcPr>
            <w:cnfStyle w:val="001000000000" w:firstRow="0" w:lastRow="0" w:firstColumn="1" w:lastColumn="0" w:oddVBand="0" w:evenVBand="0" w:oddHBand="0" w:evenHBand="0" w:firstRowFirstColumn="0" w:firstRowLastColumn="0" w:lastRowFirstColumn="0" w:lastRowLastColumn="0"/>
            <w:tcW w:w="2688" w:type="pct"/>
            <w:shd w:val="clear" w:color="auto" w:fill="auto"/>
            <w:noWrap/>
            <w:hideMark/>
          </w:tcPr>
          <w:p w14:paraId="0FFCE60A" w14:textId="77777777" w:rsidR="004044DC" w:rsidRPr="007E770D" w:rsidRDefault="004044DC" w:rsidP="00E4657F">
            <w:pPr>
              <w:spacing w:line="240" w:lineRule="auto"/>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 xml:space="preserve"> Каматни шок (сценарио 1) </w:t>
            </w:r>
          </w:p>
        </w:tc>
        <w:tc>
          <w:tcPr>
            <w:tcW w:w="578" w:type="pct"/>
            <w:shd w:val="clear" w:color="auto" w:fill="auto"/>
            <w:noWrap/>
            <w:hideMark/>
          </w:tcPr>
          <w:p w14:paraId="7411BE7C" w14:textId="77777777" w:rsidR="004044DC" w:rsidRPr="007E770D" w:rsidRDefault="004044DC" w:rsidP="00E4657F">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44,6</w:t>
            </w:r>
          </w:p>
        </w:tc>
        <w:tc>
          <w:tcPr>
            <w:tcW w:w="578" w:type="pct"/>
            <w:shd w:val="clear" w:color="auto" w:fill="auto"/>
            <w:noWrap/>
            <w:hideMark/>
          </w:tcPr>
          <w:p w14:paraId="67C5855E" w14:textId="77777777" w:rsidR="004044DC" w:rsidRPr="007E770D" w:rsidRDefault="004044DC" w:rsidP="00E4657F">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44,5</w:t>
            </w:r>
          </w:p>
        </w:tc>
        <w:tc>
          <w:tcPr>
            <w:tcW w:w="578" w:type="pct"/>
            <w:shd w:val="clear" w:color="auto" w:fill="auto"/>
            <w:noWrap/>
            <w:hideMark/>
          </w:tcPr>
          <w:p w14:paraId="1F9A5DC3" w14:textId="77777777" w:rsidR="004044DC" w:rsidRPr="007E770D" w:rsidRDefault="004044DC" w:rsidP="00E4657F">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44,4</w:t>
            </w:r>
          </w:p>
        </w:tc>
        <w:tc>
          <w:tcPr>
            <w:tcW w:w="578" w:type="pct"/>
            <w:shd w:val="clear" w:color="auto" w:fill="auto"/>
            <w:noWrap/>
            <w:hideMark/>
          </w:tcPr>
          <w:p w14:paraId="000BC9ED" w14:textId="77777777" w:rsidR="004044DC" w:rsidRPr="007E770D" w:rsidRDefault="004044DC" w:rsidP="00E4657F">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44,7</w:t>
            </w:r>
          </w:p>
        </w:tc>
      </w:tr>
      <w:tr w:rsidR="007E770D" w:rsidRPr="007E770D" w14:paraId="718CCB01" w14:textId="77777777" w:rsidTr="00E4657F">
        <w:trPr>
          <w:cnfStyle w:val="000000100000" w:firstRow="0" w:lastRow="0" w:firstColumn="0" w:lastColumn="0" w:oddVBand="0" w:evenVBand="0" w:oddHBand="1"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688" w:type="pct"/>
            <w:shd w:val="clear" w:color="auto" w:fill="auto"/>
            <w:noWrap/>
            <w:hideMark/>
          </w:tcPr>
          <w:p w14:paraId="55F57667" w14:textId="77777777" w:rsidR="004044DC" w:rsidRPr="007E770D" w:rsidRDefault="004044DC" w:rsidP="00E4657F">
            <w:pPr>
              <w:spacing w:line="240" w:lineRule="auto"/>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 xml:space="preserve"> Каматни шок (сценарио 2)</w:t>
            </w:r>
          </w:p>
        </w:tc>
        <w:tc>
          <w:tcPr>
            <w:tcW w:w="578" w:type="pct"/>
            <w:shd w:val="clear" w:color="auto" w:fill="auto"/>
            <w:noWrap/>
            <w:hideMark/>
          </w:tcPr>
          <w:p w14:paraId="44CC4394" w14:textId="77777777" w:rsidR="004044DC" w:rsidRPr="007E770D" w:rsidRDefault="004044DC" w:rsidP="00E4657F">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45,1</w:t>
            </w:r>
          </w:p>
        </w:tc>
        <w:tc>
          <w:tcPr>
            <w:tcW w:w="578" w:type="pct"/>
            <w:shd w:val="clear" w:color="auto" w:fill="auto"/>
            <w:noWrap/>
            <w:hideMark/>
          </w:tcPr>
          <w:p w14:paraId="6B496FC3" w14:textId="77777777" w:rsidR="004044DC" w:rsidRPr="007E770D" w:rsidRDefault="004044DC" w:rsidP="00E4657F">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45,0</w:t>
            </w:r>
          </w:p>
        </w:tc>
        <w:tc>
          <w:tcPr>
            <w:tcW w:w="578" w:type="pct"/>
            <w:shd w:val="clear" w:color="auto" w:fill="auto"/>
            <w:noWrap/>
            <w:hideMark/>
          </w:tcPr>
          <w:p w14:paraId="7B51745D" w14:textId="77777777" w:rsidR="004044DC" w:rsidRPr="007E770D" w:rsidRDefault="004044DC" w:rsidP="00E4657F">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44,6</w:t>
            </w:r>
          </w:p>
        </w:tc>
        <w:tc>
          <w:tcPr>
            <w:tcW w:w="578" w:type="pct"/>
            <w:shd w:val="clear" w:color="auto" w:fill="auto"/>
            <w:noWrap/>
            <w:hideMark/>
          </w:tcPr>
          <w:p w14:paraId="7EE9FC9B" w14:textId="77777777" w:rsidR="004044DC" w:rsidRPr="007E770D" w:rsidRDefault="004044DC" w:rsidP="00E4657F">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45,1</w:t>
            </w:r>
          </w:p>
        </w:tc>
      </w:tr>
      <w:tr w:rsidR="007E770D" w:rsidRPr="007E770D" w14:paraId="2E5FB23C" w14:textId="77777777" w:rsidTr="00E4657F">
        <w:trPr>
          <w:trHeight w:val="253"/>
        </w:trPr>
        <w:tc>
          <w:tcPr>
            <w:cnfStyle w:val="001000000000" w:firstRow="0" w:lastRow="0" w:firstColumn="1" w:lastColumn="0" w:oddVBand="0" w:evenVBand="0" w:oddHBand="0" w:evenHBand="0" w:firstRowFirstColumn="0" w:firstRowLastColumn="0" w:lastRowFirstColumn="0" w:lastRowLastColumn="0"/>
            <w:tcW w:w="2688" w:type="pct"/>
            <w:tcBorders>
              <w:bottom w:val="nil"/>
            </w:tcBorders>
            <w:shd w:val="clear" w:color="auto" w:fill="auto"/>
            <w:noWrap/>
            <w:hideMark/>
          </w:tcPr>
          <w:p w14:paraId="4154D994" w14:textId="77777777" w:rsidR="004044DC" w:rsidRPr="007E770D" w:rsidRDefault="004044DC" w:rsidP="00E4657F">
            <w:pPr>
              <w:spacing w:line="240" w:lineRule="auto"/>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 xml:space="preserve"> Комбиновани шок (15% УСД и каматни шок1) </w:t>
            </w:r>
          </w:p>
        </w:tc>
        <w:tc>
          <w:tcPr>
            <w:tcW w:w="578" w:type="pct"/>
            <w:tcBorders>
              <w:bottom w:val="nil"/>
            </w:tcBorders>
            <w:shd w:val="clear" w:color="auto" w:fill="auto"/>
            <w:noWrap/>
            <w:hideMark/>
          </w:tcPr>
          <w:p w14:paraId="6F2BD21D" w14:textId="77777777" w:rsidR="004044DC" w:rsidRPr="007E770D" w:rsidRDefault="004044DC" w:rsidP="00E4657F">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46,4</w:t>
            </w:r>
          </w:p>
        </w:tc>
        <w:tc>
          <w:tcPr>
            <w:tcW w:w="578" w:type="pct"/>
            <w:tcBorders>
              <w:bottom w:val="nil"/>
            </w:tcBorders>
            <w:shd w:val="clear" w:color="auto" w:fill="auto"/>
            <w:noWrap/>
            <w:hideMark/>
          </w:tcPr>
          <w:p w14:paraId="7F288A15" w14:textId="77777777" w:rsidR="004044DC" w:rsidRPr="007E770D" w:rsidRDefault="004044DC" w:rsidP="00E4657F">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46,3</w:t>
            </w:r>
          </w:p>
        </w:tc>
        <w:tc>
          <w:tcPr>
            <w:tcW w:w="578" w:type="pct"/>
            <w:tcBorders>
              <w:bottom w:val="nil"/>
            </w:tcBorders>
            <w:shd w:val="clear" w:color="auto" w:fill="auto"/>
            <w:noWrap/>
            <w:hideMark/>
          </w:tcPr>
          <w:p w14:paraId="51464908" w14:textId="77777777" w:rsidR="004044DC" w:rsidRPr="007E770D" w:rsidRDefault="004044DC" w:rsidP="00E4657F">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46,1</w:t>
            </w:r>
          </w:p>
        </w:tc>
        <w:tc>
          <w:tcPr>
            <w:tcW w:w="578" w:type="pct"/>
            <w:tcBorders>
              <w:bottom w:val="nil"/>
            </w:tcBorders>
            <w:shd w:val="clear" w:color="auto" w:fill="auto"/>
            <w:noWrap/>
            <w:hideMark/>
          </w:tcPr>
          <w:p w14:paraId="106C860F" w14:textId="77777777" w:rsidR="004044DC" w:rsidRPr="007E770D" w:rsidRDefault="004044DC" w:rsidP="00E4657F">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46,4</w:t>
            </w:r>
          </w:p>
        </w:tc>
      </w:tr>
      <w:tr w:rsidR="007E770D" w:rsidRPr="007E770D" w14:paraId="6CC4B311" w14:textId="77777777" w:rsidTr="00E4657F">
        <w:trPr>
          <w:cnfStyle w:val="000000100000" w:firstRow="0" w:lastRow="0" w:firstColumn="0" w:lastColumn="0" w:oddVBand="0" w:evenVBand="0" w:oddHBand="1"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688" w:type="pct"/>
            <w:tcBorders>
              <w:top w:val="nil"/>
              <w:bottom w:val="single" w:sz="4" w:space="0" w:color="002060"/>
            </w:tcBorders>
            <w:shd w:val="clear" w:color="auto" w:fill="auto"/>
            <w:noWrap/>
            <w:hideMark/>
          </w:tcPr>
          <w:p w14:paraId="284577E6" w14:textId="77777777" w:rsidR="004044DC" w:rsidRPr="007E770D" w:rsidRDefault="004044DC" w:rsidP="00E4657F">
            <w:pPr>
              <w:spacing w:line="240" w:lineRule="auto"/>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 xml:space="preserve"> Максимални ризик </w:t>
            </w:r>
          </w:p>
        </w:tc>
        <w:tc>
          <w:tcPr>
            <w:tcW w:w="578" w:type="pct"/>
            <w:tcBorders>
              <w:top w:val="nil"/>
              <w:bottom w:val="single" w:sz="4" w:space="0" w:color="002060"/>
            </w:tcBorders>
            <w:shd w:val="clear" w:color="auto" w:fill="auto"/>
            <w:noWrap/>
            <w:hideMark/>
          </w:tcPr>
          <w:p w14:paraId="0C156CB4" w14:textId="77777777" w:rsidR="004044DC" w:rsidRPr="007E770D" w:rsidRDefault="004044DC" w:rsidP="00E4657F">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4,6</w:t>
            </w:r>
          </w:p>
        </w:tc>
        <w:tc>
          <w:tcPr>
            <w:tcW w:w="578" w:type="pct"/>
            <w:tcBorders>
              <w:top w:val="nil"/>
              <w:bottom w:val="single" w:sz="4" w:space="0" w:color="002060"/>
            </w:tcBorders>
            <w:shd w:val="clear" w:color="auto" w:fill="auto"/>
            <w:noWrap/>
            <w:hideMark/>
          </w:tcPr>
          <w:p w14:paraId="2CF7E712" w14:textId="77777777" w:rsidR="004044DC" w:rsidRPr="007E770D" w:rsidRDefault="004044DC" w:rsidP="00E4657F">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4,8</w:t>
            </w:r>
          </w:p>
        </w:tc>
        <w:tc>
          <w:tcPr>
            <w:tcW w:w="578" w:type="pct"/>
            <w:tcBorders>
              <w:top w:val="nil"/>
              <w:bottom w:val="single" w:sz="4" w:space="0" w:color="002060"/>
            </w:tcBorders>
            <w:shd w:val="clear" w:color="auto" w:fill="auto"/>
            <w:noWrap/>
            <w:hideMark/>
          </w:tcPr>
          <w:p w14:paraId="3D68616D" w14:textId="77777777" w:rsidR="004044DC" w:rsidRPr="007E770D" w:rsidRDefault="004044DC" w:rsidP="00E4657F">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5,2</w:t>
            </w:r>
          </w:p>
        </w:tc>
        <w:tc>
          <w:tcPr>
            <w:tcW w:w="578" w:type="pct"/>
            <w:tcBorders>
              <w:top w:val="nil"/>
              <w:bottom w:val="single" w:sz="4" w:space="0" w:color="002060"/>
            </w:tcBorders>
            <w:shd w:val="clear" w:color="auto" w:fill="auto"/>
            <w:noWrap/>
            <w:hideMark/>
          </w:tcPr>
          <w:p w14:paraId="686E5BCD" w14:textId="77777777" w:rsidR="004044DC" w:rsidRPr="007E770D" w:rsidRDefault="004044DC" w:rsidP="00E4657F">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4,5</w:t>
            </w:r>
          </w:p>
        </w:tc>
      </w:tr>
    </w:tbl>
    <w:p w14:paraId="51168D15" w14:textId="77777777" w:rsidR="004044DC" w:rsidRPr="007E770D" w:rsidRDefault="004044DC" w:rsidP="00E4657F">
      <w:pPr>
        <w:rPr>
          <w:b/>
          <w:color w:val="auto"/>
          <w:sz w:val="4"/>
          <w:lang w:val="sr-Cyrl-CS"/>
        </w:rPr>
      </w:pPr>
    </w:p>
    <w:p w14:paraId="692F4CD9" w14:textId="77777777" w:rsidR="004044DC" w:rsidRPr="007E770D" w:rsidRDefault="004044DC" w:rsidP="00E4657F">
      <w:pPr>
        <w:jc w:val="center"/>
        <w:rPr>
          <w:b/>
          <w:color w:val="auto"/>
          <w:lang w:val="sr-Cyrl-CS"/>
        </w:rPr>
      </w:pPr>
    </w:p>
    <w:p w14:paraId="56A40217" w14:textId="77777777" w:rsidR="004044DC" w:rsidRPr="007E770D" w:rsidRDefault="004044DC" w:rsidP="00E4657F">
      <w:pPr>
        <w:jc w:val="center"/>
        <w:rPr>
          <w:b/>
          <w:color w:val="auto"/>
          <w:lang w:val="sr-Cyrl-CS"/>
        </w:rPr>
      </w:pPr>
    </w:p>
    <w:p w14:paraId="6CF0FD5A" w14:textId="77777777" w:rsidR="004044DC" w:rsidRPr="007E770D" w:rsidRDefault="004044DC" w:rsidP="00E4657F">
      <w:pPr>
        <w:jc w:val="center"/>
        <w:rPr>
          <w:b/>
          <w:color w:val="auto"/>
          <w:lang w:val="sr-Cyrl-CS"/>
        </w:rPr>
      </w:pPr>
    </w:p>
    <w:p w14:paraId="74344D18" w14:textId="77777777" w:rsidR="004044DC" w:rsidRPr="007E770D" w:rsidRDefault="004044DC" w:rsidP="00E4657F">
      <w:pPr>
        <w:jc w:val="center"/>
        <w:rPr>
          <w:b/>
          <w:color w:val="auto"/>
          <w:lang w:val="sr-Cyrl-CS"/>
        </w:rPr>
      </w:pPr>
      <w:r w:rsidRPr="007E770D">
        <w:rPr>
          <w:b/>
          <w:color w:val="auto"/>
          <w:lang w:val="sr-Cyrl-CS"/>
        </w:rPr>
        <w:lastRenderedPageBreak/>
        <w:t>Табела 28. Однос плаћања по основу камата и БДП на крају 2022. године</w:t>
      </w:r>
    </w:p>
    <w:tbl>
      <w:tblPr>
        <w:tblStyle w:val="LightShading-Accent122"/>
        <w:tblW w:w="5000" w:type="pct"/>
        <w:tblLook w:val="04A0" w:firstRow="1" w:lastRow="0" w:firstColumn="1" w:lastColumn="0" w:noHBand="0" w:noVBand="1"/>
      </w:tblPr>
      <w:tblGrid>
        <w:gridCol w:w="5032"/>
        <w:gridCol w:w="1082"/>
        <w:gridCol w:w="1082"/>
        <w:gridCol w:w="1082"/>
        <w:gridCol w:w="1082"/>
      </w:tblGrid>
      <w:tr w:rsidR="007E770D" w:rsidRPr="007E770D" w14:paraId="33063FF4" w14:textId="77777777" w:rsidTr="00E4657F">
        <w:trPr>
          <w:cnfStyle w:val="100000000000" w:firstRow="1" w:lastRow="0" w:firstColumn="0" w:lastColumn="0" w:oddVBand="0" w:evenVBand="0" w:oddHBand="0"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688" w:type="pct"/>
            <w:tcBorders>
              <w:top w:val="single" w:sz="4" w:space="0" w:color="002060"/>
              <w:bottom w:val="single" w:sz="8" w:space="0" w:color="FFFFFF" w:themeColor="background1"/>
            </w:tcBorders>
            <w:shd w:val="clear" w:color="auto" w:fill="auto"/>
            <w:noWrap/>
            <w:hideMark/>
          </w:tcPr>
          <w:p w14:paraId="157E8509" w14:textId="77777777" w:rsidR="004044DC" w:rsidRPr="007E770D" w:rsidRDefault="004044DC" w:rsidP="00E4657F">
            <w:pPr>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Сценарији</w:t>
            </w:r>
          </w:p>
        </w:tc>
        <w:tc>
          <w:tcPr>
            <w:tcW w:w="578" w:type="pct"/>
            <w:tcBorders>
              <w:top w:val="single" w:sz="4" w:space="0" w:color="002060"/>
              <w:bottom w:val="single" w:sz="4" w:space="0" w:color="002060"/>
            </w:tcBorders>
            <w:shd w:val="clear" w:color="auto" w:fill="auto"/>
            <w:noWrap/>
            <w:hideMark/>
          </w:tcPr>
          <w:p w14:paraId="31C272BA" w14:textId="77777777" w:rsidR="004044DC" w:rsidRPr="007E770D" w:rsidRDefault="004044DC" w:rsidP="00E4657F">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C1</w:t>
            </w:r>
          </w:p>
        </w:tc>
        <w:tc>
          <w:tcPr>
            <w:tcW w:w="578" w:type="pct"/>
            <w:tcBorders>
              <w:top w:val="single" w:sz="4" w:space="0" w:color="002060"/>
              <w:bottom w:val="single" w:sz="4" w:space="0" w:color="002060"/>
            </w:tcBorders>
            <w:shd w:val="clear" w:color="auto" w:fill="auto"/>
            <w:noWrap/>
            <w:hideMark/>
          </w:tcPr>
          <w:p w14:paraId="0BB815DA" w14:textId="77777777" w:rsidR="004044DC" w:rsidRPr="007E770D" w:rsidRDefault="004044DC" w:rsidP="00E4657F">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C2</w:t>
            </w:r>
          </w:p>
        </w:tc>
        <w:tc>
          <w:tcPr>
            <w:tcW w:w="578" w:type="pct"/>
            <w:tcBorders>
              <w:top w:val="single" w:sz="4" w:space="0" w:color="002060"/>
              <w:bottom w:val="single" w:sz="4" w:space="0" w:color="002060"/>
            </w:tcBorders>
            <w:shd w:val="clear" w:color="auto" w:fill="auto"/>
            <w:noWrap/>
            <w:hideMark/>
          </w:tcPr>
          <w:p w14:paraId="302AFC3A" w14:textId="77777777" w:rsidR="004044DC" w:rsidRPr="007E770D" w:rsidRDefault="004044DC" w:rsidP="00E4657F">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C3</w:t>
            </w:r>
          </w:p>
        </w:tc>
        <w:tc>
          <w:tcPr>
            <w:tcW w:w="578" w:type="pct"/>
            <w:tcBorders>
              <w:top w:val="single" w:sz="4" w:space="0" w:color="002060"/>
              <w:bottom w:val="single" w:sz="4" w:space="0" w:color="002060"/>
            </w:tcBorders>
            <w:shd w:val="clear" w:color="auto" w:fill="auto"/>
            <w:noWrap/>
            <w:hideMark/>
          </w:tcPr>
          <w:p w14:paraId="7C1B011A" w14:textId="77777777" w:rsidR="004044DC" w:rsidRPr="007E770D" w:rsidRDefault="004044DC" w:rsidP="00E4657F">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C4</w:t>
            </w:r>
          </w:p>
        </w:tc>
      </w:tr>
      <w:tr w:rsidR="007E770D" w:rsidRPr="007E770D" w14:paraId="0D9611B2" w14:textId="77777777" w:rsidTr="00E4657F">
        <w:trPr>
          <w:cnfStyle w:val="000000100000" w:firstRow="0" w:lastRow="0" w:firstColumn="0" w:lastColumn="0" w:oddVBand="0" w:evenVBand="0" w:oddHBand="1"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688" w:type="pct"/>
            <w:tcBorders>
              <w:top w:val="single" w:sz="8" w:space="0" w:color="FFFFFF" w:themeColor="background1"/>
            </w:tcBorders>
            <w:shd w:val="clear" w:color="auto" w:fill="auto"/>
            <w:noWrap/>
            <w:hideMark/>
          </w:tcPr>
          <w:p w14:paraId="11D030B6" w14:textId="77777777" w:rsidR="004044DC" w:rsidRPr="007E770D" w:rsidRDefault="004044DC" w:rsidP="00E4657F">
            <w:pPr>
              <w:spacing w:line="240" w:lineRule="auto"/>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 xml:space="preserve"> Основни сценарио</w:t>
            </w:r>
          </w:p>
        </w:tc>
        <w:tc>
          <w:tcPr>
            <w:tcW w:w="578" w:type="pct"/>
            <w:tcBorders>
              <w:top w:val="single" w:sz="4" w:space="0" w:color="002060"/>
            </w:tcBorders>
            <w:shd w:val="clear" w:color="auto" w:fill="auto"/>
            <w:noWrap/>
            <w:hideMark/>
          </w:tcPr>
          <w:p w14:paraId="7AE96B03" w14:textId="77777777" w:rsidR="004044DC" w:rsidRPr="007E770D" w:rsidRDefault="004044DC" w:rsidP="00E4657F">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1,5</w:t>
            </w:r>
          </w:p>
        </w:tc>
        <w:tc>
          <w:tcPr>
            <w:tcW w:w="578" w:type="pct"/>
            <w:tcBorders>
              <w:top w:val="single" w:sz="4" w:space="0" w:color="002060"/>
            </w:tcBorders>
            <w:shd w:val="clear" w:color="auto" w:fill="auto"/>
            <w:noWrap/>
            <w:hideMark/>
          </w:tcPr>
          <w:p w14:paraId="67BB5B6E" w14:textId="77777777" w:rsidR="004044DC" w:rsidRPr="007E770D" w:rsidRDefault="004044DC" w:rsidP="00E4657F">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1,4</w:t>
            </w:r>
          </w:p>
        </w:tc>
        <w:tc>
          <w:tcPr>
            <w:tcW w:w="578" w:type="pct"/>
            <w:tcBorders>
              <w:top w:val="single" w:sz="4" w:space="0" w:color="002060"/>
            </w:tcBorders>
            <w:shd w:val="clear" w:color="auto" w:fill="auto"/>
            <w:noWrap/>
            <w:hideMark/>
          </w:tcPr>
          <w:p w14:paraId="19AF8938" w14:textId="77777777" w:rsidR="004044DC" w:rsidRPr="007E770D" w:rsidRDefault="004044DC" w:rsidP="00E4657F">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1,3</w:t>
            </w:r>
          </w:p>
        </w:tc>
        <w:tc>
          <w:tcPr>
            <w:tcW w:w="578" w:type="pct"/>
            <w:tcBorders>
              <w:top w:val="single" w:sz="4" w:space="0" w:color="002060"/>
            </w:tcBorders>
            <w:shd w:val="clear" w:color="auto" w:fill="auto"/>
            <w:noWrap/>
            <w:hideMark/>
          </w:tcPr>
          <w:p w14:paraId="7E2FDF4A" w14:textId="77777777" w:rsidR="004044DC" w:rsidRPr="007E770D" w:rsidRDefault="004044DC" w:rsidP="00E4657F">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1,6</w:t>
            </w:r>
          </w:p>
        </w:tc>
      </w:tr>
      <w:tr w:rsidR="007E770D" w:rsidRPr="007E770D" w14:paraId="67B40FE4" w14:textId="77777777" w:rsidTr="00E4657F">
        <w:trPr>
          <w:trHeight w:val="253"/>
        </w:trPr>
        <w:tc>
          <w:tcPr>
            <w:cnfStyle w:val="001000000000" w:firstRow="0" w:lastRow="0" w:firstColumn="1" w:lastColumn="0" w:oddVBand="0" w:evenVBand="0" w:oddHBand="0" w:evenHBand="0" w:firstRowFirstColumn="0" w:firstRowLastColumn="0" w:lastRowFirstColumn="0" w:lastRowLastColumn="0"/>
            <w:tcW w:w="2688" w:type="pct"/>
            <w:shd w:val="clear" w:color="auto" w:fill="auto"/>
            <w:noWrap/>
            <w:hideMark/>
          </w:tcPr>
          <w:p w14:paraId="51319E39" w14:textId="77777777" w:rsidR="004044DC" w:rsidRPr="007E770D" w:rsidRDefault="004044DC" w:rsidP="00E4657F">
            <w:pPr>
              <w:spacing w:line="240" w:lineRule="auto"/>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 xml:space="preserve"> Шок девизног курса (15% све валуте) </w:t>
            </w:r>
          </w:p>
        </w:tc>
        <w:tc>
          <w:tcPr>
            <w:tcW w:w="578" w:type="pct"/>
            <w:shd w:val="clear" w:color="auto" w:fill="auto"/>
            <w:noWrap/>
            <w:hideMark/>
          </w:tcPr>
          <w:p w14:paraId="778FD243" w14:textId="77777777" w:rsidR="004044DC" w:rsidRPr="007E770D" w:rsidRDefault="004044DC" w:rsidP="00E4657F">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1,7</w:t>
            </w:r>
          </w:p>
        </w:tc>
        <w:tc>
          <w:tcPr>
            <w:tcW w:w="578" w:type="pct"/>
            <w:shd w:val="clear" w:color="auto" w:fill="auto"/>
            <w:noWrap/>
            <w:hideMark/>
          </w:tcPr>
          <w:p w14:paraId="63824135" w14:textId="77777777" w:rsidR="004044DC" w:rsidRPr="007E770D" w:rsidRDefault="004044DC" w:rsidP="00E4657F">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1,6</w:t>
            </w:r>
          </w:p>
        </w:tc>
        <w:tc>
          <w:tcPr>
            <w:tcW w:w="578" w:type="pct"/>
            <w:shd w:val="clear" w:color="auto" w:fill="auto"/>
            <w:noWrap/>
            <w:hideMark/>
          </w:tcPr>
          <w:p w14:paraId="170C8B9D" w14:textId="77777777" w:rsidR="004044DC" w:rsidRPr="007E770D" w:rsidRDefault="004044DC" w:rsidP="00E4657F">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1,4</w:t>
            </w:r>
          </w:p>
        </w:tc>
        <w:tc>
          <w:tcPr>
            <w:tcW w:w="578" w:type="pct"/>
            <w:shd w:val="clear" w:color="auto" w:fill="auto"/>
            <w:noWrap/>
            <w:hideMark/>
          </w:tcPr>
          <w:p w14:paraId="5754B517" w14:textId="77777777" w:rsidR="004044DC" w:rsidRPr="007E770D" w:rsidRDefault="004044DC" w:rsidP="00E4657F">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1,7</w:t>
            </w:r>
          </w:p>
        </w:tc>
      </w:tr>
      <w:tr w:rsidR="007E770D" w:rsidRPr="007E770D" w14:paraId="49AD12EF" w14:textId="77777777" w:rsidTr="00E4657F">
        <w:trPr>
          <w:cnfStyle w:val="000000100000" w:firstRow="0" w:lastRow="0" w:firstColumn="0" w:lastColumn="0" w:oddVBand="0" w:evenVBand="0" w:oddHBand="1"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688" w:type="pct"/>
            <w:shd w:val="clear" w:color="auto" w:fill="auto"/>
            <w:noWrap/>
            <w:hideMark/>
          </w:tcPr>
          <w:p w14:paraId="01D2842F" w14:textId="77777777" w:rsidR="004044DC" w:rsidRPr="007E770D" w:rsidRDefault="004044DC" w:rsidP="00E4657F">
            <w:pPr>
              <w:spacing w:line="240" w:lineRule="auto"/>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 xml:space="preserve"> Каматни шок (сценарио 1) </w:t>
            </w:r>
          </w:p>
        </w:tc>
        <w:tc>
          <w:tcPr>
            <w:tcW w:w="578" w:type="pct"/>
            <w:shd w:val="clear" w:color="auto" w:fill="auto"/>
            <w:noWrap/>
            <w:hideMark/>
          </w:tcPr>
          <w:p w14:paraId="0425B733" w14:textId="77777777" w:rsidR="004044DC" w:rsidRPr="007E770D" w:rsidRDefault="004044DC" w:rsidP="00E4657F">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1,9</w:t>
            </w:r>
          </w:p>
        </w:tc>
        <w:tc>
          <w:tcPr>
            <w:tcW w:w="578" w:type="pct"/>
            <w:shd w:val="clear" w:color="auto" w:fill="auto"/>
            <w:noWrap/>
            <w:hideMark/>
          </w:tcPr>
          <w:p w14:paraId="35F1D4E1" w14:textId="77777777" w:rsidR="004044DC" w:rsidRPr="007E770D" w:rsidRDefault="004044DC" w:rsidP="00E4657F">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1,8</w:t>
            </w:r>
          </w:p>
        </w:tc>
        <w:tc>
          <w:tcPr>
            <w:tcW w:w="578" w:type="pct"/>
            <w:shd w:val="clear" w:color="auto" w:fill="auto"/>
            <w:noWrap/>
            <w:hideMark/>
          </w:tcPr>
          <w:p w14:paraId="198092CC" w14:textId="77777777" w:rsidR="004044DC" w:rsidRPr="007E770D" w:rsidRDefault="004044DC" w:rsidP="00E4657F">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1,6</w:t>
            </w:r>
          </w:p>
        </w:tc>
        <w:tc>
          <w:tcPr>
            <w:tcW w:w="578" w:type="pct"/>
            <w:shd w:val="clear" w:color="auto" w:fill="auto"/>
            <w:noWrap/>
            <w:hideMark/>
          </w:tcPr>
          <w:p w14:paraId="748C6935" w14:textId="77777777" w:rsidR="004044DC" w:rsidRPr="007E770D" w:rsidRDefault="004044DC" w:rsidP="00E4657F">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1,9</w:t>
            </w:r>
          </w:p>
        </w:tc>
      </w:tr>
      <w:tr w:rsidR="007E770D" w:rsidRPr="007E770D" w14:paraId="4DF30269" w14:textId="77777777" w:rsidTr="00E4657F">
        <w:trPr>
          <w:trHeight w:val="253"/>
        </w:trPr>
        <w:tc>
          <w:tcPr>
            <w:cnfStyle w:val="001000000000" w:firstRow="0" w:lastRow="0" w:firstColumn="1" w:lastColumn="0" w:oddVBand="0" w:evenVBand="0" w:oddHBand="0" w:evenHBand="0" w:firstRowFirstColumn="0" w:firstRowLastColumn="0" w:lastRowFirstColumn="0" w:lastRowLastColumn="0"/>
            <w:tcW w:w="2688" w:type="pct"/>
            <w:shd w:val="clear" w:color="auto" w:fill="auto"/>
            <w:noWrap/>
            <w:hideMark/>
          </w:tcPr>
          <w:p w14:paraId="0FBC3E42" w14:textId="77777777" w:rsidR="004044DC" w:rsidRPr="007E770D" w:rsidRDefault="004044DC" w:rsidP="00E4657F">
            <w:pPr>
              <w:spacing w:line="240" w:lineRule="auto"/>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 xml:space="preserve"> Каматни шок (сценарио 2)</w:t>
            </w:r>
          </w:p>
        </w:tc>
        <w:tc>
          <w:tcPr>
            <w:tcW w:w="578" w:type="pct"/>
            <w:shd w:val="clear" w:color="auto" w:fill="auto"/>
            <w:noWrap/>
            <w:hideMark/>
          </w:tcPr>
          <w:p w14:paraId="43AD1EE0" w14:textId="77777777" w:rsidR="004044DC" w:rsidRPr="007E770D" w:rsidRDefault="004044DC" w:rsidP="00E4657F">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2,1</w:t>
            </w:r>
          </w:p>
        </w:tc>
        <w:tc>
          <w:tcPr>
            <w:tcW w:w="578" w:type="pct"/>
            <w:shd w:val="clear" w:color="auto" w:fill="auto"/>
            <w:noWrap/>
            <w:hideMark/>
          </w:tcPr>
          <w:p w14:paraId="63865A5A" w14:textId="77777777" w:rsidR="004044DC" w:rsidRPr="007E770D" w:rsidRDefault="004044DC" w:rsidP="00E4657F">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2,0</w:t>
            </w:r>
          </w:p>
        </w:tc>
        <w:tc>
          <w:tcPr>
            <w:tcW w:w="578" w:type="pct"/>
            <w:shd w:val="clear" w:color="auto" w:fill="auto"/>
            <w:noWrap/>
            <w:hideMark/>
          </w:tcPr>
          <w:p w14:paraId="34452CE0" w14:textId="77777777" w:rsidR="004044DC" w:rsidRPr="007E770D" w:rsidRDefault="004044DC" w:rsidP="00E4657F">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1,7</w:t>
            </w:r>
          </w:p>
        </w:tc>
        <w:tc>
          <w:tcPr>
            <w:tcW w:w="578" w:type="pct"/>
            <w:shd w:val="clear" w:color="auto" w:fill="auto"/>
            <w:noWrap/>
            <w:hideMark/>
          </w:tcPr>
          <w:p w14:paraId="5CD762B8" w14:textId="77777777" w:rsidR="004044DC" w:rsidRPr="007E770D" w:rsidRDefault="004044DC" w:rsidP="00E4657F">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2,2</w:t>
            </w:r>
          </w:p>
        </w:tc>
      </w:tr>
      <w:tr w:rsidR="007E770D" w:rsidRPr="007E770D" w14:paraId="43491688" w14:textId="77777777" w:rsidTr="00E4657F">
        <w:trPr>
          <w:cnfStyle w:val="000000100000" w:firstRow="0" w:lastRow="0" w:firstColumn="0" w:lastColumn="0" w:oddVBand="0" w:evenVBand="0" w:oddHBand="1"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688" w:type="pct"/>
            <w:tcBorders>
              <w:bottom w:val="nil"/>
            </w:tcBorders>
            <w:shd w:val="clear" w:color="auto" w:fill="auto"/>
            <w:noWrap/>
            <w:hideMark/>
          </w:tcPr>
          <w:p w14:paraId="7EB0609D" w14:textId="77777777" w:rsidR="004044DC" w:rsidRPr="007E770D" w:rsidRDefault="004044DC" w:rsidP="00E4657F">
            <w:pPr>
              <w:spacing w:line="240" w:lineRule="auto"/>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 xml:space="preserve"> Комбиновани шок (15% УСД и каматни шок1) </w:t>
            </w:r>
          </w:p>
        </w:tc>
        <w:tc>
          <w:tcPr>
            <w:tcW w:w="578" w:type="pct"/>
            <w:tcBorders>
              <w:bottom w:val="nil"/>
            </w:tcBorders>
            <w:shd w:val="clear" w:color="auto" w:fill="auto"/>
            <w:noWrap/>
            <w:hideMark/>
          </w:tcPr>
          <w:p w14:paraId="4F776B82" w14:textId="77777777" w:rsidR="004044DC" w:rsidRPr="007E770D" w:rsidRDefault="004044DC" w:rsidP="00E4657F">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1,9</w:t>
            </w:r>
          </w:p>
        </w:tc>
        <w:tc>
          <w:tcPr>
            <w:tcW w:w="578" w:type="pct"/>
            <w:tcBorders>
              <w:bottom w:val="nil"/>
            </w:tcBorders>
            <w:shd w:val="clear" w:color="auto" w:fill="auto"/>
            <w:noWrap/>
            <w:hideMark/>
          </w:tcPr>
          <w:p w14:paraId="33643976" w14:textId="77777777" w:rsidR="004044DC" w:rsidRPr="007E770D" w:rsidRDefault="004044DC" w:rsidP="00E4657F">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1,8</w:t>
            </w:r>
          </w:p>
        </w:tc>
        <w:tc>
          <w:tcPr>
            <w:tcW w:w="578" w:type="pct"/>
            <w:tcBorders>
              <w:bottom w:val="nil"/>
            </w:tcBorders>
            <w:shd w:val="clear" w:color="auto" w:fill="auto"/>
            <w:noWrap/>
            <w:hideMark/>
          </w:tcPr>
          <w:p w14:paraId="26FD388A" w14:textId="77777777" w:rsidR="004044DC" w:rsidRPr="007E770D" w:rsidRDefault="004044DC" w:rsidP="00E4657F">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1,6</w:t>
            </w:r>
          </w:p>
        </w:tc>
        <w:tc>
          <w:tcPr>
            <w:tcW w:w="578" w:type="pct"/>
            <w:tcBorders>
              <w:bottom w:val="nil"/>
            </w:tcBorders>
            <w:shd w:val="clear" w:color="auto" w:fill="auto"/>
            <w:noWrap/>
            <w:hideMark/>
          </w:tcPr>
          <w:p w14:paraId="5B6EC359" w14:textId="77777777" w:rsidR="004044DC" w:rsidRPr="007E770D" w:rsidRDefault="004044DC" w:rsidP="00E4657F">
            <w:pPr>
              <w:spacing w:line="240" w:lineRule="auto"/>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2,0</w:t>
            </w:r>
          </w:p>
        </w:tc>
      </w:tr>
      <w:tr w:rsidR="007E770D" w:rsidRPr="007E770D" w14:paraId="6D425B34" w14:textId="77777777" w:rsidTr="00E4657F">
        <w:trPr>
          <w:trHeight w:val="253"/>
        </w:trPr>
        <w:tc>
          <w:tcPr>
            <w:cnfStyle w:val="001000000000" w:firstRow="0" w:lastRow="0" w:firstColumn="1" w:lastColumn="0" w:oddVBand="0" w:evenVBand="0" w:oddHBand="0" w:evenHBand="0" w:firstRowFirstColumn="0" w:firstRowLastColumn="0" w:lastRowFirstColumn="0" w:lastRowLastColumn="0"/>
            <w:tcW w:w="2688" w:type="pct"/>
            <w:tcBorders>
              <w:top w:val="nil"/>
              <w:bottom w:val="single" w:sz="4" w:space="0" w:color="002060"/>
            </w:tcBorders>
            <w:shd w:val="clear" w:color="auto" w:fill="auto"/>
            <w:noWrap/>
            <w:hideMark/>
          </w:tcPr>
          <w:p w14:paraId="65F23A24" w14:textId="77777777" w:rsidR="004044DC" w:rsidRPr="007E770D" w:rsidRDefault="004044DC" w:rsidP="00E4657F">
            <w:pPr>
              <w:spacing w:line="240" w:lineRule="auto"/>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 xml:space="preserve"> Максимални ризик </w:t>
            </w:r>
          </w:p>
        </w:tc>
        <w:tc>
          <w:tcPr>
            <w:tcW w:w="578" w:type="pct"/>
            <w:tcBorders>
              <w:top w:val="nil"/>
              <w:bottom w:val="single" w:sz="4" w:space="0" w:color="002060"/>
            </w:tcBorders>
            <w:shd w:val="clear" w:color="auto" w:fill="auto"/>
            <w:noWrap/>
            <w:hideMark/>
          </w:tcPr>
          <w:p w14:paraId="18AD7602" w14:textId="77777777" w:rsidR="004044DC" w:rsidRPr="007E770D" w:rsidRDefault="004044DC" w:rsidP="00E4657F">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0,6</w:t>
            </w:r>
          </w:p>
        </w:tc>
        <w:tc>
          <w:tcPr>
            <w:tcW w:w="578" w:type="pct"/>
            <w:tcBorders>
              <w:top w:val="nil"/>
              <w:bottom w:val="single" w:sz="4" w:space="0" w:color="002060"/>
            </w:tcBorders>
            <w:shd w:val="clear" w:color="auto" w:fill="auto"/>
            <w:noWrap/>
            <w:hideMark/>
          </w:tcPr>
          <w:p w14:paraId="5194F907" w14:textId="77777777" w:rsidR="004044DC" w:rsidRPr="007E770D" w:rsidRDefault="004044DC" w:rsidP="00E4657F">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0,6</w:t>
            </w:r>
          </w:p>
        </w:tc>
        <w:tc>
          <w:tcPr>
            <w:tcW w:w="578" w:type="pct"/>
            <w:tcBorders>
              <w:top w:val="nil"/>
              <w:bottom w:val="single" w:sz="4" w:space="0" w:color="002060"/>
            </w:tcBorders>
            <w:shd w:val="clear" w:color="auto" w:fill="auto"/>
            <w:noWrap/>
            <w:hideMark/>
          </w:tcPr>
          <w:p w14:paraId="5B225443" w14:textId="77777777" w:rsidR="004044DC" w:rsidRPr="007E770D" w:rsidRDefault="004044DC" w:rsidP="00E4657F">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0,5</w:t>
            </w:r>
          </w:p>
        </w:tc>
        <w:tc>
          <w:tcPr>
            <w:tcW w:w="578" w:type="pct"/>
            <w:tcBorders>
              <w:top w:val="nil"/>
              <w:bottom w:val="single" w:sz="4" w:space="0" w:color="002060"/>
            </w:tcBorders>
            <w:shd w:val="clear" w:color="auto" w:fill="auto"/>
            <w:noWrap/>
            <w:hideMark/>
          </w:tcPr>
          <w:p w14:paraId="4F077C8F" w14:textId="77777777" w:rsidR="004044DC" w:rsidRPr="007E770D" w:rsidRDefault="004044DC" w:rsidP="00E4657F">
            <w:pPr>
              <w:spacing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0,6</w:t>
            </w:r>
          </w:p>
        </w:tc>
      </w:tr>
    </w:tbl>
    <w:p w14:paraId="25B1D141" w14:textId="77777777" w:rsidR="004044DC" w:rsidRPr="007E770D" w:rsidRDefault="004044DC" w:rsidP="00E4657F">
      <w:pPr>
        <w:spacing w:after="120" w:line="276" w:lineRule="auto"/>
        <w:rPr>
          <w:rFonts w:cstheme="minorHAnsi"/>
          <w:bCs/>
          <w:color w:val="auto"/>
          <w:szCs w:val="72"/>
          <w:lang w:val="sr-Cyrl-CS"/>
        </w:rPr>
      </w:pPr>
    </w:p>
    <w:p w14:paraId="31B56BBA" w14:textId="77777777" w:rsidR="004044DC" w:rsidRPr="007E770D" w:rsidRDefault="004044DC" w:rsidP="00E4657F">
      <w:pPr>
        <w:spacing w:after="120" w:line="276" w:lineRule="auto"/>
        <w:rPr>
          <w:rFonts w:cstheme="minorHAnsi"/>
          <w:bCs/>
          <w:color w:val="auto"/>
          <w:szCs w:val="72"/>
          <w:lang w:val="sr-Cyrl-CS"/>
        </w:rPr>
        <w:sectPr w:rsidR="004044DC" w:rsidRPr="007E770D" w:rsidSect="004E661B">
          <w:type w:val="continuous"/>
          <w:pgSz w:w="12240" w:h="15840"/>
          <w:pgMar w:top="1440" w:right="1440" w:bottom="1440" w:left="1440" w:header="720" w:footer="720" w:gutter="0"/>
          <w:cols w:space="720"/>
          <w:docGrid w:linePitch="360"/>
        </w:sectPr>
      </w:pPr>
    </w:p>
    <w:p w14:paraId="17F2927E" w14:textId="77777777" w:rsidR="004044DC" w:rsidRPr="007E770D" w:rsidRDefault="004044DC" w:rsidP="00E4657F">
      <w:pPr>
        <w:spacing w:line="276" w:lineRule="auto"/>
        <w:rPr>
          <w:rFonts w:cstheme="minorHAnsi"/>
          <w:bCs/>
          <w:color w:val="auto"/>
          <w:szCs w:val="72"/>
          <w:lang w:val="sr-Cyrl-CS"/>
        </w:rPr>
        <w:sectPr w:rsidR="004044DC" w:rsidRPr="007E770D" w:rsidSect="00144C44">
          <w:type w:val="continuous"/>
          <w:pgSz w:w="12240" w:h="15840"/>
          <w:pgMar w:top="1440" w:right="1440" w:bottom="1440" w:left="1440" w:header="720" w:footer="720" w:gutter="0"/>
          <w:cols w:num="2" w:space="720"/>
          <w:docGrid w:linePitch="360"/>
        </w:sectPr>
      </w:pPr>
      <w:r w:rsidRPr="007E770D">
        <w:rPr>
          <w:rFonts w:cstheme="minorHAnsi"/>
          <w:bCs/>
          <w:color w:val="auto"/>
          <w:szCs w:val="72"/>
          <w:lang w:val="sr-Cyrl-CS"/>
        </w:rPr>
        <w:t xml:space="preserve">Наредна табела приказује кретања основних параметара јавног дуга по основу све четири </w:t>
      </w:r>
      <w:r w:rsidRPr="007E770D">
        <w:rPr>
          <w:rFonts w:cstheme="minorHAnsi"/>
          <w:bCs/>
          <w:color w:val="auto"/>
          <w:szCs w:val="72"/>
          <w:lang w:val="sr-Cyrl-CS"/>
        </w:rPr>
        <w:t>разматране стратегије, што осликава горе поменуте карактеристике сваке стратегије:</w:t>
      </w:r>
    </w:p>
    <w:p w14:paraId="4FEAB008" w14:textId="77777777" w:rsidR="004044DC" w:rsidRPr="007E770D" w:rsidRDefault="004044DC" w:rsidP="00E4657F">
      <w:pPr>
        <w:jc w:val="center"/>
        <w:rPr>
          <w:b/>
          <w:color w:val="auto"/>
          <w:lang w:val="sr-Cyrl-CS"/>
        </w:rPr>
      </w:pPr>
      <w:r w:rsidRPr="007E770D">
        <w:rPr>
          <w:b/>
          <w:color w:val="auto"/>
          <w:lang w:val="sr-Cyrl-CS"/>
        </w:rPr>
        <w:t>Табела 29. Индикатори ризика за алтернативне стратегије</w:t>
      </w:r>
      <w:r w:rsidRPr="007E770D">
        <w:rPr>
          <w:color w:val="auto"/>
          <w:lang w:val="sr-Cyrl-CS"/>
        </w:rPr>
        <w:t xml:space="preserve"> </w:t>
      </w:r>
      <w:r w:rsidRPr="007E770D">
        <w:rPr>
          <w:b/>
          <w:color w:val="auto"/>
          <w:lang w:val="sr-Cyrl-CS"/>
        </w:rPr>
        <w:t>на крају 2022. године</w:t>
      </w:r>
    </w:p>
    <w:tbl>
      <w:tblPr>
        <w:tblStyle w:val="LightShading-Accent122"/>
        <w:tblW w:w="5000" w:type="pct"/>
        <w:tblLayout w:type="fixed"/>
        <w:tblLook w:val="04A0" w:firstRow="1" w:lastRow="0" w:firstColumn="1" w:lastColumn="0" w:noHBand="0" w:noVBand="1"/>
      </w:tblPr>
      <w:tblGrid>
        <w:gridCol w:w="2950"/>
        <w:gridCol w:w="3664"/>
        <w:gridCol w:w="702"/>
        <w:gridCol w:w="702"/>
        <w:gridCol w:w="702"/>
        <w:gridCol w:w="640"/>
      </w:tblGrid>
      <w:tr w:rsidR="007E770D" w:rsidRPr="007E770D" w14:paraId="19B2647A" w14:textId="77777777" w:rsidTr="00E4657F">
        <w:trPr>
          <w:cnfStyle w:val="100000000000" w:firstRow="1" w:lastRow="0" w:firstColumn="0" w:lastColumn="0" w:oddVBand="0" w:evenVBand="0" w:oddHBand="0" w:evenHBand="0" w:firstRowFirstColumn="0" w:firstRowLastColumn="0" w:lastRowFirstColumn="0" w:lastRowLastColumn="0"/>
          <w:trHeight w:hRule="exact" w:val="269"/>
        </w:trPr>
        <w:tc>
          <w:tcPr>
            <w:cnfStyle w:val="001000000000" w:firstRow="0" w:lastRow="0" w:firstColumn="1" w:lastColumn="0" w:oddVBand="0" w:evenVBand="0" w:oddHBand="0" w:evenHBand="0" w:firstRowFirstColumn="0" w:firstRowLastColumn="0" w:lastRowFirstColumn="0" w:lastRowLastColumn="0"/>
            <w:tcW w:w="1576" w:type="pct"/>
            <w:tcBorders>
              <w:top w:val="single" w:sz="4" w:space="0" w:color="002060"/>
              <w:bottom w:val="nil"/>
            </w:tcBorders>
            <w:shd w:val="clear" w:color="auto" w:fill="auto"/>
            <w:noWrap/>
            <w:hideMark/>
          </w:tcPr>
          <w:p w14:paraId="79700EF3" w14:textId="77777777" w:rsidR="004044DC" w:rsidRPr="007E770D" w:rsidRDefault="004044DC" w:rsidP="00E4657F">
            <w:pPr>
              <w:rPr>
                <w:rFonts w:cstheme="minorHAnsi"/>
                <w:bCs w:val="0"/>
                <w:color w:val="auto"/>
                <w:sz w:val="18"/>
                <w:szCs w:val="18"/>
                <w:lang w:val="sr-Cyrl-CS"/>
              </w:rPr>
            </w:pPr>
          </w:p>
        </w:tc>
        <w:tc>
          <w:tcPr>
            <w:tcW w:w="1957" w:type="pct"/>
            <w:tcBorders>
              <w:top w:val="single" w:sz="4" w:space="0" w:color="002060"/>
              <w:bottom w:val="single" w:sz="4" w:space="0" w:color="002060"/>
            </w:tcBorders>
            <w:shd w:val="clear" w:color="auto" w:fill="auto"/>
          </w:tcPr>
          <w:p w14:paraId="5AFA7DA2" w14:textId="77777777" w:rsidR="004044DC" w:rsidRPr="007E770D" w:rsidRDefault="004044DC" w:rsidP="00E4657F">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18"/>
                <w:szCs w:val="18"/>
                <w:lang w:val="sr-Cyrl-CS"/>
              </w:rPr>
            </w:pPr>
          </w:p>
        </w:tc>
        <w:tc>
          <w:tcPr>
            <w:tcW w:w="1467" w:type="pct"/>
            <w:gridSpan w:val="4"/>
            <w:tcBorders>
              <w:top w:val="single" w:sz="4" w:space="0" w:color="002060"/>
              <w:bottom w:val="single" w:sz="4" w:space="0" w:color="002060"/>
            </w:tcBorders>
            <w:shd w:val="clear" w:color="auto" w:fill="auto"/>
            <w:noWrap/>
          </w:tcPr>
          <w:p w14:paraId="56B28558" w14:textId="77777777" w:rsidR="004044DC" w:rsidRPr="007E770D" w:rsidRDefault="004044DC" w:rsidP="00E4657F">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C1</w:t>
            </w:r>
            <w:r w:rsidRPr="007E770D">
              <w:rPr>
                <w:rFonts w:asciiTheme="minorHAnsi" w:hAnsiTheme="minorHAnsi" w:cstheme="minorHAnsi"/>
                <w:b w:val="0"/>
                <w:color w:val="auto"/>
                <w:sz w:val="18"/>
                <w:szCs w:val="18"/>
                <w:lang w:val="sr-Cyrl-CS"/>
              </w:rPr>
              <w:tab/>
              <w:t>C2</w:t>
            </w:r>
            <w:r w:rsidRPr="007E770D">
              <w:rPr>
                <w:rFonts w:asciiTheme="minorHAnsi" w:hAnsiTheme="minorHAnsi" w:cstheme="minorHAnsi"/>
                <w:b w:val="0"/>
                <w:color w:val="auto"/>
                <w:sz w:val="18"/>
                <w:szCs w:val="18"/>
                <w:lang w:val="sr-Cyrl-CS"/>
              </w:rPr>
              <w:tab/>
              <w:t>C3</w:t>
            </w:r>
            <w:r w:rsidRPr="007E770D">
              <w:rPr>
                <w:rFonts w:asciiTheme="minorHAnsi" w:hAnsiTheme="minorHAnsi" w:cstheme="minorHAnsi"/>
                <w:b w:val="0"/>
                <w:color w:val="auto"/>
                <w:sz w:val="18"/>
                <w:szCs w:val="18"/>
                <w:lang w:val="sr-Cyrl-CS"/>
              </w:rPr>
              <w:tab/>
              <w:t>C4</w:t>
            </w:r>
          </w:p>
        </w:tc>
      </w:tr>
      <w:tr w:rsidR="007E770D" w:rsidRPr="007E770D" w14:paraId="6E3F5334" w14:textId="77777777" w:rsidTr="00E4657F">
        <w:trPr>
          <w:cnfStyle w:val="000000100000" w:firstRow="0" w:lastRow="0" w:firstColumn="0" w:lastColumn="0" w:oddVBand="0" w:evenVBand="0" w:oddHBand="1" w:evenHBand="0" w:firstRowFirstColumn="0" w:firstRowLastColumn="0" w:lastRowFirstColumn="0" w:lastRowLastColumn="0"/>
          <w:trHeight w:hRule="exact" w:val="269"/>
        </w:trPr>
        <w:tc>
          <w:tcPr>
            <w:cnfStyle w:val="001000000000" w:firstRow="0" w:lastRow="0" w:firstColumn="1" w:lastColumn="0" w:oddVBand="0" w:evenVBand="0" w:oddHBand="0" w:evenHBand="0" w:firstRowFirstColumn="0" w:firstRowLastColumn="0" w:lastRowFirstColumn="0" w:lastRowLastColumn="0"/>
            <w:tcW w:w="1576" w:type="pct"/>
            <w:tcBorders>
              <w:top w:val="nil"/>
              <w:bottom w:val="nil"/>
            </w:tcBorders>
            <w:shd w:val="clear" w:color="auto" w:fill="auto"/>
            <w:noWrap/>
            <w:hideMark/>
          </w:tcPr>
          <w:p w14:paraId="6BC55830" w14:textId="77777777" w:rsidR="004044DC" w:rsidRPr="007E770D" w:rsidRDefault="004044DC" w:rsidP="00E4657F">
            <w:pPr>
              <w:spacing w:line="240" w:lineRule="auto"/>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Номинални дуг (% БДП)</w:t>
            </w:r>
          </w:p>
        </w:tc>
        <w:tc>
          <w:tcPr>
            <w:tcW w:w="1957" w:type="pct"/>
            <w:tcBorders>
              <w:top w:val="single" w:sz="4" w:space="0" w:color="002060"/>
            </w:tcBorders>
            <w:shd w:val="clear" w:color="auto" w:fill="auto"/>
            <w:noWrap/>
            <w:hideMark/>
          </w:tcPr>
          <w:p w14:paraId="0CD5084D" w14:textId="77777777" w:rsidR="004044DC" w:rsidRPr="007E770D" w:rsidRDefault="004044DC" w:rsidP="00E4657F">
            <w:pPr>
              <w:spacing w:line="240"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 </w:t>
            </w:r>
          </w:p>
        </w:tc>
        <w:tc>
          <w:tcPr>
            <w:tcW w:w="375" w:type="pct"/>
            <w:tcBorders>
              <w:top w:val="single" w:sz="4" w:space="0" w:color="002060"/>
            </w:tcBorders>
            <w:shd w:val="clear" w:color="auto" w:fill="auto"/>
            <w:noWrap/>
          </w:tcPr>
          <w:p w14:paraId="63AC23F3" w14:textId="77777777" w:rsidR="004044DC" w:rsidRPr="007E770D" w:rsidRDefault="004044DC" w:rsidP="00E4657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44,1</w:t>
            </w:r>
          </w:p>
        </w:tc>
        <w:tc>
          <w:tcPr>
            <w:tcW w:w="375" w:type="pct"/>
            <w:tcBorders>
              <w:top w:val="single" w:sz="4" w:space="0" w:color="002060"/>
            </w:tcBorders>
            <w:shd w:val="clear" w:color="auto" w:fill="auto"/>
            <w:noWrap/>
          </w:tcPr>
          <w:p w14:paraId="5DEC0109" w14:textId="77777777" w:rsidR="004044DC" w:rsidRPr="007E770D" w:rsidRDefault="004044DC" w:rsidP="00E4657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44,0</w:t>
            </w:r>
          </w:p>
        </w:tc>
        <w:tc>
          <w:tcPr>
            <w:tcW w:w="375" w:type="pct"/>
            <w:tcBorders>
              <w:top w:val="single" w:sz="4" w:space="0" w:color="002060"/>
            </w:tcBorders>
            <w:shd w:val="clear" w:color="auto" w:fill="auto"/>
            <w:noWrap/>
          </w:tcPr>
          <w:p w14:paraId="41F0955B" w14:textId="77777777" w:rsidR="004044DC" w:rsidRPr="007E770D" w:rsidRDefault="004044DC" w:rsidP="00E4657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43,9</w:t>
            </w:r>
          </w:p>
        </w:tc>
        <w:tc>
          <w:tcPr>
            <w:tcW w:w="342" w:type="pct"/>
            <w:tcBorders>
              <w:top w:val="single" w:sz="4" w:space="0" w:color="002060"/>
            </w:tcBorders>
            <w:shd w:val="clear" w:color="auto" w:fill="auto"/>
            <w:noWrap/>
          </w:tcPr>
          <w:p w14:paraId="459E8ACA" w14:textId="77777777" w:rsidR="004044DC" w:rsidRPr="007E770D" w:rsidRDefault="004044DC" w:rsidP="00E4657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44,1</w:t>
            </w:r>
          </w:p>
        </w:tc>
      </w:tr>
      <w:tr w:rsidR="007E770D" w:rsidRPr="007E770D" w14:paraId="14546A7E" w14:textId="77777777" w:rsidTr="00E4657F">
        <w:trPr>
          <w:trHeight w:hRule="exact" w:val="269"/>
        </w:trPr>
        <w:tc>
          <w:tcPr>
            <w:cnfStyle w:val="001000000000" w:firstRow="0" w:lastRow="0" w:firstColumn="1" w:lastColumn="0" w:oddVBand="0" w:evenVBand="0" w:oddHBand="0" w:evenHBand="0" w:firstRowFirstColumn="0" w:firstRowLastColumn="0" w:lastRowFirstColumn="0" w:lastRowLastColumn="0"/>
            <w:tcW w:w="3533" w:type="pct"/>
            <w:gridSpan w:val="2"/>
            <w:shd w:val="clear" w:color="auto" w:fill="auto"/>
            <w:noWrap/>
            <w:hideMark/>
          </w:tcPr>
          <w:p w14:paraId="0E67DA58" w14:textId="77777777" w:rsidR="004044DC" w:rsidRPr="007E770D" w:rsidRDefault="004044DC" w:rsidP="00E4657F">
            <w:pPr>
              <w:spacing w:line="240" w:lineRule="auto"/>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Нето садашња вредност (% БДП)*</w:t>
            </w:r>
          </w:p>
        </w:tc>
        <w:tc>
          <w:tcPr>
            <w:tcW w:w="375" w:type="pct"/>
            <w:shd w:val="clear" w:color="auto" w:fill="auto"/>
            <w:noWrap/>
          </w:tcPr>
          <w:p w14:paraId="41301D89" w14:textId="2B482F2E" w:rsidR="004044DC" w:rsidRPr="007E770D" w:rsidRDefault="004044DC" w:rsidP="005833E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40,</w:t>
            </w:r>
            <w:r w:rsidR="005833E6" w:rsidRPr="007E770D">
              <w:rPr>
                <w:rFonts w:asciiTheme="minorHAnsi" w:hAnsiTheme="minorHAnsi" w:cstheme="minorHAnsi"/>
                <w:color w:val="auto"/>
                <w:sz w:val="18"/>
                <w:szCs w:val="18"/>
                <w:lang w:val="sr-Cyrl-CS"/>
              </w:rPr>
              <w:t>9</w:t>
            </w:r>
          </w:p>
        </w:tc>
        <w:tc>
          <w:tcPr>
            <w:tcW w:w="375" w:type="pct"/>
            <w:shd w:val="clear" w:color="auto" w:fill="auto"/>
            <w:noWrap/>
          </w:tcPr>
          <w:p w14:paraId="6DE9FA1E" w14:textId="0CF14AFF" w:rsidR="004044DC" w:rsidRPr="007E770D" w:rsidRDefault="005833E6" w:rsidP="00E4657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38,1</w:t>
            </w:r>
          </w:p>
        </w:tc>
        <w:tc>
          <w:tcPr>
            <w:tcW w:w="375" w:type="pct"/>
            <w:shd w:val="clear" w:color="auto" w:fill="auto"/>
            <w:noWrap/>
          </w:tcPr>
          <w:p w14:paraId="442D3993" w14:textId="36264A75" w:rsidR="004044DC" w:rsidRPr="007E770D" w:rsidRDefault="004044DC" w:rsidP="005833E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3</w:t>
            </w:r>
            <w:r w:rsidR="005833E6" w:rsidRPr="007E770D">
              <w:rPr>
                <w:rFonts w:asciiTheme="minorHAnsi" w:hAnsiTheme="minorHAnsi" w:cstheme="minorHAnsi"/>
                <w:color w:val="auto"/>
                <w:sz w:val="18"/>
                <w:szCs w:val="18"/>
                <w:lang w:val="sr-Cyrl-CS"/>
              </w:rPr>
              <w:t>4</w:t>
            </w:r>
            <w:r w:rsidRPr="007E770D">
              <w:rPr>
                <w:rFonts w:asciiTheme="minorHAnsi" w:hAnsiTheme="minorHAnsi" w:cstheme="minorHAnsi"/>
                <w:color w:val="auto"/>
                <w:sz w:val="18"/>
                <w:szCs w:val="18"/>
                <w:lang w:val="sr-Cyrl-CS"/>
              </w:rPr>
              <w:t>,1</w:t>
            </w:r>
          </w:p>
        </w:tc>
        <w:tc>
          <w:tcPr>
            <w:tcW w:w="342" w:type="pct"/>
            <w:shd w:val="clear" w:color="auto" w:fill="auto"/>
            <w:noWrap/>
          </w:tcPr>
          <w:p w14:paraId="16068CCE" w14:textId="71D46C29" w:rsidR="004044DC" w:rsidRPr="007E770D" w:rsidRDefault="005833E6" w:rsidP="00E4657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42,3</w:t>
            </w:r>
          </w:p>
        </w:tc>
      </w:tr>
      <w:tr w:rsidR="007E770D" w:rsidRPr="007E770D" w14:paraId="4C20862E" w14:textId="77777777" w:rsidTr="00E4657F">
        <w:trPr>
          <w:cnfStyle w:val="000000100000" w:firstRow="0" w:lastRow="0" w:firstColumn="0" w:lastColumn="0" w:oddVBand="0" w:evenVBand="0" w:oddHBand="1" w:evenHBand="0" w:firstRowFirstColumn="0" w:firstRowLastColumn="0" w:lastRowFirstColumn="0" w:lastRowLastColumn="0"/>
          <w:trHeight w:hRule="exact" w:val="269"/>
        </w:trPr>
        <w:tc>
          <w:tcPr>
            <w:cnfStyle w:val="001000000000" w:firstRow="0" w:lastRow="0" w:firstColumn="1" w:lastColumn="0" w:oddVBand="0" w:evenVBand="0" w:oddHBand="0" w:evenHBand="0" w:firstRowFirstColumn="0" w:firstRowLastColumn="0" w:lastRowFirstColumn="0" w:lastRowLastColumn="0"/>
            <w:tcW w:w="3533" w:type="pct"/>
            <w:gridSpan w:val="2"/>
            <w:tcBorders>
              <w:bottom w:val="nil"/>
            </w:tcBorders>
            <w:shd w:val="clear" w:color="auto" w:fill="auto"/>
            <w:noWrap/>
            <w:hideMark/>
          </w:tcPr>
          <w:p w14:paraId="05862B55" w14:textId="77777777" w:rsidR="004044DC" w:rsidRPr="007E770D" w:rsidRDefault="004044DC" w:rsidP="00E4657F">
            <w:pPr>
              <w:spacing w:line="240" w:lineRule="auto"/>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Примењена каматна стопа (%)</w:t>
            </w:r>
          </w:p>
        </w:tc>
        <w:tc>
          <w:tcPr>
            <w:tcW w:w="375" w:type="pct"/>
            <w:tcBorders>
              <w:bottom w:val="nil"/>
            </w:tcBorders>
            <w:shd w:val="clear" w:color="auto" w:fill="auto"/>
            <w:noWrap/>
          </w:tcPr>
          <w:p w14:paraId="07392144" w14:textId="3435A58C" w:rsidR="004044DC" w:rsidRPr="007E770D" w:rsidRDefault="005833E6" w:rsidP="00E4657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3,5</w:t>
            </w:r>
          </w:p>
        </w:tc>
        <w:tc>
          <w:tcPr>
            <w:tcW w:w="375" w:type="pct"/>
            <w:tcBorders>
              <w:bottom w:val="nil"/>
            </w:tcBorders>
            <w:shd w:val="clear" w:color="auto" w:fill="auto"/>
            <w:noWrap/>
          </w:tcPr>
          <w:p w14:paraId="35BDE8D3" w14:textId="70943611" w:rsidR="004044DC" w:rsidRPr="007E770D" w:rsidRDefault="005833E6" w:rsidP="00E4657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3,3</w:t>
            </w:r>
          </w:p>
        </w:tc>
        <w:tc>
          <w:tcPr>
            <w:tcW w:w="375" w:type="pct"/>
            <w:tcBorders>
              <w:bottom w:val="nil"/>
            </w:tcBorders>
            <w:shd w:val="clear" w:color="auto" w:fill="auto"/>
            <w:noWrap/>
          </w:tcPr>
          <w:p w14:paraId="5199A631" w14:textId="6AF2B4FC" w:rsidR="004044DC" w:rsidRPr="007E770D" w:rsidRDefault="005833E6" w:rsidP="00E4657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2,9</w:t>
            </w:r>
          </w:p>
        </w:tc>
        <w:tc>
          <w:tcPr>
            <w:tcW w:w="342" w:type="pct"/>
            <w:tcBorders>
              <w:bottom w:val="nil"/>
            </w:tcBorders>
            <w:shd w:val="clear" w:color="auto" w:fill="auto"/>
            <w:noWrap/>
          </w:tcPr>
          <w:p w14:paraId="0E8980D8" w14:textId="4D7A8BE5" w:rsidR="004044DC" w:rsidRPr="007E770D" w:rsidRDefault="005833E6" w:rsidP="00E4657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3,6</w:t>
            </w:r>
          </w:p>
        </w:tc>
      </w:tr>
      <w:tr w:rsidR="007E770D" w:rsidRPr="007E770D" w14:paraId="63D3DAD3" w14:textId="77777777" w:rsidTr="00E4657F">
        <w:trPr>
          <w:trHeight w:hRule="exact" w:val="269"/>
        </w:trPr>
        <w:tc>
          <w:tcPr>
            <w:cnfStyle w:val="001000000000" w:firstRow="0" w:lastRow="0" w:firstColumn="1" w:lastColumn="0" w:oddVBand="0" w:evenVBand="0" w:oddHBand="0" w:evenHBand="0" w:firstRowFirstColumn="0" w:firstRowLastColumn="0" w:lastRowFirstColumn="0" w:lastRowLastColumn="0"/>
            <w:tcW w:w="1576" w:type="pct"/>
            <w:vMerge w:val="restart"/>
            <w:tcBorders>
              <w:top w:val="nil"/>
              <w:bottom w:val="nil"/>
            </w:tcBorders>
            <w:shd w:val="clear" w:color="auto" w:fill="auto"/>
            <w:noWrap/>
            <w:hideMark/>
          </w:tcPr>
          <w:p w14:paraId="16C876E5" w14:textId="77777777" w:rsidR="004044DC" w:rsidRPr="007E770D" w:rsidRDefault="004044DC" w:rsidP="00E4657F">
            <w:pPr>
              <w:spacing w:line="240" w:lineRule="auto"/>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Ризик</w:t>
            </w:r>
          </w:p>
          <w:p w14:paraId="2385DD0D" w14:textId="77777777" w:rsidR="004044DC" w:rsidRPr="007E770D" w:rsidRDefault="004044DC" w:rsidP="00E4657F">
            <w:pPr>
              <w:spacing w:line="240" w:lineRule="auto"/>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рефинансирања</w:t>
            </w:r>
          </w:p>
        </w:tc>
        <w:tc>
          <w:tcPr>
            <w:tcW w:w="1957" w:type="pct"/>
            <w:tcBorders>
              <w:top w:val="nil"/>
              <w:bottom w:val="nil"/>
            </w:tcBorders>
            <w:shd w:val="clear" w:color="auto" w:fill="auto"/>
            <w:noWrap/>
            <w:hideMark/>
          </w:tcPr>
          <w:p w14:paraId="617DF57E" w14:textId="77777777" w:rsidR="004044DC" w:rsidRPr="007E770D" w:rsidRDefault="004044DC" w:rsidP="00E4657F">
            <w:pPr>
              <w:spacing w:line="240"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ATM</w:t>
            </w:r>
            <w:r w:rsidRPr="007E770D">
              <w:rPr>
                <w:rFonts w:asciiTheme="minorHAnsi" w:hAnsiTheme="minorHAnsi" w:cstheme="minorHAnsi"/>
                <w:color w:val="auto"/>
                <w:sz w:val="18"/>
                <w:szCs w:val="18"/>
                <w:vertAlign w:val="superscript"/>
                <w:lang w:val="sr-Cyrl-CS"/>
              </w:rPr>
              <w:footnoteReference w:id="22"/>
            </w:r>
            <w:r w:rsidRPr="007E770D">
              <w:rPr>
                <w:rFonts w:asciiTheme="minorHAnsi" w:hAnsiTheme="minorHAnsi" w:cstheme="minorHAnsi"/>
                <w:color w:val="auto"/>
                <w:sz w:val="18"/>
                <w:szCs w:val="18"/>
                <w:lang w:val="sr-Cyrl-CS"/>
              </w:rPr>
              <w:t xml:space="preserve"> спољни портфолио (у годинама)</w:t>
            </w:r>
          </w:p>
        </w:tc>
        <w:tc>
          <w:tcPr>
            <w:tcW w:w="375" w:type="pct"/>
            <w:tcBorders>
              <w:top w:val="nil"/>
              <w:bottom w:val="nil"/>
            </w:tcBorders>
            <w:shd w:val="clear" w:color="auto" w:fill="auto"/>
            <w:noWrap/>
          </w:tcPr>
          <w:p w14:paraId="383FBE56" w14:textId="77777777" w:rsidR="004044DC" w:rsidRPr="007E770D" w:rsidRDefault="004044DC" w:rsidP="00E4657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6,8</w:t>
            </w:r>
          </w:p>
        </w:tc>
        <w:tc>
          <w:tcPr>
            <w:tcW w:w="375" w:type="pct"/>
            <w:tcBorders>
              <w:top w:val="nil"/>
              <w:bottom w:val="nil"/>
            </w:tcBorders>
            <w:shd w:val="clear" w:color="auto" w:fill="auto"/>
            <w:noWrap/>
          </w:tcPr>
          <w:p w14:paraId="0075C1BD" w14:textId="77777777" w:rsidR="004044DC" w:rsidRPr="007E770D" w:rsidRDefault="004044DC" w:rsidP="00E4657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6,7</w:t>
            </w:r>
          </w:p>
        </w:tc>
        <w:tc>
          <w:tcPr>
            <w:tcW w:w="375" w:type="pct"/>
            <w:tcBorders>
              <w:top w:val="nil"/>
              <w:bottom w:val="nil"/>
            </w:tcBorders>
            <w:shd w:val="clear" w:color="auto" w:fill="auto"/>
            <w:noWrap/>
          </w:tcPr>
          <w:p w14:paraId="409610A1" w14:textId="77777777" w:rsidR="004044DC" w:rsidRPr="007E770D" w:rsidRDefault="004044DC" w:rsidP="00E4657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6,7</w:t>
            </w:r>
          </w:p>
        </w:tc>
        <w:tc>
          <w:tcPr>
            <w:tcW w:w="342" w:type="pct"/>
            <w:tcBorders>
              <w:top w:val="nil"/>
              <w:bottom w:val="nil"/>
            </w:tcBorders>
            <w:shd w:val="clear" w:color="auto" w:fill="auto"/>
            <w:noWrap/>
          </w:tcPr>
          <w:p w14:paraId="5808C755" w14:textId="77777777" w:rsidR="004044DC" w:rsidRPr="007E770D" w:rsidRDefault="004044DC" w:rsidP="00E4657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6,8</w:t>
            </w:r>
          </w:p>
        </w:tc>
      </w:tr>
      <w:tr w:rsidR="007E770D" w:rsidRPr="007E770D" w14:paraId="47575493" w14:textId="77777777" w:rsidTr="00E4657F">
        <w:trPr>
          <w:cnfStyle w:val="000000100000" w:firstRow="0" w:lastRow="0" w:firstColumn="0" w:lastColumn="0" w:oddVBand="0" w:evenVBand="0" w:oddHBand="1" w:evenHBand="0" w:firstRowFirstColumn="0" w:firstRowLastColumn="0" w:lastRowFirstColumn="0" w:lastRowLastColumn="0"/>
          <w:trHeight w:hRule="exact" w:val="269"/>
        </w:trPr>
        <w:tc>
          <w:tcPr>
            <w:cnfStyle w:val="001000000000" w:firstRow="0" w:lastRow="0" w:firstColumn="1" w:lastColumn="0" w:oddVBand="0" w:evenVBand="0" w:oddHBand="0" w:evenHBand="0" w:firstRowFirstColumn="0" w:firstRowLastColumn="0" w:lastRowFirstColumn="0" w:lastRowLastColumn="0"/>
            <w:tcW w:w="1576" w:type="pct"/>
            <w:vMerge/>
            <w:tcBorders>
              <w:top w:val="nil"/>
              <w:bottom w:val="single" w:sz="4" w:space="0" w:color="auto"/>
            </w:tcBorders>
            <w:shd w:val="clear" w:color="auto" w:fill="auto"/>
            <w:hideMark/>
          </w:tcPr>
          <w:p w14:paraId="517EAD6A" w14:textId="77777777" w:rsidR="004044DC" w:rsidRPr="007E770D" w:rsidRDefault="004044DC" w:rsidP="00E4657F">
            <w:pPr>
              <w:spacing w:line="240" w:lineRule="auto"/>
              <w:rPr>
                <w:rFonts w:asciiTheme="minorHAnsi" w:eastAsiaTheme="minorEastAsia" w:hAnsiTheme="minorHAnsi" w:cstheme="minorBidi"/>
                <w:b w:val="0"/>
                <w:bCs w:val="0"/>
                <w:color w:val="auto"/>
                <w:sz w:val="16"/>
                <w:szCs w:val="16"/>
                <w:lang w:val="sr-Cyrl-CS" w:eastAsia="ja-JP"/>
              </w:rPr>
            </w:pPr>
          </w:p>
        </w:tc>
        <w:tc>
          <w:tcPr>
            <w:tcW w:w="1957" w:type="pct"/>
            <w:tcBorders>
              <w:top w:val="nil"/>
              <w:bottom w:val="nil"/>
            </w:tcBorders>
            <w:shd w:val="clear" w:color="auto" w:fill="auto"/>
            <w:noWrap/>
            <w:hideMark/>
          </w:tcPr>
          <w:p w14:paraId="03CF9068" w14:textId="77777777" w:rsidR="004044DC" w:rsidRPr="007E770D" w:rsidRDefault="004044DC" w:rsidP="00E4657F">
            <w:pPr>
              <w:spacing w:line="240"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ATM домаћи портфолио (у годинама)</w:t>
            </w:r>
          </w:p>
        </w:tc>
        <w:tc>
          <w:tcPr>
            <w:tcW w:w="375" w:type="pct"/>
            <w:tcBorders>
              <w:top w:val="nil"/>
              <w:bottom w:val="nil"/>
            </w:tcBorders>
            <w:shd w:val="clear" w:color="auto" w:fill="auto"/>
            <w:noWrap/>
          </w:tcPr>
          <w:p w14:paraId="4CE3918A" w14:textId="77777777" w:rsidR="004044DC" w:rsidRPr="007E770D" w:rsidRDefault="004044DC" w:rsidP="00E4657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5,8</w:t>
            </w:r>
          </w:p>
        </w:tc>
        <w:tc>
          <w:tcPr>
            <w:tcW w:w="375" w:type="pct"/>
            <w:tcBorders>
              <w:top w:val="nil"/>
              <w:bottom w:val="nil"/>
            </w:tcBorders>
            <w:shd w:val="clear" w:color="auto" w:fill="auto"/>
            <w:noWrap/>
          </w:tcPr>
          <w:p w14:paraId="515337F8" w14:textId="77777777" w:rsidR="004044DC" w:rsidRPr="007E770D" w:rsidRDefault="004044DC" w:rsidP="00E4657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5,0</w:t>
            </w:r>
          </w:p>
        </w:tc>
        <w:tc>
          <w:tcPr>
            <w:tcW w:w="375" w:type="pct"/>
            <w:tcBorders>
              <w:top w:val="nil"/>
              <w:bottom w:val="nil"/>
            </w:tcBorders>
            <w:shd w:val="clear" w:color="auto" w:fill="auto"/>
            <w:noWrap/>
          </w:tcPr>
          <w:p w14:paraId="009700F6" w14:textId="77777777" w:rsidR="004044DC" w:rsidRPr="007E770D" w:rsidRDefault="004044DC" w:rsidP="00E4657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3,0</w:t>
            </w:r>
          </w:p>
        </w:tc>
        <w:tc>
          <w:tcPr>
            <w:tcW w:w="342" w:type="pct"/>
            <w:tcBorders>
              <w:top w:val="nil"/>
              <w:bottom w:val="nil"/>
            </w:tcBorders>
            <w:shd w:val="clear" w:color="auto" w:fill="auto"/>
            <w:noWrap/>
          </w:tcPr>
          <w:p w14:paraId="3C0C8501" w14:textId="77777777" w:rsidR="004044DC" w:rsidRPr="007E770D" w:rsidRDefault="004044DC" w:rsidP="00E4657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5,6</w:t>
            </w:r>
          </w:p>
        </w:tc>
      </w:tr>
      <w:tr w:rsidR="007E770D" w:rsidRPr="007E770D" w14:paraId="5BF1F736" w14:textId="77777777" w:rsidTr="00E4657F">
        <w:trPr>
          <w:trHeight w:hRule="exact" w:val="269"/>
        </w:trPr>
        <w:tc>
          <w:tcPr>
            <w:cnfStyle w:val="001000000000" w:firstRow="0" w:lastRow="0" w:firstColumn="1" w:lastColumn="0" w:oddVBand="0" w:evenVBand="0" w:oddHBand="0" w:evenHBand="0" w:firstRowFirstColumn="0" w:firstRowLastColumn="0" w:lastRowFirstColumn="0" w:lastRowLastColumn="0"/>
            <w:tcW w:w="1576" w:type="pct"/>
            <w:vMerge/>
            <w:tcBorders>
              <w:top w:val="single" w:sz="4" w:space="0" w:color="auto"/>
              <w:bottom w:val="single" w:sz="4" w:space="0" w:color="002060"/>
            </w:tcBorders>
            <w:shd w:val="clear" w:color="auto" w:fill="auto"/>
            <w:hideMark/>
          </w:tcPr>
          <w:p w14:paraId="7C546F34" w14:textId="77777777" w:rsidR="004044DC" w:rsidRPr="007E770D" w:rsidRDefault="004044DC" w:rsidP="00E4657F">
            <w:pPr>
              <w:spacing w:line="240" w:lineRule="auto"/>
              <w:rPr>
                <w:rFonts w:asciiTheme="minorHAnsi" w:hAnsiTheme="minorHAnsi" w:cstheme="minorHAnsi"/>
                <w:b w:val="0"/>
                <w:color w:val="auto"/>
                <w:sz w:val="18"/>
                <w:szCs w:val="18"/>
                <w:lang w:val="sr-Cyrl-CS"/>
              </w:rPr>
            </w:pPr>
          </w:p>
        </w:tc>
        <w:tc>
          <w:tcPr>
            <w:tcW w:w="1957" w:type="pct"/>
            <w:tcBorders>
              <w:top w:val="nil"/>
              <w:bottom w:val="single" w:sz="4" w:space="0" w:color="002060"/>
            </w:tcBorders>
            <w:shd w:val="clear" w:color="auto" w:fill="auto"/>
            <w:noWrap/>
            <w:hideMark/>
          </w:tcPr>
          <w:p w14:paraId="4E3B1BFF" w14:textId="77777777" w:rsidR="004044DC" w:rsidRPr="007E770D" w:rsidRDefault="004044DC" w:rsidP="00E4657F">
            <w:pPr>
              <w:spacing w:line="240"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ATM укупан портфолио (у годинама)</w:t>
            </w:r>
          </w:p>
        </w:tc>
        <w:tc>
          <w:tcPr>
            <w:tcW w:w="375" w:type="pct"/>
            <w:tcBorders>
              <w:top w:val="nil"/>
              <w:bottom w:val="single" w:sz="4" w:space="0" w:color="002060"/>
            </w:tcBorders>
            <w:shd w:val="clear" w:color="auto" w:fill="auto"/>
            <w:noWrap/>
          </w:tcPr>
          <w:p w14:paraId="4CADD416" w14:textId="77777777" w:rsidR="004044DC" w:rsidRPr="007E770D" w:rsidRDefault="004044DC" w:rsidP="00E4657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6,3</w:t>
            </w:r>
          </w:p>
        </w:tc>
        <w:tc>
          <w:tcPr>
            <w:tcW w:w="375" w:type="pct"/>
            <w:tcBorders>
              <w:top w:val="nil"/>
              <w:bottom w:val="single" w:sz="4" w:space="0" w:color="002060"/>
            </w:tcBorders>
            <w:shd w:val="clear" w:color="auto" w:fill="auto"/>
            <w:noWrap/>
          </w:tcPr>
          <w:p w14:paraId="43AE30A6" w14:textId="77777777" w:rsidR="004044DC" w:rsidRPr="007E770D" w:rsidRDefault="004044DC" w:rsidP="00E4657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6,1</w:t>
            </w:r>
          </w:p>
        </w:tc>
        <w:tc>
          <w:tcPr>
            <w:tcW w:w="375" w:type="pct"/>
            <w:tcBorders>
              <w:top w:val="nil"/>
              <w:bottom w:val="single" w:sz="4" w:space="0" w:color="002060"/>
            </w:tcBorders>
            <w:shd w:val="clear" w:color="auto" w:fill="auto"/>
            <w:noWrap/>
          </w:tcPr>
          <w:p w14:paraId="0C8D3649" w14:textId="77777777" w:rsidR="004044DC" w:rsidRPr="007E770D" w:rsidRDefault="004044DC" w:rsidP="00E4657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6,1</w:t>
            </w:r>
          </w:p>
        </w:tc>
        <w:tc>
          <w:tcPr>
            <w:tcW w:w="342" w:type="pct"/>
            <w:tcBorders>
              <w:top w:val="nil"/>
              <w:bottom w:val="single" w:sz="4" w:space="0" w:color="002060"/>
            </w:tcBorders>
            <w:shd w:val="clear" w:color="auto" w:fill="auto"/>
            <w:noWrap/>
          </w:tcPr>
          <w:p w14:paraId="20684A2A" w14:textId="77777777" w:rsidR="004044DC" w:rsidRPr="007E770D" w:rsidRDefault="004044DC" w:rsidP="00E4657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6,1</w:t>
            </w:r>
          </w:p>
        </w:tc>
      </w:tr>
      <w:tr w:rsidR="007E770D" w:rsidRPr="007E770D" w14:paraId="0393956E" w14:textId="77777777" w:rsidTr="00E4657F">
        <w:trPr>
          <w:cnfStyle w:val="000000100000" w:firstRow="0" w:lastRow="0" w:firstColumn="0" w:lastColumn="0" w:oddVBand="0" w:evenVBand="0" w:oddHBand="1" w:evenHBand="0" w:firstRowFirstColumn="0" w:firstRowLastColumn="0" w:lastRowFirstColumn="0" w:lastRowLastColumn="0"/>
          <w:trHeight w:hRule="exact" w:val="269"/>
        </w:trPr>
        <w:tc>
          <w:tcPr>
            <w:cnfStyle w:val="001000000000" w:firstRow="0" w:lastRow="0" w:firstColumn="1" w:lastColumn="0" w:oddVBand="0" w:evenVBand="0" w:oddHBand="0" w:evenHBand="0" w:firstRowFirstColumn="0" w:firstRowLastColumn="0" w:lastRowFirstColumn="0" w:lastRowLastColumn="0"/>
            <w:tcW w:w="1576" w:type="pct"/>
            <w:vMerge w:val="restart"/>
            <w:tcBorders>
              <w:top w:val="single" w:sz="4" w:space="0" w:color="002060"/>
              <w:bottom w:val="single" w:sz="4" w:space="0" w:color="auto"/>
            </w:tcBorders>
            <w:shd w:val="clear" w:color="auto" w:fill="auto"/>
            <w:noWrap/>
            <w:hideMark/>
          </w:tcPr>
          <w:p w14:paraId="6CA5B72B" w14:textId="77777777" w:rsidR="004044DC" w:rsidRPr="007E770D" w:rsidRDefault="004044DC" w:rsidP="00E4657F">
            <w:pPr>
              <w:spacing w:line="240" w:lineRule="auto"/>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Ризик каматних стопа</w:t>
            </w:r>
          </w:p>
        </w:tc>
        <w:tc>
          <w:tcPr>
            <w:tcW w:w="1957" w:type="pct"/>
            <w:tcBorders>
              <w:top w:val="single" w:sz="4" w:space="0" w:color="002060"/>
              <w:bottom w:val="nil"/>
            </w:tcBorders>
            <w:shd w:val="clear" w:color="auto" w:fill="auto"/>
            <w:noWrap/>
            <w:hideMark/>
          </w:tcPr>
          <w:p w14:paraId="2C70E3AF" w14:textId="77777777" w:rsidR="004044DC" w:rsidRPr="007E770D" w:rsidRDefault="004044DC" w:rsidP="00E4657F">
            <w:pPr>
              <w:spacing w:line="240"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АТR</w:t>
            </w:r>
            <w:r w:rsidRPr="007E770D">
              <w:rPr>
                <w:rFonts w:asciiTheme="minorHAnsi" w:hAnsiTheme="minorHAnsi" w:cstheme="minorHAnsi"/>
                <w:bCs/>
                <w:color w:val="auto"/>
                <w:sz w:val="18"/>
                <w:szCs w:val="18"/>
                <w:vertAlign w:val="superscript"/>
                <w:lang w:val="sr-Cyrl-CS"/>
              </w:rPr>
              <w:footnoteReference w:id="23"/>
            </w:r>
            <w:r w:rsidRPr="007E770D">
              <w:rPr>
                <w:rFonts w:asciiTheme="minorHAnsi" w:hAnsiTheme="minorHAnsi" w:cstheme="minorHAnsi"/>
                <w:bCs/>
                <w:color w:val="auto"/>
                <w:sz w:val="18"/>
                <w:szCs w:val="18"/>
                <w:lang w:val="sr-Cyrl-CS"/>
              </w:rPr>
              <w:t xml:space="preserve"> (у годинама)</w:t>
            </w:r>
          </w:p>
        </w:tc>
        <w:tc>
          <w:tcPr>
            <w:tcW w:w="375" w:type="pct"/>
            <w:tcBorders>
              <w:top w:val="single" w:sz="4" w:space="0" w:color="002060"/>
              <w:bottom w:val="nil"/>
            </w:tcBorders>
            <w:shd w:val="clear" w:color="auto" w:fill="auto"/>
            <w:noWrap/>
          </w:tcPr>
          <w:p w14:paraId="01DB7C2E" w14:textId="77777777" w:rsidR="004044DC" w:rsidRPr="007E770D" w:rsidRDefault="004044DC" w:rsidP="00E4657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5,8</w:t>
            </w:r>
          </w:p>
        </w:tc>
        <w:tc>
          <w:tcPr>
            <w:tcW w:w="375" w:type="pct"/>
            <w:tcBorders>
              <w:top w:val="single" w:sz="4" w:space="0" w:color="002060"/>
              <w:bottom w:val="nil"/>
            </w:tcBorders>
            <w:shd w:val="clear" w:color="auto" w:fill="auto"/>
            <w:noWrap/>
          </w:tcPr>
          <w:p w14:paraId="5C37AEC0" w14:textId="77777777" w:rsidR="004044DC" w:rsidRPr="007E770D" w:rsidRDefault="004044DC" w:rsidP="00E4657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5,6</w:t>
            </w:r>
          </w:p>
        </w:tc>
        <w:tc>
          <w:tcPr>
            <w:tcW w:w="375" w:type="pct"/>
            <w:tcBorders>
              <w:top w:val="single" w:sz="4" w:space="0" w:color="002060"/>
              <w:bottom w:val="nil"/>
            </w:tcBorders>
            <w:shd w:val="clear" w:color="auto" w:fill="auto"/>
            <w:noWrap/>
          </w:tcPr>
          <w:p w14:paraId="5F37E4E0" w14:textId="77777777" w:rsidR="004044DC" w:rsidRPr="007E770D" w:rsidRDefault="004044DC" w:rsidP="00E4657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5,5</w:t>
            </w:r>
          </w:p>
        </w:tc>
        <w:tc>
          <w:tcPr>
            <w:tcW w:w="342" w:type="pct"/>
            <w:tcBorders>
              <w:top w:val="single" w:sz="4" w:space="0" w:color="002060"/>
              <w:bottom w:val="nil"/>
            </w:tcBorders>
            <w:shd w:val="clear" w:color="auto" w:fill="auto"/>
            <w:noWrap/>
          </w:tcPr>
          <w:p w14:paraId="7E545025" w14:textId="77777777" w:rsidR="004044DC" w:rsidRPr="007E770D" w:rsidRDefault="004044DC" w:rsidP="00E4657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5,6</w:t>
            </w:r>
          </w:p>
        </w:tc>
      </w:tr>
      <w:tr w:rsidR="007E770D" w:rsidRPr="007E770D" w14:paraId="1B7ECC53" w14:textId="77777777" w:rsidTr="00E4657F">
        <w:trPr>
          <w:trHeight w:hRule="exact" w:val="269"/>
        </w:trPr>
        <w:tc>
          <w:tcPr>
            <w:cnfStyle w:val="001000000000" w:firstRow="0" w:lastRow="0" w:firstColumn="1" w:lastColumn="0" w:oddVBand="0" w:evenVBand="0" w:oddHBand="0" w:evenHBand="0" w:firstRowFirstColumn="0" w:firstRowLastColumn="0" w:lastRowFirstColumn="0" w:lastRowLastColumn="0"/>
            <w:tcW w:w="1576" w:type="pct"/>
            <w:vMerge/>
            <w:tcBorders>
              <w:top w:val="single" w:sz="4" w:space="0" w:color="auto"/>
              <w:bottom w:val="single" w:sz="4" w:space="0" w:color="002060"/>
            </w:tcBorders>
            <w:shd w:val="clear" w:color="auto" w:fill="auto"/>
            <w:hideMark/>
          </w:tcPr>
          <w:p w14:paraId="4FD84559" w14:textId="77777777" w:rsidR="004044DC" w:rsidRPr="007E770D" w:rsidRDefault="004044DC" w:rsidP="00E4657F">
            <w:pPr>
              <w:spacing w:line="240" w:lineRule="auto"/>
              <w:rPr>
                <w:rFonts w:asciiTheme="minorHAnsi" w:hAnsiTheme="minorHAnsi" w:cstheme="minorHAnsi"/>
                <w:b w:val="0"/>
                <w:color w:val="auto"/>
                <w:sz w:val="18"/>
                <w:szCs w:val="18"/>
                <w:lang w:val="sr-Cyrl-CS"/>
              </w:rPr>
            </w:pPr>
          </w:p>
        </w:tc>
        <w:tc>
          <w:tcPr>
            <w:tcW w:w="1957" w:type="pct"/>
            <w:tcBorders>
              <w:top w:val="nil"/>
              <w:bottom w:val="nil"/>
            </w:tcBorders>
            <w:shd w:val="clear" w:color="auto" w:fill="auto"/>
            <w:noWrap/>
            <w:hideMark/>
          </w:tcPr>
          <w:p w14:paraId="36E93D80" w14:textId="77777777" w:rsidR="004044DC" w:rsidRPr="007E770D" w:rsidRDefault="004044DC" w:rsidP="00E4657F">
            <w:pPr>
              <w:spacing w:line="240"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Рефиксирање (% укупног дуга)</w:t>
            </w:r>
          </w:p>
        </w:tc>
        <w:tc>
          <w:tcPr>
            <w:tcW w:w="375" w:type="pct"/>
            <w:tcBorders>
              <w:top w:val="nil"/>
              <w:bottom w:val="nil"/>
            </w:tcBorders>
            <w:shd w:val="clear" w:color="auto" w:fill="auto"/>
            <w:noWrap/>
          </w:tcPr>
          <w:p w14:paraId="2CE92CFF" w14:textId="77777777" w:rsidR="004044DC" w:rsidRPr="007E770D" w:rsidRDefault="004044DC" w:rsidP="00E4657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20,8</w:t>
            </w:r>
          </w:p>
        </w:tc>
        <w:tc>
          <w:tcPr>
            <w:tcW w:w="375" w:type="pct"/>
            <w:tcBorders>
              <w:top w:val="nil"/>
              <w:bottom w:val="nil"/>
            </w:tcBorders>
            <w:shd w:val="clear" w:color="auto" w:fill="auto"/>
            <w:noWrap/>
          </w:tcPr>
          <w:p w14:paraId="086FEFC8" w14:textId="77777777" w:rsidR="004044DC" w:rsidRPr="007E770D" w:rsidRDefault="004044DC" w:rsidP="00E4657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21,2</w:t>
            </w:r>
          </w:p>
        </w:tc>
        <w:tc>
          <w:tcPr>
            <w:tcW w:w="375" w:type="pct"/>
            <w:tcBorders>
              <w:top w:val="nil"/>
              <w:bottom w:val="nil"/>
            </w:tcBorders>
            <w:shd w:val="clear" w:color="auto" w:fill="auto"/>
            <w:noWrap/>
          </w:tcPr>
          <w:p w14:paraId="494E8786" w14:textId="77777777" w:rsidR="004044DC" w:rsidRPr="007E770D" w:rsidRDefault="004044DC" w:rsidP="00E4657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20,2</w:t>
            </w:r>
          </w:p>
        </w:tc>
        <w:tc>
          <w:tcPr>
            <w:tcW w:w="342" w:type="pct"/>
            <w:tcBorders>
              <w:top w:val="nil"/>
              <w:bottom w:val="nil"/>
            </w:tcBorders>
            <w:shd w:val="clear" w:color="auto" w:fill="auto"/>
            <w:noWrap/>
          </w:tcPr>
          <w:p w14:paraId="64B1FE89" w14:textId="77777777" w:rsidR="004044DC" w:rsidRPr="007E770D" w:rsidRDefault="004044DC" w:rsidP="00E4657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22,1</w:t>
            </w:r>
          </w:p>
        </w:tc>
      </w:tr>
      <w:tr w:rsidR="007E770D" w:rsidRPr="007E770D" w14:paraId="270E0D9A" w14:textId="77777777" w:rsidTr="00E4657F">
        <w:trPr>
          <w:cnfStyle w:val="000000100000" w:firstRow="0" w:lastRow="0" w:firstColumn="0" w:lastColumn="0" w:oddVBand="0" w:evenVBand="0" w:oddHBand="1" w:evenHBand="0" w:firstRowFirstColumn="0" w:firstRowLastColumn="0" w:lastRowFirstColumn="0" w:lastRowLastColumn="0"/>
          <w:trHeight w:hRule="exact" w:val="269"/>
        </w:trPr>
        <w:tc>
          <w:tcPr>
            <w:cnfStyle w:val="001000000000" w:firstRow="0" w:lastRow="0" w:firstColumn="1" w:lastColumn="0" w:oddVBand="0" w:evenVBand="0" w:oddHBand="0" w:evenHBand="0" w:firstRowFirstColumn="0" w:firstRowLastColumn="0" w:lastRowFirstColumn="0" w:lastRowLastColumn="0"/>
            <w:tcW w:w="1576" w:type="pct"/>
            <w:vMerge/>
            <w:tcBorders>
              <w:top w:val="single" w:sz="4" w:space="0" w:color="002060"/>
              <w:bottom w:val="nil"/>
            </w:tcBorders>
            <w:shd w:val="clear" w:color="auto" w:fill="auto"/>
            <w:hideMark/>
          </w:tcPr>
          <w:p w14:paraId="6A715DF9" w14:textId="77777777" w:rsidR="004044DC" w:rsidRPr="007E770D" w:rsidRDefault="004044DC" w:rsidP="00E4657F">
            <w:pPr>
              <w:spacing w:line="240" w:lineRule="auto"/>
              <w:rPr>
                <w:rFonts w:asciiTheme="minorHAnsi" w:hAnsiTheme="minorHAnsi" w:cstheme="minorHAnsi"/>
                <w:b w:val="0"/>
                <w:color w:val="auto"/>
                <w:sz w:val="18"/>
                <w:szCs w:val="18"/>
                <w:lang w:val="sr-Cyrl-CS"/>
              </w:rPr>
            </w:pPr>
          </w:p>
        </w:tc>
        <w:tc>
          <w:tcPr>
            <w:tcW w:w="1957" w:type="pct"/>
            <w:tcBorders>
              <w:top w:val="nil"/>
              <w:bottom w:val="nil"/>
            </w:tcBorders>
            <w:shd w:val="clear" w:color="auto" w:fill="auto"/>
            <w:noWrap/>
            <w:hideMark/>
          </w:tcPr>
          <w:p w14:paraId="1A2F00C9" w14:textId="77777777" w:rsidR="004044DC" w:rsidRPr="007E770D" w:rsidRDefault="004044DC" w:rsidP="00E4657F">
            <w:pPr>
              <w:spacing w:line="240" w:lineRule="auto"/>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Дуг по фиксним стопама (% укупног дуга)</w:t>
            </w:r>
          </w:p>
        </w:tc>
        <w:tc>
          <w:tcPr>
            <w:tcW w:w="375" w:type="pct"/>
            <w:tcBorders>
              <w:top w:val="nil"/>
              <w:bottom w:val="nil"/>
            </w:tcBorders>
            <w:shd w:val="clear" w:color="auto" w:fill="auto"/>
            <w:noWrap/>
          </w:tcPr>
          <w:p w14:paraId="183DE501" w14:textId="77777777" w:rsidR="004044DC" w:rsidRPr="007E770D" w:rsidRDefault="004044DC" w:rsidP="00E4657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90,4</w:t>
            </w:r>
          </w:p>
        </w:tc>
        <w:tc>
          <w:tcPr>
            <w:tcW w:w="375" w:type="pct"/>
            <w:tcBorders>
              <w:top w:val="nil"/>
              <w:bottom w:val="nil"/>
            </w:tcBorders>
            <w:shd w:val="clear" w:color="auto" w:fill="auto"/>
            <w:noWrap/>
          </w:tcPr>
          <w:p w14:paraId="198723DE" w14:textId="77777777" w:rsidR="004044DC" w:rsidRPr="007E770D" w:rsidRDefault="004044DC" w:rsidP="00E4657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90,4</w:t>
            </w:r>
          </w:p>
        </w:tc>
        <w:tc>
          <w:tcPr>
            <w:tcW w:w="375" w:type="pct"/>
            <w:tcBorders>
              <w:top w:val="nil"/>
              <w:bottom w:val="nil"/>
            </w:tcBorders>
            <w:shd w:val="clear" w:color="auto" w:fill="auto"/>
            <w:noWrap/>
          </w:tcPr>
          <w:p w14:paraId="7077C094" w14:textId="77777777" w:rsidR="004044DC" w:rsidRPr="007E770D" w:rsidRDefault="004044DC" w:rsidP="00E4657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90,4</w:t>
            </w:r>
          </w:p>
        </w:tc>
        <w:tc>
          <w:tcPr>
            <w:tcW w:w="342" w:type="pct"/>
            <w:tcBorders>
              <w:top w:val="nil"/>
              <w:bottom w:val="nil"/>
            </w:tcBorders>
            <w:shd w:val="clear" w:color="auto" w:fill="auto"/>
            <w:noWrap/>
          </w:tcPr>
          <w:p w14:paraId="3D23F22A" w14:textId="77777777" w:rsidR="004044DC" w:rsidRPr="007E770D" w:rsidRDefault="004044DC" w:rsidP="00E4657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90,5</w:t>
            </w:r>
          </w:p>
        </w:tc>
      </w:tr>
      <w:tr w:rsidR="007E770D" w:rsidRPr="007E770D" w14:paraId="034FE8C3" w14:textId="77777777" w:rsidTr="00E4657F">
        <w:trPr>
          <w:trHeight w:hRule="exact" w:val="269"/>
        </w:trPr>
        <w:tc>
          <w:tcPr>
            <w:cnfStyle w:val="001000000000" w:firstRow="0" w:lastRow="0" w:firstColumn="1" w:lastColumn="0" w:oddVBand="0" w:evenVBand="0" w:oddHBand="0" w:evenHBand="0" w:firstRowFirstColumn="0" w:firstRowLastColumn="0" w:lastRowFirstColumn="0" w:lastRowLastColumn="0"/>
            <w:tcW w:w="1576" w:type="pct"/>
            <w:tcBorders>
              <w:top w:val="nil"/>
              <w:bottom w:val="single" w:sz="4" w:space="0" w:color="002060"/>
            </w:tcBorders>
            <w:shd w:val="clear" w:color="auto" w:fill="auto"/>
            <w:noWrap/>
            <w:hideMark/>
          </w:tcPr>
          <w:p w14:paraId="612C8657" w14:textId="77777777" w:rsidR="004044DC" w:rsidRPr="007E770D" w:rsidRDefault="004044DC" w:rsidP="00E4657F">
            <w:pPr>
              <w:spacing w:line="240" w:lineRule="auto"/>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Ризик девизног курса</w:t>
            </w:r>
          </w:p>
        </w:tc>
        <w:tc>
          <w:tcPr>
            <w:tcW w:w="1957" w:type="pct"/>
            <w:tcBorders>
              <w:top w:val="nil"/>
              <w:bottom w:val="single" w:sz="4" w:space="0" w:color="002060"/>
            </w:tcBorders>
            <w:shd w:val="clear" w:color="auto" w:fill="auto"/>
            <w:noWrap/>
            <w:hideMark/>
          </w:tcPr>
          <w:p w14:paraId="042A96B2" w14:textId="77777777" w:rsidR="004044DC" w:rsidRPr="007E770D" w:rsidRDefault="004044DC" w:rsidP="00E4657F">
            <w:pPr>
              <w:spacing w:line="240" w:lineRule="auto"/>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Ино-валутни дуг (% укупног дуга)</w:t>
            </w:r>
          </w:p>
        </w:tc>
        <w:tc>
          <w:tcPr>
            <w:tcW w:w="375" w:type="pct"/>
            <w:tcBorders>
              <w:top w:val="nil"/>
              <w:bottom w:val="single" w:sz="4" w:space="0" w:color="002060"/>
            </w:tcBorders>
            <w:shd w:val="clear" w:color="auto" w:fill="auto"/>
            <w:noWrap/>
          </w:tcPr>
          <w:p w14:paraId="70E3CB08" w14:textId="77777777" w:rsidR="004044DC" w:rsidRPr="007E770D" w:rsidRDefault="004044DC" w:rsidP="00E4657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51,7</w:t>
            </w:r>
          </w:p>
        </w:tc>
        <w:tc>
          <w:tcPr>
            <w:tcW w:w="375" w:type="pct"/>
            <w:tcBorders>
              <w:top w:val="nil"/>
              <w:bottom w:val="single" w:sz="4" w:space="0" w:color="002060"/>
            </w:tcBorders>
            <w:shd w:val="clear" w:color="auto" w:fill="auto"/>
            <w:noWrap/>
          </w:tcPr>
          <w:p w14:paraId="6DF0DDBA" w14:textId="77777777" w:rsidR="004044DC" w:rsidRPr="007E770D" w:rsidRDefault="004044DC" w:rsidP="00E4657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65,3</w:t>
            </w:r>
          </w:p>
        </w:tc>
        <w:tc>
          <w:tcPr>
            <w:tcW w:w="375" w:type="pct"/>
            <w:tcBorders>
              <w:top w:val="nil"/>
              <w:bottom w:val="single" w:sz="4" w:space="0" w:color="002060"/>
            </w:tcBorders>
            <w:shd w:val="clear" w:color="auto" w:fill="auto"/>
            <w:noWrap/>
          </w:tcPr>
          <w:p w14:paraId="4C771118" w14:textId="77777777" w:rsidR="004044DC" w:rsidRPr="007E770D" w:rsidRDefault="004044DC" w:rsidP="00E4657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83,4</w:t>
            </w:r>
          </w:p>
        </w:tc>
        <w:tc>
          <w:tcPr>
            <w:tcW w:w="342" w:type="pct"/>
            <w:tcBorders>
              <w:top w:val="nil"/>
              <w:bottom w:val="single" w:sz="4" w:space="0" w:color="002060"/>
            </w:tcBorders>
            <w:shd w:val="clear" w:color="auto" w:fill="auto"/>
            <w:noWrap/>
          </w:tcPr>
          <w:p w14:paraId="0ED7AE8C" w14:textId="77777777" w:rsidR="004044DC" w:rsidRPr="007E770D" w:rsidRDefault="004044DC" w:rsidP="00E4657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 w:val="18"/>
                <w:szCs w:val="18"/>
                <w:lang w:val="sr-Cyrl-CS"/>
              </w:rPr>
            </w:pPr>
            <w:r w:rsidRPr="007E770D">
              <w:rPr>
                <w:rFonts w:asciiTheme="minorHAnsi" w:hAnsiTheme="minorHAnsi" w:cstheme="minorHAnsi"/>
                <w:color w:val="auto"/>
                <w:sz w:val="18"/>
                <w:szCs w:val="18"/>
                <w:lang w:val="sr-Cyrl-CS"/>
              </w:rPr>
              <w:t>46,9</w:t>
            </w:r>
          </w:p>
        </w:tc>
      </w:tr>
    </w:tbl>
    <w:p w14:paraId="2BA12149" w14:textId="77777777" w:rsidR="004044DC" w:rsidRPr="007E770D" w:rsidRDefault="004044DC" w:rsidP="00E4657F">
      <w:pPr>
        <w:spacing w:before="40" w:line="276" w:lineRule="auto"/>
        <w:rPr>
          <w:rFonts w:cstheme="minorHAnsi"/>
          <w:bCs/>
          <w:color w:val="auto"/>
          <w:sz w:val="16"/>
          <w:szCs w:val="16"/>
          <w:lang w:val="sr-Cyrl-CS"/>
        </w:rPr>
      </w:pPr>
      <w:r w:rsidRPr="007E770D">
        <w:rPr>
          <w:rFonts w:cstheme="minorHAnsi"/>
          <w:bCs/>
          <w:color w:val="auto"/>
          <w:sz w:val="16"/>
          <w:szCs w:val="16"/>
          <w:lang w:val="sr-Cyrl-CS"/>
        </w:rPr>
        <w:t>* Примењена дисконтна стопа одражава гранични трошак задуживања Републике Србије на финансијском тржишту</w:t>
      </w:r>
    </w:p>
    <w:p w14:paraId="5F86B9F2" w14:textId="77777777" w:rsidR="004044DC" w:rsidRPr="007E770D" w:rsidRDefault="004044DC" w:rsidP="00E4657F">
      <w:pPr>
        <w:rPr>
          <w:rFonts w:ascii="Cambria" w:hAnsi="Cambria"/>
          <w:b/>
          <w:i/>
          <w:color w:val="auto"/>
          <w:lang w:val="sr-Cyrl-CS"/>
        </w:rPr>
        <w:sectPr w:rsidR="004044DC" w:rsidRPr="007E770D" w:rsidSect="004E661B">
          <w:type w:val="continuous"/>
          <w:pgSz w:w="12240" w:h="15840"/>
          <w:pgMar w:top="1440" w:right="1440" w:bottom="1440" w:left="1440" w:header="720" w:footer="720" w:gutter="0"/>
          <w:cols w:space="720"/>
          <w:docGrid w:linePitch="360"/>
        </w:sectPr>
      </w:pPr>
    </w:p>
    <w:p w14:paraId="4E98743F" w14:textId="77777777" w:rsidR="004044DC" w:rsidRPr="007E770D" w:rsidRDefault="004044DC" w:rsidP="00E4657F">
      <w:pPr>
        <w:rPr>
          <w:b/>
          <w:color w:val="auto"/>
          <w:sz w:val="22"/>
          <w:lang w:val="sr-Cyrl-CS"/>
        </w:rPr>
      </w:pPr>
      <w:r w:rsidRPr="007E770D">
        <w:rPr>
          <w:b/>
          <w:color w:val="auto"/>
          <w:sz w:val="22"/>
          <w:lang w:val="sr-Cyrl-CS"/>
        </w:rPr>
        <w:t>Стрес-тест анализа</w:t>
      </w:r>
    </w:p>
    <w:p w14:paraId="49B06DFA" w14:textId="77777777" w:rsidR="004044DC" w:rsidRPr="007E770D" w:rsidRDefault="004044DC" w:rsidP="00E4657F">
      <w:pPr>
        <w:spacing w:line="276" w:lineRule="auto"/>
        <w:rPr>
          <w:rFonts w:cstheme="minorHAnsi"/>
          <w:bCs/>
          <w:color w:val="auto"/>
          <w:spacing w:val="-4"/>
          <w:szCs w:val="72"/>
          <w:lang w:val="sr-Cyrl-CS"/>
        </w:rPr>
      </w:pPr>
      <w:r w:rsidRPr="007E770D">
        <w:rPr>
          <w:rFonts w:cstheme="minorHAnsi"/>
          <w:bCs/>
          <w:color w:val="auto"/>
          <w:spacing w:val="-4"/>
          <w:szCs w:val="72"/>
          <w:lang w:val="sr-Cyrl-CS"/>
        </w:rPr>
        <w:t>Фискално правило, дефинисано Законом о буџетском систему, прописује обавезу да јавни дуг општег нивоа државе не може бити већи од 45% БДП. У случају да износ дуга пређе тај ниво, Влада је дужна да донесе програм за смањење јавног дуга у односу на БДП, тј. за враћање дуга у законски оквир.</w:t>
      </w:r>
    </w:p>
    <w:p w14:paraId="1077E88A" w14:textId="77777777" w:rsidR="004044DC" w:rsidRPr="007E770D" w:rsidRDefault="004044DC" w:rsidP="00E4657F">
      <w:pPr>
        <w:spacing w:line="276" w:lineRule="auto"/>
        <w:rPr>
          <w:rFonts w:cstheme="minorHAnsi"/>
          <w:bCs/>
          <w:color w:val="auto"/>
          <w:szCs w:val="72"/>
          <w:lang w:val="sr-Cyrl-CS"/>
        </w:rPr>
      </w:pPr>
      <w:r w:rsidRPr="007E770D">
        <w:rPr>
          <w:rFonts w:cstheme="minorHAnsi"/>
          <w:bCs/>
          <w:color w:val="auto"/>
          <w:szCs w:val="72"/>
          <w:lang w:val="sr-Cyrl-CS"/>
        </w:rPr>
        <w:t>На крају 2018. године стање дуга централног нивоа власти достигло је 53,7% БДП, а опште државе 54,4% БДП. Рацио јавни дуг/БДП централног нивоа власти на крају августа 2019. године износио је 51,8% БДП, а опште државе 52,6% БДП. Очекује се даљи пад рација до краја 2020. године на ниво од око 50,3% БДП на централном нивоу, односно 51,4% БДП на нивоу опште државе.</w:t>
      </w:r>
    </w:p>
    <w:p w14:paraId="6320AC01" w14:textId="77777777" w:rsidR="004044DC" w:rsidRPr="007E770D" w:rsidRDefault="004044DC" w:rsidP="00E4657F">
      <w:pPr>
        <w:spacing w:line="276" w:lineRule="auto"/>
        <w:rPr>
          <w:rFonts w:cstheme="minorHAnsi"/>
          <w:bCs/>
          <w:color w:val="auto"/>
          <w:szCs w:val="72"/>
          <w:lang w:val="sr-Cyrl-CS"/>
        </w:rPr>
      </w:pPr>
      <w:r w:rsidRPr="007E770D">
        <w:rPr>
          <w:rFonts w:cstheme="minorHAnsi"/>
          <w:bCs/>
          <w:color w:val="auto"/>
          <w:szCs w:val="72"/>
          <w:lang w:val="sr-Cyrl-CS"/>
        </w:rPr>
        <w:t>Због високог учешћа дуга деноминованог у страној валути (72,6%), евидентно је да ће девизни ризик детерминисати понашање рација јавни дуг/БДП у наредном периоду и битно условљавати успех мера фискалне политике на консолидацији јавних финансија и смањењу учешћа јавног дуга у БДП.</w:t>
      </w:r>
    </w:p>
    <w:p w14:paraId="77739334" w14:textId="77777777" w:rsidR="004044DC" w:rsidRPr="007E770D" w:rsidRDefault="004044DC" w:rsidP="00E4657F">
      <w:pPr>
        <w:spacing w:line="276" w:lineRule="auto"/>
        <w:rPr>
          <w:rFonts w:cstheme="minorHAnsi"/>
          <w:bCs/>
          <w:color w:val="auto"/>
          <w:szCs w:val="72"/>
          <w:lang w:val="sr-Cyrl-CS"/>
        </w:rPr>
      </w:pPr>
      <w:r w:rsidRPr="007E770D">
        <w:rPr>
          <w:rFonts w:cstheme="minorHAnsi"/>
          <w:bCs/>
          <w:color w:val="auto"/>
          <w:szCs w:val="72"/>
          <w:lang w:val="sr-Cyrl-CS"/>
        </w:rPr>
        <w:t>На основу планираног макроекономског оквира, а у случају изостанка утицаја могућих ризика (првенствено девизног ризика), јавни дуг централног нивоа власти би на кају 2022. године требало да буде на нивоу од 47,2% БДП.</w:t>
      </w:r>
    </w:p>
    <w:p w14:paraId="27E320DC" w14:textId="77777777" w:rsidR="004044DC" w:rsidRPr="007E770D" w:rsidRDefault="004044DC" w:rsidP="00E4657F">
      <w:pPr>
        <w:spacing w:line="276" w:lineRule="auto"/>
        <w:rPr>
          <w:rFonts w:cstheme="minorHAnsi"/>
          <w:bCs/>
          <w:color w:val="auto"/>
          <w:szCs w:val="72"/>
          <w:lang w:val="sr-Cyrl-CS"/>
        </w:rPr>
      </w:pPr>
      <w:r w:rsidRPr="007E770D">
        <w:rPr>
          <w:rFonts w:cstheme="minorHAnsi"/>
          <w:bCs/>
          <w:color w:val="auto"/>
          <w:szCs w:val="72"/>
          <w:lang w:val="sr-Cyrl-CS"/>
        </w:rPr>
        <w:t xml:space="preserve">Основни фактори који утичу на стабилизацију рација јавни дуг/БДП су раст БДП, примарни резултат, курс динара према ино-валутама и висина камата. </w:t>
      </w:r>
    </w:p>
    <w:p w14:paraId="4F707236" w14:textId="77777777" w:rsidR="004044DC" w:rsidRPr="007E770D" w:rsidRDefault="004044DC" w:rsidP="00E4657F">
      <w:pPr>
        <w:spacing w:line="276" w:lineRule="auto"/>
        <w:rPr>
          <w:rFonts w:cstheme="minorHAnsi"/>
          <w:bCs/>
          <w:color w:val="auto"/>
          <w:szCs w:val="72"/>
          <w:lang w:val="sr-Cyrl-CS"/>
        </w:rPr>
        <w:sectPr w:rsidR="004044DC" w:rsidRPr="007E770D" w:rsidSect="004E661B">
          <w:type w:val="continuous"/>
          <w:pgSz w:w="12240" w:h="15840"/>
          <w:pgMar w:top="1440" w:right="1440" w:bottom="1440" w:left="1440" w:header="720" w:footer="720" w:gutter="0"/>
          <w:cols w:num="2" w:space="720"/>
          <w:docGrid w:linePitch="360"/>
        </w:sectPr>
      </w:pPr>
    </w:p>
    <w:p w14:paraId="27DA56BD" w14:textId="77777777" w:rsidR="004044DC" w:rsidRPr="007E770D" w:rsidRDefault="004044DC" w:rsidP="00E4657F">
      <w:pPr>
        <w:jc w:val="center"/>
        <w:rPr>
          <w:b/>
          <w:color w:val="auto"/>
          <w:lang w:val="sr-Cyrl-CS"/>
        </w:rPr>
      </w:pPr>
      <w:r w:rsidRPr="007E770D">
        <w:rPr>
          <w:b/>
          <w:color w:val="auto"/>
          <w:lang w:val="sr-Cyrl-CS"/>
        </w:rPr>
        <w:lastRenderedPageBreak/>
        <w:t xml:space="preserve">Табела 30. Доприноси основних макроекономских варијабли на промену рација </w:t>
      </w:r>
      <w:r w:rsidRPr="007E770D">
        <w:rPr>
          <w:b/>
          <w:color w:val="auto"/>
          <w:lang w:val="sr-Cyrl-CS"/>
        </w:rPr>
        <w:br w:type="textWrapping" w:clear="all"/>
        <w:t>јавни дуг (централног нивоа државе) – БДП, у %</w:t>
      </w:r>
    </w:p>
    <w:tbl>
      <w:tblPr>
        <w:tblStyle w:val="LightShading-Accent122"/>
        <w:tblW w:w="5000" w:type="pct"/>
        <w:tblLayout w:type="fixed"/>
        <w:tblLook w:val="0420" w:firstRow="1" w:lastRow="0" w:firstColumn="0" w:lastColumn="0" w:noHBand="0" w:noVBand="1"/>
      </w:tblPr>
      <w:tblGrid>
        <w:gridCol w:w="3842"/>
        <w:gridCol w:w="928"/>
        <w:gridCol w:w="927"/>
        <w:gridCol w:w="927"/>
        <w:gridCol w:w="929"/>
        <w:gridCol w:w="927"/>
        <w:gridCol w:w="926"/>
      </w:tblGrid>
      <w:tr w:rsidR="007E770D" w:rsidRPr="007E770D" w14:paraId="4425F9A2" w14:textId="77777777" w:rsidTr="00E4657F">
        <w:trPr>
          <w:cnfStyle w:val="100000000000" w:firstRow="1" w:lastRow="0" w:firstColumn="0" w:lastColumn="0" w:oddVBand="0" w:evenVBand="0" w:oddHBand="0" w:evenHBand="0" w:firstRowFirstColumn="0" w:firstRowLastColumn="0" w:lastRowFirstColumn="0" w:lastRowLastColumn="0"/>
          <w:trHeight w:val="196"/>
        </w:trPr>
        <w:tc>
          <w:tcPr>
            <w:tcW w:w="2042" w:type="pct"/>
            <w:tcBorders>
              <w:top w:val="single" w:sz="4" w:space="0" w:color="002060"/>
              <w:bottom w:val="single" w:sz="8" w:space="0" w:color="FFFFFF" w:themeColor="background1"/>
            </w:tcBorders>
            <w:shd w:val="clear" w:color="auto" w:fill="auto"/>
            <w:noWrap/>
            <w:hideMark/>
          </w:tcPr>
          <w:p w14:paraId="7E3E5152" w14:textId="77777777" w:rsidR="004044DC" w:rsidRPr="007E770D" w:rsidRDefault="004044DC" w:rsidP="00E4657F">
            <w:pPr>
              <w:jc w:val="center"/>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 </w:t>
            </w:r>
          </w:p>
        </w:tc>
        <w:tc>
          <w:tcPr>
            <w:tcW w:w="493" w:type="pct"/>
            <w:tcBorders>
              <w:top w:val="single" w:sz="4" w:space="0" w:color="002060"/>
              <w:bottom w:val="single" w:sz="4" w:space="0" w:color="002060"/>
            </w:tcBorders>
            <w:shd w:val="clear" w:color="auto" w:fill="auto"/>
          </w:tcPr>
          <w:p w14:paraId="37C2ADA0" w14:textId="77777777" w:rsidR="004044DC" w:rsidRPr="007E770D" w:rsidRDefault="004044DC" w:rsidP="00E4657F">
            <w:pPr>
              <w:jc w:val="center"/>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2017</w:t>
            </w:r>
          </w:p>
        </w:tc>
        <w:tc>
          <w:tcPr>
            <w:tcW w:w="493" w:type="pct"/>
            <w:tcBorders>
              <w:top w:val="single" w:sz="4" w:space="0" w:color="002060"/>
              <w:bottom w:val="single" w:sz="4" w:space="0" w:color="002060"/>
            </w:tcBorders>
            <w:shd w:val="clear" w:color="auto" w:fill="auto"/>
          </w:tcPr>
          <w:p w14:paraId="428BB043" w14:textId="77777777" w:rsidR="004044DC" w:rsidRPr="007E770D" w:rsidRDefault="004044DC" w:rsidP="00E4657F">
            <w:pPr>
              <w:jc w:val="center"/>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 xml:space="preserve">2018 </w:t>
            </w:r>
          </w:p>
        </w:tc>
        <w:tc>
          <w:tcPr>
            <w:tcW w:w="493" w:type="pct"/>
            <w:tcBorders>
              <w:top w:val="single" w:sz="4" w:space="0" w:color="002060"/>
              <w:bottom w:val="single" w:sz="4" w:space="0" w:color="002060"/>
            </w:tcBorders>
            <w:shd w:val="clear" w:color="auto" w:fill="auto"/>
            <w:noWrap/>
          </w:tcPr>
          <w:p w14:paraId="03F5CBB7" w14:textId="77777777" w:rsidR="004044DC" w:rsidRPr="007E770D" w:rsidRDefault="004044DC" w:rsidP="00E4657F">
            <w:pPr>
              <w:jc w:val="center"/>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2019 п</w:t>
            </w:r>
          </w:p>
        </w:tc>
        <w:tc>
          <w:tcPr>
            <w:tcW w:w="494" w:type="pct"/>
            <w:tcBorders>
              <w:top w:val="single" w:sz="4" w:space="0" w:color="002060"/>
              <w:bottom w:val="single" w:sz="4" w:space="0" w:color="002060"/>
            </w:tcBorders>
            <w:shd w:val="clear" w:color="auto" w:fill="auto"/>
            <w:noWrap/>
          </w:tcPr>
          <w:p w14:paraId="0794E900" w14:textId="77777777" w:rsidR="004044DC" w:rsidRPr="007E770D" w:rsidRDefault="004044DC" w:rsidP="00E4657F">
            <w:pPr>
              <w:jc w:val="center"/>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2020 п</w:t>
            </w:r>
          </w:p>
        </w:tc>
        <w:tc>
          <w:tcPr>
            <w:tcW w:w="493" w:type="pct"/>
            <w:tcBorders>
              <w:top w:val="single" w:sz="4" w:space="0" w:color="002060"/>
              <w:bottom w:val="single" w:sz="4" w:space="0" w:color="002060"/>
            </w:tcBorders>
            <w:shd w:val="clear" w:color="auto" w:fill="auto"/>
            <w:noWrap/>
          </w:tcPr>
          <w:p w14:paraId="76BB5D58" w14:textId="77777777" w:rsidR="004044DC" w:rsidRPr="007E770D" w:rsidRDefault="004044DC" w:rsidP="00E4657F">
            <w:pPr>
              <w:jc w:val="center"/>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2021 п</w:t>
            </w:r>
          </w:p>
        </w:tc>
        <w:tc>
          <w:tcPr>
            <w:tcW w:w="492" w:type="pct"/>
            <w:tcBorders>
              <w:top w:val="single" w:sz="4" w:space="0" w:color="002060"/>
              <w:bottom w:val="single" w:sz="4" w:space="0" w:color="002060"/>
            </w:tcBorders>
            <w:shd w:val="clear" w:color="auto" w:fill="auto"/>
            <w:noWrap/>
          </w:tcPr>
          <w:p w14:paraId="0CF8E997" w14:textId="77777777" w:rsidR="004044DC" w:rsidRPr="007E770D" w:rsidRDefault="004044DC" w:rsidP="00E4657F">
            <w:pPr>
              <w:jc w:val="center"/>
              <w:rPr>
                <w:rFonts w:asciiTheme="minorHAnsi" w:hAnsiTheme="minorHAnsi" w:cstheme="minorHAnsi"/>
                <w:b w:val="0"/>
                <w:color w:val="auto"/>
                <w:sz w:val="18"/>
                <w:szCs w:val="18"/>
                <w:lang w:val="sr-Cyrl-CS"/>
              </w:rPr>
            </w:pPr>
            <w:r w:rsidRPr="007E770D">
              <w:rPr>
                <w:rFonts w:asciiTheme="minorHAnsi" w:hAnsiTheme="minorHAnsi" w:cstheme="minorHAnsi"/>
                <w:b w:val="0"/>
                <w:color w:val="auto"/>
                <w:sz w:val="18"/>
                <w:szCs w:val="18"/>
                <w:lang w:val="sr-Cyrl-CS"/>
              </w:rPr>
              <w:t>2022 п</w:t>
            </w:r>
          </w:p>
        </w:tc>
      </w:tr>
      <w:tr w:rsidR="007E770D" w:rsidRPr="007E770D" w14:paraId="65FC6EBD" w14:textId="77777777" w:rsidTr="00E4657F">
        <w:trPr>
          <w:cnfStyle w:val="000000100000" w:firstRow="0" w:lastRow="0" w:firstColumn="0" w:lastColumn="0" w:oddVBand="0" w:evenVBand="0" w:oddHBand="1" w:evenHBand="0" w:firstRowFirstColumn="0" w:firstRowLastColumn="0" w:lastRowFirstColumn="0" w:lastRowLastColumn="0"/>
          <w:trHeight w:val="284"/>
        </w:trPr>
        <w:tc>
          <w:tcPr>
            <w:tcW w:w="2042" w:type="pct"/>
            <w:tcBorders>
              <w:top w:val="single" w:sz="8" w:space="0" w:color="FFFFFF" w:themeColor="background1"/>
            </w:tcBorders>
            <w:shd w:val="clear" w:color="auto" w:fill="auto"/>
            <w:noWrap/>
            <w:hideMark/>
          </w:tcPr>
          <w:p w14:paraId="7FE68308" w14:textId="77777777" w:rsidR="004044DC" w:rsidRPr="007E770D" w:rsidRDefault="004044DC" w:rsidP="00E4657F">
            <w:pPr>
              <w:spacing w:line="240" w:lineRule="auto"/>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Дуг централне државе/БДП</w:t>
            </w:r>
          </w:p>
        </w:tc>
        <w:tc>
          <w:tcPr>
            <w:tcW w:w="493" w:type="pct"/>
            <w:tcBorders>
              <w:top w:val="single" w:sz="4" w:space="0" w:color="002060"/>
            </w:tcBorders>
            <w:shd w:val="clear" w:color="auto" w:fill="auto"/>
          </w:tcPr>
          <w:p w14:paraId="493DB92D" w14:textId="77777777" w:rsidR="004044DC" w:rsidRPr="007E770D" w:rsidRDefault="004044DC" w:rsidP="00E4657F">
            <w:pPr>
              <w:spacing w:line="240" w:lineRule="auto"/>
              <w:jc w:val="center"/>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57,9</w:t>
            </w:r>
          </w:p>
        </w:tc>
        <w:tc>
          <w:tcPr>
            <w:tcW w:w="493" w:type="pct"/>
            <w:tcBorders>
              <w:top w:val="single" w:sz="4" w:space="0" w:color="002060"/>
            </w:tcBorders>
            <w:shd w:val="clear" w:color="auto" w:fill="auto"/>
          </w:tcPr>
          <w:p w14:paraId="5FF5C325" w14:textId="77777777" w:rsidR="004044DC" w:rsidRPr="007E770D" w:rsidRDefault="004044DC" w:rsidP="00E4657F">
            <w:pPr>
              <w:spacing w:line="240" w:lineRule="auto"/>
              <w:jc w:val="center"/>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53,7</w:t>
            </w:r>
          </w:p>
        </w:tc>
        <w:tc>
          <w:tcPr>
            <w:tcW w:w="493" w:type="pct"/>
            <w:tcBorders>
              <w:top w:val="single" w:sz="4" w:space="0" w:color="002060"/>
            </w:tcBorders>
            <w:shd w:val="clear" w:color="auto" w:fill="auto"/>
            <w:noWrap/>
          </w:tcPr>
          <w:p w14:paraId="724C4D70" w14:textId="77777777" w:rsidR="004044DC" w:rsidRPr="007E770D" w:rsidRDefault="004044DC" w:rsidP="00E4657F">
            <w:pPr>
              <w:spacing w:line="240" w:lineRule="auto"/>
              <w:jc w:val="center"/>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51,9</w:t>
            </w:r>
          </w:p>
        </w:tc>
        <w:tc>
          <w:tcPr>
            <w:tcW w:w="494" w:type="pct"/>
            <w:tcBorders>
              <w:top w:val="single" w:sz="4" w:space="0" w:color="002060"/>
            </w:tcBorders>
            <w:shd w:val="clear" w:color="auto" w:fill="auto"/>
            <w:noWrap/>
          </w:tcPr>
          <w:p w14:paraId="7443AA36" w14:textId="77777777" w:rsidR="004044DC" w:rsidRPr="007E770D" w:rsidRDefault="004044DC" w:rsidP="00E4657F">
            <w:pPr>
              <w:spacing w:line="240" w:lineRule="auto"/>
              <w:jc w:val="center"/>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50,3</w:t>
            </w:r>
          </w:p>
        </w:tc>
        <w:tc>
          <w:tcPr>
            <w:tcW w:w="493" w:type="pct"/>
            <w:tcBorders>
              <w:top w:val="single" w:sz="4" w:space="0" w:color="002060"/>
            </w:tcBorders>
            <w:shd w:val="clear" w:color="auto" w:fill="auto"/>
            <w:noWrap/>
          </w:tcPr>
          <w:p w14:paraId="62E5C271" w14:textId="77777777" w:rsidR="004044DC" w:rsidRPr="007E770D" w:rsidRDefault="004044DC" w:rsidP="00E4657F">
            <w:pPr>
              <w:spacing w:line="240" w:lineRule="auto"/>
              <w:jc w:val="center"/>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49,0</w:t>
            </w:r>
          </w:p>
        </w:tc>
        <w:tc>
          <w:tcPr>
            <w:tcW w:w="492" w:type="pct"/>
            <w:tcBorders>
              <w:top w:val="single" w:sz="4" w:space="0" w:color="002060"/>
            </w:tcBorders>
            <w:shd w:val="clear" w:color="auto" w:fill="auto"/>
            <w:noWrap/>
          </w:tcPr>
          <w:p w14:paraId="23614763" w14:textId="77777777" w:rsidR="004044DC" w:rsidRPr="007E770D" w:rsidRDefault="004044DC" w:rsidP="00E4657F">
            <w:pPr>
              <w:spacing w:line="240" w:lineRule="auto"/>
              <w:jc w:val="center"/>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47,2</w:t>
            </w:r>
          </w:p>
        </w:tc>
      </w:tr>
      <w:tr w:rsidR="007E770D" w:rsidRPr="007E770D" w14:paraId="6AA34A87" w14:textId="77777777" w:rsidTr="00E4657F">
        <w:trPr>
          <w:trHeight w:val="284"/>
        </w:trPr>
        <w:tc>
          <w:tcPr>
            <w:tcW w:w="2042" w:type="pct"/>
            <w:shd w:val="clear" w:color="auto" w:fill="auto"/>
            <w:noWrap/>
            <w:hideMark/>
          </w:tcPr>
          <w:p w14:paraId="20313755" w14:textId="77777777" w:rsidR="004044DC" w:rsidRPr="007E770D" w:rsidRDefault="004044DC" w:rsidP="00E4657F">
            <w:pPr>
              <w:spacing w:line="240" w:lineRule="auto"/>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Промена у односу на претходну год. у % БДП</w:t>
            </w:r>
          </w:p>
        </w:tc>
        <w:tc>
          <w:tcPr>
            <w:tcW w:w="493" w:type="pct"/>
            <w:shd w:val="clear" w:color="auto" w:fill="auto"/>
          </w:tcPr>
          <w:p w14:paraId="1B247639" w14:textId="77777777" w:rsidR="004044DC" w:rsidRPr="007E770D" w:rsidRDefault="004044DC" w:rsidP="00E4657F">
            <w:pPr>
              <w:spacing w:line="240" w:lineRule="auto"/>
              <w:jc w:val="center"/>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-9,9</w:t>
            </w:r>
          </w:p>
        </w:tc>
        <w:tc>
          <w:tcPr>
            <w:tcW w:w="493" w:type="pct"/>
            <w:shd w:val="clear" w:color="auto" w:fill="auto"/>
          </w:tcPr>
          <w:p w14:paraId="60D820FA" w14:textId="77777777" w:rsidR="004044DC" w:rsidRPr="007E770D" w:rsidRDefault="004044DC" w:rsidP="00E4657F">
            <w:pPr>
              <w:spacing w:line="240" w:lineRule="auto"/>
              <w:jc w:val="center"/>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-4,2</w:t>
            </w:r>
          </w:p>
        </w:tc>
        <w:tc>
          <w:tcPr>
            <w:tcW w:w="493" w:type="pct"/>
            <w:shd w:val="clear" w:color="auto" w:fill="auto"/>
            <w:noWrap/>
          </w:tcPr>
          <w:p w14:paraId="5E760078" w14:textId="77777777" w:rsidR="004044DC" w:rsidRPr="007E770D" w:rsidRDefault="004044DC" w:rsidP="00E4657F">
            <w:pPr>
              <w:spacing w:line="240" w:lineRule="auto"/>
              <w:jc w:val="center"/>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-1,8</w:t>
            </w:r>
          </w:p>
        </w:tc>
        <w:tc>
          <w:tcPr>
            <w:tcW w:w="494" w:type="pct"/>
            <w:shd w:val="clear" w:color="auto" w:fill="auto"/>
            <w:noWrap/>
          </w:tcPr>
          <w:p w14:paraId="6FFCD9C7" w14:textId="77777777" w:rsidR="004044DC" w:rsidRPr="007E770D" w:rsidRDefault="004044DC" w:rsidP="00E4657F">
            <w:pPr>
              <w:spacing w:line="240" w:lineRule="auto"/>
              <w:jc w:val="center"/>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-1,6</w:t>
            </w:r>
          </w:p>
        </w:tc>
        <w:tc>
          <w:tcPr>
            <w:tcW w:w="493" w:type="pct"/>
            <w:shd w:val="clear" w:color="auto" w:fill="auto"/>
            <w:noWrap/>
          </w:tcPr>
          <w:p w14:paraId="523B8D7F" w14:textId="77777777" w:rsidR="004044DC" w:rsidRPr="007E770D" w:rsidRDefault="004044DC" w:rsidP="00E4657F">
            <w:pPr>
              <w:spacing w:line="240" w:lineRule="auto"/>
              <w:jc w:val="center"/>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-1,3</w:t>
            </w:r>
          </w:p>
        </w:tc>
        <w:tc>
          <w:tcPr>
            <w:tcW w:w="492" w:type="pct"/>
            <w:shd w:val="clear" w:color="auto" w:fill="auto"/>
            <w:noWrap/>
          </w:tcPr>
          <w:p w14:paraId="51B011AF" w14:textId="77777777" w:rsidR="004044DC" w:rsidRPr="007E770D" w:rsidRDefault="004044DC" w:rsidP="00E4657F">
            <w:pPr>
              <w:spacing w:line="240" w:lineRule="auto"/>
              <w:jc w:val="center"/>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-1,8</w:t>
            </w:r>
          </w:p>
        </w:tc>
      </w:tr>
      <w:tr w:rsidR="007E770D" w:rsidRPr="007E770D" w14:paraId="50E6E5CB" w14:textId="77777777" w:rsidTr="00E4657F">
        <w:trPr>
          <w:cnfStyle w:val="000000100000" w:firstRow="0" w:lastRow="0" w:firstColumn="0" w:lastColumn="0" w:oddVBand="0" w:evenVBand="0" w:oddHBand="1" w:evenHBand="0" w:firstRowFirstColumn="0" w:firstRowLastColumn="0" w:lastRowFirstColumn="0" w:lastRowLastColumn="0"/>
          <w:trHeight w:val="284"/>
        </w:trPr>
        <w:tc>
          <w:tcPr>
            <w:tcW w:w="2042" w:type="pct"/>
            <w:shd w:val="clear" w:color="auto" w:fill="auto"/>
            <w:noWrap/>
            <w:hideMark/>
          </w:tcPr>
          <w:p w14:paraId="156F02B9" w14:textId="77777777" w:rsidR="004044DC" w:rsidRPr="007E770D" w:rsidRDefault="004044DC" w:rsidP="00E4657F">
            <w:pPr>
              <w:spacing w:line="240" w:lineRule="auto"/>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Допринос примарног фискалног резултата</w:t>
            </w:r>
          </w:p>
        </w:tc>
        <w:tc>
          <w:tcPr>
            <w:tcW w:w="493" w:type="pct"/>
            <w:shd w:val="clear" w:color="auto" w:fill="auto"/>
          </w:tcPr>
          <w:p w14:paraId="5EC83957" w14:textId="77777777" w:rsidR="004044DC" w:rsidRPr="007E770D" w:rsidRDefault="004044DC" w:rsidP="00E4657F">
            <w:pPr>
              <w:spacing w:line="240" w:lineRule="auto"/>
              <w:jc w:val="center"/>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-3,2</w:t>
            </w:r>
          </w:p>
        </w:tc>
        <w:tc>
          <w:tcPr>
            <w:tcW w:w="493" w:type="pct"/>
            <w:shd w:val="clear" w:color="auto" w:fill="auto"/>
          </w:tcPr>
          <w:p w14:paraId="424C990B" w14:textId="77777777" w:rsidR="004044DC" w:rsidRPr="007E770D" w:rsidRDefault="004044DC" w:rsidP="00E4657F">
            <w:pPr>
              <w:spacing w:line="240" w:lineRule="auto"/>
              <w:jc w:val="center"/>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-2,7</w:t>
            </w:r>
          </w:p>
        </w:tc>
        <w:tc>
          <w:tcPr>
            <w:tcW w:w="493" w:type="pct"/>
            <w:shd w:val="clear" w:color="auto" w:fill="auto"/>
            <w:noWrap/>
          </w:tcPr>
          <w:p w14:paraId="0F981E0E" w14:textId="77777777" w:rsidR="004044DC" w:rsidRPr="007E770D" w:rsidRDefault="004044DC" w:rsidP="00E4657F">
            <w:pPr>
              <w:spacing w:line="240" w:lineRule="auto"/>
              <w:jc w:val="center"/>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-1,6</w:t>
            </w:r>
          </w:p>
        </w:tc>
        <w:tc>
          <w:tcPr>
            <w:tcW w:w="494" w:type="pct"/>
            <w:shd w:val="clear" w:color="auto" w:fill="auto"/>
            <w:noWrap/>
          </w:tcPr>
          <w:p w14:paraId="59C5B781" w14:textId="77777777" w:rsidR="004044DC" w:rsidRPr="007E770D" w:rsidRDefault="004044DC" w:rsidP="00E4657F">
            <w:pPr>
              <w:spacing w:line="240" w:lineRule="auto"/>
              <w:jc w:val="center"/>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-1,6</w:t>
            </w:r>
          </w:p>
        </w:tc>
        <w:tc>
          <w:tcPr>
            <w:tcW w:w="493" w:type="pct"/>
            <w:shd w:val="clear" w:color="auto" w:fill="auto"/>
            <w:noWrap/>
          </w:tcPr>
          <w:p w14:paraId="111DC774" w14:textId="77777777" w:rsidR="004044DC" w:rsidRPr="007E770D" w:rsidRDefault="004044DC" w:rsidP="00E4657F">
            <w:pPr>
              <w:spacing w:line="240" w:lineRule="auto"/>
              <w:jc w:val="center"/>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-1,2</w:t>
            </w:r>
          </w:p>
        </w:tc>
        <w:tc>
          <w:tcPr>
            <w:tcW w:w="492" w:type="pct"/>
            <w:shd w:val="clear" w:color="auto" w:fill="auto"/>
            <w:noWrap/>
          </w:tcPr>
          <w:p w14:paraId="3E795CB8" w14:textId="77777777" w:rsidR="004044DC" w:rsidRPr="007E770D" w:rsidRDefault="004044DC" w:rsidP="00E4657F">
            <w:pPr>
              <w:spacing w:line="240" w:lineRule="auto"/>
              <w:jc w:val="center"/>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-1,2</w:t>
            </w:r>
          </w:p>
        </w:tc>
      </w:tr>
      <w:tr w:rsidR="007E770D" w:rsidRPr="007E770D" w14:paraId="31AE12DE" w14:textId="77777777" w:rsidTr="00E4657F">
        <w:trPr>
          <w:trHeight w:val="284"/>
        </w:trPr>
        <w:tc>
          <w:tcPr>
            <w:tcW w:w="2042" w:type="pct"/>
            <w:shd w:val="clear" w:color="auto" w:fill="auto"/>
            <w:noWrap/>
            <w:hideMark/>
          </w:tcPr>
          <w:p w14:paraId="450A8C9D" w14:textId="77777777" w:rsidR="004044DC" w:rsidRPr="007E770D" w:rsidRDefault="004044DC" w:rsidP="00E4657F">
            <w:pPr>
              <w:spacing w:line="240" w:lineRule="auto"/>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Допринос камата</w:t>
            </w:r>
          </w:p>
        </w:tc>
        <w:tc>
          <w:tcPr>
            <w:tcW w:w="493" w:type="pct"/>
            <w:shd w:val="clear" w:color="auto" w:fill="auto"/>
          </w:tcPr>
          <w:p w14:paraId="40C14424" w14:textId="77777777" w:rsidR="004044DC" w:rsidRPr="007E770D" w:rsidRDefault="004044DC" w:rsidP="00E4657F">
            <w:pPr>
              <w:spacing w:line="240" w:lineRule="auto"/>
              <w:jc w:val="center"/>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2,5</w:t>
            </w:r>
          </w:p>
        </w:tc>
        <w:tc>
          <w:tcPr>
            <w:tcW w:w="493" w:type="pct"/>
            <w:shd w:val="clear" w:color="auto" w:fill="auto"/>
          </w:tcPr>
          <w:p w14:paraId="51600280" w14:textId="77777777" w:rsidR="004044DC" w:rsidRPr="007E770D" w:rsidRDefault="004044DC" w:rsidP="00E4657F">
            <w:pPr>
              <w:spacing w:line="240" w:lineRule="auto"/>
              <w:jc w:val="center"/>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2,1</w:t>
            </w:r>
          </w:p>
        </w:tc>
        <w:tc>
          <w:tcPr>
            <w:tcW w:w="493" w:type="pct"/>
            <w:shd w:val="clear" w:color="auto" w:fill="auto"/>
            <w:noWrap/>
          </w:tcPr>
          <w:p w14:paraId="6B4CD824" w14:textId="77777777" w:rsidR="004044DC" w:rsidRPr="007E770D" w:rsidRDefault="004044DC" w:rsidP="00E4657F">
            <w:pPr>
              <w:spacing w:line="240" w:lineRule="auto"/>
              <w:jc w:val="center"/>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2,0</w:t>
            </w:r>
          </w:p>
        </w:tc>
        <w:tc>
          <w:tcPr>
            <w:tcW w:w="494" w:type="pct"/>
            <w:shd w:val="clear" w:color="auto" w:fill="auto"/>
            <w:noWrap/>
          </w:tcPr>
          <w:p w14:paraId="7E0CCFA4" w14:textId="77777777" w:rsidR="004044DC" w:rsidRPr="007E770D" w:rsidRDefault="004044DC" w:rsidP="00E4657F">
            <w:pPr>
              <w:spacing w:line="240" w:lineRule="auto"/>
              <w:jc w:val="center"/>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1,9</w:t>
            </w:r>
          </w:p>
        </w:tc>
        <w:tc>
          <w:tcPr>
            <w:tcW w:w="493" w:type="pct"/>
            <w:shd w:val="clear" w:color="auto" w:fill="auto"/>
            <w:noWrap/>
          </w:tcPr>
          <w:p w14:paraId="4C86BC71" w14:textId="77777777" w:rsidR="004044DC" w:rsidRPr="007E770D" w:rsidRDefault="004044DC" w:rsidP="00E4657F">
            <w:pPr>
              <w:spacing w:line="240" w:lineRule="auto"/>
              <w:jc w:val="center"/>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1,7</w:t>
            </w:r>
          </w:p>
        </w:tc>
        <w:tc>
          <w:tcPr>
            <w:tcW w:w="492" w:type="pct"/>
            <w:shd w:val="clear" w:color="auto" w:fill="auto"/>
            <w:noWrap/>
          </w:tcPr>
          <w:p w14:paraId="67F80A3F" w14:textId="77777777" w:rsidR="004044DC" w:rsidRPr="007E770D" w:rsidRDefault="004044DC" w:rsidP="00E4657F">
            <w:pPr>
              <w:spacing w:line="240" w:lineRule="auto"/>
              <w:jc w:val="center"/>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1,6</w:t>
            </w:r>
          </w:p>
        </w:tc>
      </w:tr>
      <w:tr w:rsidR="007E770D" w:rsidRPr="007E770D" w14:paraId="4055024F" w14:textId="77777777" w:rsidTr="00E4657F">
        <w:trPr>
          <w:cnfStyle w:val="000000100000" w:firstRow="0" w:lastRow="0" w:firstColumn="0" w:lastColumn="0" w:oddVBand="0" w:evenVBand="0" w:oddHBand="1" w:evenHBand="0" w:firstRowFirstColumn="0" w:firstRowLastColumn="0" w:lastRowFirstColumn="0" w:lastRowLastColumn="0"/>
          <w:trHeight w:val="284"/>
        </w:trPr>
        <w:tc>
          <w:tcPr>
            <w:tcW w:w="2042" w:type="pct"/>
            <w:tcBorders>
              <w:bottom w:val="nil"/>
            </w:tcBorders>
            <w:shd w:val="clear" w:color="auto" w:fill="auto"/>
            <w:hideMark/>
          </w:tcPr>
          <w:p w14:paraId="7E168B69" w14:textId="77777777" w:rsidR="004044DC" w:rsidRPr="007E770D" w:rsidRDefault="004044DC" w:rsidP="00E4657F">
            <w:pPr>
              <w:spacing w:line="240" w:lineRule="auto"/>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Допринос раста номиналног БДП</w:t>
            </w:r>
          </w:p>
        </w:tc>
        <w:tc>
          <w:tcPr>
            <w:tcW w:w="493" w:type="pct"/>
            <w:tcBorders>
              <w:bottom w:val="nil"/>
            </w:tcBorders>
            <w:shd w:val="clear" w:color="auto" w:fill="auto"/>
          </w:tcPr>
          <w:p w14:paraId="41EF4743" w14:textId="77777777" w:rsidR="004044DC" w:rsidRPr="007E770D" w:rsidRDefault="004044DC" w:rsidP="00E4657F">
            <w:pPr>
              <w:spacing w:line="240" w:lineRule="auto"/>
              <w:jc w:val="center"/>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-3,3</w:t>
            </w:r>
          </w:p>
        </w:tc>
        <w:tc>
          <w:tcPr>
            <w:tcW w:w="493" w:type="pct"/>
            <w:tcBorders>
              <w:bottom w:val="nil"/>
            </w:tcBorders>
            <w:shd w:val="clear" w:color="auto" w:fill="auto"/>
          </w:tcPr>
          <w:p w14:paraId="138DA298" w14:textId="77777777" w:rsidR="004044DC" w:rsidRPr="007E770D" w:rsidRDefault="004044DC" w:rsidP="00E4657F">
            <w:pPr>
              <w:spacing w:line="240" w:lineRule="auto"/>
              <w:jc w:val="center"/>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-3,6</w:t>
            </w:r>
          </w:p>
        </w:tc>
        <w:tc>
          <w:tcPr>
            <w:tcW w:w="493" w:type="pct"/>
            <w:tcBorders>
              <w:bottom w:val="nil"/>
            </w:tcBorders>
            <w:shd w:val="clear" w:color="auto" w:fill="auto"/>
            <w:noWrap/>
          </w:tcPr>
          <w:p w14:paraId="3BA35F1C" w14:textId="77777777" w:rsidR="004044DC" w:rsidRPr="007E770D" w:rsidRDefault="004044DC" w:rsidP="00E4657F">
            <w:pPr>
              <w:spacing w:line="240" w:lineRule="auto"/>
              <w:jc w:val="center"/>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-3,5</w:t>
            </w:r>
          </w:p>
        </w:tc>
        <w:tc>
          <w:tcPr>
            <w:tcW w:w="494" w:type="pct"/>
            <w:tcBorders>
              <w:bottom w:val="nil"/>
            </w:tcBorders>
            <w:shd w:val="clear" w:color="auto" w:fill="auto"/>
            <w:noWrap/>
          </w:tcPr>
          <w:p w14:paraId="0584905D" w14:textId="77777777" w:rsidR="004044DC" w:rsidRPr="007E770D" w:rsidRDefault="004044DC" w:rsidP="00E4657F">
            <w:pPr>
              <w:spacing w:line="240" w:lineRule="auto"/>
              <w:jc w:val="center"/>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-3,7</w:t>
            </w:r>
          </w:p>
        </w:tc>
        <w:tc>
          <w:tcPr>
            <w:tcW w:w="493" w:type="pct"/>
            <w:tcBorders>
              <w:bottom w:val="nil"/>
            </w:tcBorders>
            <w:shd w:val="clear" w:color="auto" w:fill="auto"/>
            <w:noWrap/>
          </w:tcPr>
          <w:p w14:paraId="49A2F56F" w14:textId="77777777" w:rsidR="004044DC" w:rsidRPr="007E770D" w:rsidRDefault="004044DC" w:rsidP="00E4657F">
            <w:pPr>
              <w:spacing w:line="240" w:lineRule="auto"/>
              <w:jc w:val="center"/>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-3,5</w:t>
            </w:r>
          </w:p>
        </w:tc>
        <w:tc>
          <w:tcPr>
            <w:tcW w:w="492" w:type="pct"/>
            <w:tcBorders>
              <w:bottom w:val="nil"/>
            </w:tcBorders>
            <w:shd w:val="clear" w:color="auto" w:fill="auto"/>
            <w:noWrap/>
          </w:tcPr>
          <w:p w14:paraId="0BAE7F44" w14:textId="77777777" w:rsidR="004044DC" w:rsidRPr="007E770D" w:rsidRDefault="004044DC" w:rsidP="00E4657F">
            <w:pPr>
              <w:spacing w:line="240" w:lineRule="auto"/>
              <w:jc w:val="center"/>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-3,5</w:t>
            </w:r>
          </w:p>
        </w:tc>
      </w:tr>
      <w:tr w:rsidR="007E770D" w:rsidRPr="007E770D" w14:paraId="71412962" w14:textId="77777777" w:rsidTr="00E4657F">
        <w:trPr>
          <w:trHeight w:val="80"/>
        </w:trPr>
        <w:tc>
          <w:tcPr>
            <w:tcW w:w="2042" w:type="pct"/>
            <w:tcBorders>
              <w:top w:val="nil"/>
              <w:bottom w:val="single" w:sz="4" w:space="0" w:color="002060"/>
            </w:tcBorders>
            <w:shd w:val="clear" w:color="auto" w:fill="auto"/>
          </w:tcPr>
          <w:p w14:paraId="184669CB" w14:textId="77777777" w:rsidR="004044DC" w:rsidRPr="007E770D" w:rsidRDefault="004044DC" w:rsidP="00E4657F">
            <w:pPr>
              <w:spacing w:line="240" w:lineRule="auto"/>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Допринос осталих фактора</w:t>
            </w:r>
          </w:p>
        </w:tc>
        <w:tc>
          <w:tcPr>
            <w:tcW w:w="493" w:type="pct"/>
            <w:tcBorders>
              <w:top w:val="nil"/>
              <w:bottom w:val="single" w:sz="4" w:space="0" w:color="002060"/>
            </w:tcBorders>
            <w:shd w:val="clear" w:color="auto" w:fill="auto"/>
          </w:tcPr>
          <w:p w14:paraId="60554319" w14:textId="77777777" w:rsidR="004044DC" w:rsidRPr="007E770D" w:rsidRDefault="004044DC" w:rsidP="00E4657F">
            <w:pPr>
              <w:spacing w:line="240" w:lineRule="auto"/>
              <w:jc w:val="center"/>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-5,9</w:t>
            </w:r>
          </w:p>
        </w:tc>
        <w:tc>
          <w:tcPr>
            <w:tcW w:w="493" w:type="pct"/>
            <w:tcBorders>
              <w:top w:val="nil"/>
              <w:bottom w:val="single" w:sz="4" w:space="0" w:color="002060"/>
            </w:tcBorders>
            <w:shd w:val="clear" w:color="auto" w:fill="auto"/>
          </w:tcPr>
          <w:p w14:paraId="41FBF252" w14:textId="77777777" w:rsidR="004044DC" w:rsidRPr="007E770D" w:rsidRDefault="004044DC" w:rsidP="00E4657F">
            <w:pPr>
              <w:spacing w:line="240" w:lineRule="auto"/>
              <w:jc w:val="center"/>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0,0</w:t>
            </w:r>
          </w:p>
        </w:tc>
        <w:tc>
          <w:tcPr>
            <w:tcW w:w="493" w:type="pct"/>
            <w:tcBorders>
              <w:top w:val="nil"/>
              <w:bottom w:val="single" w:sz="4" w:space="0" w:color="002060"/>
            </w:tcBorders>
            <w:shd w:val="clear" w:color="auto" w:fill="auto"/>
            <w:noWrap/>
          </w:tcPr>
          <w:p w14:paraId="798BFE44" w14:textId="77777777" w:rsidR="004044DC" w:rsidRPr="007E770D" w:rsidRDefault="004044DC" w:rsidP="00E4657F">
            <w:pPr>
              <w:spacing w:line="240" w:lineRule="auto"/>
              <w:jc w:val="center"/>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1,3</w:t>
            </w:r>
          </w:p>
        </w:tc>
        <w:tc>
          <w:tcPr>
            <w:tcW w:w="494" w:type="pct"/>
            <w:tcBorders>
              <w:top w:val="nil"/>
              <w:bottom w:val="single" w:sz="4" w:space="0" w:color="002060"/>
            </w:tcBorders>
            <w:shd w:val="clear" w:color="auto" w:fill="auto"/>
            <w:noWrap/>
          </w:tcPr>
          <w:p w14:paraId="0AA665AD" w14:textId="77777777" w:rsidR="004044DC" w:rsidRPr="007E770D" w:rsidRDefault="004044DC" w:rsidP="00E4657F">
            <w:pPr>
              <w:spacing w:line="240" w:lineRule="auto"/>
              <w:jc w:val="center"/>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1,7</w:t>
            </w:r>
          </w:p>
        </w:tc>
        <w:tc>
          <w:tcPr>
            <w:tcW w:w="493" w:type="pct"/>
            <w:tcBorders>
              <w:top w:val="nil"/>
              <w:bottom w:val="single" w:sz="4" w:space="0" w:color="002060"/>
            </w:tcBorders>
            <w:shd w:val="clear" w:color="auto" w:fill="auto"/>
            <w:noWrap/>
          </w:tcPr>
          <w:p w14:paraId="2C9751C6" w14:textId="77777777" w:rsidR="004044DC" w:rsidRPr="007E770D" w:rsidRDefault="004044DC" w:rsidP="00E4657F">
            <w:pPr>
              <w:spacing w:line="240" w:lineRule="auto"/>
              <w:jc w:val="center"/>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1,7</w:t>
            </w:r>
          </w:p>
        </w:tc>
        <w:tc>
          <w:tcPr>
            <w:tcW w:w="492" w:type="pct"/>
            <w:tcBorders>
              <w:top w:val="nil"/>
              <w:bottom w:val="single" w:sz="4" w:space="0" w:color="002060"/>
            </w:tcBorders>
            <w:shd w:val="clear" w:color="auto" w:fill="auto"/>
            <w:noWrap/>
          </w:tcPr>
          <w:p w14:paraId="4428EE0C" w14:textId="77777777" w:rsidR="004044DC" w:rsidRPr="007E770D" w:rsidRDefault="004044DC" w:rsidP="00E4657F">
            <w:pPr>
              <w:spacing w:line="240" w:lineRule="auto"/>
              <w:jc w:val="center"/>
              <w:rPr>
                <w:rFonts w:asciiTheme="minorHAnsi" w:hAnsiTheme="minorHAnsi" w:cstheme="minorHAnsi"/>
                <w:bCs/>
                <w:color w:val="auto"/>
                <w:sz w:val="18"/>
                <w:szCs w:val="18"/>
                <w:lang w:val="sr-Cyrl-CS"/>
              </w:rPr>
            </w:pPr>
            <w:r w:rsidRPr="007E770D">
              <w:rPr>
                <w:rFonts w:asciiTheme="minorHAnsi" w:hAnsiTheme="minorHAnsi" w:cstheme="minorHAnsi"/>
                <w:bCs/>
                <w:color w:val="auto"/>
                <w:sz w:val="18"/>
                <w:szCs w:val="18"/>
                <w:lang w:val="sr-Cyrl-CS"/>
              </w:rPr>
              <w:t>1,3</w:t>
            </w:r>
          </w:p>
        </w:tc>
      </w:tr>
    </w:tbl>
    <w:p w14:paraId="6BDD8B6F" w14:textId="77777777" w:rsidR="004044DC" w:rsidRPr="007E770D" w:rsidRDefault="004044DC" w:rsidP="00E4657F">
      <w:pPr>
        <w:jc w:val="center"/>
        <w:rPr>
          <w:b/>
          <w:color w:val="auto"/>
          <w:lang w:val="sr-Cyrl-CS"/>
        </w:rPr>
        <w:sectPr w:rsidR="004044DC" w:rsidRPr="007E770D" w:rsidSect="00E4657F">
          <w:pgSz w:w="12242" w:h="15842" w:code="1"/>
          <w:pgMar w:top="1418" w:right="1418" w:bottom="1418" w:left="1418" w:header="720" w:footer="720" w:gutter="0"/>
          <w:cols w:space="720"/>
          <w:docGrid w:linePitch="272"/>
        </w:sectPr>
      </w:pPr>
    </w:p>
    <w:p w14:paraId="2D3B24D3" w14:textId="77777777" w:rsidR="004044DC" w:rsidRPr="007E770D" w:rsidRDefault="004044DC" w:rsidP="00E4657F">
      <w:pPr>
        <w:jc w:val="center"/>
        <w:rPr>
          <w:b/>
          <w:color w:val="auto"/>
          <w:lang w:val="sr-Cyrl-CS"/>
        </w:rPr>
      </w:pPr>
      <w:r w:rsidRPr="007E770D">
        <w:rPr>
          <w:b/>
          <w:color w:val="auto"/>
          <w:lang w:val="sr-Cyrl-CS"/>
        </w:rPr>
        <w:t>Утицај промене курса динара према корпи валута из портфолија јавног дуга централног нивоа државе на промену рација јавни дуг – БДП</w:t>
      </w:r>
    </w:p>
    <w:p w14:paraId="51008419" w14:textId="77777777" w:rsidR="004044DC" w:rsidRPr="007E770D" w:rsidRDefault="004044DC" w:rsidP="00E4657F">
      <w:pPr>
        <w:rPr>
          <w:b/>
          <w:color w:val="auto"/>
          <w:lang w:val="sr-Cyrl-CS"/>
        </w:rPr>
      </w:pPr>
      <w:r w:rsidRPr="007E770D">
        <w:rPr>
          <w:noProof/>
          <w:color w:val="auto"/>
        </w:rPr>
        <w:drawing>
          <wp:inline distT="0" distB="0" distL="0" distR="0" wp14:anchorId="2168659B" wp14:editId="3D0E9F4F">
            <wp:extent cx="2857500" cy="2438400"/>
            <wp:effectExtent l="0" t="0" r="0" b="0"/>
            <wp:docPr id="84" name="Chart 84"/>
            <wp:cNvGraphicFramePr/>
            <a:graphic xmlns:a="http://schemas.openxmlformats.org/drawingml/2006/main">
              <a:graphicData uri="http://schemas.openxmlformats.org/drawingml/2006/chart">
                <c:chart xmlns:c="http://schemas.openxmlformats.org/drawingml/2006/chart" xmlns:r="http://schemas.openxmlformats.org/officeDocument/2006/relationships" r:id="rId170"/>
              </a:graphicData>
            </a:graphic>
          </wp:inline>
        </w:drawing>
      </w:r>
    </w:p>
    <w:p w14:paraId="1BD89DEF"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На графикону је представљено кретање рација јавног дуга централног нивоа државе и БДП-а у зависности од промене курса динара према одређеној корпи валута. Приказана је основна пројекција са алтернативним сценаријима у зависности од апрецијације, односно депрецијације курса динара у распону од 10% апрецијације до 20% депрецијације динара у односу на корпу валута. Применом наведених сценарија може се видети да би се рацио за 2022. годину кретао у распону од 44,8% до 53,1%, док би за основни сценарио био на нивоу од 47,2%.</w:t>
      </w:r>
    </w:p>
    <w:p w14:paraId="602F8E0C" w14:textId="77777777" w:rsidR="004044DC" w:rsidRPr="007E770D" w:rsidRDefault="004044DC" w:rsidP="00E4657F">
      <w:pPr>
        <w:rPr>
          <w:rFonts w:cstheme="minorHAnsi"/>
          <w:bCs/>
          <w:color w:val="auto"/>
          <w:spacing w:val="-2"/>
          <w:szCs w:val="72"/>
          <w:lang w:val="sr-Cyrl-CS"/>
        </w:rPr>
      </w:pPr>
      <w:r w:rsidRPr="007E770D">
        <w:rPr>
          <w:rFonts w:cstheme="minorHAnsi"/>
          <w:bCs/>
          <w:color w:val="auto"/>
          <w:spacing w:val="-2"/>
          <w:szCs w:val="72"/>
          <w:lang w:val="sr-Cyrl-CS"/>
        </w:rPr>
        <w:t xml:space="preserve">Главни ризици за остварење Стратегије, поред горе наведених фактора који су квантификовани, су и стабилност макроекономске ситуације у Републици Србији, потребе за додатним задуживањем како би се регулисали дугови на другим нивоима власти, </w:t>
      </w:r>
      <w:r w:rsidRPr="007E770D">
        <w:rPr>
          <w:rFonts w:cstheme="minorHAnsi"/>
          <w:bCs/>
          <w:color w:val="auto"/>
          <w:spacing w:val="-2"/>
          <w:szCs w:val="72"/>
          <w:lang w:val="sr-Cyrl-CS"/>
        </w:rPr>
        <w:t>јавном сектору и финансијском сектору Републике Србије и активирање датих гаранција.</w:t>
      </w:r>
    </w:p>
    <w:p w14:paraId="1B69535B"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Важно је напоменути да смањењу јавног дуга у односу на БДП доприноси и адекватна контрола издавања гаранција и унапређење процеса приоритизације инвестиционих пројеката, који се финансирају из кредитних линија мултилатералних и билатералних кредитора. Почев од 2015. године, гаранције се издају само за пројектне (инвестиционе) зајмове, односно прекинуто је издавање гаранција за зајмове за текућу ликвидност јавним предузећима, што је у претходне три године смањило стање гарантованог јавног дуга.</w:t>
      </w:r>
    </w:p>
    <w:p w14:paraId="32AF7A3D" w14:textId="77777777" w:rsidR="004044DC" w:rsidRPr="007E770D" w:rsidRDefault="004044DC" w:rsidP="00E4657F">
      <w:pPr>
        <w:rPr>
          <w:b/>
          <w:color w:val="auto"/>
          <w:sz w:val="22"/>
          <w:lang w:val="sr-Cyrl-CS"/>
        </w:rPr>
      </w:pPr>
      <w:r w:rsidRPr="007E770D">
        <w:rPr>
          <w:b/>
          <w:color w:val="auto"/>
          <w:sz w:val="22"/>
          <w:lang w:val="sr-Cyrl-CS"/>
        </w:rPr>
        <w:t>Дугорочни стратешки оквир за управљање јавним дугом</w:t>
      </w:r>
    </w:p>
    <w:p w14:paraId="10F14823"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Основни стратешки циљеви којима је потребно тежити у наредном дугорочном периоду, како би се минимизирали ризици повећања задужености и трошкова сервисирања јавног дуга су:</w:t>
      </w:r>
    </w:p>
    <w:p w14:paraId="13690F41" w14:textId="77777777" w:rsidR="004044DC" w:rsidRPr="007E770D" w:rsidRDefault="004044DC" w:rsidP="00E4657F">
      <w:pPr>
        <w:numPr>
          <w:ilvl w:val="0"/>
          <w:numId w:val="13"/>
        </w:numPr>
        <w:ind w:left="142" w:hanging="142"/>
        <w:contextualSpacing/>
        <w:rPr>
          <w:rFonts w:cstheme="minorHAnsi"/>
          <w:bCs/>
          <w:color w:val="auto"/>
          <w:szCs w:val="72"/>
          <w:lang w:val="sr-Cyrl-CS"/>
        </w:rPr>
      </w:pPr>
      <w:r w:rsidRPr="007E770D">
        <w:rPr>
          <w:rFonts w:cstheme="minorHAnsi"/>
          <w:bCs/>
          <w:color w:val="auto"/>
          <w:szCs w:val="72"/>
          <w:lang w:val="sr-Cyrl-CS"/>
        </w:rPr>
        <w:t>да учешће дуга деноминованог у динарима износи најмање 25% укупног јавног дуга на средњи рок;</w:t>
      </w:r>
    </w:p>
    <w:p w14:paraId="407AEE5B" w14:textId="77777777" w:rsidR="004044DC" w:rsidRPr="007E770D" w:rsidRDefault="004044DC" w:rsidP="00E4657F">
      <w:pPr>
        <w:numPr>
          <w:ilvl w:val="0"/>
          <w:numId w:val="13"/>
        </w:numPr>
        <w:ind w:left="142" w:hanging="142"/>
        <w:contextualSpacing/>
        <w:rPr>
          <w:rFonts w:cstheme="minorHAnsi"/>
          <w:bCs/>
          <w:color w:val="auto"/>
          <w:szCs w:val="72"/>
          <w:lang w:val="sr-Cyrl-CS"/>
        </w:rPr>
      </w:pPr>
      <w:r w:rsidRPr="007E770D">
        <w:rPr>
          <w:rFonts w:cstheme="minorHAnsi"/>
          <w:bCs/>
          <w:color w:val="auto"/>
          <w:szCs w:val="72"/>
          <w:lang w:val="sr-Cyrl-CS"/>
        </w:rPr>
        <w:t>да учешће дуга деноминованог у еврима у јавном дугу износи најмање 60% дуга у ино-валути, укључујући будућа задуживања и трансакције;</w:t>
      </w:r>
    </w:p>
    <w:p w14:paraId="4716E64F" w14:textId="77777777" w:rsidR="004044DC" w:rsidRPr="007E770D" w:rsidRDefault="004044DC" w:rsidP="00E4657F">
      <w:pPr>
        <w:numPr>
          <w:ilvl w:val="0"/>
          <w:numId w:val="13"/>
        </w:numPr>
        <w:ind w:left="142" w:hanging="142"/>
        <w:contextualSpacing/>
        <w:rPr>
          <w:rFonts w:cstheme="minorHAnsi"/>
          <w:bCs/>
          <w:color w:val="auto"/>
          <w:szCs w:val="72"/>
          <w:lang w:val="sr-Cyrl-CS"/>
        </w:rPr>
      </w:pPr>
      <w:r w:rsidRPr="007E770D">
        <w:rPr>
          <w:rFonts w:cstheme="minorHAnsi"/>
          <w:bCs/>
          <w:color w:val="auto"/>
          <w:szCs w:val="72"/>
          <w:lang w:val="sr-Cyrl-CS"/>
        </w:rPr>
        <w:t>да учешће дуга са варијабилном каматном стопом износи испод 20% у средњорочном интервалу;</w:t>
      </w:r>
    </w:p>
    <w:p w14:paraId="548E48F4" w14:textId="77777777" w:rsidR="004044DC" w:rsidRPr="007E770D" w:rsidRDefault="004044DC" w:rsidP="00E4657F">
      <w:pPr>
        <w:numPr>
          <w:ilvl w:val="0"/>
          <w:numId w:val="13"/>
        </w:numPr>
        <w:ind w:left="142" w:hanging="142"/>
        <w:contextualSpacing/>
        <w:rPr>
          <w:rFonts w:cstheme="minorHAnsi"/>
          <w:bCs/>
          <w:color w:val="auto"/>
          <w:szCs w:val="72"/>
          <w:lang w:val="sr-Cyrl-CS"/>
        </w:rPr>
      </w:pPr>
      <w:r w:rsidRPr="007E770D">
        <w:rPr>
          <w:rFonts w:cstheme="minorHAnsi"/>
          <w:bCs/>
          <w:color w:val="auto"/>
          <w:szCs w:val="72"/>
          <w:lang w:val="sr-Cyrl-CS"/>
        </w:rPr>
        <w:t>да просечно време до промене каматне стопе (АТR) буде одржавано на нивоу од минимум 4,5 година, у складу са горе наведеном мером постепеног смањивања учешћа дуга са варијабилним каматним стопама;</w:t>
      </w:r>
    </w:p>
    <w:p w14:paraId="719193D3" w14:textId="77777777" w:rsidR="004044DC" w:rsidRPr="007E770D" w:rsidRDefault="004044DC" w:rsidP="00E4657F">
      <w:pPr>
        <w:numPr>
          <w:ilvl w:val="0"/>
          <w:numId w:val="13"/>
        </w:numPr>
        <w:ind w:left="142" w:hanging="142"/>
        <w:contextualSpacing/>
        <w:rPr>
          <w:rFonts w:cstheme="minorHAnsi"/>
          <w:bCs/>
          <w:color w:val="auto"/>
          <w:szCs w:val="72"/>
          <w:lang w:val="sr-Cyrl-CS"/>
        </w:rPr>
      </w:pPr>
      <w:r w:rsidRPr="007E770D">
        <w:rPr>
          <w:rFonts w:cstheme="minorHAnsi"/>
          <w:bCs/>
          <w:color w:val="auto"/>
          <w:szCs w:val="72"/>
          <w:lang w:val="sr-Cyrl-CS"/>
        </w:rPr>
        <w:lastRenderedPageBreak/>
        <w:t>да просечна пондерисана каматна стопа (WAIR) на унутрашњи јавни дуг не прелази 6,00%;</w:t>
      </w:r>
    </w:p>
    <w:p w14:paraId="78E10806" w14:textId="77777777" w:rsidR="004044DC" w:rsidRPr="007E770D" w:rsidRDefault="004044DC" w:rsidP="00E4657F">
      <w:pPr>
        <w:numPr>
          <w:ilvl w:val="0"/>
          <w:numId w:val="13"/>
        </w:numPr>
        <w:ind w:left="142" w:hanging="142"/>
        <w:contextualSpacing/>
        <w:rPr>
          <w:rFonts w:cstheme="minorHAnsi"/>
          <w:bCs/>
          <w:color w:val="auto"/>
          <w:szCs w:val="72"/>
          <w:lang w:val="sr-Cyrl-CS"/>
        </w:rPr>
      </w:pPr>
      <w:r w:rsidRPr="007E770D">
        <w:rPr>
          <w:rFonts w:cstheme="minorHAnsi"/>
          <w:bCs/>
          <w:color w:val="auto"/>
          <w:szCs w:val="72"/>
          <w:lang w:val="sr-Cyrl-CS"/>
        </w:rPr>
        <w:t>да учешће краткорочног дуга (чије је доспеће до годину дана) износи до 15% укупног јавног дуга;</w:t>
      </w:r>
    </w:p>
    <w:p w14:paraId="6BFDD07A" w14:textId="77777777" w:rsidR="004044DC" w:rsidRPr="007E770D" w:rsidRDefault="004044DC" w:rsidP="00E4657F">
      <w:pPr>
        <w:numPr>
          <w:ilvl w:val="0"/>
          <w:numId w:val="13"/>
        </w:numPr>
        <w:ind w:left="142" w:hanging="142"/>
        <w:contextualSpacing/>
        <w:rPr>
          <w:rFonts w:cstheme="minorHAnsi"/>
          <w:bCs/>
          <w:color w:val="auto"/>
          <w:szCs w:val="72"/>
          <w:lang w:val="sr-Cyrl-CS"/>
        </w:rPr>
      </w:pPr>
      <w:r w:rsidRPr="007E770D">
        <w:rPr>
          <w:rFonts w:cstheme="minorHAnsi"/>
          <w:bCs/>
          <w:color w:val="auto"/>
          <w:szCs w:val="72"/>
          <w:lang w:val="sr-Cyrl-CS"/>
        </w:rPr>
        <w:t>да просечно време до доспећа (АТМ) унутрашњег дуга буде на нивоу од најмање 4 године на средњи рок;</w:t>
      </w:r>
    </w:p>
    <w:p w14:paraId="0333D3BB" w14:textId="77777777" w:rsidR="004044DC" w:rsidRPr="007E770D" w:rsidRDefault="004044DC" w:rsidP="00E4657F">
      <w:pPr>
        <w:numPr>
          <w:ilvl w:val="0"/>
          <w:numId w:val="13"/>
        </w:numPr>
        <w:ind w:left="142" w:hanging="142"/>
        <w:contextualSpacing/>
        <w:rPr>
          <w:rFonts w:cstheme="minorHAnsi"/>
          <w:bCs/>
          <w:color w:val="auto"/>
          <w:szCs w:val="72"/>
          <w:lang w:val="sr-Cyrl-CS"/>
        </w:rPr>
      </w:pPr>
      <w:r w:rsidRPr="007E770D">
        <w:rPr>
          <w:rFonts w:cstheme="minorHAnsi"/>
          <w:bCs/>
          <w:color w:val="auto"/>
          <w:szCs w:val="72"/>
          <w:lang w:val="sr-Cyrl-CS"/>
        </w:rPr>
        <w:t>да се просечно време до доспећа (АТМ) спољног дуга одржава на нивоу од 6 ± 0,5 година у истом временском хоризонту.</w:t>
      </w:r>
    </w:p>
    <w:p w14:paraId="764E66B3" w14:textId="77777777" w:rsidR="004044DC" w:rsidRPr="007E770D" w:rsidRDefault="004044DC" w:rsidP="00E4657F">
      <w:pPr>
        <w:contextualSpacing/>
        <w:rPr>
          <w:rFonts w:cstheme="minorHAnsi"/>
          <w:bCs/>
          <w:color w:val="auto"/>
          <w:szCs w:val="72"/>
          <w:lang w:val="sr-Cyrl-CS"/>
        </w:rPr>
      </w:pPr>
    </w:p>
    <w:p w14:paraId="38C6E2F5" w14:textId="77777777" w:rsidR="004044DC" w:rsidRPr="007E770D" w:rsidRDefault="004044DC" w:rsidP="002E7E1E">
      <w:pPr>
        <w:spacing w:after="40"/>
        <w:jc w:val="center"/>
        <w:rPr>
          <w:b/>
          <w:color w:val="auto"/>
          <w:spacing w:val="-2"/>
          <w:lang w:val="sr-Cyrl-CS"/>
        </w:rPr>
      </w:pPr>
      <w:r w:rsidRPr="007E770D">
        <w:rPr>
          <w:b/>
          <w:color w:val="auto"/>
          <w:spacing w:val="-2"/>
          <w:lang w:val="sr-Cyrl-CS"/>
        </w:rPr>
        <w:t xml:space="preserve">Кретање приноса до доспећа динарских </w:t>
      </w:r>
      <w:r w:rsidRPr="007E770D">
        <w:rPr>
          <w:rFonts w:cstheme="minorHAnsi"/>
          <w:b/>
          <w:bCs/>
          <w:color w:val="auto"/>
          <w:spacing w:val="-2"/>
          <w:szCs w:val="72"/>
          <w:lang w:val="sr-Cyrl-CS"/>
        </w:rPr>
        <w:t>„</w:t>
      </w:r>
      <w:r w:rsidRPr="007E770D">
        <w:rPr>
          <w:b/>
          <w:color w:val="auto"/>
          <w:spacing w:val="-2"/>
          <w:lang w:val="sr-Cyrl-CS"/>
        </w:rPr>
        <w:t>бенчмаркˮ емисија на секундарном трговању, %</w:t>
      </w:r>
    </w:p>
    <w:p w14:paraId="40FD9A36" w14:textId="6767F458" w:rsidR="004044DC" w:rsidRPr="007E770D" w:rsidRDefault="002E7E1E" w:rsidP="00E4657F">
      <w:pPr>
        <w:rPr>
          <w:b/>
          <w:color w:val="auto"/>
          <w:lang w:val="sr-Cyrl-CS"/>
        </w:rPr>
      </w:pPr>
      <w:r w:rsidRPr="007E770D">
        <w:rPr>
          <w:noProof/>
          <w:color w:val="auto"/>
        </w:rPr>
        <w:drawing>
          <wp:inline distT="0" distB="0" distL="0" distR="0" wp14:anchorId="1A15B59A" wp14:editId="762FABC8">
            <wp:extent cx="2757805" cy="2419350"/>
            <wp:effectExtent l="0" t="0" r="4445" b="0"/>
            <wp:docPr id="87" name="Chart 87"/>
            <wp:cNvGraphicFramePr/>
            <a:graphic xmlns:a="http://schemas.openxmlformats.org/drawingml/2006/main">
              <a:graphicData uri="http://schemas.openxmlformats.org/drawingml/2006/chart">
                <c:chart xmlns:c="http://schemas.openxmlformats.org/drawingml/2006/chart" xmlns:r="http://schemas.openxmlformats.org/officeDocument/2006/relationships" r:id="rId171"/>
              </a:graphicData>
            </a:graphic>
          </wp:inline>
        </w:drawing>
      </w:r>
    </w:p>
    <w:p w14:paraId="5C11CED9" w14:textId="77777777" w:rsidR="004044DC" w:rsidRPr="007E770D" w:rsidRDefault="004044DC" w:rsidP="00E4657F">
      <w:pPr>
        <w:spacing w:after="0"/>
        <w:rPr>
          <w:b/>
          <w:bCs/>
          <w:color w:val="auto"/>
          <w:sz w:val="16"/>
          <w:lang w:val="sr-Cyrl-CS"/>
        </w:rPr>
      </w:pPr>
    </w:p>
    <w:p w14:paraId="323954BE" w14:textId="77777777" w:rsidR="004044DC" w:rsidRPr="007E770D" w:rsidRDefault="004044DC" w:rsidP="002E7E1E">
      <w:pPr>
        <w:spacing w:after="40"/>
        <w:jc w:val="center"/>
        <w:rPr>
          <w:b/>
          <w:bCs/>
          <w:color w:val="auto"/>
          <w:lang w:val="sr-Cyrl-CS"/>
        </w:rPr>
      </w:pPr>
      <w:r w:rsidRPr="007E770D">
        <w:rPr>
          <w:b/>
          <w:bCs/>
          <w:color w:val="auto"/>
          <w:lang w:val="sr-Cyrl-CS"/>
        </w:rPr>
        <w:t xml:space="preserve">Просечно време до доспећа (АТМ) државних хартија од вредности емитованих на домаћем финансијском тржишту у периоду </w:t>
      </w:r>
      <w:r w:rsidRPr="007E770D">
        <w:rPr>
          <w:b/>
          <w:bCs/>
          <w:color w:val="auto"/>
          <w:lang w:val="sr-Cyrl-CS"/>
        </w:rPr>
        <w:br w:type="textWrapping" w:clear="all"/>
        <w:t>31. август 2014–</w:t>
      </w:r>
      <w:r w:rsidRPr="007E770D">
        <w:rPr>
          <w:b/>
          <w:color w:val="auto"/>
          <w:spacing w:val="-2"/>
          <w:lang w:val="sr-Cyrl-CS"/>
        </w:rPr>
        <w:t>31. август 2019. године</w:t>
      </w:r>
    </w:p>
    <w:p w14:paraId="5C74C4CE" w14:textId="3621AEB3" w:rsidR="004044DC" w:rsidRPr="007E770D" w:rsidRDefault="002E7E1E" w:rsidP="002E7E1E">
      <w:pPr>
        <w:spacing w:after="240"/>
        <w:jc w:val="center"/>
        <w:rPr>
          <w:b/>
          <w:color w:val="auto"/>
          <w:lang w:val="sr-Cyrl-CS"/>
        </w:rPr>
      </w:pPr>
      <w:r w:rsidRPr="007E770D">
        <w:rPr>
          <w:noProof/>
          <w:color w:val="auto"/>
        </w:rPr>
        <w:drawing>
          <wp:inline distT="0" distB="0" distL="0" distR="0" wp14:anchorId="4537E3FE" wp14:editId="2B411A1B">
            <wp:extent cx="2962275" cy="2343150"/>
            <wp:effectExtent l="0" t="0" r="0" b="0"/>
            <wp:docPr id="74" name="Chart 74"/>
            <wp:cNvGraphicFramePr/>
            <a:graphic xmlns:a="http://schemas.openxmlformats.org/drawingml/2006/main">
              <a:graphicData uri="http://schemas.openxmlformats.org/drawingml/2006/chart">
                <c:chart xmlns:c="http://schemas.openxmlformats.org/drawingml/2006/chart" xmlns:r="http://schemas.openxmlformats.org/officeDocument/2006/relationships" r:id="rId172"/>
              </a:graphicData>
            </a:graphic>
          </wp:inline>
        </w:drawing>
      </w:r>
    </w:p>
    <w:p w14:paraId="06AEED21" w14:textId="1539CCCE" w:rsidR="004044DC" w:rsidRPr="007E770D" w:rsidRDefault="002E7E1E" w:rsidP="00E4657F">
      <w:pPr>
        <w:rPr>
          <w:b/>
          <w:color w:val="auto"/>
          <w:sz w:val="22"/>
          <w:lang w:val="sr-Cyrl-CS"/>
        </w:rPr>
      </w:pPr>
      <w:r w:rsidRPr="007E770D">
        <w:rPr>
          <w:b/>
          <w:color w:val="auto"/>
          <w:sz w:val="22"/>
          <w:lang w:val="sr-Cyrl-CS"/>
        </w:rPr>
        <w:br w:type="column"/>
      </w:r>
      <w:r w:rsidR="004044DC" w:rsidRPr="007E770D">
        <w:rPr>
          <w:b/>
          <w:color w:val="auto"/>
          <w:sz w:val="22"/>
          <w:lang w:val="sr-Cyrl-CS"/>
        </w:rPr>
        <w:t>Мере за унапређење тржишта динарских хартија од вредности у периоду 2019–2022. године</w:t>
      </w:r>
    </w:p>
    <w:p w14:paraId="7FCBB9BD"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Тржиште државних хартија од вредности, у периоду од 2012. године до августа 2019. године, карактерише испуњавање зацртаних стратешких циљева, првенствено у погледу инструмената финансирања, као и у развоју и одржавању стабилности диверсификоване базе инвеститора. Преласком са краткорочних извора финансирања који се везују за период до 2010. године, на средњорочне и дугорочне инструменте финансирања, уз константно смањење трошкова задуживања, утиче се на смањење ризика рефинансирања, као једног од примарних ризика у процесу управљања јавним дугом. На крају 2013. године учешће дугорочних динарских инструмената по оригиналној рочности од три и више година износило је 38,3% у стању динарских хартија од вредности, док је на крају августа 2019. године износило 98,5%.</w:t>
      </w:r>
    </w:p>
    <w:p w14:paraId="45A1950D"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Транспарентност у раду и извештавању, као и присутност на међународном тржишту капитала, утиче на информисаност, а тиме и на заинтересованост нерезидената да инвестирају капитал у дужничке инструменте, првенствено у државне динарске дугорочне хартије од вредности, чиме се остварује раст стабилне базе инвеститора. Услед успешне реализације „бенчмаркˮ емисија током 2014. и 2015. године, са истом праксом је настављено током 2016. године. У фебруару и јулу 2016. године емитоване су „бенчмаркˮ трогодишња и седмогодишња обвезница обима емисије по 110,0 млрд динара. У априлу 2017. године емитована је трогодишња „бенчмаркˮ обвезница обима емисије у износу од 110,0 млрд динара. У јануару и фебруару 2018. године емитоване су „бенчмаркˮ петогодишња и десетогодишња обвезница обима емисије по 110,0 млрд динара.</w:t>
      </w:r>
      <w:r w:rsidRPr="007E770D">
        <w:rPr>
          <w:color w:val="auto"/>
          <w:lang w:val="sr-Cyrl-CS"/>
        </w:rPr>
        <w:t xml:space="preserve"> </w:t>
      </w:r>
      <w:r w:rsidRPr="007E770D">
        <w:rPr>
          <w:rFonts w:cstheme="minorHAnsi"/>
          <w:bCs/>
          <w:color w:val="auto"/>
          <w:szCs w:val="72"/>
          <w:lang w:val="sr-Cyrl-CS"/>
        </w:rPr>
        <w:t xml:space="preserve">У јануару 2019. године емитоване су „бенчмаркˮ трогодишња и седмогодишња обвезница обима емисије 100,0 и 150,0 млрд динара, респективно. У првих осам месеци 2019. године реализовано је око 80% обима емисије седмогодишње „бенчмаркˮ обвезнице, са купонском стопом у износу од 4,50% и оствареном стопом приноса у износу од 3,50%, </w:t>
      </w:r>
      <w:r w:rsidRPr="007E770D">
        <w:rPr>
          <w:rFonts w:cstheme="minorHAnsi"/>
          <w:bCs/>
          <w:color w:val="auto"/>
          <w:szCs w:val="72"/>
          <w:lang w:val="sr-Cyrl-CS"/>
        </w:rPr>
        <w:lastRenderedPageBreak/>
        <w:t>на аукцији одржаној у августу 2019. године . Овим емисијама знатно је повећан обим секундарног трговања ових инструмената што је допринело и паду извршних стопа приноса на реотварањима поменутих емисија. „Бенчмаркˮ емисијама повећано је и учешће страних инвеститора у динарским хартијама од вредности, које је на крају августа 2019. године износило 31,3%. J.P. Morgan прати развој и реализацију седмогодишње „бенчмаркˮ обвезнице, емитоване у јануару 2019. године, која је потенцијална за укључење у J.P. Morgan индекс.</w:t>
      </w:r>
    </w:p>
    <w:p w14:paraId="62DFE445"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У циљу даљег развоја секундарног тржишта државних хартија од вредности од 12. новембра 2015. године омогућено је трговање дугорочним државним хартијама од вредности на Београдској берзи. У периоду за који се доноси ова Стратегија очекује се унапређење ефикасности примарног тржишта кроз концепт примарних дилера, као механизма продаје државних хартија од вредности који директно, у дужем року, доприноси смањењу трошкова задуживања, као и смањењу ризика рефинансирања. Увођење система продаје државних хартија од вредности на домаћем финансијском тржишту преко примарних дилера, пружа добру основу за унапређење тржишне ефикасности секундарног тржишта државних хартија од вредности. Развојем секундарног тржишта, временом ће се успоставити концепт тржишне ефикасности у процесу вредновања државних хартија од вредности. Увођењем „бенчмаркˮ емисија обвезница остварен је позитиван ефекат на обим и континуитет секундарног трговања, као и на унапређење тржишне ефикасности у поступку продаје државних хартија на примарном тржишту.</w:t>
      </w:r>
    </w:p>
    <w:p w14:paraId="42450F05" w14:textId="77777777" w:rsidR="004044DC" w:rsidRPr="007E770D" w:rsidRDefault="004044DC" w:rsidP="00E4657F">
      <w:pPr>
        <w:rPr>
          <w:rFonts w:cstheme="minorHAnsi"/>
          <w:bCs/>
          <w:color w:val="auto"/>
          <w:szCs w:val="72"/>
          <w:lang w:val="sr-Cyrl-CS"/>
        </w:rPr>
      </w:pPr>
      <w:r w:rsidRPr="007E770D">
        <w:rPr>
          <w:rFonts w:cstheme="minorHAnsi"/>
          <w:bCs/>
          <w:color w:val="auto"/>
          <w:szCs w:val="72"/>
          <w:lang w:val="sr-Cyrl-CS"/>
        </w:rPr>
        <w:t>Као водеће факторе који утичу на криву приноса државних хартија од вредности потребно је издвојити фискални резултат, очекивану стопу инфлације и девизни курс. Као посебну групу фактора потребно је издвојити макроекономска кретања и очекивања, као и промене на међународном финансијском тржишту, које се рефлектују на премију ризика земље.</w:t>
      </w:r>
    </w:p>
    <w:p w14:paraId="6E5E187E" w14:textId="77777777" w:rsidR="004044DC" w:rsidRPr="007E770D" w:rsidRDefault="004044DC" w:rsidP="00E4657F">
      <w:pPr>
        <w:spacing w:after="120"/>
        <w:rPr>
          <w:rFonts w:cstheme="minorHAnsi"/>
          <w:bCs/>
          <w:color w:val="auto"/>
          <w:szCs w:val="72"/>
          <w:lang w:val="sr-Cyrl-CS"/>
        </w:rPr>
      </w:pPr>
      <w:r w:rsidRPr="007E770D">
        <w:rPr>
          <w:rFonts w:cstheme="minorHAnsi"/>
          <w:bCs/>
          <w:color w:val="auto"/>
          <w:szCs w:val="72"/>
          <w:lang w:val="sr-Cyrl-CS"/>
        </w:rPr>
        <w:t xml:space="preserve">На крају 2012. године просечна рочност динарских хартија од вредности износила je 394 дана (1,1 годину), на крају 2013. године 469 дана (1,3 </w:t>
      </w:r>
      <w:r w:rsidRPr="007E770D">
        <w:rPr>
          <w:rFonts w:cstheme="minorHAnsi"/>
          <w:bCs/>
          <w:color w:val="auto"/>
          <w:szCs w:val="72"/>
          <w:lang w:val="sr-Cyrl-CS"/>
        </w:rPr>
        <w:t>године), на крају 2014. године 645 дана (1,8 годину), на крају 2015. године 749 дана (2,1 годину), на крају 2016. године 789 дана (2,2 године), на крају 2017. године 864 дана (2,4 године), на крају 2018. године 1.188 дана (3,3 године), док је на дан 31. августа 2019. године износила 1.433 дана (3,9 година). Развој домаћег тржишта државних хартија од вредности биће од стране Републике Србије потпомогнут следећим мерама:</w:t>
      </w:r>
    </w:p>
    <w:p w14:paraId="2ADE8645" w14:textId="77777777" w:rsidR="004044DC" w:rsidRPr="007E770D" w:rsidRDefault="004044DC" w:rsidP="00E4657F">
      <w:pPr>
        <w:numPr>
          <w:ilvl w:val="0"/>
          <w:numId w:val="32"/>
        </w:numPr>
        <w:spacing w:after="60"/>
        <w:ind w:left="0" w:hanging="142"/>
        <w:rPr>
          <w:rFonts w:cstheme="minorHAnsi"/>
          <w:bCs/>
          <w:color w:val="auto"/>
          <w:szCs w:val="72"/>
          <w:lang w:val="sr-Cyrl-CS"/>
        </w:rPr>
      </w:pPr>
      <w:r w:rsidRPr="007E770D">
        <w:rPr>
          <w:rFonts w:cstheme="minorHAnsi"/>
          <w:bCs/>
          <w:color w:val="auto"/>
          <w:szCs w:val="72"/>
          <w:lang w:val="sr-Cyrl-CS"/>
        </w:rPr>
        <w:t>Укључивањем државних хартија од вредности деноминованих у домаћој валути у неки од глобалних индекса државних обвезница земаља у успону (Local Currency Government Bond Emerging Market Index). Укључивање обвезница Републике Србије у неки од глобалних индекса значајно би повећало базу инвеститора и поспешило секундарно трговање, што би допринело даљем смањењу трошкова задуживања путем емисија динарских државних хартија од вредности;</w:t>
      </w:r>
    </w:p>
    <w:p w14:paraId="35D1DF81" w14:textId="77777777" w:rsidR="004044DC" w:rsidRPr="007E770D" w:rsidRDefault="004044DC" w:rsidP="00E4657F">
      <w:pPr>
        <w:numPr>
          <w:ilvl w:val="0"/>
          <w:numId w:val="32"/>
        </w:numPr>
        <w:spacing w:after="60"/>
        <w:ind w:left="0" w:hanging="142"/>
        <w:rPr>
          <w:rFonts w:cstheme="minorHAnsi"/>
          <w:bCs/>
          <w:color w:val="auto"/>
          <w:szCs w:val="72"/>
          <w:lang w:val="sr-Cyrl-CS"/>
        </w:rPr>
      </w:pPr>
      <w:r w:rsidRPr="007E770D">
        <w:rPr>
          <w:rFonts w:cstheme="minorHAnsi"/>
          <w:bCs/>
          <w:color w:val="auto"/>
          <w:szCs w:val="72"/>
          <w:lang w:val="sr-Cyrl-CS"/>
        </w:rPr>
        <w:t>У циљу креирања што веће базе инвеститора и развоја секундарног тржишта хартија од вредности емитованих на домаћем тржишту, креиран је једнак порески третман домаћих и страних инвеститора крајем 2011. године, и у наредном периоду тежиће се уклањању свих евентуалних препрека за слободан проток капитала. У току су припреме правних и техничких оквира да се омогући клиринг и салдирање трансакција са домаћим хартијама од вредности преко међународног клиринг система;</w:t>
      </w:r>
    </w:p>
    <w:p w14:paraId="4F783AEB" w14:textId="0D3A2026" w:rsidR="004044DC" w:rsidRPr="007E770D" w:rsidRDefault="004044DC" w:rsidP="00E4657F">
      <w:pPr>
        <w:numPr>
          <w:ilvl w:val="0"/>
          <w:numId w:val="32"/>
        </w:numPr>
        <w:spacing w:after="60"/>
        <w:ind w:left="0" w:hanging="142"/>
        <w:rPr>
          <w:rFonts w:cstheme="minorHAnsi"/>
          <w:bCs/>
          <w:color w:val="auto"/>
          <w:spacing w:val="-2"/>
          <w:szCs w:val="72"/>
          <w:lang w:val="sr-Cyrl-CS"/>
        </w:rPr>
      </w:pPr>
      <w:r w:rsidRPr="007E770D">
        <w:rPr>
          <w:rFonts w:cstheme="minorHAnsi"/>
          <w:bCs/>
          <w:color w:val="auto"/>
          <w:spacing w:val="-2"/>
          <w:szCs w:val="72"/>
          <w:lang w:val="sr-Cyrl-CS"/>
        </w:rPr>
        <w:t xml:space="preserve">У наредном периоду радиће се активно на увођењу система примарних дилера. Наиме, Законом о изменама и допунама </w:t>
      </w:r>
      <w:r w:rsidR="00F31747" w:rsidRPr="007E770D">
        <w:rPr>
          <w:rFonts w:cstheme="minorHAnsi"/>
          <w:bCs/>
          <w:color w:val="auto"/>
          <w:spacing w:val="-2"/>
          <w:szCs w:val="72"/>
          <w:lang w:val="sr-Cyrl-CS"/>
        </w:rPr>
        <w:t xml:space="preserve">Закона </w:t>
      </w:r>
      <w:r w:rsidRPr="007E770D">
        <w:rPr>
          <w:rFonts w:cstheme="minorHAnsi"/>
          <w:bCs/>
          <w:color w:val="auto"/>
          <w:spacing w:val="-2"/>
          <w:szCs w:val="72"/>
          <w:lang w:val="sr-Cyrl-CS"/>
        </w:rPr>
        <w:t>о јавном дугу из децембра 2018. године, предвиђено је увођење примарних дилера на домаће тржиште капитала као подстицај ликвидности секундарног тржишта државних хартија од вредности и смањење ризика рефинансирања дуга. Наведеним изменама Закона предвиђа се и пословање финансијским дериватима којим би се обављале трансакције ради управљања ризиком, укључујући и смањивање или елиминисање ризика од промене курса, каматних стопа као и других ризика.</w:t>
      </w:r>
    </w:p>
    <w:p w14:paraId="78F421AD" w14:textId="6E192F9A" w:rsidR="00AB0E2B" w:rsidRPr="007E770D" w:rsidRDefault="00AB0E2B" w:rsidP="00AB0E2B">
      <w:pPr>
        <w:spacing w:after="60"/>
        <w:rPr>
          <w:rFonts w:cstheme="minorHAnsi"/>
          <w:bCs/>
          <w:color w:val="auto"/>
          <w:spacing w:val="-2"/>
          <w:szCs w:val="72"/>
          <w:lang w:val="sr-Cyrl-CS"/>
        </w:rPr>
      </w:pPr>
    </w:p>
    <w:p w14:paraId="574429B2" w14:textId="01058BC5" w:rsidR="00AB0E2B" w:rsidRPr="007E770D" w:rsidRDefault="00AB0E2B" w:rsidP="00AB0E2B">
      <w:pPr>
        <w:spacing w:after="60"/>
        <w:rPr>
          <w:rFonts w:cstheme="minorHAnsi"/>
          <w:bCs/>
          <w:color w:val="auto"/>
          <w:spacing w:val="-2"/>
          <w:szCs w:val="72"/>
          <w:lang w:val="sr-Cyrl-CS"/>
        </w:rPr>
      </w:pPr>
    </w:p>
    <w:p w14:paraId="4CCFC514" w14:textId="77777777" w:rsidR="00AB0E2B" w:rsidRPr="007E770D" w:rsidRDefault="00AB0E2B" w:rsidP="00AB0E2B">
      <w:pPr>
        <w:spacing w:after="60"/>
        <w:rPr>
          <w:rFonts w:cstheme="minorHAnsi"/>
          <w:bCs/>
          <w:color w:val="auto"/>
          <w:spacing w:val="-2"/>
          <w:szCs w:val="72"/>
          <w:lang w:val="sr-Cyrl-CS"/>
        </w:rPr>
      </w:pPr>
    </w:p>
    <w:p w14:paraId="5BE1B1A3" w14:textId="77777777" w:rsidR="00427829" w:rsidRPr="007E770D" w:rsidRDefault="00427829" w:rsidP="00E4657F">
      <w:pPr>
        <w:spacing w:after="60"/>
        <w:rPr>
          <w:rFonts w:cstheme="minorHAnsi"/>
          <w:bCs/>
          <w:color w:val="auto"/>
          <w:spacing w:val="-2"/>
          <w:szCs w:val="72"/>
          <w:lang w:val="sr-Cyrl-CS"/>
        </w:rPr>
        <w:sectPr w:rsidR="00427829" w:rsidRPr="007E770D" w:rsidSect="00E4657F">
          <w:type w:val="continuous"/>
          <w:pgSz w:w="12242" w:h="15842" w:code="1"/>
          <w:pgMar w:top="1418" w:right="1418" w:bottom="1418" w:left="1418" w:header="720" w:footer="720" w:gutter="0"/>
          <w:cols w:num="2" w:space="720"/>
          <w:docGrid w:linePitch="272"/>
        </w:sectPr>
      </w:pPr>
    </w:p>
    <w:p w14:paraId="52792828" w14:textId="0E06B675" w:rsidR="004044DC" w:rsidRPr="007E770D" w:rsidRDefault="004044DC" w:rsidP="00E4657F">
      <w:pPr>
        <w:spacing w:after="60"/>
        <w:rPr>
          <w:rFonts w:cstheme="minorHAnsi"/>
          <w:bCs/>
          <w:color w:val="auto"/>
          <w:spacing w:val="-2"/>
          <w:szCs w:val="72"/>
          <w:lang w:val="sr-Cyrl-CS"/>
        </w:rPr>
      </w:pPr>
    </w:p>
    <w:p w14:paraId="32925290" w14:textId="77777777" w:rsidR="00427829" w:rsidRPr="007E770D" w:rsidRDefault="00427829" w:rsidP="00E4657F">
      <w:pPr>
        <w:spacing w:after="60"/>
        <w:rPr>
          <w:rFonts w:cstheme="minorHAnsi"/>
          <w:bCs/>
          <w:color w:val="auto"/>
          <w:spacing w:val="-2"/>
          <w:szCs w:val="72"/>
          <w:lang w:val="sr-Cyrl-CS"/>
        </w:rPr>
      </w:pPr>
    </w:p>
    <w:p w14:paraId="7C7CD010" w14:textId="77777777" w:rsidR="00427829" w:rsidRPr="007E770D" w:rsidRDefault="00427829" w:rsidP="00427829">
      <w:pPr>
        <w:keepNext/>
        <w:keepLines/>
        <w:spacing w:after="0" w:line="240" w:lineRule="auto"/>
        <w:jc w:val="center"/>
        <w:outlineLvl w:val="0"/>
        <w:rPr>
          <w:rFonts w:cstheme="minorHAnsi"/>
          <w:bCs/>
          <w:color w:val="auto"/>
          <w:szCs w:val="72"/>
          <w:lang w:val="sr-Cyrl-CS"/>
        </w:rPr>
      </w:pPr>
      <w:bookmarkStart w:id="31" w:name="_Toc529801854"/>
      <w:bookmarkStart w:id="32" w:name="_Toc23342473"/>
      <w:r w:rsidRPr="007E770D">
        <w:rPr>
          <w:rFonts w:eastAsiaTheme="majorEastAsia" w:cstheme="minorHAnsi"/>
          <w:b/>
          <w:color w:val="auto"/>
          <w:sz w:val="26"/>
          <w:szCs w:val="26"/>
          <w:lang w:val="sr-Cyrl-CS"/>
        </w:rPr>
        <w:t>IV. ЗАВРШНЕ ОДРЕДБЕ</w:t>
      </w:r>
      <w:bookmarkEnd w:id="31"/>
      <w:bookmarkEnd w:id="32"/>
    </w:p>
    <w:p w14:paraId="5B46E109" w14:textId="7C0B721F" w:rsidR="00427829" w:rsidRPr="007E770D" w:rsidRDefault="00427829" w:rsidP="00427829">
      <w:pPr>
        <w:rPr>
          <w:color w:val="auto"/>
          <w:lang w:val="sr-Cyrl-CS"/>
        </w:rPr>
      </w:pPr>
    </w:p>
    <w:p w14:paraId="5E261BE7" w14:textId="77777777" w:rsidR="00427829" w:rsidRPr="007E770D" w:rsidRDefault="00427829" w:rsidP="00427829">
      <w:pPr>
        <w:rPr>
          <w:color w:val="auto"/>
          <w:lang w:val="sr-Cyrl-CS"/>
        </w:rPr>
      </w:pPr>
    </w:p>
    <w:p w14:paraId="4933ED69" w14:textId="22AEDA78" w:rsidR="00427829" w:rsidRPr="007E770D" w:rsidRDefault="00427829" w:rsidP="00427829">
      <w:pPr>
        <w:spacing w:after="80"/>
        <w:ind w:firstLine="720"/>
        <w:rPr>
          <w:rFonts w:cstheme="minorHAnsi"/>
          <w:bCs/>
          <w:color w:val="auto"/>
          <w:szCs w:val="72"/>
          <w:lang w:val="sr-Cyrl-CS"/>
        </w:rPr>
      </w:pPr>
      <w:r w:rsidRPr="007E770D">
        <w:rPr>
          <w:rFonts w:cstheme="minorHAnsi"/>
          <w:bCs/>
          <w:color w:val="auto"/>
          <w:szCs w:val="72"/>
          <w:lang w:val="sr-Cyrl-CS"/>
        </w:rPr>
        <w:t>Саставни део ове ревидиране Фискалне стратегије чине Прилог 1 – Пројекција основних макроекономских индикатора и Прилог 2 – Фискални оквир опште државе у 2020. год</w:t>
      </w:r>
      <w:r w:rsidR="00776442" w:rsidRPr="007E770D">
        <w:rPr>
          <w:rFonts w:cstheme="minorHAnsi"/>
          <w:bCs/>
          <w:color w:val="auto"/>
          <w:szCs w:val="72"/>
          <w:lang w:val="sr-Cyrl-CS"/>
        </w:rPr>
        <w:t>ини, који су одштампани уз ову ревидирану Ф</w:t>
      </w:r>
      <w:r w:rsidRPr="007E770D">
        <w:rPr>
          <w:rFonts w:cstheme="minorHAnsi"/>
          <w:bCs/>
          <w:color w:val="auto"/>
          <w:szCs w:val="72"/>
          <w:lang w:val="sr-Cyrl-CS"/>
        </w:rPr>
        <w:t>искалну стратегију.</w:t>
      </w:r>
    </w:p>
    <w:p w14:paraId="6827B87F" w14:textId="7C225946" w:rsidR="00427829" w:rsidRPr="007E770D" w:rsidRDefault="00427829" w:rsidP="00427829">
      <w:pPr>
        <w:spacing w:after="80"/>
        <w:ind w:firstLine="720"/>
        <w:rPr>
          <w:rFonts w:cstheme="minorHAnsi"/>
          <w:bCs/>
          <w:color w:val="auto"/>
          <w:szCs w:val="72"/>
          <w:lang w:val="sr-Cyrl-CS"/>
        </w:rPr>
      </w:pPr>
      <w:r w:rsidRPr="007E770D">
        <w:rPr>
          <w:rFonts w:cstheme="minorHAnsi"/>
          <w:bCs/>
          <w:color w:val="auto"/>
          <w:szCs w:val="72"/>
          <w:lang w:val="sr-Cyrl-CS"/>
        </w:rPr>
        <w:t>Ову ревидирану Фискалну страт</w:t>
      </w:r>
      <w:r w:rsidR="00776442" w:rsidRPr="007E770D">
        <w:rPr>
          <w:rFonts w:cstheme="minorHAnsi"/>
          <w:bCs/>
          <w:color w:val="auto"/>
          <w:szCs w:val="72"/>
          <w:lang w:val="sr-Cyrl-CS"/>
        </w:rPr>
        <w:t xml:space="preserve">егију доставити </w:t>
      </w:r>
      <w:r w:rsidR="00A940CE" w:rsidRPr="00A940CE">
        <w:rPr>
          <w:color w:val="auto"/>
        </w:rPr>
        <w:t>одбору Народне скупштине надлежном за финансије, републички буџет и контролу трошења јавних средстава</w:t>
      </w:r>
      <w:r w:rsidR="00A940CE">
        <w:t xml:space="preserve"> </w:t>
      </w:r>
      <w:r w:rsidRPr="007E770D">
        <w:rPr>
          <w:rFonts w:cstheme="minorHAnsi"/>
          <w:bCs/>
          <w:color w:val="auto"/>
          <w:szCs w:val="72"/>
          <w:lang w:val="sr-Cyrl-CS"/>
        </w:rPr>
        <w:t>и Министарству финансија.</w:t>
      </w:r>
    </w:p>
    <w:p w14:paraId="56DDDACB" w14:textId="77777777" w:rsidR="00427829" w:rsidRPr="007E770D" w:rsidRDefault="00427829" w:rsidP="00427829">
      <w:pPr>
        <w:spacing w:after="0"/>
        <w:ind w:firstLine="720"/>
        <w:rPr>
          <w:rFonts w:cstheme="minorHAnsi"/>
          <w:bCs/>
          <w:color w:val="auto"/>
          <w:szCs w:val="72"/>
          <w:lang w:val="sr-Cyrl-CS"/>
        </w:rPr>
      </w:pPr>
      <w:r w:rsidRPr="007E770D">
        <w:rPr>
          <w:rFonts w:cstheme="minorHAnsi"/>
          <w:bCs/>
          <w:color w:val="auto"/>
          <w:szCs w:val="72"/>
          <w:lang w:val="sr-Cyrl-CS"/>
        </w:rPr>
        <w:t>Ову ревидирану Фискалну стратегију објавити у „Службеном гласнику Републике Србије” и на интернет страници Министарства финансија.</w:t>
      </w:r>
    </w:p>
    <w:p w14:paraId="181F84DA" w14:textId="77777777" w:rsidR="00427829" w:rsidRPr="007E770D" w:rsidRDefault="00427829" w:rsidP="00427829">
      <w:pPr>
        <w:spacing w:after="0"/>
        <w:jc w:val="right"/>
        <w:rPr>
          <w:rFonts w:cstheme="minorHAnsi"/>
          <w:bCs/>
          <w:color w:val="auto"/>
          <w:szCs w:val="72"/>
          <w:lang w:val="sr-Cyrl-CS"/>
        </w:rPr>
      </w:pPr>
    </w:p>
    <w:p w14:paraId="0C385047" w14:textId="77777777" w:rsidR="00427829" w:rsidRPr="007E770D" w:rsidRDefault="00427829" w:rsidP="00427829">
      <w:pPr>
        <w:spacing w:after="0"/>
        <w:jc w:val="right"/>
        <w:rPr>
          <w:rFonts w:cstheme="minorHAnsi"/>
          <w:bCs/>
          <w:color w:val="auto"/>
          <w:szCs w:val="72"/>
          <w:lang w:val="sr-Cyrl-CS"/>
        </w:rPr>
      </w:pPr>
    </w:p>
    <w:p w14:paraId="676C664B" w14:textId="739BEE74" w:rsidR="00427829" w:rsidRPr="00CE7D89" w:rsidRDefault="00427829" w:rsidP="00776442">
      <w:pPr>
        <w:spacing w:after="0"/>
        <w:rPr>
          <w:rFonts w:cstheme="minorHAnsi"/>
          <w:bCs/>
          <w:color w:val="auto"/>
          <w:szCs w:val="72"/>
        </w:rPr>
      </w:pPr>
      <w:r w:rsidRPr="007E770D">
        <w:rPr>
          <w:rFonts w:cstheme="minorHAnsi"/>
          <w:bCs/>
          <w:color w:val="auto"/>
          <w:szCs w:val="72"/>
          <w:lang w:val="sr-Cyrl-CS"/>
        </w:rPr>
        <w:t>05 Број:</w:t>
      </w:r>
      <w:r w:rsidR="00CE7D89">
        <w:rPr>
          <w:rFonts w:cstheme="minorHAnsi"/>
          <w:bCs/>
          <w:color w:val="auto"/>
          <w:szCs w:val="72"/>
        </w:rPr>
        <w:t xml:space="preserve"> 400-10685/2019-2</w:t>
      </w:r>
    </w:p>
    <w:p w14:paraId="449D356B" w14:textId="7F058F43" w:rsidR="00427829" w:rsidRPr="007E770D" w:rsidRDefault="00776442" w:rsidP="00776442">
      <w:pPr>
        <w:spacing w:after="0"/>
        <w:rPr>
          <w:rFonts w:cstheme="minorHAnsi"/>
          <w:bCs/>
          <w:color w:val="auto"/>
          <w:szCs w:val="72"/>
          <w:lang w:val="sr-Cyrl-CS"/>
        </w:rPr>
      </w:pPr>
      <w:r w:rsidRPr="007E770D">
        <w:rPr>
          <w:rFonts w:cstheme="minorHAnsi"/>
          <w:bCs/>
          <w:color w:val="auto"/>
          <w:szCs w:val="72"/>
          <w:lang w:val="sr-Cyrl-CS"/>
        </w:rPr>
        <w:t xml:space="preserve">У Београду, 31. </w:t>
      </w:r>
      <w:r w:rsidR="00427829" w:rsidRPr="007E770D">
        <w:rPr>
          <w:rFonts w:cstheme="minorHAnsi"/>
          <w:bCs/>
          <w:color w:val="auto"/>
          <w:szCs w:val="72"/>
          <w:lang w:val="sr-Cyrl-CS"/>
        </w:rPr>
        <w:t>октобра 2019. године</w:t>
      </w:r>
    </w:p>
    <w:p w14:paraId="5E173278" w14:textId="77777777" w:rsidR="00427829" w:rsidRPr="007E770D" w:rsidRDefault="00427829" w:rsidP="00427829">
      <w:pPr>
        <w:spacing w:after="0"/>
        <w:jc w:val="right"/>
        <w:rPr>
          <w:rFonts w:cstheme="minorHAnsi"/>
          <w:bCs/>
          <w:color w:val="auto"/>
          <w:szCs w:val="72"/>
          <w:lang w:val="sr-Cyrl-CS"/>
        </w:rPr>
      </w:pPr>
    </w:p>
    <w:p w14:paraId="3AF81550" w14:textId="77777777" w:rsidR="00427829" w:rsidRPr="007E770D" w:rsidRDefault="00427829" w:rsidP="0001068B">
      <w:pPr>
        <w:spacing w:after="0"/>
        <w:jc w:val="center"/>
        <w:rPr>
          <w:rFonts w:cstheme="minorHAnsi"/>
          <w:bCs/>
          <w:color w:val="auto"/>
          <w:szCs w:val="72"/>
          <w:lang w:val="sr-Cyrl-CS"/>
        </w:rPr>
      </w:pPr>
      <w:r w:rsidRPr="007E770D">
        <w:rPr>
          <w:rFonts w:cstheme="minorHAnsi"/>
          <w:bCs/>
          <w:color w:val="auto"/>
          <w:szCs w:val="72"/>
          <w:lang w:val="sr-Cyrl-CS"/>
        </w:rPr>
        <w:t>В Л А Д А</w:t>
      </w:r>
    </w:p>
    <w:p w14:paraId="5A56713B" w14:textId="77777777" w:rsidR="00427829" w:rsidRPr="007E770D" w:rsidRDefault="00427829" w:rsidP="00427829">
      <w:pPr>
        <w:spacing w:after="0"/>
        <w:jc w:val="right"/>
        <w:rPr>
          <w:rFonts w:cstheme="minorHAnsi"/>
          <w:bCs/>
          <w:color w:val="auto"/>
          <w:szCs w:val="72"/>
          <w:lang w:val="sr-Cyrl-CS"/>
        </w:rPr>
      </w:pPr>
    </w:p>
    <w:p w14:paraId="4142D61A" w14:textId="77777777" w:rsidR="00427829" w:rsidRPr="007E770D" w:rsidRDefault="00427829" w:rsidP="00427829">
      <w:pPr>
        <w:spacing w:after="0"/>
        <w:jc w:val="right"/>
        <w:rPr>
          <w:rFonts w:cstheme="minorHAnsi"/>
          <w:bCs/>
          <w:color w:val="auto"/>
          <w:szCs w:val="72"/>
          <w:lang w:val="sr-Cyrl-CS"/>
        </w:rPr>
      </w:pPr>
      <w:r w:rsidRPr="007E770D">
        <w:rPr>
          <w:rFonts w:cstheme="minorHAnsi"/>
          <w:bCs/>
          <w:color w:val="auto"/>
          <w:szCs w:val="72"/>
          <w:lang w:val="sr-Cyrl-CS"/>
        </w:rPr>
        <w:t xml:space="preserve">                                                                                                          ПРЕДСЕДНИК</w:t>
      </w:r>
    </w:p>
    <w:p w14:paraId="3C1C6BFA" w14:textId="77777777" w:rsidR="00427829" w:rsidRPr="007E770D" w:rsidRDefault="00427829" w:rsidP="00427829">
      <w:pPr>
        <w:spacing w:after="0"/>
        <w:jc w:val="right"/>
        <w:rPr>
          <w:rFonts w:cstheme="minorHAnsi"/>
          <w:bCs/>
          <w:color w:val="auto"/>
          <w:szCs w:val="72"/>
          <w:lang w:val="sr-Cyrl-CS"/>
        </w:rPr>
      </w:pPr>
    </w:p>
    <w:p w14:paraId="29672911" w14:textId="55FC608A" w:rsidR="00427829" w:rsidRPr="00CE7D89" w:rsidRDefault="00427829" w:rsidP="00427829">
      <w:pPr>
        <w:spacing w:after="0"/>
        <w:jc w:val="right"/>
        <w:rPr>
          <w:rFonts w:cstheme="minorHAnsi"/>
          <w:bCs/>
          <w:color w:val="auto"/>
          <w:szCs w:val="72"/>
          <w:lang w:val="sr-Cyrl-RS"/>
        </w:rPr>
      </w:pPr>
      <w:r w:rsidRPr="007E770D">
        <w:rPr>
          <w:rFonts w:cstheme="minorHAnsi"/>
          <w:bCs/>
          <w:color w:val="auto"/>
          <w:szCs w:val="72"/>
          <w:lang w:val="sr-Cyrl-CS"/>
        </w:rPr>
        <w:t xml:space="preserve">                                                                                                           Ана Брнабић</w:t>
      </w:r>
      <w:r w:rsidR="00CE7D89">
        <w:rPr>
          <w:rFonts w:cstheme="minorHAnsi"/>
          <w:bCs/>
          <w:color w:val="auto"/>
          <w:szCs w:val="72"/>
          <w:lang w:val="sr-Cyrl-RS"/>
        </w:rPr>
        <w:t>, с.р.</w:t>
      </w:r>
    </w:p>
    <w:p w14:paraId="759F4372" w14:textId="77777777" w:rsidR="00427829" w:rsidRPr="007E770D" w:rsidRDefault="00427829" w:rsidP="00427829">
      <w:pPr>
        <w:spacing w:after="0"/>
        <w:jc w:val="right"/>
        <w:rPr>
          <w:rFonts w:cstheme="minorHAnsi"/>
          <w:bCs/>
          <w:color w:val="auto"/>
          <w:szCs w:val="72"/>
          <w:lang w:val="sr-Cyrl-CS"/>
        </w:rPr>
      </w:pPr>
    </w:p>
    <w:p w14:paraId="79EB572F" w14:textId="77777777" w:rsidR="00427829" w:rsidRPr="007E770D" w:rsidRDefault="00427829" w:rsidP="00427829">
      <w:pPr>
        <w:rPr>
          <w:rFonts w:cstheme="minorHAnsi"/>
          <w:bCs/>
          <w:color w:val="auto"/>
          <w:szCs w:val="72"/>
          <w:lang w:val="sr-Cyrl-CS"/>
        </w:rPr>
      </w:pPr>
    </w:p>
    <w:p w14:paraId="1B36A909" w14:textId="558B8CF0" w:rsidR="00AB0E2B" w:rsidRPr="007E770D" w:rsidRDefault="00AB0E2B" w:rsidP="00E4657F">
      <w:pPr>
        <w:spacing w:after="60"/>
        <w:rPr>
          <w:rFonts w:cstheme="minorHAnsi"/>
          <w:bCs/>
          <w:color w:val="auto"/>
          <w:spacing w:val="-2"/>
          <w:szCs w:val="72"/>
          <w:lang w:val="sr-Cyrl-CS"/>
        </w:rPr>
      </w:pPr>
    </w:p>
    <w:p w14:paraId="65AAC620" w14:textId="0734A2DF" w:rsidR="00AB0E2B" w:rsidRPr="007E770D" w:rsidRDefault="00AB0E2B" w:rsidP="00E4657F">
      <w:pPr>
        <w:spacing w:after="60"/>
        <w:rPr>
          <w:rFonts w:cstheme="minorHAnsi"/>
          <w:bCs/>
          <w:color w:val="auto"/>
          <w:spacing w:val="-2"/>
          <w:szCs w:val="72"/>
          <w:lang w:val="sr-Cyrl-CS"/>
        </w:rPr>
      </w:pPr>
    </w:p>
    <w:p w14:paraId="0958F858" w14:textId="77777777" w:rsidR="00AB0E2B" w:rsidRPr="007E770D" w:rsidRDefault="00AB0E2B" w:rsidP="00E4657F">
      <w:pPr>
        <w:spacing w:after="60"/>
        <w:rPr>
          <w:rFonts w:cstheme="minorHAnsi"/>
          <w:bCs/>
          <w:color w:val="auto"/>
          <w:spacing w:val="-2"/>
          <w:szCs w:val="72"/>
          <w:lang w:val="sr-Cyrl-CS"/>
        </w:rPr>
      </w:pPr>
    </w:p>
    <w:p w14:paraId="0D0657C2" w14:textId="77777777" w:rsidR="004044DC" w:rsidRPr="007E770D" w:rsidRDefault="004044DC" w:rsidP="00E4657F">
      <w:pPr>
        <w:spacing w:after="60"/>
        <w:rPr>
          <w:rFonts w:cstheme="minorHAnsi"/>
          <w:bCs/>
          <w:color w:val="auto"/>
          <w:spacing w:val="-2"/>
          <w:szCs w:val="72"/>
          <w:lang w:val="sr-Cyrl-CS"/>
        </w:rPr>
        <w:sectPr w:rsidR="004044DC" w:rsidRPr="007E770D" w:rsidSect="00427829">
          <w:type w:val="continuous"/>
          <w:pgSz w:w="12242" w:h="15842" w:code="1"/>
          <w:pgMar w:top="1418" w:right="1418" w:bottom="1418" w:left="1418" w:header="720" w:footer="720" w:gutter="0"/>
          <w:cols w:space="720"/>
          <w:docGrid w:linePitch="272"/>
        </w:sectPr>
      </w:pPr>
    </w:p>
    <w:p w14:paraId="4955EE92" w14:textId="77777777" w:rsidR="005158F5" w:rsidRPr="007E770D" w:rsidRDefault="005158F5" w:rsidP="00E4657F">
      <w:pPr>
        <w:pStyle w:val="Heading1"/>
        <w:spacing w:after="160"/>
        <w:rPr>
          <w:rFonts w:asciiTheme="minorHAnsi" w:hAnsiTheme="minorHAnsi" w:cstheme="minorHAnsi"/>
          <w:color w:val="auto"/>
          <w:sz w:val="24"/>
          <w:szCs w:val="26"/>
          <w:lang w:val="sr-Cyrl-CS"/>
        </w:rPr>
      </w:pPr>
      <w:bookmarkStart w:id="33" w:name="_Toc530635112"/>
      <w:bookmarkStart w:id="34" w:name="_Toc23342474"/>
      <w:r w:rsidRPr="007E770D">
        <w:rPr>
          <w:rFonts w:asciiTheme="minorHAnsi" w:hAnsiTheme="minorHAnsi" w:cstheme="minorHAnsi"/>
          <w:color w:val="auto"/>
          <w:sz w:val="24"/>
          <w:szCs w:val="26"/>
          <w:lang w:val="sr-Cyrl-CS"/>
        </w:rPr>
        <w:lastRenderedPageBreak/>
        <w:t>Прилог 1 – Пројекција основних макроекономских индикатора</w:t>
      </w:r>
      <w:bookmarkEnd w:id="33"/>
      <w:bookmarkEnd w:id="34"/>
    </w:p>
    <w:tbl>
      <w:tblPr>
        <w:tblStyle w:val="TableGrid1"/>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87"/>
        <w:gridCol w:w="1267"/>
        <w:gridCol w:w="1269"/>
        <w:gridCol w:w="1267"/>
        <w:gridCol w:w="1270"/>
      </w:tblGrid>
      <w:tr w:rsidR="007E770D" w:rsidRPr="007E770D" w14:paraId="195A371F" w14:textId="77777777" w:rsidTr="00E4657F">
        <w:trPr>
          <w:trHeight w:val="551"/>
          <w:jc w:val="center"/>
        </w:trPr>
        <w:tc>
          <w:tcPr>
            <w:tcW w:w="2269" w:type="pct"/>
            <w:tcBorders>
              <w:top w:val="single" w:sz="4" w:space="0" w:color="002060"/>
              <w:bottom w:val="single" w:sz="4" w:space="0" w:color="002060"/>
            </w:tcBorders>
            <w:vAlign w:val="center"/>
            <w:hideMark/>
          </w:tcPr>
          <w:p w14:paraId="00AE25F1" w14:textId="77777777" w:rsidR="005158F5" w:rsidRPr="007E770D" w:rsidRDefault="005158F5" w:rsidP="00E4657F">
            <w:pPr>
              <w:rPr>
                <w:rFonts w:eastAsia="Calibri" w:cstheme="minorHAnsi"/>
                <w:iCs/>
                <w:color w:val="auto"/>
                <w:sz w:val="18"/>
                <w:szCs w:val="18"/>
                <w:lang w:val="sr-Cyrl-CS"/>
              </w:rPr>
            </w:pPr>
          </w:p>
        </w:tc>
        <w:tc>
          <w:tcPr>
            <w:tcW w:w="682" w:type="pct"/>
            <w:tcBorders>
              <w:top w:val="single" w:sz="4" w:space="0" w:color="002060"/>
              <w:bottom w:val="single" w:sz="4" w:space="0" w:color="002060"/>
            </w:tcBorders>
            <w:noWrap/>
            <w:vAlign w:val="center"/>
            <w:hideMark/>
          </w:tcPr>
          <w:p w14:paraId="33F24C4B" w14:textId="77777777" w:rsidR="005158F5" w:rsidRPr="007E770D" w:rsidRDefault="005158F5" w:rsidP="00E4657F">
            <w:pPr>
              <w:jc w:val="center"/>
              <w:rPr>
                <w:rFonts w:eastAsia="Calibri" w:cstheme="minorHAnsi"/>
                <w:iCs/>
                <w:color w:val="auto"/>
                <w:sz w:val="18"/>
                <w:szCs w:val="18"/>
                <w:lang w:val="sr-Cyrl-CS"/>
              </w:rPr>
            </w:pPr>
            <w:r w:rsidRPr="007E770D">
              <w:rPr>
                <w:color w:val="auto"/>
                <w:lang w:val="sr-Cyrl-CS"/>
              </w:rPr>
              <w:t>2019</w:t>
            </w:r>
          </w:p>
        </w:tc>
        <w:tc>
          <w:tcPr>
            <w:tcW w:w="683" w:type="pct"/>
            <w:tcBorders>
              <w:top w:val="single" w:sz="4" w:space="0" w:color="002060"/>
              <w:bottom w:val="single" w:sz="4" w:space="0" w:color="002060"/>
            </w:tcBorders>
            <w:noWrap/>
            <w:vAlign w:val="center"/>
            <w:hideMark/>
          </w:tcPr>
          <w:p w14:paraId="7165A67F" w14:textId="77777777" w:rsidR="005158F5" w:rsidRPr="007E770D" w:rsidRDefault="005158F5" w:rsidP="00E4657F">
            <w:pPr>
              <w:jc w:val="center"/>
              <w:rPr>
                <w:rFonts w:eastAsia="Calibri" w:cstheme="minorHAnsi"/>
                <w:iCs/>
                <w:color w:val="auto"/>
                <w:sz w:val="18"/>
                <w:szCs w:val="18"/>
                <w:lang w:val="sr-Cyrl-CS"/>
              </w:rPr>
            </w:pPr>
            <w:r w:rsidRPr="007E770D">
              <w:rPr>
                <w:color w:val="auto"/>
                <w:lang w:val="sr-Cyrl-CS"/>
              </w:rPr>
              <w:t>2020</w:t>
            </w:r>
          </w:p>
        </w:tc>
        <w:tc>
          <w:tcPr>
            <w:tcW w:w="682" w:type="pct"/>
            <w:tcBorders>
              <w:top w:val="single" w:sz="4" w:space="0" w:color="002060"/>
              <w:bottom w:val="single" w:sz="4" w:space="0" w:color="002060"/>
            </w:tcBorders>
            <w:noWrap/>
            <w:vAlign w:val="center"/>
            <w:hideMark/>
          </w:tcPr>
          <w:p w14:paraId="63B145E4" w14:textId="77777777" w:rsidR="005158F5" w:rsidRPr="007E770D" w:rsidRDefault="005158F5" w:rsidP="00E4657F">
            <w:pPr>
              <w:jc w:val="center"/>
              <w:rPr>
                <w:rFonts w:eastAsia="Calibri" w:cstheme="minorHAnsi"/>
                <w:iCs/>
                <w:color w:val="auto"/>
                <w:sz w:val="18"/>
                <w:szCs w:val="18"/>
                <w:lang w:val="sr-Cyrl-CS"/>
              </w:rPr>
            </w:pPr>
            <w:r w:rsidRPr="007E770D">
              <w:rPr>
                <w:color w:val="auto"/>
                <w:lang w:val="sr-Cyrl-CS"/>
              </w:rPr>
              <w:t>2021</w:t>
            </w:r>
          </w:p>
        </w:tc>
        <w:tc>
          <w:tcPr>
            <w:tcW w:w="683" w:type="pct"/>
            <w:tcBorders>
              <w:top w:val="single" w:sz="4" w:space="0" w:color="002060"/>
              <w:bottom w:val="single" w:sz="4" w:space="0" w:color="002060"/>
            </w:tcBorders>
            <w:noWrap/>
            <w:vAlign w:val="center"/>
            <w:hideMark/>
          </w:tcPr>
          <w:p w14:paraId="22D325B4" w14:textId="77777777" w:rsidR="005158F5" w:rsidRPr="007E770D" w:rsidRDefault="005158F5" w:rsidP="00E4657F">
            <w:pPr>
              <w:jc w:val="center"/>
              <w:rPr>
                <w:rFonts w:eastAsia="Calibri" w:cstheme="minorHAnsi"/>
                <w:iCs/>
                <w:color w:val="auto"/>
                <w:sz w:val="18"/>
                <w:szCs w:val="18"/>
                <w:lang w:val="sr-Cyrl-CS"/>
              </w:rPr>
            </w:pPr>
            <w:r w:rsidRPr="007E770D">
              <w:rPr>
                <w:color w:val="auto"/>
                <w:lang w:val="sr-Cyrl-CS"/>
              </w:rPr>
              <w:t>2022</w:t>
            </w:r>
          </w:p>
        </w:tc>
      </w:tr>
      <w:tr w:rsidR="007E770D" w:rsidRPr="007E770D" w14:paraId="508B46FA" w14:textId="77777777" w:rsidTr="00E4657F">
        <w:trPr>
          <w:trHeight w:val="281"/>
          <w:jc w:val="center"/>
        </w:trPr>
        <w:tc>
          <w:tcPr>
            <w:tcW w:w="2269" w:type="pct"/>
            <w:tcBorders>
              <w:top w:val="single" w:sz="4" w:space="0" w:color="002060"/>
            </w:tcBorders>
            <w:noWrap/>
            <w:vAlign w:val="center"/>
            <w:hideMark/>
          </w:tcPr>
          <w:p w14:paraId="350153BD" w14:textId="77777777" w:rsidR="005158F5" w:rsidRPr="007E770D" w:rsidRDefault="005158F5" w:rsidP="00E4657F">
            <w:pPr>
              <w:jc w:val="left"/>
              <w:rPr>
                <w:rFonts w:eastAsia="Calibri" w:cstheme="minorHAnsi"/>
                <w:color w:val="auto"/>
                <w:sz w:val="18"/>
                <w:szCs w:val="18"/>
                <w:lang w:val="sr-Cyrl-CS"/>
              </w:rPr>
            </w:pPr>
            <w:r w:rsidRPr="007E770D">
              <w:rPr>
                <w:rFonts w:eastAsia="Calibri" w:cstheme="minorHAnsi"/>
                <w:color w:val="auto"/>
                <w:sz w:val="18"/>
                <w:szCs w:val="18"/>
                <w:lang w:val="sr-Cyrl-CS"/>
              </w:rPr>
              <w:t>Стопа реалног раста БДП, %</w:t>
            </w:r>
          </w:p>
        </w:tc>
        <w:tc>
          <w:tcPr>
            <w:tcW w:w="682" w:type="pct"/>
            <w:noWrap/>
            <w:vAlign w:val="center"/>
            <w:hideMark/>
          </w:tcPr>
          <w:p w14:paraId="0EF64B56" w14:textId="77777777" w:rsidR="005158F5" w:rsidRPr="007E770D" w:rsidRDefault="005158F5" w:rsidP="00E4657F">
            <w:pPr>
              <w:jc w:val="center"/>
              <w:rPr>
                <w:rFonts w:cstheme="minorHAnsi"/>
                <w:color w:val="auto"/>
                <w:sz w:val="18"/>
                <w:szCs w:val="18"/>
                <w:lang w:val="sr-Cyrl-CS"/>
              </w:rPr>
            </w:pPr>
            <w:r w:rsidRPr="007E770D">
              <w:rPr>
                <w:color w:val="auto"/>
                <w:sz w:val="18"/>
                <w:szCs w:val="18"/>
                <w:lang w:val="sr-Cyrl-CS"/>
              </w:rPr>
              <w:t>3,5</w:t>
            </w:r>
          </w:p>
        </w:tc>
        <w:tc>
          <w:tcPr>
            <w:tcW w:w="683" w:type="pct"/>
            <w:noWrap/>
            <w:vAlign w:val="center"/>
            <w:hideMark/>
          </w:tcPr>
          <w:p w14:paraId="19B4D545" w14:textId="77777777" w:rsidR="005158F5" w:rsidRPr="007E770D" w:rsidRDefault="005158F5" w:rsidP="00E4657F">
            <w:pPr>
              <w:jc w:val="center"/>
              <w:rPr>
                <w:rFonts w:cstheme="minorHAnsi"/>
                <w:color w:val="auto"/>
                <w:sz w:val="18"/>
                <w:szCs w:val="18"/>
                <w:lang w:val="sr-Cyrl-CS"/>
              </w:rPr>
            </w:pPr>
            <w:r w:rsidRPr="007E770D">
              <w:rPr>
                <w:color w:val="auto"/>
                <w:sz w:val="18"/>
                <w:szCs w:val="18"/>
                <w:lang w:val="sr-Cyrl-CS"/>
              </w:rPr>
              <w:t>4,0</w:t>
            </w:r>
          </w:p>
        </w:tc>
        <w:tc>
          <w:tcPr>
            <w:tcW w:w="682" w:type="pct"/>
            <w:noWrap/>
            <w:vAlign w:val="center"/>
            <w:hideMark/>
          </w:tcPr>
          <w:p w14:paraId="4966864B" w14:textId="77777777" w:rsidR="005158F5" w:rsidRPr="007E770D" w:rsidRDefault="005158F5" w:rsidP="00E4657F">
            <w:pPr>
              <w:jc w:val="center"/>
              <w:rPr>
                <w:rFonts w:cstheme="minorHAnsi"/>
                <w:color w:val="auto"/>
                <w:sz w:val="18"/>
                <w:szCs w:val="18"/>
                <w:lang w:val="sr-Cyrl-CS"/>
              </w:rPr>
            </w:pPr>
            <w:r w:rsidRPr="007E770D">
              <w:rPr>
                <w:color w:val="auto"/>
                <w:sz w:val="18"/>
                <w:szCs w:val="18"/>
                <w:lang w:val="sr-Cyrl-CS"/>
              </w:rPr>
              <w:t>4,0</w:t>
            </w:r>
          </w:p>
        </w:tc>
        <w:tc>
          <w:tcPr>
            <w:tcW w:w="683" w:type="pct"/>
            <w:noWrap/>
            <w:vAlign w:val="center"/>
            <w:hideMark/>
          </w:tcPr>
          <w:p w14:paraId="7D3AB6FF" w14:textId="77777777" w:rsidR="005158F5" w:rsidRPr="007E770D" w:rsidRDefault="005158F5" w:rsidP="00E4657F">
            <w:pPr>
              <w:jc w:val="center"/>
              <w:rPr>
                <w:rFonts w:cstheme="minorHAnsi"/>
                <w:color w:val="auto"/>
                <w:sz w:val="18"/>
                <w:szCs w:val="18"/>
                <w:lang w:val="sr-Cyrl-CS"/>
              </w:rPr>
            </w:pPr>
            <w:r w:rsidRPr="007E770D">
              <w:rPr>
                <w:color w:val="auto"/>
                <w:sz w:val="18"/>
                <w:szCs w:val="18"/>
                <w:lang w:val="sr-Cyrl-CS"/>
              </w:rPr>
              <w:t>4,0</w:t>
            </w:r>
          </w:p>
        </w:tc>
      </w:tr>
      <w:tr w:rsidR="007E770D" w:rsidRPr="007E770D" w14:paraId="06E20595" w14:textId="77777777" w:rsidTr="00E4657F">
        <w:trPr>
          <w:trHeight w:val="281"/>
          <w:jc w:val="center"/>
        </w:trPr>
        <w:tc>
          <w:tcPr>
            <w:tcW w:w="2269" w:type="pct"/>
            <w:noWrap/>
            <w:vAlign w:val="center"/>
            <w:hideMark/>
          </w:tcPr>
          <w:p w14:paraId="0A2EC5DB" w14:textId="77777777" w:rsidR="005158F5" w:rsidRPr="007E770D" w:rsidRDefault="005158F5" w:rsidP="00E4657F">
            <w:pPr>
              <w:jc w:val="left"/>
              <w:rPr>
                <w:rFonts w:eastAsia="Calibri" w:cstheme="minorHAnsi"/>
                <w:color w:val="auto"/>
                <w:sz w:val="18"/>
                <w:szCs w:val="18"/>
                <w:lang w:val="sr-Cyrl-CS"/>
              </w:rPr>
            </w:pPr>
            <w:r w:rsidRPr="007E770D">
              <w:rPr>
                <w:rFonts w:eastAsia="Calibri" w:cstheme="minorHAnsi"/>
                <w:color w:val="auto"/>
                <w:sz w:val="18"/>
                <w:szCs w:val="18"/>
                <w:lang w:val="sr-Cyrl-CS"/>
              </w:rPr>
              <w:t>БДП у текућим тржишним ценама</w:t>
            </w:r>
          </w:p>
          <w:p w14:paraId="3F691EA7" w14:textId="77777777" w:rsidR="005158F5" w:rsidRPr="007E770D" w:rsidRDefault="005158F5" w:rsidP="00E4657F">
            <w:pPr>
              <w:jc w:val="left"/>
              <w:rPr>
                <w:rFonts w:eastAsia="Calibri" w:cstheme="minorHAnsi"/>
                <w:bCs/>
                <w:color w:val="auto"/>
                <w:sz w:val="18"/>
                <w:szCs w:val="18"/>
                <w:lang w:val="sr-Cyrl-CS"/>
              </w:rPr>
            </w:pPr>
            <w:r w:rsidRPr="007E770D">
              <w:rPr>
                <w:rFonts w:eastAsia="Calibri" w:cstheme="minorHAnsi"/>
                <w:color w:val="auto"/>
                <w:sz w:val="18"/>
                <w:szCs w:val="18"/>
                <w:lang w:val="sr-Cyrl-CS"/>
              </w:rPr>
              <w:t>(у млрд динара)</w:t>
            </w:r>
          </w:p>
        </w:tc>
        <w:tc>
          <w:tcPr>
            <w:tcW w:w="682" w:type="pct"/>
            <w:noWrap/>
            <w:vAlign w:val="center"/>
            <w:hideMark/>
          </w:tcPr>
          <w:p w14:paraId="3EC9BA12" w14:textId="77777777" w:rsidR="005158F5" w:rsidRPr="007E770D" w:rsidRDefault="005158F5" w:rsidP="00E4657F">
            <w:pPr>
              <w:jc w:val="center"/>
              <w:rPr>
                <w:rFonts w:cstheme="minorHAnsi"/>
                <w:color w:val="auto"/>
                <w:sz w:val="18"/>
                <w:szCs w:val="18"/>
                <w:lang w:val="sr-Cyrl-CS"/>
              </w:rPr>
            </w:pPr>
            <w:r w:rsidRPr="007E770D">
              <w:rPr>
                <w:color w:val="auto"/>
                <w:sz w:val="18"/>
                <w:szCs w:val="18"/>
                <w:lang w:val="sr-Cyrl-CS"/>
              </w:rPr>
              <w:t>5.417</w:t>
            </w:r>
          </w:p>
        </w:tc>
        <w:tc>
          <w:tcPr>
            <w:tcW w:w="683" w:type="pct"/>
            <w:noWrap/>
            <w:vAlign w:val="center"/>
            <w:hideMark/>
          </w:tcPr>
          <w:p w14:paraId="5BF4105D" w14:textId="77777777" w:rsidR="005158F5" w:rsidRPr="007E770D" w:rsidRDefault="005158F5" w:rsidP="00E4657F">
            <w:pPr>
              <w:jc w:val="center"/>
              <w:rPr>
                <w:rFonts w:cstheme="minorHAnsi"/>
                <w:color w:val="auto"/>
                <w:sz w:val="18"/>
                <w:szCs w:val="18"/>
                <w:lang w:val="sr-Cyrl-CS"/>
              </w:rPr>
            </w:pPr>
            <w:r w:rsidRPr="007E770D">
              <w:rPr>
                <w:color w:val="auto"/>
                <w:sz w:val="18"/>
                <w:szCs w:val="18"/>
                <w:lang w:val="sr-Cyrl-CS"/>
              </w:rPr>
              <w:t>5.827</w:t>
            </w:r>
          </w:p>
        </w:tc>
        <w:tc>
          <w:tcPr>
            <w:tcW w:w="682" w:type="pct"/>
            <w:noWrap/>
            <w:vAlign w:val="center"/>
            <w:hideMark/>
          </w:tcPr>
          <w:p w14:paraId="3D24B918" w14:textId="77777777" w:rsidR="005158F5" w:rsidRPr="007E770D" w:rsidRDefault="005158F5" w:rsidP="00E4657F">
            <w:pPr>
              <w:jc w:val="center"/>
              <w:rPr>
                <w:rFonts w:cstheme="minorHAnsi"/>
                <w:color w:val="auto"/>
                <w:sz w:val="18"/>
                <w:szCs w:val="18"/>
                <w:lang w:val="sr-Cyrl-CS"/>
              </w:rPr>
            </w:pPr>
            <w:r w:rsidRPr="007E770D">
              <w:rPr>
                <w:color w:val="auto"/>
                <w:sz w:val="18"/>
                <w:szCs w:val="18"/>
                <w:lang w:val="sr-Cyrl-CS"/>
              </w:rPr>
              <w:t>6.264</w:t>
            </w:r>
          </w:p>
        </w:tc>
        <w:tc>
          <w:tcPr>
            <w:tcW w:w="683" w:type="pct"/>
            <w:noWrap/>
            <w:vAlign w:val="center"/>
            <w:hideMark/>
          </w:tcPr>
          <w:p w14:paraId="44DDAA7B" w14:textId="77777777" w:rsidR="005158F5" w:rsidRPr="007E770D" w:rsidRDefault="005158F5" w:rsidP="00E4657F">
            <w:pPr>
              <w:jc w:val="center"/>
              <w:rPr>
                <w:rFonts w:cstheme="minorHAnsi"/>
                <w:color w:val="auto"/>
                <w:sz w:val="18"/>
                <w:szCs w:val="18"/>
                <w:lang w:val="sr-Cyrl-CS"/>
              </w:rPr>
            </w:pPr>
            <w:r w:rsidRPr="007E770D">
              <w:rPr>
                <w:color w:val="auto"/>
                <w:sz w:val="18"/>
                <w:szCs w:val="18"/>
                <w:lang w:val="sr-Cyrl-CS"/>
              </w:rPr>
              <w:t>6.740</w:t>
            </w:r>
          </w:p>
        </w:tc>
      </w:tr>
      <w:tr w:rsidR="007E770D" w:rsidRPr="007E770D" w14:paraId="04B76524" w14:textId="77777777" w:rsidTr="00E4657F">
        <w:trPr>
          <w:trHeight w:val="281"/>
          <w:jc w:val="center"/>
        </w:trPr>
        <w:tc>
          <w:tcPr>
            <w:tcW w:w="2269" w:type="pct"/>
            <w:shd w:val="clear" w:color="auto" w:fill="E7E6E6" w:themeFill="background2"/>
            <w:noWrap/>
            <w:vAlign w:val="center"/>
            <w:hideMark/>
          </w:tcPr>
          <w:p w14:paraId="27FCD0E4" w14:textId="77777777" w:rsidR="005158F5" w:rsidRPr="007E770D" w:rsidRDefault="005158F5" w:rsidP="00E4657F">
            <w:pPr>
              <w:jc w:val="left"/>
              <w:rPr>
                <w:rFonts w:eastAsia="Calibri" w:cstheme="minorHAnsi"/>
                <w:bCs/>
                <w:color w:val="auto"/>
                <w:sz w:val="18"/>
                <w:szCs w:val="18"/>
                <w:lang w:val="sr-Cyrl-CS"/>
              </w:rPr>
            </w:pPr>
            <w:r w:rsidRPr="007E770D">
              <w:rPr>
                <w:rFonts w:eastAsia="Calibri" w:cstheme="minorHAnsi"/>
                <w:iCs/>
                <w:color w:val="auto"/>
                <w:sz w:val="18"/>
                <w:szCs w:val="18"/>
                <w:lang w:val="sr-Cyrl-CS"/>
              </w:rPr>
              <w:t xml:space="preserve">Извори раста: процентне промене у </w:t>
            </w:r>
            <w:r w:rsidRPr="007E770D">
              <w:rPr>
                <w:rFonts w:eastAsia="Calibri" w:cstheme="minorHAnsi"/>
                <w:bCs/>
                <w:iCs/>
                <w:color w:val="auto"/>
                <w:sz w:val="18"/>
                <w:szCs w:val="18"/>
                <w:lang w:val="sr-Cyrl-CS"/>
              </w:rPr>
              <w:t>сталним</w:t>
            </w:r>
            <w:r w:rsidRPr="007E770D">
              <w:rPr>
                <w:rFonts w:eastAsia="Calibri" w:cstheme="minorHAnsi"/>
                <w:iCs/>
                <w:color w:val="auto"/>
                <w:sz w:val="18"/>
                <w:szCs w:val="18"/>
                <w:lang w:val="sr-Cyrl-CS"/>
              </w:rPr>
              <w:t xml:space="preserve"> ценама</w:t>
            </w:r>
          </w:p>
        </w:tc>
        <w:tc>
          <w:tcPr>
            <w:tcW w:w="682" w:type="pct"/>
            <w:shd w:val="clear" w:color="auto" w:fill="E7E6E6" w:themeFill="background2"/>
            <w:vAlign w:val="center"/>
          </w:tcPr>
          <w:p w14:paraId="28E6714D" w14:textId="77777777" w:rsidR="005158F5" w:rsidRPr="007E770D" w:rsidRDefault="005158F5" w:rsidP="00E4657F">
            <w:pPr>
              <w:jc w:val="center"/>
              <w:rPr>
                <w:rFonts w:eastAsia="Calibri" w:cstheme="minorHAnsi"/>
                <w:bCs/>
                <w:color w:val="auto"/>
                <w:sz w:val="18"/>
                <w:szCs w:val="18"/>
                <w:lang w:val="sr-Cyrl-CS"/>
              </w:rPr>
            </w:pPr>
          </w:p>
        </w:tc>
        <w:tc>
          <w:tcPr>
            <w:tcW w:w="683" w:type="pct"/>
            <w:shd w:val="clear" w:color="auto" w:fill="E7E6E6" w:themeFill="background2"/>
            <w:vAlign w:val="center"/>
          </w:tcPr>
          <w:p w14:paraId="2B9572D6" w14:textId="77777777" w:rsidR="005158F5" w:rsidRPr="007E770D" w:rsidRDefault="005158F5" w:rsidP="00E4657F">
            <w:pPr>
              <w:jc w:val="center"/>
              <w:rPr>
                <w:rFonts w:eastAsia="Calibri" w:cstheme="minorHAnsi"/>
                <w:bCs/>
                <w:color w:val="auto"/>
                <w:sz w:val="18"/>
                <w:szCs w:val="18"/>
                <w:lang w:val="sr-Cyrl-CS"/>
              </w:rPr>
            </w:pPr>
          </w:p>
        </w:tc>
        <w:tc>
          <w:tcPr>
            <w:tcW w:w="682" w:type="pct"/>
            <w:shd w:val="clear" w:color="auto" w:fill="E7E6E6" w:themeFill="background2"/>
            <w:vAlign w:val="center"/>
          </w:tcPr>
          <w:p w14:paraId="1F6349BF" w14:textId="77777777" w:rsidR="005158F5" w:rsidRPr="007E770D" w:rsidRDefault="005158F5" w:rsidP="00E4657F">
            <w:pPr>
              <w:jc w:val="center"/>
              <w:rPr>
                <w:rFonts w:eastAsia="Calibri" w:cstheme="minorHAnsi"/>
                <w:bCs/>
                <w:color w:val="auto"/>
                <w:sz w:val="18"/>
                <w:szCs w:val="18"/>
                <w:lang w:val="sr-Cyrl-CS"/>
              </w:rPr>
            </w:pPr>
          </w:p>
        </w:tc>
        <w:tc>
          <w:tcPr>
            <w:tcW w:w="683" w:type="pct"/>
            <w:shd w:val="clear" w:color="auto" w:fill="E7E6E6" w:themeFill="background2"/>
            <w:vAlign w:val="center"/>
          </w:tcPr>
          <w:p w14:paraId="3F10DB3C" w14:textId="77777777" w:rsidR="005158F5" w:rsidRPr="007E770D" w:rsidRDefault="005158F5" w:rsidP="00E4657F">
            <w:pPr>
              <w:jc w:val="center"/>
              <w:rPr>
                <w:rFonts w:eastAsia="Calibri" w:cstheme="minorHAnsi"/>
                <w:bCs/>
                <w:color w:val="auto"/>
                <w:sz w:val="18"/>
                <w:szCs w:val="18"/>
                <w:lang w:val="sr-Cyrl-CS"/>
              </w:rPr>
            </w:pPr>
          </w:p>
        </w:tc>
      </w:tr>
      <w:tr w:rsidR="007E770D" w:rsidRPr="007E770D" w14:paraId="3E307B13" w14:textId="77777777" w:rsidTr="00E4657F">
        <w:trPr>
          <w:trHeight w:val="281"/>
          <w:jc w:val="center"/>
        </w:trPr>
        <w:tc>
          <w:tcPr>
            <w:tcW w:w="2269" w:type="pct"/>
            <w:noWrap/>
            <w:vAlign w:val="center"/>
            <w:hideMark/>
          </w:tcPr>
          <w:p w14:paraId="0AAFCF7A" w14:textId="77777777" w:rsidR="005158F5" w:rsidRPr="007E770D" w:rsidRDefault="005158F5" w:rsidP="00E4657F">
            <w:pPr>
              <w:ind w:left="113"/>
              <w:jc w:val="left"/>
              <w:rPr>
                <w:rFonts w:eastAsia="Calibri" w:cstheme="minorHAnsi"/>
                <w:color w:val="auto"/>
                <w:sz w:val="18"/>
                <w:szCs w:val="18"/>
                <w:lang w:val="sr-Cyrl-CS"/>
              </w:rPr>
            </w:pPr>
            <w:r w:rsidRPr="007E770D">
              <w:rPr>
                <w:rFonts w:eastAsia="Calibri" w:cstheme="minorHAnsi"/>
                <w:color w:val="auto"/>
                <w:sz w:val="18"/>
                <w:szCs w:val="18"/>
                <w:lang w:val="sr-Cyrl-CS"/>
              </w:rPr>
              <w:t>Лична потрошња</w:t>
            </w:r>
          </w:p>
        </w:tc>
        <w:tc>
          <w:tcPr>
            <w:tcW w:w="682" w:type="pct"/>
            <w:noWrap/>
            <w:vAlign w:val="center"/>
            <w:hideMark/>
          </w:tcPr>
          <w:p w14:paraId="15B7340B"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3,5</w:t>
            </w:r>
          </w:p>
        </w:tc>
        <w:tc>
          <w:tcPr>
            <w:tcW w:w="683" w:type="pct"/>
            <w:noWrap/>
            <w:vAlign w:val="center"/>
            <w:hideMark/>
          </w:tcPr>
          <w:p w14:paraId="305450BB"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3,9</w:t>
            </w:r>
          </w:p>
        </w:tc>
        <w:tc>
          <w:tcPr>
            <w:tcW w:w="682" w:type="pct"/>
            <w:noWrap/>
            <w:vAlign w:val="center"/>
            <w:hideMark/>
          </w:tcPr>
          <w:p w14:paraId="2DA9DB65"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3,6</w:t>
            </w:r>
          </w:p>
        </w:tc>
        <w:tc>
          <w:tcPr>
            <w:tcW w:w="683" w:type="pct"/>
            <w:noWrap/>
            <w:vAlign w:val="center"/>
            <w:hideMark/>
          </w:tcPr>
          <w:p w14:paraId="685273C7"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3,7</w:t>
            </w:r>
          </w:p>
        </w:tc>
      </w:tr>
      <w:tr w:rsidR="007E770D" w:rsidRPr="007E770D" w14:paraId="7B5B76EF" w14:textId="77777777" w:rsidTr="00E4657F">
        <w:trPr>
          <w:trHeight w:val="281"/>
          <w:jc w:val="center"/>
        </w:trPr>
        <w:tc>
          <w:tcPr>
            <w:tcW w:w="2269" w:type="pct"/>
            <w:noWrap/>
            <w:vAlign w:val="center"/>
            <w:hideMark/>
          </w:tcPr>
          <w:p w14:paraId="64EE6350" w14:textId="77777777" w:rsidR="005158F5" w:rsidRPr="007E770D" w:rsidRDefault="005158F5" w:rsidP="00E4657F">
            <w:pPr>
              <w:ind w:left="113"/>
              <w:jc w:val="left"/>
              <w:rPr>
                <w:rFonts w:eastAsia="Calibri" w:cstheme="minorHAnsi"/>
                <w:color w:val="auto"/>
                <w:sz w:val="18"/>
                <w:szCs w:val="18"/>
                <w:lang w:val="sr-Cyrl-CS"/>
              </w:rPr>
            </w:pPr>
            <w:r w:rsidRPr="007E770D">
              <w:rPr>
                <w:rFonts w:eastAsia="Calibri" w:cstheme="minorHAnsi"/>
                <w:color w:val="auto"/>
                <w:sz w:val="18"/>
                <w:szCs w:val="18"/>
                <w:lang w:val="sr-Cyrl-CS"/>
              </w:rPr>
              <w:t>Државна потрошња</w:t>
            </w:r>
          </w:p>
        </w:tc>
        <w:tc>
          <w:tcPr>
            <w:tcW w:w="682" w:type="pct"/>
            <w:noWrap/>
            <w:vAlign w:val="center"/>
            <w:hideMark/>
          </w:tcPr>
          <w:p w14:paraId="2864E4FB"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4,1</w:t>
            </w:r>
          </w:p>
        </w:tc>
        <w:tc>
          <w:tcPr>
            <w:tcW w:w="683" w:type="pct"/>
            <w:noWrap/>
            <w:vAlign w:val="center"/>
            <w:hideMark/>
          </w:tcPr>
          <w:p w14:paraId="41B140C2"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1,5</w:t>
            </w:r>
          </w:p>
        </w:tc>
        <w:tc>
          <w:tcPr>
            <w:tcW w:w="682" w:type="pct"/>
            <w:noWrap/>
            <w:vAlign w:val="center"/>
            <w:hideMark/>
          </w:tcPr>
          <w:p w14:paraId="480E2892"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1,3</w:t>
            </w:r>
          </w:p>
        </w:tc>
        <w:tc>
          <w:tcPr>
            <w:tcW w:w="683" w:type="pct"/>
            <w:noWrap/>
            <w:vAlign w:val="center"/>
            <w:hideMark/>
          </w:tcPr>
          <w:p w14:paraId="62373790"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0,4</w:t>
            </w:r>
          </w:p>
        </w:tc>
      </w:tr>
      <w:tr w:rsidR="007E770D" w:rsidRPr="007E770D" w14:paraId="39EB186A" w14:textId="77777777" w:rsidTr="00E4657F">
        <w:trPr>
          <w:trHeight w:val="281"/>
          <w:jc w:val="center"/>
        </w:trPr>
        <w:tc>
          <w:tcPr>
            <w:tcW w:w="2269" w:type="pct"/>
            <w:noWrap/>
            <w:vAlign w:val="center"/>
            <w:hideMark/>
          </w:tcPr>
          <w:p w14:paraId="7EEEB70A" w14:textId="77777777" w:rsidR="005158F5" w:rsidRPr="007E770D" w:rsidRDefault="005158F5" w:rsidP="00E4657F">
            <w:pPr>
              <w:ind w:left="113"/>
              <w:jc w:val="left"/>
              <w:rPr>
                <w:rFonts w:eastAsia="Calibri" w:cstheme="minorHAnsi"/>
                <w:color w:val="auto"/>
                <w:sz w:val="18"/>
                <w:szCs w:val="18"/>
                <w:lang w:val="sr-Cyrl-CS"/>
              </w:rPr>
            </w:pPr>
            <w:r w:rsidRPr="007E770D">
              <w:rPr>
                <w:rFonts w:eastAsia="Calibri" w:cstheme="minorHAnsi"/>
                <w:color w:val="auto"/>
                <w:sz w:val="18"/>
                <w:szCs w:val="18"/>
                <w:lang w:val="sr-Cyrl-CS"/>
              </w:rPr>
              <w:t>Инвестиције у фиксни капитал</w:t>
            </w:r>
          </w:p>
        </w:tc>
        <w:tc>
          <w:tcPr>
            <w:tcW w:w="682" w:type="pct"/>
            <w:noWrap/>
            <w:vAlign w:val="center"/>
            <w:hideMark/>
          </w:tcPr>
          <w:p w14:paraId="26F10387"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8,8</w:t>
            </w:r>
          </w:p>
        </w:tc>
        <w:tc>
          <w:tcPr>
            <w:tcW w:w="683" w:type="pct"/>
            <w:noWrap/>
            <w:vAlign w:val="center"/>
            <w:hideMark/>
          </w:tcPr>
          <w:p w14:paraId="0721267E"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6,4</w:t>
            </w:r>
          </w:p>
        </w:tc>
        <w:tc>
          <w:tcPr>
            <w:tcW w:w="682" w:type="pct"/>
            <w:noWrap/>
            <w:vAlign w:val="center"/>
            <w:hideMark/>
          </w:tcPr>
          <w:p w14:paraId="1DCE5816"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5,4</w:t>
            </w:r>
          </w:p>
        </w:tc>
        <w:tc>
          <w:tcPr>
            <w:tcW w:w="683" w:type="pct"/>
            <w:noWrap/>
            <w:vAlign w:val="center"/>
            <w:hideMark/>
          </w:tcPr>
          <w:p w14:paraId="10161332"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5,7</w:t>
            </w:r>
          </w:p>
        </w:tc>
      </w:tr>
      <w:tr w:rsidR="007E770D" w:rsidRPr="007E770D" w14:paraId="63C36FCC" w14:textId="77777777" w:rsidTr="00E4657F">
        <w:trPr>
          <w:trHeight w:val="281"/>
          <w:jc w:val="center"/>
        </w:trPr>
        <w:tc>
          <w:tcPr>
            <w:tcW w:w="2269" w:type="pct"/>
            <w:noWrap/>
            <w:vAlign w:val="center"/>
            <w:hideMark/>
          </w:tcPr>
          <w:p w14:paraId="0B147DA4" w14:textId="77777777" w:rsidR="005158F5" w:rsidRPr="007E770D" w:rsidRDefault="005158F5" w:rsidP="00E4657F">
            <w:pPr>
              <w:ind w:left="113"/>
              <w:jc w:val="left"/>
              <w:rPr>
                <w:rFonts w:eastAsia="Calibri" w:cstheme="minorHAnsi"/>
                <w:color w:val="auto"/>
                <w:sz w:val="18"/>
                <w:szCs w:val="18"/>
                <w:lang w:val="sr-Cyrl-CS"/>
              </w:rPr>
            </w:pPr>
            <w:r w:rsidRPr="007E770D">
              <w:rPr>
                <w:rFonts w:eastAsia="Calibri" w:cstheme="minorHAnsi"/>
                <w:color w:val="auto"/>
                <w:sz w:val="18"/>
                <w:szCs w:val="18"/>
                <w:lang w:val="sr-Cyrl-CS"/>
              </w:rPr>
              <w:t>Промена залиха као % БДП</w:t>
            </w:r>
          </w:p>
        </w:tc>
        <w:tc>
          <w:tcPr>
            <w:tcW w:w="682" w:type="pct"/>
            <w:noWrap/>
            <w:vAlign w:val="center"/>
            <w:hideMark/>
          </w:tcPr>
          <w:p w14:paraId="2C24BBF8"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0,0</w:t>
            </w:r>
          </w:p>
        </w:tc>
        <w:tc>
          <w:tcPr>
            <w:tcW w:w="683" w:type="pct"/>
            <w:noWrap/>
            <w:vAlign w:val="center"/>
            <w:hideMark/>
          </w:tcPr>
          <w:p w14:paraId="184BE633"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0,0</w:t>
            </w:r>
          </w:p>
        </w:tc>
        <w:tc>
          <w:tcPr>
            <w:tcW w:w="682" w:type="pct"/>
            <w:noWrap/>
            <w:vAlign w:val="center"/>
            <w:hideMark/>
          </w:tcPr>
          <w:p w14:paraId="32CAE27C"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0,0</w:t>
            </w:r>
          </w:p>
        </w:tc>
        <w:tc>
          <w:tcPr>
            <w:tcW w:w="683" w:type="pct"/>
            <w:noWrap/>
            <w:vAlign w:val="center"/>
            <w:hideMark/>
          </w:tcPr>
          <w:p w14:paraId="2C5F6C1D"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0,0</w:t>
            </w:r>
          </w:p>
        </w:tc>
      </w:tr>
      <w:tr w:rsidR="007E770D" w:rsidRPr="007E770D" w14:paraId="2E01128F" w14:textId="77777777" w:rsidTr="00E4657F">
        <w:trPr>
          <w:trHeight w:val="281"/>
          <w:jc w:val="center"/>
        </w:trPr>
        <w:tc>
          <w:tcPr>
            <w:tcW w:w="2269" w:type="pct"/>
            <w:noWrap/>
            <w:vAlign w:val="center"/>
            <w:hideMark/>
          </w:tcPr>
          <w:p w14:paraId="5BA4C817" w14:textId="77777777" w:rsidR="005158F5" w:rsidRPr="007E770D" w:rsidRDefault="005158F5" w:rsidP="00E4657F">
            <w:pPr>
              <w:ind w:left="113"/>
              <w:jc w:val="left"/>
              <w:rPr>
                <w:rFonts w:eastAsia="Calibri" w:cstheme="minorHAnsi"/>
                <w:color w:val="auto"/>
                <w:sz w:val="18"/>
                <w:szCs w:val="18"/>
                <w:lang w:val="sr-Cyrl-CS"/>
              </w:rPr>
            </w:pPr>
            <w:r w:rsidRPr="007E770D">
              <w:rPr>
                <w:rFonts w:eastAsia="Calibri" w:cstheme="minorHAnsi"/>
                <w:color w:val="auto"/>
                <w:sz w:val="18"/>
                <w:szCs w:val="18"/>
                <w:lang w:val="sr-Cyrl-CS"/>
              </w:rPr>
              <w:t>Извоз робе и услуга</w:t>
            </w:r>
          </w:p>
        </w:tc>
        <w:tc>
          <w:tcPr>
            <w:tcW w:w="682" w:type="pct"/>
            <w:noWrap/>
            <w:vAlign w:val="center"/>
            <w:hideMark/>
          </w:tcPr>
          <w:p w14:paraId="5B9CF22C"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8,6</w:t>
            </w:r>
          </w:p>
        </w:tc>
        <w:tc>
          <w:tcPr>
            <w:tcW w:w="683" w:type="pct"/>
            <w:noWrap/>
            <w:vAlign w:val="center"/>
            <w:hideMark/>
          </w:tcPr>
          <w:p w14:paraId="2F035754"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8,1</w:t>
            </w:r>
          </w:p>
        </w:tc>
        <w:tc>
          <w:tcPr>
            <w:tcW w:w="682" w:type="pct"/>
            <w:noWrap/>
            <w:vAlign w:val="center"/>
            <w:hideMark/>
          </w:tcPr>
          <w:p w14:paraId="2E3A0716"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8,4</w:t>
            </w:r>
          </w:p>
        </w:tc>
        <w:tc>
          <w:tcPr>
            <w:tcW w:w="683" w:type="pct"/>
            <w:noWrap/>
            <w:vAlign w:val="center"/>
            <w:hideMark/>
          </w:tcPr>
          <w:p w14:paraId="032E9B1B"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8,4</w:t>
            </w:r>
          </w:p>
        </w:tc>
      </w:tr>
      <w:tr w:rsidR="007E770D" w:rsidRPr="007E770D" w14:paraId="7B432829" w14:textId="77777777" w:rsidTr="00E4657F">
        <w:trPr>
          <w:trHeight w:val="281"/>
          <w:jc w:val="center"/>
        </w:trPr>
        <w:tc>
          <w:tcPr>
            <w:tcW w:w="2269" w:type="pct"/>
            <w:noWrap/>
            <w:vAlign w:val="center"/>
          </w:tcPr>
          <w:p w14:paraId="7A31B0D2" w14:textId="77777777" w:rsidR="005158F5" w:rsidRPr="007E770D" w:rsidRDefault="005158F5" w:rsidP="00E4657F">
            <w:pPr>
              <w:ind w:left="113"/>
              <w:jc w:val="left"/>
              <w:rPr>
                <w:rFonts w:eastAsia="Calibri" w:cstheme="minorHAnsi"/>
                <w:color w:val="auto"/>
                <w:sz w:val="18"/>
                <w:szCs w:val="18"/>
                <w:lang w:val="sr-Cyrl-CS"/>
              </w:rPr>
            </w:pPr>
            <w:r w:rsidRPr="007E770D">
              <w:rPr>
                <w:rFonts w:eastAsia="Calibri" w:cstheme="minorHAnsi"/>
                <w:bCs/>
                <w:color w:val="auto"/>
                <w:sz w:val="18"/>
                <w:szCs w:val="18"/>
                <w:lang w:val="sr-Cyrl-CS"/>
              </w:rPr>
              <w:t>Увоз робе и услуга</w:t>
            </w:r>
          </w:p>
        </w:tc>
        <w:tc>
          <w:tcPr>
            <w:tcW w:w="682" w:type="pct"/>
            <w:noWrap/>
            <w:vAlign w:val="center"/>
          </w:tcPr>
          <w:p w14:paraId="5F5953F6" w14:textId="77777777" w:rsidR="005158F5" w:rsidRPr="007E770D" w:rsidRDefault="005158F5" w:rsidP="00E4657F">
            <w:pPr>
              <w:jc w:val="center"/>
              <w:rPr>
                <w:color w:val="auto"/>
                <w:sz w:val="18"/>
                <w:szCs w:val="18"/>
                <w:lang w:val="sr-Cyrl-CS"/>
              </w:rPr>
            </w:pPr>
            <w:r w:rsidRPr="007E770D">
              <w:rPr>
                <w:color w:val="auto"/>
                <w:sz w:val="18"/>
                <w:szCs w:val="18"/>
                <w:lang w:val="sr-Cyrl-CS"/>
              </w:rPr>
              <w:t>9,6</w:t>
            </w:r>
          </w:p>
        </w:tc>
        <w:tc>
          <w:tcPr>
            <w:tcW w:w="683" w:type="pct"/>
            <w:noWrap/>
            <w:vAlign w:val="center"/>
          </w:tcPr>
          <w:p w14:paraId="00F6DEF6" w14:textId="77777777" w:rsidR="005158F5" w:rsidRPr="007E770D" w:rsidRDefault="005158F5" w:rsidP="00E4657F">
            <w:pPr>
              <w:jc w:val="center"/>
              <w:rPr>
                <w:color w:val="auto"/>
                <w:sz w:val="18"/>
                <w:szCs w:val="18"/>
                <w:lang w:val="sr-Cyrl-CS"/>
              </w:rPr>
            </w:pPr>
            <w:r w:rsidRPr="007E770D">
              <w:rPr>
                <w:color w:val="auto"/>
                <w:sz w:val="18"/>
                <w:szCs w:val="18"/>
                <w:lang w:val="sr-Cyrl-CS"/>
              </w:rPr>
              <w:t>7,4</w:t>
            </w:r>
          </w:p>
        </w:tc>
        <w:tc>
          <w:tcPr>
            <w:tcW w:w="682" w:type="pct"/>
            <w:noWrap/>
            <w:vAlign w:val="center"/>
          </w:tcPr>
          <w:p w14:paraId="19D427A3" w14:textId="77777777" w:rsidR="005158F5" w:rsidRPr="007E770D" w:rsidRDefault="005158F5" w:rsidP="00E4657F">
            <w:pPr>
              <w:jc w:val="center"/>
              <w:rPr>
                <w:color w:val="auto"/>
                <w:sz w:val="18"/>
                <w:szCs w:val="18"/>
                <w:lang w:val="sr-Cyrl-CS"/>
              </w:rPr>
            </w:pPr>
            <w:r w:rsidRPr="007E770D">
              <w:rPr>
                <w:color w:val="auto"/>
                <w:sz w:val="18"/>
                <w:szCs w:val="18"/>
                <w:lang w:val="sr-Cyrl-CS"/>
              </w:rPr>
              <w:t>7,1</w:t>
            </w:r>
          </w:p>
        </w:tc>
        <w:tc>
          <w:tcPr>
            <w:tcW w:w="683" w:type="pct"/>
            <w:noWrap/>
            <w:vAlign w:val="center"/>
          </w:tcPr>
          <w:p w14:paraId="7B014864" w14:textId="77777777" w:rsidR="005158F5" w:rsidRPr="007E770D" w:rsidRDefault="005158F5" w:rsidP="00E4657F">
            <w:pPr>
              <w:jc w:val="center"/>
              <w:rPr>
                <w:color w:val="auto"/>
                <w:sz w:val="18"/>
                <w:szCs w:val="18"/>
                <w:lang w:val="sr-Cyrl-CS"/>
              </w:rPr>
            </w:pPr>
            <w:r w:rsidRPr="007E770D">
              <w:rPr>
                <w:color w:val="auto"/>
                <w:sz w:val="18"/>
                <w:szCs w:val="18"/>
                <w:lang w:val="sr-Cyrl-CS"/>
              </w:rPr>
              <w:t>7,2</w:t>
            </w:r>
          </w:p>
        </w:tc>
      </w:tr>
      <w:tr w:rsidR="007E770D" w:rsidRPr="007E770D" w14:paraId="19FA79D8" w14:textId="77777777" w:rsidTr="00E4657F">
        <w:trPr>
          <w:trHeight w:val="281"/>
          <w:jc w:val="center"/>
        </w:trPr>
        <w:tc>
          <w:tcPr>
            <w:tcW w:w="2269" w:type="pct"/>
            <w:shd w:val="clear" w:color="auto" w:fill="E7E6E6" w:themeFill="background2"/>
            <w:noWrap/>
            <w:vAlign w:val="center"/>
            <w:hideMark/>
          </w:tcPr>
          <w:p w14:paraId="5A68B0D8" w14:textId="77777777" w:rsidR="005158F5" w:rsidRPr="007E770D" w:rsidRDefault="005158F5" w:rsidP="00E4657F">
            <w:pPr>
              <w:jc w:val="left"/>
              <w:rPr>
                <w:rFonts w:eastAsia="Calibri" w:cstheme="minorHAnsi"/>
                <w:bCs/>
                <w:iCs/>
                <w:color w:val="auto"/>
                <w:sz w:val="18"/>
                <w:szCs w:val="18"/>
                <w:lang w:val="sr-Cyrl-CS"/>
              </w:rPr>
            </w:pPr>
            <w:r w:rsidRPr="007E770D">
              <w:rPr>
                <w:rFonts w:eastAsia="Calibri" w:cstheme="minorHAnsi"/>
                <w:iCs/>
                <w:color w:val="auto"/>
                <w:sz w:val="18"/>
                <w:szCs w:val="18"/>
                <w:lang w:val="sr-Cyrl-CS"/>
              </w:rPr>
              <w:t>Допринос расту БДП</w:t>
            </w:r>
            <w:r w:rsidRPr="007E770D">
              <w:rPr>
                <w:rFonts w:eastAsia="Calibri" w:cstheme="minorHAnsi"/>
                <w:bCs/>
                <w:iCs/>
                <w:color w:val="auto"/>
                <w:sz w:val="18"/>
                <w:szCs w:val="18"/>
                <w:lang w:val="sr-Cyrl-CS"/>
              </w:rPr>
              <w:t>, процентни поени</w:t>
            </w:r>
          </w:p>
        </w:tc>
        <w:tc>
          <w:tcPr>
            <w:tcW w:w="682" w:type="pct"/>
            <w:shd w:val="clear" w:color="auto" w:fill="E7E6E6" w:themeFill="background2"/>
            <w:noWrap/>
            <w:vAlign w:val="center"/>
            <w:hideMark/>
          </w:tcPr>
          <w:p w14:paraId="7D55235C" w14:textId="77777777" w:rsidR="005158F5" w:rsidRPr="007E770D" w:rsidRDefault="005158F5" w:rsidP="00E4657F">
            <w:pPr>
              <w:jc w:val="center"/>
              <w:rPr>
                <w:rFonts w:eastAsia="Calibri" w:cstheme="minorHAnsi"/>
                <w:iCs/>
                <w:color w:val="auto"/>
                <w:sz w:val="18"/>
                <w:szCs w:val="18"/>
                <w:lang w:val="sr-Cyrl-CS"/>
              </w:rPr>
            </w:pPr>
          </w:p>
        </w:tc>
        <w:tc>
          <w:tcPr>
            <w:tcW w:w="683" w:type="pct"/>
            <w:shd w:val="clear" w:color="auto" w:fill="E7E6E6" w:themeFill="background2"/>
            <w:noWrap/>
            <w:vAlign w:val="center"/>
            <w:hideMark/>
          </w:tcPr>
          <w:p w14:paraId="463A78E8" w14:textId="77777777" w:rsidR="005158F5" w:rsidRPr="007E770D" w:rsidRDefault="005158F5" w:rsidP="00E4657F">
            <w:pPr>
              <w:jc w:val="center"/>
              <w:rPr>
                <w:rFonts w:eastAsia="Calibri" w:cstheme="minorHAnsi"/>
                <w:color w:val="auto"/>
                <w:sz w:val="18"/>
                <w:szCs w:val="18"/>
                <w:lang w:val="sr-Cyrl-CS"/>
              </w:rPr>
            </w:pPr>
          </w:p>
        </w:tc>
        <w:tc>
          <w:tcPr>
            <w:tcW w:w="682" w:type="pct"/>
            <w:shd w:val="clear" w:color="auto" w:fill="E7E6E6" w:themeFill="background2"/>
            <w:noWrap/>
            <w:vAlign w:val="center"/>
            <w:hideMark/>
          </w:tcPr>
          <w:p w14:paraId="4C3D391E" w14:textId="77777777" w:rsidR="005158F5" w:rsidRPr="007E770D" w:rsidRDefault="005158F5" w:rsidP="00E4657F">
            <w:pPr>
              <w:jc w:val="center"/>
              <w:rPr>
                <w:rFonts w:eastAsia="Calibri" w:cstheme="minorHAnsi"/>
                <w:color w:val="auto"/>
                <w:sz w:val="18"/>
                <w:szCs w:val="18"/>
                <w:lang w:val="sr-Cyrl-CS"/>
              </w:rPr>
            </w:pPr>
          </w:p>
        </w:tc>
        <w:tc>
          <w:tcPr>
            <w:tcW w:w="683" w:type="pct"/>
            <w:shd w:val="clear" w:color="auto" w:fill="E7E6E6" w:themeFill="background2"/>
            <w:noWrap/>
            <w:vAlign w:val="center"/>
            <w:hideMark/>
          </w:tcPr>
          <w:p w14:paraId="63C50FC2" w14:textId="77777777" w:rsidR="005158F5" w:rsidRPr="007E770D" w:rsidRDefault="005158F5" w:rsidP="00E4657F">
            <w:pPr>
              <w:jc w:val="center"/>
              <w:rPr>
                <w:rFonts w:eastAsia="Calibri" w:cstheme="minorHAnsi"/>
                <w:color w:val="auto"/>
                <w:sz w:val="18"/>
                <w:szCs w:val="18"/>
                <w:lang w:val="sr-Cyrl-CS"/>
              </w:rPr>
            </w:pPr>
          </w:p>
        </w:tc>
      </w:tr>
      <w:tr w:rsidR="007E770D" w:rsidRPr="007E770D" w14:paraId="667EDDD5" w14:textId="77777777" w:rsidTr="00E4657F">
        <w:trPr>
          <w:trHeight w:val="281"/>
          <w:jc w:val="center"/>
        </w:trPr>
        <w:tc>
          <w:tcPr>
            <w:tcW w:w="2269" w:type="pct"/>
            <w:noWrap/>
            <w:vAlign w:val="center"/>
            <w:hideMark/>
          </w:tcPr>
          <w:p w14:paraId="39210A51" w14:textId="77777777" w:rsidR="005158F5" w:rsidRPr="007E770D" w:rsidRDefault="005158F5" w:rsidP="00E4657F">
            <w:pPr>
              <w:ind w:left="113"/>
              <w:jc w:val="left"/>
              <w:rPr>
                <w:rFonts w:eastAsia="Calibri" w:cstheme="minorHAnsi"/>
                <w:color w:val="auto"/>
                <w:sz w:val="18"/>
                <w:szCs w:val="18"/>
                <w:lang w:val="sr-Cyrl-CS"/>
              </w:rPr>
            </w:pPr>
            <w:r w:rsidRPr="007E770D">
              <w:rPr>
                <w:rFonts w:eastAsia="Calibri" w:cstheme="minorHAnsi"/>
                <w:color w:val="auto"/>
                <w:sz w:val="18"/>
                <w:szCs w:val="18"/>
                <w:lang w:val="sr-Cyrl-CS"/>
              </w:rPr>
              <w:t>Домаћа тражња</w:t>
            </w:r>
          </w:p>
        </w:tc>
        <w:tc>
          <w:tcPr>
            <w:tcW w:w="682" w:type="pct"/>
            <w:noWrap/>
            <w:vAlign w:val="center"/>
          </w:tcPr>
          <w:p w14:paraId="43959DC4"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5,0</w:t>
            </w:r>
          </w:p>
        </w:tc>
        <w:tc>
          <w:tcPr>
            <w:tcW w:w="683" w:type="pct"/>
            <w:noWrap/>
            <w:vAlign w:val="center"/>
          </w:tcPr>
          <w:p w14:paraId="5DD247F6"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4,4</w:t>
            </w:r>
          </w:p>
        </w:tc>
        <w:tc>
          <w:tcPr>
            <w:tcW w:w="682" w:type="pct"/>
            <w:noWrap/>
            <w:vAlign w:val="center"/>
          </w:tcPr>
          <w:p w14:paraId="671F8773"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4,0</w:t>
            </w:r>
          </w:p>
        </w:tc>
        <w:tc>
          <w:tcPr>
            <w:tcW w:w="683" w:type="pct"/>
            <w:noWrap/>
            <w:vAlign w:val="center"/>
          </w:tcPr>
          <w:p w14:paraId="3F9C33E0"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4,0</w:t>
            </w:r>
          </w:p>
        </w:tc>
      </w:tr>
      <w:tr w:rsidR="007E770D" w:rsidRPr="007E770D" w14:paraId="378C359B" w14:textId="77777777" w:rsidTr="00E4657F">
        <w:trPr>
          <w:trHeight w:val="281"/>
          <w:jc w:val="center"/>
        </w:trPr>
        <w:tc>
          <w:tcPr>
            <w:tcW w:w="2269" w:type="pct"/>
            <w:noWrap/>
            <w:vAlign w:val="center"/>
            <w:hideMark/>
          </w:tcPr>
          <w:p w14:paraId="2C111CD5" w14:textId="77777777" w:rsidR="005158F5" w:rsidRPr="007E770D" w:rsidRDefault="005158F5" w:rsidP="00E4657F">
            <w:pPr>
              <w:ind w:left="113"/>
              <w:jc w:val="left"/>
              <w:rPr>
                <w:rFonts w:eastAsia="Calibri" w:cstheme="minorHAnsi"/>
                <w:color w:val="auto"/>
                <w:sz w:val="18"/>
                <w:szCs w:val="18"/>
                <w:lang w:val="sr-Cyrl-CS"/>
              </w:rPr>
            </w:pPr>
            <w:r w:rsidRPr="007E770D">
              <w:rPr>
                <w:rFonts w:eastAsia="Calibri" w:cstheme="minorHAnsi"/>
                <w:color w:val="auto"/>
                <w:sz w:val="18"/>
                <w:szCs w:val="18"/>
                <w:lang w:val="sr-Cyrl-CS"/>
              </w:rPr>
              <w:t>Инвестициона потрошња</w:t>
            </w:r>
          </w:p>
        </w:tc>
        <w:tc>
          <w:tcPr>
            <w:tcW w:w="682" w:type="pct"/>
            <w:noWrap/>
            <w:vAlign w:val="center"/>
            <w:hideMark/>
          </w:tcPr>
          <w:p w14:paraId="278BD2CD"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1,9</w:t>
            </w:r>
          </w:p>
        </w:tc>
        <w:tc>
          <w:tcPr>
            <w:tcW w:w="683" w:type="pct"/>
            <w:noWrap/>
            <w:vAlign w:val="center"/>
            <w:hideMark/>
          </w:tcPr>
          <w:p w14:paraId="3A22B786"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1,5</w:t>
            </w:r>
          </w:p>
        </w:tc>
        <w:tc>
          <w:tcPr>
            <w:tcW w:w="682" w:type="pct"/>
            <w:noWrap/>
            <w:vAlign w:val="center"/>
            <w:hideMark/>
          </w:tcPr>
          <w:p w14:paraId="60E75A3B"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1,3</w:t>
            </w:r>
          </w:p>
        </w:tc>
        <w:tc>
          <w:tcPr>
            <w:tcW w:w="683" w:type="pct"/>
            <w:noWrap/>
            <w:vAlign w:val="center"/>
            <w:hideMark/>
          </w:tcPr>
          <w:p w14:paraId="267D7F5F"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1,4</w:t>
            </w:r>
          </w:p>
        </w:tc>
      </w:tr>
      <w:tr w:rsidR="007E770D" w:rsidRPr="007E770D" w14:paraId="5D5F0E17" w14:textId="77777777" w:rsidTr="00E4657F">
        <w:trPr>
          <w:trHeight w:val="281"/>
          <w:jc w:val="center"/>
        </w:trPr>
        <w:tc>
          <w:tcPr>
            <w:tcW w:w="2269" w:type="pct"/>
            <w:noWrap/>
            <w:vAlign w:val="center"/>
            <w:hideMark/>
          </w:tcPr>
          <w:p w14:paraId="18F149D6" w14:textId="77777777" w:rsidR="005158F5" w:rsidRPr="007E770D" w:rsidRDefault="005158F5" w:rsidP="00E4657F">
            <w:pPr>
              <w:ind w:left="113"/>
              <w:jc w:val="left"/>
              <w:rPr>
                <w:rFonts w:eastAsia="Calibri" w:cstheme="minorHAnsi"/>
                <w:color w:val="auto"/>
                <w:sz w:val="18"/>
                <w:szCs w:val="18"/>
                <w:lang w:val="sr-Cyrl-CS"/>
              </w:rPr>
            </w:pPr>
            <w:r w:rsidRPr="007E770D">
              <w:rPr>
                <w:rFonts w:eastAsia="Calibri" w:cstheme="minorHAnsi"/>
                <w:color w:val="auto"/>
                <w:sz w:val="18"/>
                <w:szCs w:val="18"/>
                <w:lang w:val="sr-Cyrl-CS"/>
              </w:rPr>
              <w:t>Лична потрошња</w:t>
            </w:r>
          </w:p>
        </w:tc>
        <w:tc>
          <w:tcPr>
            <w:tcW w:w="682" w:type="pct"/>
            <w:noWrap/>
            <w:vAlign w:val="center"/>
            <w:hideMark/>
          </w:tcPr>
          <w:p w14:paraId="7BAA5800"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2,4</w:t>
            </w:r>
          </w:p>
        </w:tc>
        <w:tc>
          <w:tcPr>
            <w:tcW w:w="683" w:type="pct"/>
            <w:noWrap/>
            <w:vAlign w:val="center"/>
            <w:hideMark/>
          </w:tcPr>
          <w:p w14:paraId="50FF0038"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2,7</w:t>
            </w:r>
          </w:p>
        </w:tc>
        <w:tc>
          <w:tcPr>
            <w:tcW w:w="682" w:type="pct"/>
            <w:noWrap/>
            <w:vAlign w:val="center"/>
            <w:hideMark/>
          </w:tcPr>
          <w:p w14:paraId="61B846DF"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2,5</w:t>
            </w:r>
          </w:p>
        </w:tc>
        <w:tc>
          <w:tcPr>
            <w:tcW w:w="683" w:type="pct"/>
            <w:noWrap/>
            <w:vAlign w:val="center"/>
            <w:hideMark/>
          </w:tcPr>
          <w:p w14:paraId="7583D3BE"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2,5</w:t>
            </w:r>
          </w:p>
        </w:tc>
      </w:tr>
      <w:tr w:rsidR="007E770D" w:rsidRPr="007E770D" w14:paraId="7936EB82" w14:textId="77777777" w:rsidTr="00E4657F">
        <w:trPr>
          <w:trHeight w:val="281"/>
          <w:jc w:val="center"/>
        </w:trPr>
        <w:tc>
          <w:tcPr>
            <w:tcW w:w="2269" w:type="pct"/>
            <w:noWrap/>
            <w:vAlign w:val="center"/>
            <w:hideMark/>
          </w:tcPr>
          <w:p w14:paraId="22AC821E" w14:textId="77777777" w:rsidR="005158F5" w:rsidRPr="007E770D" w:rsidRDefault="005158F5" w:rsidP="00E4657F">
            <w:pPr>
              <w:ind w:left="113"/>
              <w:jc w:val="left"/>
              <w:rPr>
                <w:rFonts w:eastAsia="Calibri" w:cstheme="minorHAnsi"/>
                <w:color w:val="auto"/>
                <w:sz w:val="18"/>
                <w:szCs w:val="18"/>
                <w:lang w:val="sr-Cyrl-CS"/>
              </w:rPr>
            </w:pPr>
            <w:r w:rsidRPr="007E770D">
              <w:rPr>
                <w:rFonts w:eastAsia="Calibri" w:cstheme="minorHAnsi"/>
                <w:color w:val="auto"/>
                <w:sz w:val="18"/>
                <w:szCs w:val="18"/>
                <w:lang w:val="sr-Cyrl-CS"/>
              </w:rPr>
              <w:t>Државна потрошња</w:t>
            </w:r>
          </w:p>
        </w:tc>
        <w:tc>
          <w:tcPr>
            <w:tcW w:w="682" w:type="pct"/>
            <w:noWrap/>
            <w:vAlign w:val="center"/>
            <w:hideMark/>
          </w:tcPr>
          <w:p w14:paraId="4F0872BE"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0,7</w:t>
            </w:r>
          </w:p>
        </w:tc>
        <w:tc>
          <w:tcPr>
            <w:tcW w:w="683" w:type="pct"/>
            <w:noWrap/>
            <w:vAlign w:val="center"/>
            <w:hideMark/>
          </w:tcPr>
          <w:p w14:paraId="1226C58F"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0,3</w:t>
            </w:r>
          </w:p>
        </w:tc>
        <w:tc>
          <w:tcPr>
            <w:tcW w:w="682" w:type="pct"/>
            <w:noWrap/>
            <w:vAlign w:val="center"/>
            <w:hideMark/>
          </w:tcPr>
          <w:p w14:paraId="7475ACF4"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0,2</w:t>
            </w:r>
          </w:p>
        </w:tc>
        <w:tc>
          <w:tcPr>
            <w:tcW w:w="683" w:type="pct"/>
            <w:noWrap/>
            <w:vAlign w:val="center"/>
            <w:hideMark/>
          </w:tcPr>
          <w:p w14:paraId="6178FAB5"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0,1</w:t>
            </w:r>
          </w:p>
        </w:tc>
      </w:tr>
      <w:tr w:rsidR="007E770D" w:rsidRPr="007E770D" w14:paraId="3E1B0BC2" w14:textId="77777777" w:rsidTr="00E4657F">
        <w:trPr>
          <w:trHeight w:val="281"/>
          <w:jc w:val="center"/>
        </w:trPr>
        <w:tc>
          <w:tcPr>
            <w:tcW w:w="2269" w:type="pct"/>
            <w:vAlign w:val="center"/>
            <w:hideMark/>
          </w:tcPr>
          <w:p w14:paraId="4AF5E0CC" w14:textId="77777777" w:rsidR="005158F5" w:rsidRPr="007E770D" w:rsidRDefault="005158F5" w:rsidP="00E4657F">
            <w:pPr>
              <w:ind w:left="113"/>
              <w:jc w:val="left"/>
              <w:rPr>
                <w:rFonts w:eastAsia="Calibri" w:cstheme="minorHAnsi"/>
                <w:color w:val="auto"/>
                <w:sz w:val="18"/>
                <w:szCs w:val="18"/>
                <w:lang w:val="sr-Cyrl-CS"/>
              </w:rPr>
            </w:pPr>
            <w:r w:rsidRPr="007E770D">
              <w:rPr>
                <w:rFonts w:eastAsia="Calibri" w:cstheme="minorHAnsi"/>
                <w:color w:val="auto"/>
                <w:sz w:val="18"/>
                <w:szCs w:val="18"/>
                <w:lang w:val="sr-Cyrl-CS"/>
              </w:rPr>
              <w:t>Промена у залихама</w:t>
            </w:r>
          </w:p>
        </w:tc>
        <w:tc>
          <w:tcPr>
            <w:tcW w:w="682" w:type="pct"/>
            <w:noWrap/>
            <w:vAlign w:val="center"/>
            <w:hideMark/>
          </w:tcPr>
          <w:p w14:paraId="55BDD4A4"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0,0</w:t>
            </w:r>
          </w:p>
        </w:tc>
        <w:tc>
          <w:tcPr>
            <w:tcW w:w="683" w:type="pct"/>
            <w:noWrap/>
            <w:vAlign w:val="center"/>
            <w:hideMark/>
          </w:tcPr>
          <w:p w14:paraId="6E936BF2"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0,0</w:t>
            </w:r>
          </w:p>
        </w:tc>
        <w:tc>
          <w:tcPr>
            <w:tcW w:w="682" w:type="pct"/>
            <w:noWrap/>
            <w:vAlign w:val="center"/>
            <w:hideMark/>
          </w:tcPr>
          <w:p w14:paraId="28A110FC"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0,0</w:t>
            </w:r>
          </w:p>
        </w:tc>
        <w:tc>
          <w:tcPr>
            <w:tcW w:w="683" w:type="pct"/>
            <w:noWrap/>
            <w:vAlign w:val="center"/>
            <w:hideMark/>
          </w:tcPr>
          <w:p w14:paraId="461566F1"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0,0</w:t>
            </w:r>
          </w:p>
        </w:tc>
      </w:tr>
      <w:tr w:rsidR="007E770D" w:rsidRPr="007E770D" w14:paraId="0BAF9C25" w14:textId="77777777" w:rsidTr="00E4657F">
        <w:trPr>
          <w:trHeight w:val="281"/>
          <w:jc w:val="center"/>
        </w:trPr>
        <w:tc>
          <w:tcPr>
            <w:tcW w:w="2269" w:type="pct"/>
            <w:noWrap/>
            <w:vAlign w:val="center"/>
            <w:hideMark/>
          </w:tcPr>
          <w:p w14:paraId="2E9EF402" w14:textId="77777777" w:rsidR="005158F5" w:rsidRPr="007E770D" w:rsidRDefault="005158F5" w:rsidP="00E4657F">
            <w:pPr>
              <w:ind w:left="113"/>
              <w:jc w:val="left"/>
              <w:rPr>
                <w:rFonts w:eastAsia="Calibri" w:cstheme="minorHAnsi"/>
                <w:color w:val="auto"/>
                <w:sz w:val="18"/>
                <w:szCs w:val="18"/>
                <w:lang w:val="sr-Cyrl-CS"/>
              </w:rPr>
            </w:pPr>
            <w:r w:rsidRPr="007E770D">
              <w:rPr>
                <w:rFonts w:eastAsia="Calibri" w:cstheme="minorHAnsi"/>
                <w:color w:val="auto"/>
                <w:sz w:val="18"/>
                <w:szCs w:val="18"/>
                <w:lang w:val="sr-Cyrl-CS"/>
              </w:rPr>
              <w:t>Нето извоз робе и услуга</w:t>
            </w:r>
          </w:p>
        </w:tc>
        <w:tc>
          <w:tcPr>
            <w:tcW w:w="682" w:type="pct"/>
            <w:noWrap/>
            <w:vAlign w:val="center"/>
            <w:hideMark/>
          </w:tcPr>
          <w:p w14:paraId="2303C519"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-1,5</w:t>
            </w:r>
          </w:p>
        </w:tc>
        <w:tc>
          <w:tcPr>
            <w:tcW w:w="683" w:type="pct"/>
            <w:noWrap/>
            <w:vAlign w:val="center"/>
            <w:hideMark/>
          </w:tcPr>
          <w:p w14:paraId="62AD17C9"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-0,4</w:t>
            </w:r>
          </w:p>
        </w:tc>
        <w:tc>
          <w:tcPr>
            <w:tcW w:w="682" w:type="pct"/>
            <w:noWrap/>
            <w:vAlign w:val="center"/>
            <w:hideMark/>
          </w:tcPr>
          <w:p w14:paraId="257673B4"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0,0</w:t>
            </w:r>
          </w:p>
        </w:tc>
        <w:tc>
          <w:tcPr>
            <w:tcW w:w="683" w:type="pct"/>
            <w:noWrap/>
            <w:vAlign w:val="center"/>
            <w:hideMark/>
          </w:tcPr>
          <w:p w14:paraId="4C4199A1"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0,0</w:t>
            </w:r>
          </w:p>
        </w:tc>
      </w:tr>
      <w:tr w:rsidR="007E770D" w:rsidRPr="007E770D" w14:paraId="11F2619B" w14:textId="77777777" w:rsidTr="00E4657F">
        <w:trPr>
          <w:trHeight w:val="281"/>
          <w:jc w:val="center"/>
        </w:trPr>
        <w:tc>
          <w:tcPr>
            <w:tcW w:w="2269" w:type="pct"/>
            <w:shd w:val="clear" w:color="auto" w:fill="E7E6E6" w:themeFill="background2"/>
            <w:noWrap/>
            <w:vAlign w:val="center"/>
            <w:hideMark/>
          </w:tcPr>
          <w:p w14:paraId="6B05E512" w14:textId="77777777" w:rsidR="005158F5" w:rsidRPr="007E770D" w:rsidRDefault="005158F5" w:rsidP="00E4657F">
            <w:pPr>
              <w:jc w:val="left"/>
              <w:rPr>
                <w:rFonts w:eastAsia="Calibri" w:cstheme="minorHAnsi"/>
                <w:bCs/>
                <w:color w:val="auto"/>
                <w:sz w:val="18"/>
                <w:szCs w:val="18"/>
                <w:lang w:val="sr-Cyrl-CS"/>
              </w:rPr>
            </w:pPr>
            <w:r w:rsidRPr="007E770D">
              <w:rPr>
                <w:rFonts w:eastAsia="Calibri" w:cstheme="minorHAnsi"/>
                <w:iCs/>
                <w:color w:val="auto"/>
                <w:sz w:val="18"/>
                <w:szCs w:val="18"/>
                <w:lang w:val="sr-Cyrl-CS"/>
              </w:rPr>
              <w:t>Раст бруто додате вредности делатности, %</w:t>
            </w:r>
          </w:p>
        </w:tc>
        <w:tc>
          <w:tcPr>
            <w:tcW w:w="682" w:type="pct"/>
            <w:shd w:val="clear" w:color="auto" w:fill="E7E6E6" w:themeFill="background2"/>
            <w:vAlign w:val="center"/>
          </w:tcPr>
          <w:p w14:paraId="5C31D521" w14:textId="77777777" w:rsidR="005158F5" w:rsidRPr="007E770D" w:rsidRDefault="005158F5" w:rsidP="00E4657F">
            <w:pPr>
              <w:jc w:val="center"/>
              <w:rPr>
                <w:rFonts w:eastAsia="Calibri" w:cstheme="minorHAnsi"/>
                <w:bCs/>
                <w:color w:val="auto"/>
                <w:sz w:val="18"/>
                <w:szCs w:val="18"/>
                <w:lang w:val="sr-Cyrl-CS"/>
              </w:rPr>
            </w:pPr>
          </w:p>
        </w:tc>
        <w:tc>
          <w:tcPr>
            <w:tcW w:w="683" w:type="pct"/>
            <w:shd w:val="clear" w:color="auto" w:fill="E7E6E6" w:themeFill="background2"/>
            <w:vAlign w:val="center"/>
          </w:tcPr>
          <w:p w14:paraId="7ECA3AE9" w14:textId="77777777" w:rsidR="005158F5" w:rsidRPr="007E770D" w:rsidRDefault="005158F5" w:rsidP="00E4657F">
            <w:pPr>
              <w:jc w:val="center"/>
              <w:rPr>
                <w:rFonts w:eastAsia="Calibri" w:cstheme="minorHAnsi"/>
                <w:bCs/>
                <w:color w:val="auto"/>
                <w:sz w:val="18"/>
                <w:szCs w:val="18"/>
                <w:lang w:val="sr-Cyrl-CS"/>
              </w:rPr>
            </w:pPr>
          </w:p>
        </w:tc>
        <w:tc>
          <w:tcPr>
            <w:tcW w:w="682" w:type="pct"/>
            <w:shd w:val="clear" w:color="auto" w:fill="E7E6E6" w:themeFill="background2"/>
            <w:vAlign w:val="center"/>
          </w:tcPr>
          <w:p w14:paraId="2F42FA60" w14:textId="77777777" w:rsidR="005158F5" w:rsidRPr="007E770D" w:rsidRDefault="005158F5" w:rsidP="00E4657F">
            <w:pPr>
              <w:jc w:val="center"/>
              <w:rPr>
                <w:rFonts w:eastAsia="Calibri" w:cstheme="minorHAnsi"/>
                <w:bCs/>
                <w:color w:val="auto"/>
                <w:sz w:val="18"/>
                <w:szCs w:val="18"/>
                <w:lang w:val="sr-Cyrl-CS"/>
              </w:rPr>
            </w:pPr>
          </w:p>
        </w:tc>
        <w:tc>
          <w:tcPr>
            <w:tcW w:w="683" w:type="pct"/>
            <w:shd w:val="clear" w:color="auto" w:fill="E7E6E6" w:themeFill="background2"/>
            <w:vAlign w:val="center"/>
          </w:tcPr>
          <w:p w14:paraId="378C06EC" w14:textId="77777777" w:rsidR="005158F5" w:rsidRPr="007E770D" w:rsidRDefault="005158F5" w:rsidP="00E4657F">
            <w:pPr>
              <w:jc w:val="center"/>
              <w:rPr>
                <w:rFonts w:eastAsia="Calibri" w:cstheme="minorHAnsi"/>
                <w:bCs/>
                <w:color w:val="auto"/>
                <w:sz w:val="18"/>
                <w:szCs w:val="18"/>
                <w:lang w:val="sr-Cyrl-CS"/>
              </w:rPr>
            </w:pPr>
          </w:p>
        </w:tc>
      </w:tr>
      <w:tr w:rsidR="007E770D" w:rsidRPr="007E770D" w14:paraId="4D1F5B28" w14:textId="77777777" w:rsidTr="00E4657F">
        <w:trPr>
          <w:trHeight w:val="281"/>
          <w:jc w:val="center"/>
        </w:trPr>
        <w:tc>
          <w:tcPr>
            <w:tcW w:w="2269" w:type="pct"/>
            <w:noWrap/>
            <w:vAlign w:val="center"/>
            <w:hideMark/>
          </w:tcPr>
          <w:p w14:paraId="1A9730EE" w14:textId="77777777" w:rsidR="005158F5" w:rsidRPr="007E770D" w:rsidRDefault="005158F5" w:rsidP="00E4657F">
            <w:pPr>
              <w:ind w:left="113"/>
              <w:jc w:val="left"/>
              <w:rPr>
                <w:rFonts w:eastAsia="Calibri" w:cstheme="minorHAnsi"/>
                <w:color w:val="auto"/>
                <w:sz w:val="18"/>
                <w:szCs w:val="18"/>
                <w:lang w:val="sr-Cyrl-CS"/>
              </w:rPr>
            </w:pPr>
            <w:r w:rsidRPr="007E770D">
              <w:rPr>
                <w:rFonts w:eastAsia="Calibri" w:cstheme="minorHAnsi"/>
                <w:color w:val="auto"/>
                <w:sz w:val="18"/>
                <w:szCs w:val="18"/>
                <w:lang w:val="sr-Cyrl-CS"/>
              </w:rPr>
              <w:t>Пољопривреда</w:t>
            </w:r>
          </w:p>
        </w:tc>
        <w:tc>
          <w:tcPr>
            <w:tcW w:w="682" w:type="pct"/>
            <w:noWrap/>
            <w:vAlign w:val="center"/>
          </w:tcPr>
          <w:p w14:paraId="353CE816"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0,0</w:t>
            </w:r>
          </w:p>
        </w:tc>
        <w:tc>
          <w:tcPr>
            <w:tcW w:w="683" w:type="pct"/>
            <w:noWrap/>
            <w:vAlign w:val="center"/>
          </w:tcPr>
          <w:p w14:paraId="7CA074B9"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-2,8</w:t>
            </w:r>
          </w:p>
        </w:tc>
        <w:tc>
          <w:tcPr>
            <w:tcW w:w="682" w:type="pct"/>
            <w:noWrap/>
            <w:vAlign w:val="center"/>
          </w:tcPr>
          <w:p w14:paraId="32AACA27"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0,7</w:t>
            </w:r>
          </w:p>
        </w:tc>
        <w:tc>
          <w:tcPr>
            <w:tcW w:w="683" w:type="pct"/>
            <w:noWrap/>
            <w:vAlign w:val="center"/>
          </w:tcPr>
          <w:p w14:paraId="5D1A1834"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0,6</w:t>
            </w:r>
          </w:p>
        </w:tc>
      </w:tr>
      <w:tr w:rsidR="007E770D" w:rsidRPr="007E770D" w14:paraId="47AE4343" w14:textId="77777777" w:rsidTr="00E4657F">
        <w:trPr>
          <w:trHeight w:val="281"/>
          <w:jc w:val="center"/>
        </w:trPr>
        <w:tc>
          <w:tcPr>
            <w:tcW w:w="2269" w:type="pct"/>
            <w:noWrap/>
            <w:vAlign w:val="center"/>
            <w:hideMark/>
          </w:tcPr>
          <w:p w14:paraId="46F8E652" w14:textId="77777777" w:rsidR="005158F5" w:rsidRPr="007E770D" w:rsidRDefault="005158F5" w:rsidP="00E4657F">
            <w:pPr>
              <w:ind w:left="113"/>
              <w:jc w:val="left"/>
              <w:rPr>
                <w:rFonts w:eastAsia="Calibri" w:cstheme="minorHAnsi"/>
                <w:color w:val="auto"/>
                <w:sz w:val="18"/>
                <w:szCs w:val="18"/>
                <w:lang w:val="sr-Cyrl-CS"/>
              </w:rPr>
            </w:pPr>
            <w:r w:rsidRPr="007E770D">
              <w:rPr>
                <w:rFonts w:eastAsia="Calibri" w:cstheme="minorHAnsi"/>
                <w:color w:val="auto"/>
                <w:sz w:val="18"/>
                <w:szCs w:val="18"/>
                <w:lang w:val="sr-Cyrl-CS"/>
              </w:rPr>
              <w:t>Индустрија</w:t>
            </w:r>
          </w:p>
        </w:tc>
        <w:tc>
          <w:tcPr>
            <w:tcW w:w="682" w:type="pct"/>
            <w:noWrap/>
            <w:vAlign w:val="center"/>
          </w:tcPr>
          <w:p w14:paraId="55A8BAFE"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0,3</w:t>
            </w:r>
          </w:p>
        </w:tc>
        <w:tc>
          <w:tcPr>
            <w:tcW w:w="683" w:type="pct"/>
            <w:noWrap/>
            <w:vAlign w:val="center"/>
          </w:tcPr>
          <w:p w14:paraId="451A8EFF"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4,3</w:t>
            </w:r>
          </w:p>
        </w:tc>
        <w:tc>
          <w:tcPr>
            <w:tcW w:w="682" w:type="pct"/>
            <w:noWrap/>
            <w:vAlign w:val="center"/>
          </w:tcPr>
          <w:p w14:paraId="26EC959E"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4,7</w:t>
            </w:r>
          </w:p>
        </w:tc>
        <w:tc>
          <w:tcPr>
            <w:tcW w:w="683" w:type="pct"/>
            <w:noWrap/>
            <w:vAlign w:val="center"/>
          </w:tcPr>
          <w:p w14:paraId="5D34A517"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4,9</w:t>
            </w:r>
          </w:p>
        </w:tc>
      </w:tr>
      <w:tr w:rsidR="007E770D" w:rsidRPr="007E770D" w14:paraId="521A6EA3" w14:textId="77777777" w:rsidTr="00E4657F">
        <w:trPr>
          <w:trHeight w:val="281"/>
          <w:jc w:val="center"/>
        </w:trPr>
        <w:tc>
          <w:tcPr>
            <w:tcW w:w="2269" w:type="pct"/>
            <w:noWrap/>
            <w:vAlign w:val="center"/>
            <w:hideMark/>
          </w:tcPr>
          <w:p w14:paraId="03574E5D" w14:textId="77777777" w:rsidR="005158F5" w:rsidRPr="007E770D" w:rsidRDefault="005158F5" w:rsidP="00E4657F">
            <w:pPr>
              <w:ind w:left="113"/>
              <w:jc w:val="left"/>
              <w:rPr>
                <w:rFonts w:eastAsia="Calibri" w:cstheme="minorHAnsi"/>
                <w:color w:val="auto"/>
                <w:sz w:val="18"/>
                <w:szCs w:val="18"/>
                <w:lang w:val="sr-Cyrl-CS"/>
              </w:rPr>
            </w:pPr>
            <w:r w:rsidRPr="007E770D">
              <w:rPr>
                <w:rFonts w:eastAsia="Calibri" w:cstheme="minorHAnsi"/>
                <w:color w:val="auto"/>
                <w:sz w:val="18"/>
                <w:szCs w:val="18"/>
                <w:lang w:val="sr-Cyrl-CS"/>
              </w:rPr>
              <w:t>Грађевинарство</w:t>
            </w:r>
          </w:p>
        </w:tc>
        <w:tc>
          <w:tcPr>
            <w:tcW w:w="682" w:type="pct"/>
            <w:noWrap/>
            <w:vAlign w:val="center"/>
          </w:tcPr>
          <w:p w14:paraId="47660446"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18,4</w:t>
            </w:r>
          </w:p>
        </w:tc>
        <w:tc>
          <w:tcPr>
            <w:tcW w:w="683" w:type="pct"/>
            <w:noWrap/>
            <w:vAlign w:val="center"/>
          </w:tcPr>
          <w:p w14:paraId="2FBEDE01"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9,1</w:t>
            </w:r>
          </w:p>
        </w:tc>
        <w:tc>
          <w:tcPr>
            <w:tcW w:w="682" w:type="pct"/>
            <w:noWrap/>
            <w:vAlign w:val="center"/>
          </w:tcPr>
          <w:p w14:paraId="48578768"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6,5</w:t>
            </w:r>
          </w:p>
        </w:tc>
        <w:tc>
          <w:tcPr>
            <w:tcW w:w="683" w:type="pct"/>
            <w:noWrap/>
            <w:vAlign w:val="center"/>
          </w:tcPr>
          <w:p w14:paraId="60F27FB7"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6,0</w:t>
            </w:r>
          </w:p>
        </w:tc>
      </w:tr>
      <w:tr w:rsidR="007E770D" w:rsidRPr="007E770D" w14:paraId="58553C38" w14:textId="77777777" w:rsidTr="00E4657F">
        <w:trPr>
          <w:trHeight w:val="281"/>
          <w:jc w:val="center"/>
        </w:trPr>
        <w:tc>
          <w:tcPr>
            <w:tcW w:w="2269" w:type="pct"/>
            <w:noWrap/>
            <w:vAlign w:val="center"/>
            <w:hideMark/>
          </w:tcPr>
          <w:p w14:paraId="5B135747" w14:textId="77777777" w:rsidR="005158F5" w:rsidRPr="007E770D" w:rsidRDefault="005158F5" w:rsidP="00E4657F">
            <w:pPr>
              <w:ind w:left="113"/>
              <w:jc w:val="left"/>
              <w:rPr>
                <w:rFonts w:eastAsia="Calibri" w:cstheme="minorHAnsi"/>
                <w:color w:val="auto"/>
                <w:sz w:val="18"/>
                <w:szCs w:val="18"/>
                <w:lang w:val="sr-Cyrl-CS"/>
              </w:rPr>
            </w:pPr>
            <w:r w:rsidRPr="007E770D">
              <w:rPr>
                <w:rFonts w:eastAsia="Calibri" w:cstheme="minorHAnsi"/>
                <w:color w:val="auto"/>
                <w:sz w:val="18"/>
                <w:szCs w:val="18"/>
                <w:lang w:val="sr-Cyrl-CS"/>
              </w:rPr>
              <w:t>Услуге</w:t>
            </w:r>
          </w:p>
        </w:tc>
        <w:tc>
          <w:tcPr>
            <w:tcW w:w="682" w:type="pct"/>
            <w:noWrap/>
            <w:vAlign w:val="center"/>
          </w:tcPr>
          <w:p w14:paraId="1008267F"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3,9</w:t>
            </w:r>
          </w:p>
        </w:tc>
        <w:tc>
          <w:tcPr>
            <w:tcW w:w="683" w:type="pct"/>
            <w:noWrap/>
            <w:vAlign w:val="center"/>
          </w:tcPr>
          <w:p w14:paraId="23B9989A"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4,3</w:t>
            </w:r>
          </w:p>
        </w:tc>
        <w:tc>
          <w:tcPr>
            <w:tcW w:w="682" w:type="pct"/>
            <w:noWrap/>
            <w:vAlign w:val="center"/>
          </w:tcPr>
          <w:p w14:paraId="222003D8"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4,1</w:t>
            </w:r>
          </w:p>
        </w:tc>
        <w:tc>
          <w:tcPr>
            <w:tcW w:w="683" w:type="pct"/>
            <w:noWrap/>
            <w:vAlign w:val="center"/>
          </w:tcPr>
          <w:p w14:paraId="41403C47"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4,0</w:t>
            </w:r>
          </w:p>
        </w:tc>
      </w:tr>
      <w:tr w:rsidR="007E770D" w:rsidRPr="007E770D" w14:paraId="61A27D6B" w14:textId="77777777" w:rsidTr="00E4657F">
        <w:trPr>
          <w:trHeight w:val="281"/>
          <w:jc w:val="center"/>
        </w:trPr>
        <w:tc>
          <w:tcPr>
            <w:tcW w:w="2269" w:type="pct"/>
            <w:shd w:val="clear" w:color="auto" w:fill="E7E6E6" w:themeFill="background2"/>
            <w:noWrap/>
            <w:vAlign w:val="center"/>
            <w:hideMark/>
          </w:tcPr>
          <w:p w14:paraId="58F414AC" w14:textId="77777777" w:rsidR="005158F5" w:rsidRPr="007E770D" w:rsidRDefault="005158F5" w:rsidP="00E4657F">
            <w:pPr>
              <w:jc w:val="left"/>
              <w:rPr>
                <w:rFonts w:eastAsia="Calibri" w:cstheme="minorHAnsi"/>
                <w:bCs/>
                <w:color w:val="auto"/>
                <w:sz w:val="18"/>
                <w:szCs w:val="18"/>
                <w:lang w:val="sr-Cyrl-CS"/>
              </w:rPr>
            </w:pPr>
            <w:r w:rsidRPr="007E770D">
              <w:rPr>
                <w:rFonts w:eastAsia="Calibri" w:cstheme="minorHAnsi"/>
                <w:iCs/>
                <w:color w:val="auto"/>
                <w:sz w:val="18"/>
                <w:szCs w:val="18"/>
                <w:lang w:val="sr-Cyrl-CS"/>
              </w:rPr>
              <w:t>Допринос расту БДП, процентни поени</w:t>
            </w:r>
          </w:p>
        </w:tc>
        <w:tc>
          <w:tcPr>
            <w:tcW w:w="682" w:type="pct"/>
            <w:shd w:val="clear" w:color="auto" w:fill="E7E6E6" w:themeFill="background2"/>
            <w:vAlign w:val="center"/>
          </w:tcPr>
          <w:p w14:paraId="26C9ECA4" w14:textId="77777777" w:rsidR="005158F5" w:rsidRPr="007E770D" w:rsidRDefault="005158F5" w:rsidP="00E4657F">
            <w:pPr>
              <w:jc w:val="center"/>
              <w:rPr>
                <w:rFonts w:eastAsia="Calibri" w:cstheme="minorHAnsi"/>
                <w:bCs/>
                <w:color w:val="auto"/>
                <w:sz w:val="18"/>
                <w:szCs w:val="18"/>
                <w:lang w:val="sr-Cyrl-CS"/>
              </w:rPr>
            </w:pPr>
          </w:p>
        </w:tc>
        <w:tc>
          <w:tcPr>
            <w:tcW w:w="683" w:type="pct"/>
            <w:shd w:val="clear" w:color="auto" w:fill="E7E6E6" w:themeFill="background2"/>
            <w:vAlign w:val="center"/>
          </w:tcPr>
          <w:p w14:paraId="2B882778" w14:textId="77777777" w:rsidR="005158F5" w:rsidRPr="007E770D" w:rsidRDefault="005158F5" w:rsidP="00E4657F">
            <w:pPr>
              <w:jc w:val="center"/>
              <w:rPr>
                <w:rFonts w:eastAsia="Calibri" w:cstheme="minorHAnsi"/>
                <w:bCs/>
                <w:color w:val="auto"/>
                <w:sz w:val="18"/>
                <w:szCs w:val="18"/>
                <w:lang w:val="sr-Cyrl-CS"/>
              </w:rPr>
            </w:pPr>
          </w:p>
        </w:tc>
        <w:tc>
          <w:tcPr>
            <w:tcW w:w="682" w:type="pct"/>
            <w:shd w:val="clear" w:color="auto" w:fill="E7E6E6" w:themeFill="background2"/>
            <w:vAlign w:val="center"/>
          </w:tcPr>
          <w:p w14:paraId="215F02E8" w14:textId="77777777" w:rsidR="005158F5" w:rsidRPr="007E770D" w:rsidRDefault="005158F5" w:rsidP="00E4657F">
            <w:pPr>
              <w:jc w:val="center"/>
              <w:rPr>
                <w:rFonts w:eastAsia="Calibri" w:cstheme="minorHAnsi"/>
                <w:bCs/>
                <w:color w:val="auto"/>
                <w:sz w:val="18"/>
                <w:szCs w:val="18"/>
                <w:lang w:val="sr-Cyrl-CS"/>
              </w:rPr>
            </w:pPr>
          </w:p>
        </w:tc>
        <w:tc>
          <w:tcPr>
            <w:tcW w:w="683" w:type="pct"/>
            <w:shd w:val="clear" w:color="auto" w:fill="E7E6E6" w:themeFill="background2"/>
            <w:vAlign w:val="center"/>
          </w:tcPr>
          <w:p w14:paraId="54FF4FBA" w14:textId="77777777" w:rsidR="005158F5" w:rsidRPr="007E770D" w:rsidRDefault="005158F5" w:rsidP="00E4657F">
            <w:pPr>
              <w:jc w:val="center"/>
              <w:rPr>
                <w:rFonts w:eastAsia="Calibri" w:cstheme="minorHAnsi"/>
                <w:bCs/>
                <w:color w:val="auto"/>
                <w:sz w:val="18"/>
                <w:szCs w:val="18"/>
                <w:lang w:val="sr-Cyrl-CS"/>
              </w:rPr>
            </w:pPr>
          </w:p>
        </w:tc>
      </w:tr>
      <w:tr w:rsidR="007E770D" w:rsidRPr="007E770D" w14:paraId="4EB85190" w14:textId="77777777" w:rsidTr="00E4657F">
        <w:trPr>
          <w:trHeight w:val="281"/>
          <w:jc w:val="center"/>
        </w:trPr>
        <w:tc>
          <w:tcPr>
            <w:tcW w:w="2269" w:type="pct"/>
            <w:noWrap/>
            <w:vAlign w:val="center"/>
            <w:hideMark/>
          </w:tcPr>
          <w:p w14:paraId="31B24C76" w14:textId="77777777" w:rsidR="005158F5" w:rsidRPr="007E770D" w:rsidRDefault="005158F5" w:rsidP="00E4657F">
            <w:pPr>
              <w:ind w:left="113"/>
              <w:jc w:val="left"/>
              <w:rPr>
                <w:rFonts w:eastAsia="Calibri" w:cstheme="minorHAnsi"/>
                <w:color w:val="auto"/>
                <w:sz w:val="18"/>
                <w:szCs w:val="18"/>
                <w:lang w:val="sr-Cyrl-CS"/>
              </w:rPr>
            </w:pPr>
            <w:r w:rsidRPr="007E770D">
              <w:rPr>
                <w:rFonts w:eastAsia="Calibri" w:cstheme="minorHAnsi"/>
                <w:color w:val="auto"/>
                <w:sz w:val="18"/>
                <w:szCs w:val="18"/>
                <w:lang w:val="sr-Cyrl-CS"/>
              </w:rPr>
              <w:t>Пољопривреда</w:t>
            </w:r>
          </w:p>
        </w:tc>
        <w:tc>
          <w:tcPr>
            <w:tcW w:w="682" w:type="pct"/>
            <w:noWrap/>
            <w:vAlign w:val="center"/>
            <w:hideMark/>
          </w:tcPr>
          <w:p w14:paraId="202C157F"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0,0</w:t>
            </w:r>
          </w:p>
        </w:tc>
        <w:tc>
          <w:tcPr>
            <w:tcW w:w="683" w:type="pct"/>
            <w:noWrap/>
            <w:vAlign w:val="center"/>
            <w:hideMark/>
          </w:tcPr>
          <w:p w14:paraId="56417FAE"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-0,2</w:t>
            </w:r>
          </w:p>
        </w:tc>
        <w:tc>
          <w:tcPr>
            <w:tcW w:w="682" w:type="pct"/>
            <w:noWrap/>
            <w:vAlign w:val="center"/>
            <w:hideMark/>
          </w:tcPr>
          <w:p w14:paraId="29CC082F"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0,0</w:t>
            </w:r>
          </w:p>
        </w:tc>
        <w:tc>
          <w:tcPr>
            <w:tcW w:w="683" w:type="pct"/>
            <w:noWrap/>
            <w:vAlign w:val="center"/>
            <w:hideMark/>
          </w:tcPr>
          <w:p w14:paraId="1362C1FA"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0,0</w:t>
            </w:r>
          </w:p>
        </w:tc>
      </w:tr>
      <w:tr w:rsidR="007E770D" w:rsidRPr="007E770D" w14:paraId="0E5693D5" w14:textId="77777777" w:rsidTr="00E4657F">
        <w:trPr>
          <w:trHeight w:val="281"/>
          <w:jc w:val="center"/>
        </w:trPr>
        <w:tc>
          <w:tcPr>
            <w:tcW w:w="2269" w:type="pct"/>
            <w:noWrap/>
            <w:vAlign w:val="center"/>
            <w:hideMark/>
          </w:tcPr>
          <w:p w14:paraId="101DCE91" w14:textId="77777777" w:rsidR="005158F5" w:rsidRPr="007E770D" w:rsidRDefault="005158F5" w:rsidP="00E4657F">
            <w:pPr>
              <w:ind w:left="113"/>
              <w:jc w:val="left"/>
              <w:rPr>
                <w:rFonts w:eastAsia="Calibri" w:cstheme="minorHAnsi"/>
                <w:color w:val="auto"/>
                <w:sz w:val="18"/>
                <w:szCs w:val="18"/>
                <w:lang w:val="sr-Cyrl-CS"/>
              </w:rPr>
            </w:pPr>
            <w:r w:rsidRPr="007E770D">
              <w:rPr>
                <w:rFonts w:eastAsia="Calibri" w:cstheme="minorHAnsi"/>
                <w:color w:val="auto"/>
                <w:sz w:val="18"/>
                <w:szCs w:val="18"/>
                <w:lang w:val="sr-Cyrl-CS"/>
              </w:rPr>
              <w:t>Индустрија</w:t>
            </w:r>
          </w:p>
        </w:tc>
        <w:tc>
          <w:tcPr>
            <w:tcW w:w="682" w:type="pct"/>
            <w:noWrap/>
            <w:vAlign w:val="center"/>
            <w:hideMark/>
          </w:tcPr>
          <w:p w14:paraId="628A4E91"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0,1</w:t>
            </w:r>
          </w:p>
        </w:tc>
        <w:tc>
          <w:tcPr>
            <w:tcW w:w="683" w:type="pct"/>
            <w:noWrap/>
            <w:vAlign w:val="center"/>
            <w:hideMark/>
          </w:tcPr>
          <w:p w14:paraId="6EF4EBDC"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0,9</w:t>
            </w:r>
          </w:p>
        </w:tc>
        <w:tc>
          <w:tcPr>
            <w:tcW w:w="682" w:type="pct"/>
            <w:noWrap/>
            <w:vAlign w:val="center"/>
            <w:hideMark/>
          </w:tcPr>
          <w:p w14:paraId="4509594C"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1,0</w:t>
            </w:r>
          </w:p>
        </w:tc>
        <w:tc>
          <w:tcPr>
            <w:tcW w:w="683" w:type="pct"/>
            <w:noWrap/>
            <w:vAlign w:val="center"/>
            <w:hideMark/>
          </w:tcPr>
          <w:p w14:paraId="12B3948D"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1,1</w:t>
            </w:r>
          </w:p>
        </w:tc>
      </w:tr>
      <w:tr w:rsidR="007E770D" w:rsidRPr="007E770D" w14:paraId="155A0194" w14:textId="77777777" w:rsidTr="00E4657F">
        <w:trPr>
          <w:trHeight w:val="281"/>
          <w:jc w:val="center"/>
        </w:trPr>
        <w:tc>
          <w:tcPr>
            <w:tcW w:w="2269" w:type="pct"/>
            <w:noWrap/>
            <w:vAlign w:val="center"/>
            <w:hideMark/>
          </w:tcPr>
          <w:p w14:paraId="2A72051B" w14:textId="77777777" w:rsidR="005158F5" w:rsidRPr="007E770D" w:rsidRDefault="005158F5" w:rsidP="00E4657F">
            <w:pPr>
              <w:ind w:left="113"/>
              <w:jc w:val="left"/>
              <w:rPr>
                <w:rFonts w:eastAsia="Calibri" w:cstheme="minorHAnsi"/>
                <w:color w:val="auto"/>
                <w:sz w:val="18"/>
                <w:szCs w:val="18"/>
                <w:lang w:val="sr-Cyrl-CS"/>
              </w:rPr>
            </w:pPr>
            <w:r w:rsidRPr="007E770D">
              <w:rPr>
                <w:rFonts w:eastAsia="Calibri" w:cstheme="minorHAnsi"/>
                <w:color w:val="auto"/>
                <w:sz w:val="18"/>
                <w:szCs w:val="18"/>
                <w:lang w:val="sr-Cyrl-CS"/>
              </w:rPr>
              <w:t>Грађевинарство</w:t>
            </w:r>
          </w:p>
        </w:tc>
        <w:tc>
          <w:tcPr>
            <w:tcW w:w="682" w:type="pct"/>
            <w:noWrap/>
            <w:vAlign w:val="center"/>
            <w:hideMark/>
          </w:tcPr>
          <w:p w14:paraId="733AB585"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0,8</w:t>
            </w:r>
          </w:p>
        </w:tc>
        <w:tc>
          <w:tcPr>
            <w:tcW w:w="683" w:type="pct"/>
            <w:noWrap/>
            <w:vAlign w:val="center"/>
            <w:hideMark/>
          </w:tcPr>
          <w:p w14:paraId="2E52B1EB"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0,4</w:t>
            </w:r>
          </w:p>
        </w:tc>
        <w:tc>
          <w:tcPr>
            <w:tcW w:w="682" w:type="pct"/>
            <w:noWrap/>
            <w:vAlign w:val="center"/>
            <w:hideMark/>
          </w:tcPr>
          <w:p w14:paraId="35804EED"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0,3</w:t>
            </w:r>
          </w:p>
        </w:tc>
        <w:tc>
          <w:tcPr>
            <w:tcW w:w="683" w:type="pct"/>
            <w:noWrap/>
            <w:vAlign w:val="center"/>
            <w:hideMark/>
          </w:tcPr>
          <w:p w14:paraId="1660A9AD"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0,3</w:t>
            </w:r>
          </w:p>
        </w:tc>
      </w:tr>
      <w:tr w:rsidR="007E770D" w:rsidRPr="007E770D" w14:paraId="440275A1" w14:textId="77777777" w:rsidTr="00E4657F">
        <w:trPr>
          <w:trHeight w:val="281"/>
          <w:jc w:val="center"/>
        </w:trPr>
        <w:tc>
          <w:tcPr>
            <w:tcW w:w="2269" w:type="pct"/>
            <w:noWrap/>
            <w:vAlign w:val="center"/>
            <w:hideMark/>
          </w:tcPr>
          <w:p w14:paraId="38FB594B" w14:textId="77777777" w:rsidR="005158F5" w:rsidRPr="007E770D" w:rsidRDefault="005158F5" w:rsidP="00E4657F">
            <w:pPr>
              <w:ind w:left="113"/>
              <w:jc w:val="left"/>
              <w:rPr>
                <w:rFonts w:eastAsia="Calibri" w:cstheme="minorHAnsi"/>
                <w:color w:val="auto"/>
                <w:sz w:val="18"/>
                <w:szCs w:val="18"/>
                <w:lang w:val="sr-Cyrl-CS"/>
              </w:rPr>
            </w:pPr>
            <w:r w:rsidRPr="007E770D">
              <w:rPr>
                <w:rFonts w:eastAsia="Calibri" w:cstheme="minorHAnsi"/>
                <w:color w:val="auto"/>
                <w:sz w:val="18"/>
                <w:szCs w:val="18"/>
                <w:lang w:val="sr-Cyrl-CS"/>
              </w:rPr>
              <w:t>Услуге</w:t>
            </w:r>
          </w:p>
        </w:tc>
        <w:tc>
          <w:tcPr>
            <w:tcW w:w="682" w:type="pct"/>
            <w:noWrap/>
            <w:vAlign w:val="center"/>
            <w:hideMark/>
          </w:tcPr>
          <w:p w14:paraId="1D9D5383"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2,0</w:t>
            </w:r>
          </w:p>
        </w:tc>
        <w:tc>
          <w:tcPr>
            <w:tcW w:w="683" w:type="pct"/>
            <w:noWrap/>
            <w:vAlign w:val="center"/>
            <w:hideMark/>
          </w:tcPr>
          <w:p w14:paraId="37998415"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2,2</w:t>
            </w:r>
          </w:p>
        </w:tc>
        <w:tc>
          <w:tcPr>
            <w:tcW w:w="682" w:type="pct"/>
            <w:noWrap/>
            <w:vAlign w:val="center"/>
            <w:hideMark/>
          </w:tcPr>
          <w:p w14:paraId="176CFC03"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2,1</w:t>
            </w:r>
          </w:p>
        </w:tc>
        <w:tc>
          <w:tcPr>
            <w:tcW w:w="683" w:type="pct"/>
            <w:noWrap/>
            <w:vAlign w:val="center"/>
            <w:hideMark/>
          </w:tcPr>
          <w:p w14:paraId="4B0CC586"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2,1</w:t>
            </w:r>
          </w:p>
        </w:tc>
      </w:tr>
      <w:tr w:rsidR="007E770D" w:rsidRPr="007E770D" w14:paraId="1D1377D9" w14:textId="77777777" w:rsidTr="00E4657F">
        <w:trPr>
          <w:trHeight w:val="281"/>
          <w:jc w:val="center"/>
        </w:trPr>
        <w:tc>
          <w:tcPr>
            <w:tcW w:w="2269" w:type="pct"/>
            <w:noWrap/>
            <w:vAlign w:val="center"/>
          </w:tcPr>
          <w:p w14:paraId="2D677410" w14:textId="77777777" w:rsidR="005158F5" w:rsidRPr="007E770D" w:rsidRDefault="005158F5" w:rsidP="00E4657F">
            <w:pPr>
              <w:ind w:left="113"/>
              <w:jc w:val="left"/>
              <w:rPr>
                <w:rFonts w:eastAsia="Calibri" w:cstheme="minorHAnsi"/>
                <w:color w:val="auto"/>
                <w:sz w:val="18"/>
                <w:szCs w:val="18"/>
                <w:lang w:val="sr-Cyrl-CS"/>
              </w:rPr>
            </w:pPr>
            <w:r w:rsidRPr="007E770D">
              <w:rPr>
                <w:rFonts w:eastAsia="Calibri" w:cstheme="minorHAnsi"/>
                <w:color w:val="auto"/>
                <w:sz w:val="18"/>
                <w:szCs w:val="18"/>
                <w:lang w:val="sr-Cyrl-CS"/>
              </w:rPr>
              <w:t>Нето порези</w:t>
            </w:r>
          </w:p>
        </w:tc>
        <w:tc>
          <w:tcPr>
            <w:tcW w:w="682" w:type="pct"/>
            <w:noWrap/>
            <w:vAlign w:val="center"/>
          </w:tcPr>
          <w:p w14:paraId="74DC43BB"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0,6</w:t>
            </w:r>
          </w:p>
        </w:tc>
        <w:tc>
          <w:tcPr>
            <w:tcW w:w="683" w:type="pct"/>
            <w:noWrap/>
            <w:vAlign w:val="center"/>
          </w:tcPr>
          <w:p w14:paraId="411F466F"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0,6</w:t>
            </w:r>
          </w:p>
        </w:tc>
        <w:tc>
          <w:tcPr>
            <w:tcW w:w="682" w:type="pct"/>
            <w:noWrap/>
            <w:vAlign w:val="center"/>
          </w:tcPr>
          <w:p w14:paraId="67DDE092"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0,6</w:t>
            </w:r>
          </w:p>
        </w:tc>
        <w:tc>
          <w:tcPr>
            <w:tcW w:w="683" w:type="pct"/>
            <w:noWrap/>
            <w:vAlign w:val="center"/>
          </w:tcPr>
          <w:p w14:paraId="45FD2F7C"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0,5</w:t>
            </w:r>
          </w:p>
        </w:tc>
      </w:tr>
      <w:tr w:rsidR="007E770D" w:rsidRPr="007E770D" w14:paraId="4E5592B7" w14:textId="77777777" w:rsidTr="00E4657F">
        <w:trPr>
          <w:trHeight w:val="281"/>
          <w:jc w:val="center"/>
        </w:trPr>
        <w:tc>
          <w:tcPr>
            <w:tcW w:w="2269" w:type="pct"/>
            <w:shd w:val="clear" w:color="auto" w:fill="E7E6E6" w:themeFill="background2"/>
            <w:noWrap/>
            <w:vAlign w:val="center"/>
            <w:hideMark/>
          </w:tcPr>
          <w:p w14:paraId="0EE98478" w14:textId="77777777" w:rsidR="005158F5" w:rsidRPr="007E770D" w:rsidRDefault="005158F5" w:rsidP="00E4657F">
            <w:pPr>
              <w:jc w:val="left"/>
              <w:rPr>
                <w:rFonts w:eastAsia="Calibri" w:cstheme="minorHAnsi"/>
                <w:bCs/>
                <w:iCs/>
                <w:color w:val="auto"/>
                <w:sz w:val="18"/>
                <w:szCs w:val="18"/>
                <w:lang w:val="sr-Cyrl-CS"/>
              </w:rPr>
            </w:pPr>
            <w:r w:rsidRPr="007E770D">
              <w:rPr>
                <w:rFonts w:eastAsia="Calibri" w:cstheme="minorHAnsi"/>
                <w:iCs/>
                <w:color w:val="auto"/>
                <w:sz w:val="18"/>
                <w:szCs w:val="18"/>
                <w:lang w:val="sr-Cyrl-CS"/>
              </w:rPr>
              <w:t>Кретање цена, %</w:t>
            </w:r>
          </w:p>
        </w:tc>
        <w:tc>
          <w:tcPr>
            <w:tcW w:w="682" w:type="pct"/>
            <w:shd w:val="clear" w:color="auto" w:fill="E7E6E6" w:themeFill="background2"/>
            <w:noWrap/>
            <w:vAlign w:val="center"/>
            <w:hideMark/>
          </w:tcPr>
          <w:p w14:paraId="2F8BB1C2" w14:textId="77777777" w:rsidR="005158F5" w:rsidRPr="007E770D" w:rsidRDefault="005158F5" w:rsidP="00E4657F">
            <w:pPr>
              <w:jc w:val="center"/>
              <w:rPr>
                <w:rFonts w:eastAsia="Calibri" w:cstheme="minorHAnsi"/>
                <w:iCs/>
                <w:color w:val="auto"/>
                <w:sz w:val="18"/>
                <w:szCs w:val="18"/>
                <w:lang w:val="sr-Cyrl-CS"/>
              </w:rPr>
            </w:pPr>
          </w:p>
        </w:tc>
        <w:tc>
          <w:tcPr>
            <w:tcW w:w="683" w:type="pct"/>
            <w:shd w:val="clear" w:color="auto" w:fill="E7E6E6" w:themeFill="background2"/>
            <w:noWrap/>
            <w:vAlign w:val="center"/>
            <w:hideMark/>
          </w:tcPr>
          <w:p w14:paraId="1D2F21DE" w14:textId="77777777" w:rsidR="005158F5" w:rsidRPr="007E770D" w:rsidRDefault="005158F5" w:rsidP="00E4657F">
            <w:pPr>
              <w:jc w:val="center"/>
              <w:rPr>
                <w:rFonts w:eastAsia="Calibri" w:cstheme="minorHAnsi"/>
                <w:color w:val="auto"/>
                <w:sz w:val="18"/>
                <w:szCs w:val="18"/>
                <w:lang w:val="sr-Cyrl-CS"/>
              </w:rPr>
            </w:pPr>
          </w:p>
        </w:tc>
        <w:tc>
          <w:tcPr>
            <w:tcW w:w="682" w:type="pct"/>
            <w:shd w:val="clear" w:color="auto" w:fill="E7E6E6" w:themeFill="background2"/>
            <w:noWrap/>
            <w:vAlign w:val="center"/>
            <w:hideMark/>
          </w:tcPr>
          <w:p w14:paraId="3432F294" w14:textId="77777777" w:rsidR="005158F5" w:rsidRPr="007E770D" w:rsidRDefault="005158F5" w:rsidP="00E4657F">
            <w:pPr>
              <w:jc w:val="center"/>
              <w:rPr>
                <w:rFonts w:eastAsia="Calibri" w:cstheme="minorHAnsi"/>
                <w:color w:val="auto"/>
                <w:sz w:val="18"/>
                <w:szCs w:val="18"/>
                <w:lang w:val="sr-Cyrl-CS"/>
              </w:rPr>
            </w:pPr>
          </w:p>
        </w:tc>
        <w:tc>
          <w:tcPr>
            <w:tcW w:w="683" w:type="pct"/>
            <w:shd w:val="clear" w:color="auto" w:fill="E7E6E6" w:themeFill="background2"/>
            <w:noWrap/>
            <w:vAlign w:val="center"/>
            <w:hideMark/>
          </w:tcPr>
          <w:p w14:paraId="2190E2B2" w14:textId="77777777" w:rsidR="005158F5" w:rsidRPr="007E770D" w:rsidRDefault="005158F5" w:rsidP="00E4657F">
            <w:pPr>
              <w:jc w:val="center"/>
              <w:rPr>
                <w:rFonts w:eastAsia="Calibri" w:cstheme="minorHAnsi"/>
                <w:color w:val="auto"/>
                <w:sz w:val="18"/>
                <w:szCs w:val="18"/>
                <w:lang w:val="sr-Cyrl-CS"/>
              </w:rPr>
            </w:pPr>
          </w:p>
        </w:tc>
      </w:tr>
      <w:tr w:rsidR="007E770D" w:rsidRPr="007E770D" w14:paraId="1CB3686D" w14:textId="77777777" w:rsidTr="00E4657F">
        <w:trPr>
          <w:trHeight w:val="281"/>
          <w:jc w:val="center"/>
        </w:trPr>
        <w:tc>
          <w:tcPr>
            <w:tcW w:w="2269" w:type="pct"/>
            <w:noWrap/>
            <w:vAlign w:val="center"/>
            <w:hideMark/>
          </w:tcPr>
          <w:p w14:paraId="43EA5E55" w14:textId="77777777" w:rsidR="005158F5" w:rsidRPr="007E770D" w:rsidRDefault="005158F5" w:rsidP="00E4657F">
            <w:pPr>
              <w:ind w:left="113"/>
              <w:jc w:val="left"/>
              <w:rPr>
                <w:rFonts w:eastAsia="Calibri" w:cstheme="minorHAnsi"/>
                <w:color w:val="auto"/>
                <w:sz w:val="18"/>
                <w:szCs w:val="18"/>
                <w:lang w:val="sr-Cyrl-CS"/>
              </w:rPr>
            </w:pPr>
            <w:r w:rsidRPr="007E770D">
              <w:rPr>
                <w:rFonts w:eastAsia="Calibri" w:cstheme="minorHAnsi"/>
                <w:color w:val="auto"/>
                <w:sz w:val="18"/>
                <w:szCs w:val="18"/>
                <w:lang w:val="sr-Cyrl-CS"/>
              </w:rPr>
              <w:t>БДП дефлатор</w:t>
            </w:r>
          </w:p>
        </w:tc>
        <w:tc>
          <w:tcPr>
            <w:tcW w:w="682" w:type="pct"/>
            <w:noWrap/>
            <w:vAlign w:val="center"/>
            <w:hideMark/>
          </w:tcPr>
          <w:p w14:paraId="1131B348"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3,3</w:t>
            </w:r>
          </w:p>
        </w:tc>
        <w:tc>
          <w:tcPr>
            <w:tcW w:w="683" w:type="pct"/>
            <w:noWrap/>
            <w:vAlign w:val="center"/>
            <w:hideMark/>
          </w:tcPr>
          <w:p w14:paraId="3AB780D0"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3,4</w:t>
            </w:r>
          </w:p>
        </w:tc>
        <w:tc>
          <w:tcPr>
            <w:tcW w:w="682" w:type="pct"/>
            <w:noWrap/>
            <w:vAlign w:val="center"/>
            <w:hideMark/>
          </w:tcPr>
          <w:p w14:paraId="2CD5731F"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3,4</w:t>
            </w:r>
          </w:p>
        </w:tc>
        <w:tc>
          <w:tcPr>
            <w:tcW w:w="683" w:type="pct"/>
            <w:noWrap/>
            <w:vAlign w:val="center"/>
            <w:hideMark/>
          </w:tcPr>
          <w:p w14:paraId="13AE31A6"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3,5</w:t>
            </w:r>
          </w:p>
        </w:tc>
      </w:tr>
      <w:tr w:rsidR="007E770D" w:rsidRPr="007E770D" w14:paraId="6A296B66" w14:textId="77777777" w:rsidTr="00E4657F">
        <w:trPr>
          <w:trHeight w:val="281"/>
          <w:jc w:val="center"/>
        </w:trPr>
        <w:tc>
          <w:tcPr>
            <w:tcW w:w="2269" w:type="pct"/>
            <w:noWrap/>
            <w:vAlign w:val="center"/>
            <w:hideMark/>
          </w:tcPr>
          <w:p w14:paraId="29B9DD23" w14:textId="77777777" w:rsidR="005158F5" w:rsidRPr="007E770D" w:rsidRDefault="005158F5" w:rsidP="00E4657F">
            <w:pPr>
              <w:ind w:left="113"/>
              <w:jc w:val="left"/>
              <w:rPr>
                <w:rFonts w:eastAsia="Calibri" w:cstheme="minorHAnsi"/>
                <w:color w:val="auto"/>
                <w:sz w:val="18"/>
                <w:szCs w:val="18"/>
                <w:lang w:val="sr-Cyrl-CS"/>
              </w:rPr>
            </w:pPr>
            <w:r w:rsidRPr="007E770D">
              <w:rPr>
                <w:rFonts w:eastAsia="Calibri" w:cstheme="minorHAnsi"/>
                <w:color w:val="auto"/>
                <w:sz w:val="18"/>
                <w:szCs w:val="18"/>
                <w:lang w:val="sr-Cyrl-CS"/>
              </w:rPr>
              <w:t>Потрошачке цене (годишњи просек)</w:t>
            </w:r>
          </w:p>
        </w:tc>
        <w:tc>
          <w:tcPr>
            <w:tcW w:w="682" w:type="pct"/>
            <w:noWrap/>
            <w:vAlign w:val="center"/>
            <w:hideMark/>
          </w:tcPr>
          <w:p w14:paraId="5A6562C0"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1,9</w:t>
            </w:r>
          </w:p>
        </w:tc>
        <w:tc>
          <w:tcPr>
            <w:tcW w:w="683" w:type="pct"/>
            <w:noWrap/>
            <w:vAlign w:val="center"/>
            <w:hideMark/>
          </w:tcPr>
          <w:p w14:paraId="7E8A542F"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2,0</w:t>
            </w:r>
          </w:p>
        </w:tc>
        <w:tc>
          <w:tcPr>
            <w:tcW w:w="682" w:type="pct"/>
            <w:noWrap/>
            <w:vAlign w:val="center"/>
            <w:hideMark/>
          </w:tcPr>
          <w:p w14:paraId="1BCC999F"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2,2</w:t>
            </w:r>
          </w:p>
        </w:tc>
        <w:tc>
          <w:tcPr>
            <w:tcW w:w="683" w:type="pct"/>
            <w:noWrap/>
            <w:vAlign w:val="center"/>
            <w:hideMark/>
          </w:tcPr>
          <w:p w14:paraId="132E16B2"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2,5</w:t>
            </w:r>
          </w:p>
        </w:tc>
      </w:tr>
      <w:tr w:rsidR="007E770D" w:rsidRPr="007E770D" w14:paraId="58675519" w14:textId="77777777" w:rsidTr="00E4657F">
        <w:trPr>
          <w:trHeight w:val="281"/>
          <w:jc w:val="center"/>
        </w:trPr>
        <w:tc>
          <w:tcPr>
            <w:tcW w:w="2269" w:type="pct"/>
            <w:shd w:val="clear" w:color="auto" w:fill="E7E6E6" w:themeFill="background2"/>
            <w:noWrap/>
            <w:vAlign w:val="center"/>
            <w:hideMark/>
          </w:tcPr>
          <w:p w14:paraId="520A25DC" w14:textId="77777777" w:rsidR="005158F5" w:rsidRPr="007E770D" w:rsidRDefault="005158F5" w:rsidP="00E4657F">
            <w:pPr>
              <w:jc w:val="left"/>
              <w:rPr>
                <w:rFonts w:eastAsia="Calibri" w:cstheme="minorHAnsi"/>
                <w:bCs/>
                <w:iCs/>
                <w:color w:val="auto"/>
                <w:sz w:val="18"/>
                <w:szCs w:val="18"/>
                <w:lang w:val="sr-Cyrl-CS"/>
              </w:rPr>
            </w:pPr>
            <w:r w:rsidRPr="007E770D">
              <w:rPr>
                <w:rFonts w:eastAsia="Calibri" w:cstheme="minorHAnsi"/>
                <w:iCs/>
                <w:color w:val="auto"/>
                <w:sz w:val="18"/>
                <w:szCs w:val="18"/>
                <w:lang w:val="sr-Cyrl-CS"/>
              </w:rPr>
              <w:t>Кретања у спољном сектору, % БДП</w:t>
            </w:r>
          </w:p>
        </w:tc>
        <w:tc>
          <w:tcPr>
            <w:tcW w:w="682" w:type="pct"/>
            <w:shd w:val="clear" w:color="auto" w:fill="E7E6E6" w:themeFill="background2"/>
            <w:noWrap/>
            <w:vAlign w:val="center"/>
            <w:hideMark/>
          </w:tcPr>
          <w:p w14:paraId="6A5B41C9" w14:textId="77777777" w:rsidR="005158F5" w:rsidRPr="007E770D" w:rsidRDefault="005158F5" w:rsidP="00E4657F">
            <w:pPr>
              <w:jc w:val="center"/>
              <w:rPr>
                <w:rFonts w:eastAsia="Calibri" w:cstheme="minorHAnsi"/>
                <w:color w:val="auto"/>
                <w:sz w:val="18"/>
                <w:szCs w:val="18"/>
                <w:lang w:val="sr-Cyrl-CS"/>
              </w:rPr>
            </w:pPr>
          </w:p>
        </w:tc>
        <w:tc>
          <w:tcPr>
            <w:tcW w:w="683" w:type="pct"/>
            <w:shd w:val="clear" w:color="auto" w:fill="E7E6E6" w:themeFill="background2"/>
            <w:noWrap/>
            <w:vAlign w:val="center"/>
            <w:hideMark/>
          </w:tcPr>
          <w:p w14:paraId="49F7A631" w14:textId="77777777" w:rsidR="005158F5" w:rsidRPr="007E770D" w:rsidRDefault="005158F5" w:rsidP="00E4657F">
            <w:pPr>
              <w:jc w:val="center"/>
              <w:rPr>
                <w:rFonts w:eastAsia="Calibri" w:cstheme="minorHAnsi"/>
                <w:color w:val="auto"/>
                <w:sz w:val="18"/>
                <w:szCs w:val="18"/>
                <w:lang w:val="sr-Cyrl-CS"/>
              </w:rPr>
            </w:pPr>
          </w:p>
        </w:tc>
        <w:tc>
          <w:tcPr>
            <w:tcW w:w="682" w:type="pct"/>
            <w:shd w:val="clear" w:color="auto" w:fill="E7E6E6" w:themeFill="background2"/>
            <w:noWrap/>
            <w:vAlign w:val="center"/>
            <w:hideMark/>
          </w:tcPr>
          <w:p w14:paraId="3CAF8E67" w14:textId="77777777" w:rsidR="005158F5" w:rsidRPr="007E770D" w:rsidRDefault="005158F5" w:rsidP="00E4657F">
            <w:pPr>
              <w:jc w:val="center"/>
              <w:rPr>
                <w:rFonts w:eastAsia="Calibri" w:cstheme="minorHAnsi"/>
                <w:color w:val="auto"/>
                <w:sz w:val="18"/>
                <w:szCs w:val="18"/>
                <w:lang w:val="sr-Cyrl-CS"/>
              </w:rPr>
            </w:pPr>
          </w:p>
        </w:tc>
        <w:tc>
          <w:tcPr>
            <w:tcW w:w="683" w:type="pct"/>
            <w:shd w:val="clear" w:color="auto" w:fill="E7E6E6" w:themeFill="background2"/>
            <w:noWrap/>
            <w:vAlign w:val="center"/>
            <w:hideMark/>
          </w:tcPr>
          <w:p w14:paraId="35F6CEC6" w14:textId="77777777" w:rsidR="005158F5" w:rsidRPr="007E770D" w:rsidRDefault="005158F5" w:rsidP="00E4657F">
            <w:pPr>
              <w:jc w:val="center"/>
              <w:rPr>
                <w:rFonts w:eastAsia="Calibri" w:cstheme="minorHAnsi"/>
                <w:color w:val="auto"/>
                <w:sz w:val="18"/>
                <w:szCs w:val="18"/>
                <w:lang w:val="sr-Cyrl-CS"/>
              </w:rPr>
            </w:pPr>
          </w:p>
        </w:tc>
      </w:tr>
      <w:tr w:rsidR="007E770D" w:rsidRPr="007E770D" w14:paraId="279D40BD" w14:textId="77777777" w:rsidTr="00E4657F">
        <w:trPr>
          <w:trHeight w:val="281"/>
          <w:jc w:val="center"/>
        </w:trPr>
        <w:tc>
          <w:tcPr>
            <w:tcW w:w="2269" w:type="pct"/>
            <w:noWrap/>
            <w:vAlign w:val="center"/>
            <w:hideMark/>
          </w:tcPr>
          <w:p w14:paraId="0F3891C0" w14:textId="77777777" w:rsidR="005158F5" w:rsidRPr="007E770D" w:rsidRDefault="005158F5" w:rsidP="00E4657F">
            <w:pPr>
              <w:ind w:left="113"/>
              <w:jc w:val="left"/>
              <w:rPr>
                <w:rFonts w:eastAsia="Calibri" w:cstheme="minorHAnsi"/>
                <w:color w:val="auto"/>
                <w:sz w:val="18"/>
                <w:szCs w:val="18"/>
                <w:lang w:val="sr-Cyrl-CS"/>
              </w:rPr>
            </w:pPr>
            <w:bookmarkStart w:id="35" w:name="RANGE!A41"/>
            <w:r w:rsidRPr="007E770D">
              <w:rPr>
                <w:rFonts w:eastAsia="Calibri" w:cstheme="minorHAnsi"/>
                <w:color w:val="auto"/>
                <w:sz w:val="18"/>
                <w:szCs w:val="18"/>
                <w:lang w:val="sr-Cyrl-CS"/>
              </w:rPr>
              <w:t>Салдо робне размене</w:t>
            </w:r>
            <w:bookmarkEnd w:id="35"/>
          </w:p>
        </w:tc>
        <w:tc>
          <w:tcPr>
            <w:tcW w:w="682" w:type="pct"/>
            <w:noWrap/>
            <w:vAlign w:val="center"/>
          </w:tcPr>
          <w:p w14:paraId="083C3B49"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-13,1</w:t>
            </w:r>
          </w:p>
        </w:tc>
        <w:tc>
          <w:tcPr>
            <w:tcW w:w="683" w:type="pct"/>
            <w:noWrap/>
            <w:vAlign w:val="center"/>
          </w:tcPr>
          <w:p w14:paraId="09BB0C68"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-12,5</w:t>
            </w:r>
          </w:p>
        </w:tc>
        <w:tc>
          <w:tcPr>
            <w:tcW w:w="682" w:type="pct"/>
            <w:noWrap/>
            <w:vAlign w:val="center"/>
          </w:tcPr>
          <w:p w14:paraId="67D79DB0"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-12,2</w:t>
            </w:r>
          </w:p>
        </w:tc>
        <w:tc>
          <w:tcPr>
            <w:tcW w:w="683" w:type="pct"/>
            <w:noWrap/>
            <w:vAlign w:val="center"/>
          </w:tcPr>
          <w:p w14:paraId="55C953B6"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-11,4</w:t>
            </w:r>
          </w:p>
        </w:tc>
      </w:tr>
      <w:tr w:rsidR="007E770D" w:rsidRPr="007E770D" w14:paraId="0564B95B" w14:textId="77777777" w:rsidTr="00E4657F">
        <w:trPr>
          <w:trHeight w:val="281"/>
          <w:jc w:val="center"/>
        </w:trPr>
        <w:tc>
          <w:tcPr>
            <w:tcW w:w="2269" w:type="pct"/>
            <w:noWrap/>
            <w:vAlign w:val="center"/>
          </w:tcPr>
          <w:p w14:paraId="56C96169" w14:textId="77777777" w:rsidR="005158F5" w:rsidRPr="007E770D" w:rsidRDefault="005158F5" w:rsidP="00E4657F">
            <w:pPr>
              <w:ind w:left="113"/>
              <w:jc w:val="left"/>
              <w:rPr>
                <w:rFonts w:eastAsia="Calibri" w:cstheme="minorHAnsi"/>
                <w:color w:val="auto"/>
                <w:sz w:val="18"/>
                <w:szCs w:val="18"/>
                <w:lang w:val="sr-Cyrl-CS"/>
              </w:rPr>
            </w:pPr>
            <w:r w:rsidRPr="007E770D">
              <w:rPr>
                <w:rFonts w:eastAsia="Calibri" w:cstheme="minorHAnsi"/>
                <w:color w:val="auto"/>
                <w:sz w:val="18"/>
                <w:szCs w:val="18"/>
                <w:lang w:val="sr-Cyrl-CS"/>
              </w:rPr>
              <w:t>Салдо услуга</w:t>
            </w:r>
          </w:p>
        </w:tc>
        <w:tc>
          <w:tcPr>
            <w:tcW w:w="682" w:type="pct"/>
            <w:noWrap/>
            <w:vAlign w:val="center"/>
          </w:tcPr>
          <w:p w14:paraId="06AACF51"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2,8</w:t>
            </w:r>
          </w:p>
        </w:tc>
        <w:tc>
          <w:tcPr>
            <w:tcW w:w="683" w:type="pct"/>
            <w:noWrap/>
            <w:vAlign w:val="center"/>
          </w:tcPr>
          <w:p w14:paraId="61E0058E"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2,9</w:t>
            </w:r>
          </w:p>
        </w:tc>
        <w:tc>
          <w:tcPr>
            <w:tcW w:w="682" w:type="pct"/>
            <w:noWrap/>
            <w:vAlign w:val="center"/>
          </w:tcPr>
          <w:p w14:paraId="6A41FC17"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3,2</w:t>
            </w:r>
          </w:p>
        </w:tc>
        <w:tc>
          <w:tcPr>
            <w:tcW w:w="683" w:type="pct"/>
            <w:noWrap/>
            <w:vAlign w:val="center"/>
          </w:tcPr>
          <w:p w14:paraId="0070E097"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3,3</w:t>
            </w:r>
          </w:p>
        </w:tc>
      </w:tr>
      <w:tr w:rsidR="007E770D" w:rsidRPr="007E770D" w14:paraId="77B07B31" w14:textId="77777777" w:rsidTr="00E4657F">
        <w:trPr>
          <w:trHeight w:val="281"/>
          <w:jc w:val="center"/>
        </w:trPr>
        <w:tc>
          <w:tcPr>
            <w:tcW w:w="2269" w:type="pct"/>
            <w:noWrap/>
            <w:vAlign w:val="center"/>
            <w:hideMark/>
          </w:tcPr>
          <w:p w14:paraId="042789E4" w14:textId="77777777" w:rsidR="005158F5" w:rsidRPr="007E770D" w:rsidRDefault="005158F5" w:rsidP="00E4657F">
            <w:pPr>
              <w:ind w:left="113"/>
              <w:jc w:val="left"/>
              <w:rPr>
                <w:rFonts w:eastAsia="Calibri" w:cstheme="minorHAnsi"/>
                <w:color w:val="auto"/>
                <w:sz w:val="18"/>
                <w:szCs w:val="18"/>
                <w:lang w:val="sr-Cyrl-CS"/>
              </w:rPr>
            </w:pPr>
            <w:r w:rsidRPr="007E770D">
              <w:rPr>
                <w:rFonts w:eastAsia="Calibri" w:cstheme="minorHAnsi"/>
                <w:color w:val="auto"/>
                <w:sz w:val="18"/>
                <w:szCs w:val="18"/>
                <w:lang w:val="sr-Cyrl-CS"/>
              </w:rPr>
              <w:t>Салдо текућег рачуна</w:t>
            </w:r>
          </w:p>
        </w:tc>
        <w:tc>
          <w:tcPr>
            <w:tcW w:w="682" w:type="pct"/>
            <w:noWrap/>
            <w:vAlign w:val="center"/>
            <w:hideMark/>
          </w:tcPr>
          <w:p w14:paraId="7BE1A6C8"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-5,9</w:t>
            </w:r>
          </w:p>
        </w:tc>
        <w:tc>
          <w:tcPr>
            <w:tcW w:w="683" w:type="pct"/>
            <w:noWrap/>
            <w:vAlign w:val="center"/>
            <w:hideMark/>
          </w:tcPr>
          <w:p w14:paraId="1AC83501"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-5,3</w:t>
            </w:r>
          </w:p>
        </w:tc>
        <w:tc>
          <w:tcPr>
            <w:tcW w:w="682" w:type="pct"/>
            <w:noWrap/>
            <w:vAlign w:val="center"/>
            <w:hideMark/>
          </w:tcPr>
          <w:p w14:paraId="0DA6306C"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-5,2</w:t>
            </w:r>
          </w:p>
        </w:tc>
        <w:tc>
          <w:tcPr>
            <w:tcW w:w="683" w:type="pct"/>
            <w:noWrap/>
            <w:vAlign w:val="center"/>
            <w:hideMark/>
          </w:tcPr>
          <w:p w14:paraId="3B9C5688" w14:textId="77777777" w:rsidR="005158F5" w:rsidRPr="007E770D" w:rsidRDefault="005158F5" w:rsidP="00E4657F">
            <w:pPr>
              <w:jc w:val="center"/>
              <w:rPr>
                <w:rFonts w:eastAsia="Calibri" w:cstheme="minorHAnsi"/>
                <w:color w:val="auto"/>
                <w:sz w:val="18"/>
                <w:szCs w:val="18"/>
                <w:lang w:val="sr-Cyrl-CS"/>
              </w:rPr>
            </w:pPr>
            <w:r w:rsidRPr="007E770D">
              <w:rPr>
                <w:rFonts w:eastAsia="Calibri" w:cstheme="minorHAnsi"/>
                <w:color w:val="auto"/>
                <w:sz w:val="18"/>
                <w:szCs w:val="18"/>
                <w:lang w:val="sr-Cyrl-CS"/>
              </w:rPr>
              <w:t>-4,7</w:t>
            </w:r>
          </w:p>
        </w:tc>
      </w:tr>
      <w:tr w:rsidR="007E770D" w:rsidRPr="007E770D" w14:paraId="4CF56732" w14:textId="77777777" w:rsidTr="00E4657F">
        <w:trPr>
          <w:trHeight w:val="283"/>
          <w:jc w:val="center"/>
        </w:trPr>
        <w:tc>
          <w:tcPr>
            <w:tcW w:w="2269" w:type="pct"/>
            <w:shd w:val="clear" w:color="auto" w:fill="E7E6E6" w:themeFill="background2"/>
            <w:noWrap/>
            <w:vAlign w:val="center"/>
            <w:hideMark/>
          </w:tcPr>
          <w:p w14:paraId="4872F432" w14:textId="77777777" w:rsidR="005158F5" w:rsidRPr="007E770D" w:rsidRDefault="005158F5" w:rsidP="00E4657F">
            <w:pPr>
              <w:jc w:val="left"/>
              <w:rPr>
                <w:rFonts w:eastAsia="Calibri" w:cstheme="minorHAnsi"/>
                <w:bCs/>
                <w:iCs/>
                <w:color w:val="auto"/>
                <w:sz w:val="18"/>
                <w:szCs w:val="18"/>
                <w:lang w:val="sr-Cyrl-CS"/>
              </w:rPr>
            </w:pPr>
            <w:r w:rsidRPr="007E770D">
              <w:rPr>
                <w:rFonts w:eastAsia="Calibri" w:cstheme="minorHAnsi"/>
                <w:iCs/>
                <w:color w:val="auto"/>
                <w:sz w:val="18"/>
                <w:szCs w:val="18"/>
                <w:lang w:val="sr-Cyrl-CS"/>
              </w:rPr>
              <w:t>Фискални индикатори, % БДП</w:t>
            </w:r>
          </w:p>
        </w:tc>
        <w:tc>
          <w:tcPr>
            <w:tcW w:w="682" w:type="pct"/>
            <w:shd w:val="clear" w:color="auto" w:fill="E7E6E6" w:themeFill="background2"/>
            <w:noWrap/>
            <w:vAlign w:val="center"/>
            <w:hideMark/>
          </w:tcPr>
          <w:p w14:paraId="7D0F037E" w14:textId="77777777" w:rsidR="005158F5" w:rsidRPr="007E770D" w:rsidRDefault="005158F5" w:rsidP="00E4657F">
            <w:pPr>
              <w:jc w:val="center"/>
              <w:rPr>
                <w:rFonts w:eastAsia="Calibri" w:cstheme="minorHAnsi"/>
                <w:iCs/>
                <w:color w:val="auto"/>
                <w:sz w:val="18"/>
                <w:szCs w:val="18"/>
                <w:lang w:val="sr-Cyrl-CS"/>
              </w:rPr>
            </w:pPr>
          </w:p>
        </w:tc>
        <w:tc>
          <w:tcPr>
            <w:tcW w:w="683" w:type="pct"/>
            <w:shd w:val="clear" w:color="auto" w:fill="E7E6E6" w:themeFill="background2"/>
            <w:noWrap/>
            <w:vAlign w:val="center"/>
            <w:hideMark/>
          </w:tcPr>
          <w:p w14:paraId="4405F71A" w14:textId="77777777" w:rsidR="005158F5" w:rsidRPr="007E770D" w:rsidRDefault="005158F5" w:rsidP="00E4657F">
            <w:pPr>
              <w:jc w:val="center"/>
              <w:rPr>
                <w:rFonts w:eastAsia="Calibri" w:cstheme="minorHAnsi"/>
                <w:color w:val="auto"/>
                <w:sz w:val="18"/>
                <w:szCs w:val="18"/>
                <w:lang w:val="sr-Cyrl-CS"/>
              </w:rPr>
            </w:pPr>
          </w:p>
        </w:tc>
        <w:tc>
          <w:tcPr>
            <w:tcW w:w="682" w:type="pct"/>
            <w:shd w:val="clear" w:color="auto" w:fill="E7E6E6" w:themeFill="background2"/>
            <w:noWrap/>
            <w:vAlign w:val="center"/>
            <w:hideMark/>
          </w:tcPr>
          <w:p w14:paraId="33E583E0" w14:textId="77777777" w:rsidR="005158F5" w:rsidRPr="007E770D" w:rsidRDefault="005158F5" w:rsidP="00E4657F">
            <w:pPr>
              <w:jc w:val="center"/>
              <w:rPr>
                <w:rFonts w:eastAsia="Calibri" w:cstheme="minorHAnsi"/>
                <w:color w:val="auto"/>
                <w:sz w:val="18"/>
                <w:szCs w:val="18"/>
                <w:lang w:val="sr-Cyrl-CS"/>
              </w:rPr>
            </w:pPr>
          </w:p>
        </w:tc>
        <w:tc>
          <w:tcPr>
            <w:tcW w:w="683" w:type="pct"/>
            <w:shd w:val="clear" w:color="auto" w:fill="E7E6E6" w:themeFill="background2"/>
            <w:noWrap/>
            <w:vAlign w:val="center"/>
            <w:hideMark/>
          </w:tcPr>
          <w:p w14:paraId="070103A4" w14:textId="77777777" w:rsidR="005158F5" w:rsidRPr="007E770D" w:rsidRDefault="005158F5" w:rsidP="00E4657F">
            <w:pPr>
              <w:jc w:val="center"/>
              <w:rPr>
                <w:rFonts w:eastAsia="Calibri" w:cstheme="minorHAnsi"/>
                <w:color w:val="auto"/>
                <w:sz w:val="18"/>
                <w:szCs w:val="18"/>
                <w:lang w:val="sr-Cyrl-CS"/>
              </w:rPr>
            </w:pPr>
          </w:p>
        </w:tc>
      </w:tr>
      <w:tr w:rsidR="007E770D" w:rsidRPr="007E770D" w14:paraId="3CAA7ABC" w14:textId="77777777" w:rsidTr="00E4657F">
        <w:trPr>
          <w:trHeight w:val="281"/>
          <w:jc w:val="center"/>
        </w:trPr>
        <w:tc>
          <w:tcPr>
            <w:tcW w:w="2269" w:type="pct"/>
            <w:noWrap/>
            <w:vAlign w:val="center"/>
            <w:hideMark/>
          </w:tcPr>
          <w:p w14:paraId="7D84C0FA" w14:textId="77777777" w:rsidR="005158F5" w:rsidRPr="007E770D" w:rsidRDefault="005158F5" w:rsidP="00E4657F">
            <w:pPr>
              <w:ind w:left="113"/>
              <w:jc w:val="left"/>
              <w:rPr>
                <w:rFonts w:eastAsia="Calibri" w:cstheme="minorHAnsi"/>
                <w:color w:val="auto"/>
                <w:sz w:val="18"/>
                <w:szCs w:val="18"/>
                <w:lang w:val="sr-Cyrl-CS"/>
              </w:rPr>
            </w:pPr>
            <w:r w:rsidRPr="007E770D">
              <w:rPr>
                <w:rFonts w:eastAsia="Calibri" w:cstheme="minorHAnsi"/>
                <w:color w:val="auto"/>
                <w:sz w:val="18"/>
                <w:szCs w:val="18"/>
                <w:lang w:val="sr-Cyrl-CS"/>
              </w:rPr>
              <w:t>Фискални резултат опште државе</w:t>
            </w:r>
          </w:p>
        </w:tc>
        <w:tc>
          <w:tcPr>
            <w:tcW w:w="682" w:type="pct"/>
            <w:noWrap/>
            <w:vAlign w:val="center"/>
          </w:tcPr>
          <w:p w14:paraId="68EC3286"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-0,5</w:t>
            </w:r>
          </w:p>
        </w:tc>
        <w:tc>
          <w:tcPr>
            <w:tcW w:w="683" w:type="pct"/>
            <w:noWrap/>
            <w:vAlign w:val="center"/>
          </w:tcPr>
          <w:p w14:paraId="485B3AB0"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-0,5</w:t>
            </w:r>
          </w:p>
        </w:tc>
        <w:tc>
          <w:tcPr>
            <w:tcW w:w="682" w:type="pct"/>
            <w:noWrap/>
            <w:vAlign w:val="center"/>
          </w:tcPr>
          <w:p w14:paraId="6EE73D03"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-0,5</w:t>
            </w:r>
          </w:p>
        </w:tc>
        <w:tc>
          <w:tcPr>
            <w:tcW w:w="683" w:type="pct"/>
            <w:noWrap/>
            <w:vAlign w:val="center"/>
          </w:tcPr>
          <w:p w14:paraId="381C9C71"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-0,5</w:t>
            </w:r>
          </w:p>
        </w:tc>
      </w:tr>
      <w:tr w:rsidR="007E770D" w:rsidRPr="007E770D" w14:paraId="05848EC4" w14:textId="77777777" w:rsidTr="00E4657F">
        <w:trPr>
          <w:trHeight w:val="281"/>
          <w:jc w:val="center"/>
        </w:trPr>
        <w:tc>
          <w:tcPr>
            <w:tcW w:w="2269" w:type="pct"/>
            <w:noWrap/>
            <w:vAlign w:val="center"/>
            <w:hideMark/>
          </w:tcPr>
          <w:p w14:paraId="73335669" w14:textId="77777777" w:rsidR="005158F5" w:rsidRPr="007E770D" w:rsidRDefault="005158F5" w:rsidP="00E4657F">
            <w:pPr>
              <w:ind w:left="113"/>
              <w:jc w:val="left"/>
              <w:rPr>
                <w:rFonts w:eastAsia="Calibri" w:cstheme="minorHAnsi"/>
                <w:color w:val="auto"/>
                <w:sz w:val="18"/>
                <w:szCs w:val="18"/>
                <w:lang w:val="sr-Cyrl-CS"/>
              </w:rPr>
            </w:pPr>
            <w:r w:rsidRPr="007E770D">
              <w:rPr>
                <w:rFonts w:eastAsia="Calibri" w:cstheme="minorHAnsi"/>
                <w:color w:val="auto"/>
                <w:sz w:val="18"/>
                <w:szCs w:val="18"/>
                <w:lang w:val="sr-Cyrl-CS"/>
              </w:rPr>
              <w:t>Консолидовани приходи</w:t>
            </w:r>
          </w:p>
        </w:tc>
        <w:tc>
          <w:tcPr>
            <w:tcW w:w="682" w:type="pct"/>
            <w:noWrap/>
            <w:vAlign w:val="center"/>
            <w:hideMark/>
          </w:tcPr>
          <w:p w14:paraId="1386EB5D"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41,4</w:t>
            </w:r>
          </w:p>
        </w:tc>
        <w:tc>
          <w:tcPr>
            <w:tcW w:w="683" w:type="pct"/>
            <w:noWrap/>
            <w:vAlign w:val="center"/>
          </w:tcPr>
          <w:p w14:paraId="3A0013F2" w14:textId="32082B33" w:rsidR="005158F5" w:rsidRPr="007E770D" w:rsidRDefault="00E02BB9" w:rsidP="00E4657F">
            <w:pPr>
              <w:jc w:val="center"/>
              <w:rPr>
                <w:rFonts w:eastAsia="Calibri" w:cstheme="minorHAnsi"/>
                <w:color w:val="auto"/>
                <w:sz w:val="18"/>
                <w:szCs w:val="18"/>
                <w:lang w:val="sr-Cyrl-CS"/>
              </w:rPr>
            </w:pPr>
            <w:r w:rsidRPr="007E770D">
              <w:rPr>
                <w:color w:val="auto"/>
                <w:sz w:val="18"/>
                <w:szCs w:val="18"/>
                <w:lang w:val="sr-Cyrl-CS"/>
              </w:rPr>
              <w:t>40,2</w:t>
            </w:r>
          </w:p>
        </w:tc>
        <w:tc>
          <w:tcPr>
            <w:tcW w:w="682" w:type="pct"/>
            <w:noWrap/>
            <w:vAlign w:val="center"/>
          </w:tcPr>
          <w:p w14:paraId="3009F77E"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39,4</w:t>
            </w:r>
          </w:p>
        </w:tc>
        <w:tc>
          <w:tcPr>
            <w:tcW w:w="683" w:type="pct"/>
            <w:noWrap/>
            <w:vAlign w:val="center"/>
          </w:tcPr>
          <w:p w14:paraId="096868AE"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38,7</w:t>
            </w:r>
          </w:p>
        </w:tc>
      </w:tr>
      <w:tr w:rsidR="007E770D" w:rsidRPr="007E770D" w14:paraId="4638B796" w14:textId="77777777" w:rsidTr="00E4657F">
        <w:trPr>
          <w:trHeight w:val="281"/>
          <w:jc w:val="center"/>
        </w:trPr>
        <w:tc>
          <w:tcPr>
            <w:tcW w:w="2269" w:type="pct"/>
            <w:noWrap/>
            <w:vAlign w:val="center"/>
            <w:hideMark/>
          </w:tcPr>
          <w:p w14:paraId="4965A77B" w14:textId="77777777" w:rsidR="005158F5" w:rsidRPr="007E770D" w:rsidRDefault="005158F5" w:rsidP="00E4657F">
            <w:pPr>
              <w:ind w:left="113"/>
              <w:jc w:val="left"/>
              <w:rPr>
                <w:rFonts w:eastAsia="Calibri" w:cstheme="minorHAnsi"/>
                <w:color w:val="auto"/>
                <w:sz w:val="18"/>
                <w:szCs w:val="18"/>
                <w:lang w:val="sr-Cyrl-CS"/>
              </w:rPr>
            </w:pPr>
            <w:r w:rsidRPr="007E770D">
              <w:rPr>
                <w:rFonts w:eastAsia="Calibri" w:cstheme="minorHAnsi"/>
                <w:color w:val="auto"/>
                <w:sz w:val="18"/>
                <w:szCs w:val="18"/>
                <w:lang w:val="sr-Cyrl-CS"/>
              </w:rPr>
              <w:t>Консолидовани расходи</w:t>
            </w:r>
          </w:p>
        </w:tc>
        <w:tc>
          <w:tcPr>
            <w:tcW w:w="682" w:type="pct"/>
            <w:noWrap/>
            <w:vAlign w:val="center"/>
          </w:tcPr>
          <w:p w14:paraId="5BD6EEF3"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41,9</w:t>
            </w:r>
          </w:p>
        </w:tc>
        <w:tc>
          <w:tcPr>
            <w:tcW w:w="683" w:type="pct"/>
            <w:noWrap/>
            <w:vAlign w:val="center"/>
          </w:tcPr>
          <w:p w14:paraId="5F99D53D" w14:textId="5A4FE2EA" w:rsidR="005158F5" w:rsidRPr="007E770D" w:rsidRDefault="00E02BB9" w:rsidP="00E4657F">
            <w:pPr>
              <w:jc w:val="center"/>
              <w:rPr>
                <w:rFonts w:eastAsia="Calibri" w:cstheme="minorHAnsi"/>
                <w:color w:val="auto"/>
                <w:sz w:val="18"/>
                <w:szCs w:val="18"/>
                <w:lang w:val="sr-Cyrl-CS"/>
              </w:rPr>
            </w:pPr>
            <w:r w:rsidRPr="007E770D">
              <w:rPr>
                <w:color w:val="auto"/>
                <w:sz w:val="18"/>
                <w:szCs w:val="18"/>
                <w:lang w:val="sr-Cyrl-CS"/>
              </w:rPr>
              <w:t>40,7</w:t>
            </w:r>
          </w:p>
        </w:tc>
        <w:tc>
          <w:tcPr>
            <w:tcW w:w="682" w:type="pct"/>
            <w:noWrap/>
            <w:vAlign w:val="center"/>
          </w:tcPr>
          <w:p w14:paraId="2B9673C2" w14:textId="2D879D2A" w:rsidR="005158F5" w:rsidRPr="007E770D" w:rsidRDefault="00E02BB9" w:rsidP="00E4657F">
            <w:pPr>
              <w:jc w:val="center"/>
              <w:rPr>
                <w:rFonts w:eastAsia="Calibri" w:cstheme="minorHAnsi"/>
                <w:color w:val="auto"/>
                <w:sz w:val="18"/>
                <w:szCs w:val="18"/>
                <w:lang w:val="sr-Cyrl-CS"/>
              </w:rPr>
            </w:pPr>
            <w:r w:rsidRPr="007E770D">
              <w:rPr>
                <w:color w:val="auto"/>
                <w:sz w:val="18"/>
                <w:szCs w:val="18"/>
                <w:lang w:val="sr-Cyrl-CS"/>
              </w:rPr>
              <w:t>39,9</w:t>
            </w:r>
          </w:p>
        </w:tc>
        <w:tc>
          <w:tcPr>
            <w:tcW w:w="683" w:type="pct"/>
            <w:noWrap/>
            <w:vAlign w:val="center"/>
          </w:tcPr>
          <w:p w14:paraId="45E390D9"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39,2</w:t>
            </w:r>
          </w:p>
        </w:tc>
      </w:tr>
      <w:tr w:rsidR="005158F5" w:rsidRPr="007E770D" w14:paraId="1B49296D" w14:textId="77777777" w:rsidTr="00E4657F">
        <w:trPr>
          <w:trHeight w:val="281"/>
          <w:jc w:val="center"/>
        </w:trPr>
        <w:tc>
          <w:tcPr>
            <w:tcW w:w="2269" w:type="pct"/>
            <w:tcBorders>
              <w:bottom w:val="single" w:sz="4" w:space="0" w:color="002060"/>
            </w:tcBorders>
            <w:noWrap/>
            <w:vAlign w:val="center"/>
            <w:hideMark/>
          </w:tcPr>
          <w:p w14:paraId="08E7DEC5" w14:textId="77777777" w:rsidR="005158F5" w:rsidRPr="007E770D" w:rsidRDefault="005158F5" w:rsidP="00E4657F">
            <w:pPr>
              <w:ind w:left="113"/>
              <w:jc w:val="left"/>
              <w:rPr>
                <w:rFonts w:eastAsia="Calibri" w:cstheme="minorHAnsi"/>
                <w:bCs/>
                <w:color w:val="auto"/>
                <w:sz w:val="18"/>
                <w:szCs w:val="18"/>
                <w:lang w:val="sr-Cyrl-CS"/>
              </w:rPr>
            </w:pPr>
            <w:r w:rsidRPr="007E770D">
              <w:rPr>
                <w:rFonts w:eastAsia="Calibri" w:cstheme="minorHAnsi"/>
                <w:color w:val="auto"/>
                <w:sz w:val="18"/>
                <w:szCs w:val="18"/>
                <w:lang w:val="sr-Cyrl-CS"/>
              </w:rPr>
              <w:t>Бруто дуг сектора опште државе</w:t>
            </w:r>
          </w:p>
        </w:tc>
        <w:tc>
          <w:tcPr>
            <w:tcW w:w="682" w:type="pct"/>
            <w:tcBorders>
              <w:bottom w:val="single" w:sz="4" w:space="0" w:color="002060"/>
            </w:tcBorders>
            <w:noWrap/>
            <w:vAlign w:val="center"/>
            <w:hideMark/>
          </w:tcPr>
          <w:p w14:paraId="4259E6E9"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52,9</w:t>
            </w:r>
          </w:p>
        </w:tc>
        <w:tc>
          <w:tcPr>
            <w:tcW w:w="683" w:type="pct"/>
            <w:tcBorders>
              <w:bottom w:val="single" w:sz="4" w:space="0" w:color="002060"/>
            </w:tcBorders>
            <w:noWrap/>
            <w:vAlign w:val="center"/>
            <w:hideMark/>
          </w:tcPr>
          <w:p w14:paraId="0DFC4D18"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51,4</w:t>
            </w:r>
          </w:p>
        </w:tc>
        <w:tc>
          <w:tcPr>
            <w:tcW w:w="682" w:type="pct"/>
            <w:tcBorders>
              <w:bottom w:val="single" w:sz="4" w:space="0" w:color="002060"/>
            </w:tcBorders>
            <w:noWrap/>
            <w:vAlign w:val="center"/>
            <w:hideMark/>
          </w:tcPr>
          <w:p w14:paraId="23263A08"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50,1</w:t>
            </w:r>
          </w:p>
        </w:tc>
        <w:tc>
          <w:tcPr>
            <w:tcW w:w="683" w:type="pct"/>
            <w:tcBorders>
              <w:bottom w:val="single" w:sz="4" w:space="0" w:color="002060"/>
            </w:tcBorders>
            <w:noWrap/>
            <w:vAlign w:val="center"/>
            <w:hideMark/>
          </w:tcPr>
          <w:p w14:paraId="0C8D141C" w14:textId="77777777" w:rsidR="005158F5" w:rsidRPr="007E770D" w:rsidRDefault="005158F5" w:rsidP="00E4657F">
            <w:pPr>
              <w:jc w:val="center"/>
              <w:rPr>
                <w:rFonts w:eastAsia="Calibri" w:cstheme="minorHAnsi"/>
                <w:color w:val="auto"/>
                <w:sz w:val="18"/>
                <w:szCs w:val="18"/>
                <w:lang w:val="sr-Cyrl-CS"/>
              </w:rPr>
            </w:pPr>
            <w:r w:rsidRPr="007E770D">
              <w:rPr>
                <w:color w:val="auto"/>
                <w:sz w:val="18"/>
                <w:szCs w:val="18"/>
                <w:lang w:val="sr-Cyrl-CS"/>
              </w:rPr>
              <w:t>48,3</w:t>
            </w:r>
          </w:p>
        </w:tc>
      </w:tr>
    </w:tbl>
    <w:p w14:paraId="60C6F75D" w14:textId="77777777" w:rsidR="005158F5" w:rsidRPr="007E770D" w:rsidRDefault="005158F5" w:rsidP="00E4657F">
      <w:pPr>
        <w:rPr>
          <w:rFonts w:cstheme="minorHAnsi"/>
          <w:color w:val="auto"/>
          <w:sz w:val="16"/>
          <w:szCs w:val="16"/>
          <w:lang w:val="sr-Cyrl-CS"/>
        </w:rPr>
      </w:pPr>
    </w:p>
    <w:p w14:paraId="553916EB" w14:textId="77777777" w:rsidR="005158F5" w:rsidRPr="007E770D" w:rsidRDefault="005158F5" w:rsidP="00642DA6">
      <w:pPr>
        <w:spacing w:after="120" w:line="276" w:lineRule="auto"/>
        <w:rPr>
          <w:rFonts w:ascii="Calibri" w:eastAsia="MS PGothic" w:hAnsi="Calibri" w:cs="Calibri"/>
          <w:color w:val="auto"/>
          <w:szCs w:val="20"/>
          <w:lang w:val="sr-Cyrl-CS" w:eastAsia="ja-JP"/>
        </w:rPr>
        <w:sectPr w:rsidR="005158F5" w:rsidRPr="007E770D" w:rsidSect="00E4657F">
          <w:pgSz w:w="12240" w:h="15840"/>
          <w:pgMar w:top="1440" w:right="1440" w:bottom="1440" w:left="1440" w:header="720" w:footer="720" w:gutter="0"/>
          <w:cols w:space="720"/>
          <w:docGrid w:linePitch="360"/>
        </w:sectPr>
      </w:pPr>
    </w:p>
    <w:p w14:paraId="441C5A9B" w14:textId="77777777" w:rsidR="00944DC6" w:rsidRPr="007E770D" w:rsidRDefault="00944DC6" w:rsidP="00944DC6">
      <w:pPr>
        <w:spacing w:after="0"/>
        <w:ind w:left="567"/>
        <w:rPr>
          <w:color w:val="auto"/>
          <w:sz w:val="14"/>
          <w:szCs w:val="26"/>
          <w:lang w:val="sr-Cyrl-CS"/>
        </w:rPr>
      </w:pPr>
    </w:p>
    <w:p w14:paraId="0ECCCB2C" w14:textId="77777777" w:rsidR="00944DC6" w:rsidRPr="007E770D" w:rsidRDefault="00944DC6" w:rsidP="00944DC6">
      <w:pPr>
        <w:spacing w:after="0"/>
        <w:ind w:left="567"/>
        <w:rPr>
          <w:color w:val="auto"/>
          <w:sz w:val="14"/>
          <w:szCs w:val="26"/>
          <w:lang w:val="sr-Cyrl-CS"/>
        </w:rPr>
      </w:pPr>
    </w:p>
    <w:p w14:paraId="619B08CF" w14:textId="77777777" w:rsidR="00944DC6" w:rsidRPr="007E770D" w:rsidRDefault="00944DC6" w:rsidP="00944DC6">
      <w:pPr>
        <w:ind w:left="284"/>
        <w:rPr>
          <w:color w:val="auto"/>
          <w:lang w:val="sr-Cyrl-CS"/>
        </w:rPr>
      </w:pPr>
      <w:bookmarkStart w:id="36" w:name="_Toc23342475"/>
      <w:r w:rsidRPr="007E770D">
        <w:rPr>
          <w:rStyle w:val="Heading1Char"/>
          <w:rFonts w:asciiTheme="minorHAnsi" w:hAnsiTheme="minorHAnsi" w:cstheme="minorHAnsi"/>
          <w:color w:val="auto"/>
          <w:sz w:val="24"/>
          <w:szCs w:val="26"/>
          <w:lang w:val="sr-Cyrl-CS"/>
        </w:rPr>
        <w:t>Прилог 2 – Фискални оквир опште државе у 2020. години</w:t>
      </w:r>
      <w:bookmarkEnd w:id="36"/>
      <w:r w:rsidRPr="007E770D">
        <w:rPr>
          <w:rFonts w:cstheme="minorHAnsi"/>
          <w:color w:val="auto"/>
          <w:sz w:val="24"/>
          <w:szCs w:val="26"/>
          <w:lang w:val="sr-Cyrl-CS"/>
        </w:rPr>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512"/>
        <w:gridCol w:w="1169"/>
        <w:gridCol w:w="1701"/>
        <w:gridCol w:w="992"/>
        <w:gridCol w:w="992"/>
        <w:gridCol w:w="993"/>
        <w:gridCol w:w="1032"/>
        <w:gridCol w:w="992"/>
        <w:gridCol w:w="992"/>
        <w:gridCol w:w="851"/>
        <w:gridCol w:w="1000"/>
        <w:gridCol w:w="943"/>
      </w:tblGrid>
      <w:tr w:rsidR="007E770D" w:rsidRPr="007E770D" w14:paraId="427B5626" w14:textId="77777777" w:rsidTr="00E4657F">
        <w:trPr>
          <w:jc w:val="center"/>
        </w:trPr>
        <w:tc>
          <w:tcPr>
            <w:tcW w:w="2512" w:type="dxa"/>
            <w:tcBorders>
              <w:top w:val="single" w:sz="4" w:space="0" w:color="002060"/>
              <w:bottom w:val="single" w:sz="4" w:space="0" w:color="002060"/>
            </w:tcBorders>
            <w:vAlign w:val="bottom"/>
          </w:tcPr>
          <w:p w14:paraId="13ADE563" w14:textId="77777777" w:rsidR="00944DC6" w:rsidRPr="007E770D" w:rsidRDefault="00944DC6" w:rsidP="00E4657F">
            <w:pPr>
              <w:pStyle w:val="Footer"/>
              <w:rPr>
                <w:rFonts w:cstheme="minorHAnsi"/>
                <w:color w:val="auto"/>
                <w:sz w:val="14"/>
                <w:szCs w:val="16"/>
                <w:lang w:val="sr-Cyrl-CS"/>
              </w:rPr>
            </w:pPr>
            <w:bookmarkStart w:id="37" w:name="OLE_LINK1"/>
            <w:r w:rsidRPr="007E770D">
              <w:rPr>
                <w:rFonts w:ascii="Calibri" w:hAnsi="Calibri" w:cs="Calibri"/>
                <w:color w:val="auto"/>
                <w:sz w:val="14"/>
                <w:szCs w:val="16"/>
                <w:lang w:val="sr-Cyrl-CS"/>
              </w:rPr>
              <w:t> </w:t>
            </w:r>
          </w:p>
        </w:tc>
        <w:tc>
          <w:tcPr>
            <w:tcW w:w="1169" w:type="dxa"/>
            <w:tcBorders>
              <w:top w:val="single" w:sz="4" w:space="0" w:color="002060"/>
              <w:bottom w:val="single" w:sz="4" w:space="0" w:color="002060"/>
            </w:tcBorders>
            <w:vAlign w:val="center"/>
          </w:tcPr>
          <w:p w14:paraId="1145C7EE" w14:textId="77777777" w:rsidR="00944DC6" w:rsidRPr="007E770D" w:rsidRDefault="00944DC6" w:rsidP="00E4657F">
            <w:pPr>
              <w:pStyle w:val="Footer"/>
              <w:jc w:val="center"/>
              <w:rPr>
                <w:rFonts w:cstheme="minorHAnsi"/>
                <w:color w:val="auto"/>
                <w:sz w:val="14"/>
                <w:szCs w:val="16"/>
                <w:lang w:val="sr-Cyrl-CS"/>
              </w:rPr>
            </w:pPr>
            <w:r w:rsidRPr="007E770D">
              <w:rPr>
                <w:rFonts w:ascii="Calibri" w:hAnsi="Calibri" w:cs="Calibri"/>
                <w:color w:val="auto"/>
                <w:sz w:val="14"/>
                <w:szCs w:val="16"/>
                <w:lang w:val="sr-Cyrl-CS"/>
              </w:rPr>
              <w:t>Општа држава</w:t>
            </w:r>
          </w:p>
        </w:tc>
        <w:tc>
          <w:tcPr>
            <w:tcW w:w="1701" w:type="dxa"/>
            <w:tcBorders>
              <w:top w:val="single" w:sz="4" w:space="0" w:color="002060"/>
              <w:bottom w:val="single" w:sz="4" w:space="0" w:color="002060"/>
            </w:tcBorders>
            <w:vAlign w:val="center"/>
          </w:tcPr>
          <w:p w14:paraId="3D13BB72" w14:textId="77777777" w:rsidR="00944DC6" w:rsidRPr="007E770D" w:rsidRDefault="00944DC6" w:rsidP="00E4657F">
            <w:pPr>
              <w:pStyle w:val="Footer"/>
              <w:jc w:val="center"/>
              <w:rPr>
                <w:rFonts w:cstheme="minorHAnsi"/>
                <w:color w:val="auto"/>
                <w:sz w:val="14"/>
                <w:szCs w:val="16"/>
                <w:lang w:val="sr-Cyrl-CS"/>
              </w:rPr>
            </w:pPr>
            <w:r w:rsidRPr="007E770D">
              <w:rPr>
                <w:rFonts w:ascii="Calibri" w:hAnsi="Calibri" w:cs="Calibri"/>
                <w:color w:val="auto"/>
                <w:sz w:val="14"/>
                <w:szCs w:val="16"/>
                <w:lang w:val="sr-Cyrl-CS"/>
              </w:rPr>
              <w:t>Буџет Републике (укључујући средства из пројектних зајмова)</w:t>
            </w:r>
          </w:p>
        </w:tc>
        <w:tc>
          <w:tcPr>
            <w:tcW w:w="992" w:type="dxa"/>
            <w:tcBorders>
              <w:top w:val="single" w:sz="4" w:space="0" w:color="002060"/>
              <w:bottom w:val="single" w:sz="4" w:space="0" w:color="002060"/>
            </w:tcBorders>
            <w:vAlign w:val="center"/>
          </w:tcPr>
          <w:p w14:paraId="390AD0EB" w14:textId="7C0561DC" w:rsidR="00944DC6" w:rsidRPr="007E770D" w:rsidRDefault="001E71AB" w:rsidP="00E4657F">
            <w:pPr>
              <w:pStyle w:val="Footer"/>
              <w:jc w:val="center"/>
              <w:rPr>
                <w:rFonts w:cstheme="minorHAnsi"/>
                <w:color w:val="auto"/>
                <w:sz w:val="14"/>
                <w:szCs w:val="16"/>
                <w:lang w:val="sr-Cyrl-CS"/>
              </w:rPr>
            </w:pPr>
            <w:r w:rsidRPr="007E770D">
              <w:rPr>
                <w:rFonts w:ascii="Calibri" w:hAnsi="Calibri" w:cs="Calibri"/>
                <w:color w:val="auto"/>
                <w:sz w:val="14"/>
                <w:szCs w:val="16"/>
                <w:lang w:val="sr-Cyrl-CS"/>
              </w:rPr>
              <w:t>Јединице локалне самоуправе</w:t>
            </w:r>
          </w:p>
        </w:tc>
        <w:tc>
          <w:tcPr>
            <w:tcW w:w="992" w:type="dxa"/>
            <w:tcBorders>
              <w:top w:val="single" w:sz="4" w:space="0" w:color="002060"/>
              <w:bottom w:val="single" w:sz="4" w:space="0" w:color="002060"/>
            </w:tcBorders>
            <w:vAlign w:val="center"/>
          </w:tcPr>
          <w:p w14:paraId="6EFD8C4D" w14:textId="77777777" w:rsidR="00944DC6" w:rsidRPr="007E770D" w:rsidRDefault="00944DC6" w:rsidP="00E4657F">
            <w:pPr>
              <w:pStyle w:val="Footer"/>
              <w:jc w:val="center"/>
              <w:rPr>
                <w:rFonts w:cstheme="minorHAnsi"/>
                <w:color w:val="auto"/>
                <w:sz w:val="14"/>
                <w:szCs w:val="16"/>
                <w:lang w:val="sr-Cyrl-CS"/>
              </w:rPr>
            </w:pPr>
            <w:r w:rsidRPr="007E770D">
              <w:rPr>
                <w:rFonts w:ascii="Calibri" w:hAnsi="Calibri" w:cs="Calibri"/>
                <w:color w:val="auto"/>
                <w:sz w:val="14"/>
                <w:szCs w:val="16"/>
                <w:lang w:val="sr-Cyrl-CS"/>
              </w:rPr>
              <w:t>Градови и општине</w:t>
            </w:r>
          </w:p>
        </w:tc>
        <w:tc>
          <w:tcPr>
            <w:tcW w:w="993" w:type="dxa"/>
            <w:tcBorders>
              <w:top w:val="single" w:sz="4" w:space="0" w:color="002060"/>
              <w:bottom w:val="single" w:sz="4" w:space="0" w:color="002060"/>
            </w:tcBorders>
            <w:vAlign w:val="center"/>
          </w:tcPr>
          <w:p w14:paraId="0FFC6A60" w14:textId="77777777" w:rsidR="00944DC6" w:rsidRPr="007E770D" w:rsidRDefault="00944DC6" w:rsidP="00E4657F">
            <w:pPr>
              <w:pStyle w:val="Footer"/>
              <w:jc w:val="center"/>
              <w:rPr>
                <w:rFonts w:cstheme="minorHAnsi"/>
                <w:color w:val="auto"/>
                <w:sz w:val="14"/>
                <w:szCs w:val="16"/>
                <w:lang w:val="sr-Cyrl-CS"/>
              </w:rPr>
            </w:pPr>
            <w:r w:rsidRPr="007E770D">
              <w:rPr>
                <w:rFonts w:ascii="Calibri" w:hAnsi="Calibri" w:cs="Calibri"/>
                <w:color w:val="auto"/>
                <w:sz w:val="14"/>
                <w:szCs w:val="16"/>
                <w:lang w:val="sr-Cyrl-CS"/>
              </w:rPr>
              <w:t>AП Војводина</w:t>
            </w:r>
          </w:p>
        </w:tc>
        <w:tc>
          <w:tcPr>
            <w:tcW w:w="1032" w:type="dxa"/>
            <w:tcBorders>
              <w:top w:val="single" w:sz="4" w:space="0" w:color="002060"/>
              <w:bottom w:val="single" w:sz="4" w:space="0" w:color="002060"/>
            </w:tcBorders>
            <w:vAlign w:val="center"/>
          </w:tcPr>
          <w:p w14:paraId="618996DA" w14:textId="77777777" w:rsidR="00944DC6" w:rsidRPr="007E770D" w:rsidRDefault="00944DC6" w:rsidP="00E4657F">
            <w:pPr>
              <w:pStyle w:val="Footer"/>
              <w:jc w:val="center"/>
              <w:rPr>
                <w:rFonts w:cstheme="minorHAnsi"/>
                <w:color w:val="auto"/>
                <w:sz w:val="14"/>
                <w:szCs w:val="16"/>
                <w:lang w:val="sr-Cyrl-CS"/>
              </w:rPr>
            </w:pPr>
            <w:r w:rsidRPr="007E770D">
              <w:rPr>
                <w:rFonts w:ascii="Calibri" w:hAnsi="Calibri" w:cs="Calibri"/>
                <w:color w:val="auto"/>
                <w:sz w:val="14"/>
                <w:szCs w:val="16"/>
                <w:lang w:val="sr-Cyrl-CS"/>
              </w:rPr>
              <w:t>ЈП „Путеви Србијеˮ и „Коридори Србијеˮ д.о.о.</w:t>
            </w:r>
          </w:p>
        </w:tc>
        <w:tc>
          <w:tcPr>
            <w:tcW w:w="992" w:type="dxa"/>
            <w:tcBorders>
              <w:top w:val="single" w:sz="4" w:space="0" w:color="002060"/>
              <w:bottom w:val="single" w:sz="4" w:space="0" w:color="002060"/>
            </w:tcBorders>
            <w:vAlign w:val="center"/>
          </w:tcPr>
          <w:p w14:paraId="766D08F3" w14:textId="77777777" w:rsidR="00944DC6" w:rsidRPr="007E770D" w:rsidRDefault="00944DC6" w:rsidP="00E4657F">
            <w:pPr>
              <w:pStyle w:val="Footer"/>
              <w:jc w:val="center"/>
              <w:rPr>
                <w:rFonts w:cstheme="minorHAnsi"/>
                <w:color w:val="auto"/>
                <w:sz w:val="14"/>
                <w:szCs w:val="16"/>
                <w:lang w:val="sr-Cyrl-CS"/>
              </w:rPr>
            </w:pPr>
            <w:r w:rsidRPr="007E770D">
              <w:rPr>
                <w:rFonts w:ascii="Calibri" w:hAnsi="Calibri" w:cs="Calibri"/>
                <w:color w:val="auto"/>
                <w:sz w:val="14"/>
                <w:szCs w:val="16"/>
                <w:lang w:val="sr-Cyrl-CS"/>
              </w:rPr>
              <w:t>ООСО</w:t>
            </w:r>
          </w:p>
        </w:tc>
        <w:tc>
          <w:tcPr>
            <w:tcW w:w="992" w:type="dxa"/>
            <w:tcBorders>
              <w:top w:val="single" w:sz="4" w:space="0" w:color="002060"/>
              <w:bottom w:val="single" w:sz="4" w:space="0" w:color="002060"/>
            </w:tcBorders>
            <w:vAlign w:val="center"/>
          </w:tcPr>
          <w:p w14:paraId="4FFD57B9" w14:textId="77777777" w:rsidR="00944DC6" w:rsidRPr="007E770D" w:rsidRDefault="00944DC6" w:rsidP="00E4657F">
            <w:pPr>
              <w:pStyle w:val="Footer"/>
              <w:jc w:val="center"/>
              <w:rPr>
                <w:rFonts w:cstheme="minorHAnsi"/>
                <w:color w:val="auto"/>
                <w:sz w:val="14"/>
                <w:szCs w:val="16"/>
                <w:lang w:val="sr-Cyrl-CS"/>
              </w:rPr>
            </w:pPr>
            <w:r w:rsidRPr="007E770D">
              <w:rPr>
                <w:rFonts w:ascii="Calibri" w:hAnsi="Calibri" w:cs="Calibri"/>
                <w:color w:val="auto"/>
                <w:sz w:val="14"/>
                <w:szCs w:val="16"/>
                <w:lang w:val="sr-Cyrl-CS"/>
              </w:rPr>
              <w:t>Фонд ПИО</w:t>
            </w:r>
          </w:p>
        </w:tc>
        <w:tc>
          <w:tcPr>
            <w:tcW w:w="851" w:type="dxa"/>
            <w:tcBorders>
              <w:top w:val="single" w:sz="4" w:space="0" w:color="002060"/>
              <w:bottom w:val="single" w:sz="4" w:space="0" w:color="002060"/>
            </w:tcBorders>
            <w:vAlign w:val="center"/>
          </w:tcPr>
          <w:p w14:paraId="451B4161" w14:textId="77777777" w:rsidR="00944DC6" w:rsidRPr="007E770D" w:rsidRDefault="00944DC6" w:rsidP="00E4657F">
            <w:pPr>
              <w:pStyle w:val="Footer"/>
              <w:jc w:val="center"/>
              <w:rPr>
                <w:rFonts w:cstheme="minorHAnsi"/>
                <w:color w:val="auto"/>
                <w:sz w:val="14"/>
                <w:szCs w:val="16"/>
                <w:lang w:val="sr-Cyrl-CS"/>
              </w:rPr>
            </w:pPr>
            <w:r w:rsidRPr="007E770D">
              <w:rPr>
                <w:rFonts w:ascii="Calibri" w:hAnsi="Calibri" w:cs="Calibri"/>
                <w:color w:val="auto"/>
                <w:sz w:val="14"/>
                <w:szCs w:val="16"/>
                <w:lang w:val="sr-Cyrl-CS"/>
              </w:rPr>
              <w:t>РФЗО</w:t>
            </w:r>
          </w:p>
        </w:tc>
        <w:tc>
          <w:tcPr>
            <w:tcW w:w="1000" w:type="dxa"/>
            <w:tcBorders>
              <w:top w:val="single" w:sz="4" w:space="0" w:color="002060"/>
              <w:bottom w:val="single" w:sz="4" w:space="0" w:color="002060"/>
            </w:tcBorders>
            <w:vAlign w:val="center"/>
          </w:tcPr>
          <w:p w14:paraId="41A7F2AA" w14:textId="77777777" w:rsidR="00944DC6" w:rsidRPr="007E770D" w:rsidRDefault="00944DC6" w:rsidP="00E4657F">
            <w:pPr>
              <w:pStyle w:val="Footer"/>
              <w:jc w:val="center"/>
              <w:rPr>
                <w:rFonts w:cstheme="minorHAnsi"/>
                <w:color w:val="auto"/>
                <w:sz w:val="14"/>
                <w:szCs w:val="16"/>
                <w:lang w:val="sr-Cyrl-CS"/>
              </w:rPr>
            </w:pPr>
            <w:r w:rsidRPr="007E770D">
              <w:rPr>
                <w:rFonts w:ascii="Calibri" w:hAnsi="Calibri" w:cs="Calibri"/>
                <w:color w:val="auto"/>
                <w:sz w:val="14"/>
                <w:szCs w:val="16"/>
                <w:lang w:val="sr-Cyrl-CS"/>
              </w:rPr>
              <w:t>НСЗ</w:t>
            </w:r>
          </w:p>
        </w:tc>
        <w:tc>
          <w:tcPr>
            <w:tcW w:w="943" w:type="dxa"/>
            <w:tcBorders>
              <w:top w:val="single" w:sz="4" w:space="0" w:color="002060"/>
              <w:bottom w:val="single" w:sz="4" w:space="0" w:color="002060"/>
            </w:tcBorders>
            <w:vAlign w:val="center"/>
          </w:tcPr>
          <w:p w14:paraId="63154816" w14:textId="77777777" w:rsidR="00944DC6" w:rsidRPr="007E770D" w:rsidRDefault="00944DC6" w:rsidP="00E4657F">
            <w:pPr>
              <w:pStyle w:val="Footer"/>
              <w:jc w:val="center"/>
              <w:rPr>
                <w:rFonts w:cstheme="minorHAnsi"/>
                <w:color w:val="auto"/>
                <w:sz w:val="14"/>
                <w:szCs w:val="16"/>
                <w:lang w:val="sr-Cyrl-CS"/>
              </w:rPr>
            </w:pPr>
            <w:r w:rsidRPr="007E770D">
              <w:rPr>
                <w:rFonts w:ascii="Calibri" w:hAnsi="Calibri" w:cs="Calibri"/>
                <w:color w:val="auto"/>
                <w:sz w:val="14"/>
                <w:szCs w:val="16"/>
                <w:lang w:val="sr-Cyrl-CS"/>
              </w:rPr>
              <w:t>Фонд СОВО</w:t>
            </w:r>
          </w:p>
        </w:tc>
      </w:tr>
      <w:tr w:rsidR="007E770D" w:rsidRPr="007E770D" w14:paraId="308225DC" w14:textId="77777777" w:rsidTr="00E4657F">
        <w:trPr>
          <w:jc w:val="center"/>
        </w:trPr>
        <w:tc>
          <w:tcPr>
            <w:tcW w:w="2512" w:type="dxa"/>
            <w:tcBorders>
              <w:top w:val="single" w:sz="4" w:space="0" w:color="002060"/>
              <w:bottom w:val="single" w:sz="4" w:space="0" w:color="auto"/>
            </w:tcBorders>
            <w:vAlign w:val="bottom"/>
          </w:tcPr>
          <w:p w14:paraId="10A4C7B3" w14:textId="77777777" w:rsidR="00944DC6" w:rsidRPr="007E770D" w:rsidRDefault="00944DC6" w:rsidP="00E4657F">
            <w:pPr>
              <w:pStyle w:val="Footer"/>
              <w:rPr>
                <w:rFonts w:cstheme="minorHAnsi"/>
                <w:color w:val="auto"/>
                <w:sz w:val="14"/>
                <w:szCs w:val="16"/>
                <w:lang w:val="sr-Cyrl-CS"/>
              </w:rPr>
            </w:pPr>
            <w:r w:rsidRPr="007E770D">
              <w:rPr>
                <w:rFonts w:ascii="Calibri" w:hAnsi="Calibri" w:cs="Calibri"/>
                <w:color w:val="auto"/>
                <w:sz w:val="14"/>
                <w:szCs w:val="16"/>
                <w:lang w:val="sr-Cyrl-CS"/>
              </w:rPr>
              <w:t> </w:t>
            </w:r>
          </w:p>
        </w:tc>
        <w:tc>
          <w:tcPr>
            <w:tcW w:w="1169" w:type="dxa"/>
            <w:tcBorders>
              <w:top w:val="single" w:sz="4" w:space="0" w:color="002060"/>
              <w:bottom w:val="single" w:sz="4" w:space="0" w:color="auto"/>
            </w:tcBorders>
            <w:vAlign w:val="bottom"/>
          </w:tcPr>
          <w:p w14:paraId="1C8DD3FA" w14:textId="77777777" w:rsidR="00944DC6" w:rsidRPr="007E770D" w:rsidRDefault="00944DC6" w:rsidP="00E4657F">
            <w:pPr>
              <w:pStyle w:val="Footer"/>
              <w:jc w:val="center"/>
              <w:rPr>
                <w:rFonts w:cstheme="minorHAnsi"/>
                <w:color w:val="auto"/>
                <w:sz w:val="14"/>
                <w:szCs w:val="16"/>
                <w:lang w:val="sr-Cyrl-CS"/>
              </w:rPr>
            </w:pPr>
            <w:r w:rsidRPr="007E770D">
              <w:rPr>
                <w:rFonts w:ascii="Calibri" w:hAnsi="Calibri" w:cs="Calibri"/>
                <w:color w:val="auto"/>
                <w:sz w:val="14"/>
                <w:szCs w:val="16"/>
                <w:lang w:val="sr-Cyrl-CS"/>
              </w:rPr>
              <w:t>1=2+3+6+7</w:t>
            </w:r>
          </w:p>
        </w:tc>
        <w:tc>
          <w:tcPr>
            <w:tcW w:w="1701" w:type="dxa"/>
            <w:tcBorders>
              <w:top w:val="single" w:sz="4" w:space="0" w:color="002060"/>
              <w:bottom w:val="single" w:sz="4" w:space="0" w:color="auto"/>
            </w:tcBorders>
            <w:vAlign w:val="bottom"/>
          </w:tcPr>
          <w:p w14:paraId="0809EF45" w14:textId="77777777" w:rsidR="00944DC6" w:rsidRPr="007E770D" w:rsidRDefault="00944DC6" w:rsidP="00E4657F">
            <w:pPr>
              <w:pStyle w:val="Footer"/>
              <w:jc w:val="center"/>
              <w:rPr>
                <w:rFonts w:cstheme="minorHAnsi"/>
                <w:color w:val="auto"/>
                <w:sz w:val="14"/>
                <w:szCs w:val="16"/>
                <w:lang w:val="sr-Cyrl-CS"/>
              </w:rPr>
            </w:pPr>
            <w:r w:rsidRPr="007E770D">
              <w:rPr>
                <w:rFonts w:ascii="Calibri" w:hAnsi="Calibri" w:cs="Calibri"/>
                <w:color w:val="auto"/>
                <w:sz w:val="14"/>
                <w:szCs w:val="16"/>
                <w:lang w:val="sr-Cyrl-CS"/>
              </w:rPr>
              <w:t>2</w:t>
            </w:r>
          </w:p>
        </w:tc>
        <w:tc>
          <w:tcPr>
            <w:tcW w:w="992" w:type="dxa"/>
            <w:tcBorders>
              <w:top w:val="single" w:sz="4" w:space="0" w:color="002060"/>
              <w:bottom w:val="single" w:sz="4" w:space="0" w:color="auto"/>
            </w:tcBorders>
            <w:vAlign w:val="bottom"/>
          </w:tcPr>
          <w:p w14:paraId="002CEE8E" w14:textId="77777777" w:rsidR="00944DC6" w:rsidRPr="007E770D" w:rsidRDefault="00944DC6" w:rsidP="00E4657F">
            <w:pPr>
              <w:pStyle w:val="Footer"/>
              <w:jc w:val="center"/>
              <w:rPr>
                <w:rFonts w:cstheme="minorHAnsi"/>
                <w:color w:val="auto"/>
                <w:sz w:val="14"/>
                <w:szCs w:val="16"/>
                <w:lang w:val="sr-Cyrl-CS"/>
              </w:rPr>
            </w:pPr>
            <w:r w:rsidRPr="007E770D">
              <w:rPr>
                <w:rFonts w:ascii="Calibri" w:hAnsi="Calibri" w:cs="Calibri"/>
                <w:color w:val="auto"/>
                <w:sz w:val="14"/>
                <w:szCs w:val="16"/>
                <w:lang w:val="sr-Cyrl-CS"/>
              </w:rPr>
              <w:t>3=4+5</w:t>
            </w:r>
          </w:p>
        </w:tc>
        <w:tc>
          <w:tcPr>
            <w:tcW w:w="992" w:type="dxa"/>
            <w:tcBorders>
              <w:top w:val="single" w:sz="4" w:space="0" w:color="002060"/>
              <w:bottom w:val="single" w:sz="4" w:space="0" w:color="auto"/>
            </w:tcBorders>
            <w:vAlign w:val="bottom"/>
          </w:tcPr>
          <w:p w14:paraId="56C871CF" w14:textId="77777777" w:rsidR="00944DC6" w:rsidRPr="007E770D" w:rsidRDefault="00944DC6" w:rsidP="00E4657F">
            <w:pPr>
              <w:pStyle w:val="Footer"/>
              <w:jc w:val="center"/>
              <w:rPr>
                <w:rFonts w:cstheme="minorHAnsi"/>
                <w:color w:val="auto"/>
                <w:sz w:val="14"/>
                <w:szCs w:val="16"/>
                <w:lang w:val="sr-Cyrl-CS"/>
              </w:rPr>
            </w:pPr>
            <w:r w:rsidRPr="007E770D">
              <w:rPr>
                <w:rFonts w:ascii="Calibri" w:hAnsi="Calibri" w:cs="Calibri"/>
                <w:color w:val="auto"/>
                <w:sz w:val="14"/>
                <w:szCs w:val="16"/>
                <w:lang w:val="sr-Cyrl-CS"/>
              </w:rPr>
              <w:t>4</w:t>
            </w:r>
          </w:p>
        </w:tc>
        <w:tc>
          <w:tcPr>
            <w:tcW w:w="993" w:type="dxa"/>
            <w:tcBorders>
              <w:top w:val="single" w:sz="4" w:space="0" w:color="002060"/>
              <w:bottom w:val="single" w:sz="4" w:space="0" w:color="auto"/>
            </w:tcBorders>
            <w:vAlign w:val="bottom"/>
          </w:tcPr>
          <w:p w14:paraId="62C30331" w14:textId="77777777" w:rsidR="00944DC6" w:rsidRPr="007E770D" w:rsidRDefault="00944DC6" w:rsidP="00E4657F">
            <w:pPr>
              <w:pStyle w:val="Footer"/>
              <w:jc w:val="center"/>
              <w:rPr>
                <w:rFonts w:cstheme="minorHAnsi"/>
                <w:color w:val="auto"/>
                <w:sz w:val="14"/>
                <w:szCs w:val="16"/>
                <w:lang w:val="sr-Cyrl-CS"/>
              </w:rPr>
            </w:pPr>
            <w:r w:rsidRPr="007E770D">
              <w:rPr>
                <w:rFonts w:ascii="Calibri" w:hAnsi="Calibri" w:cs="Calibri"/>
                <w:color w:val="auto"/>
                <w:sz w:val="14"/>
                <w:szCs w:val="16"/>
                <w:lang w:val="sr-Cyrl-CS"/>
              </w:rPr>
              <w:t>5</w:t>
            </w:r>
          </w:p>
        </w:tc>
        <w:tc>
          <w:tcPr>
            <w:tcW w:w="1032" w:type="dxa"/>
            <w:tcBorders>
              <w:top w:val="single" w:sz="4" w:space="0" w:color="002060"/>
              <w:bottom w:val="single" w:sz="4" w:space="0" w:color="auto"/>
            </w:tcBorders>
            <w:vAlign w:val="bottom"/>
          </w:tcPr>
          <w:p w14:paraId="6E5E53BA" w14:textId="77777777" w:rsidR="00944DC6" w:rsidRPr="007E770D" w:rsidRDefault="00944DC6" w:rsidP="00E4657F">
            <w:pPr>
              <w:pStyle w:val="Footer"/>
              <w:jc w:val="center"/>
              <w:rPr>
                <w:rFonts w:cstheme="minorHAnsi"/>
                <w:color w:val="auto"/>
                <w:sz w:val="14"/>
                <w:szCs w:val="16"/>
                <w:lang w:val="sr-Cyrl-CS"/>
              </w:rPr>
            </w:pPr>
            <w:r w:rsidRPr="007E770D">
              <w:rPr>
                <w:rFonts w:ascii="Calibri" w:hAnsi="Calibri" w:cs="Calibri"/>
                <w:color w:val="auto"/>
                <w:sz w:val="14"/>
                <w:szCs w:val="16"/>
                <w:lang w:val="sr-Cyrl-CS"/>
              </w:rPr>
              <w:t>6</w:t>
            </w:r>
          </w:p>
        </w:tc>
        <w:tc>
          <w:tcPr>
            <w:tcW w:w="992" w:type="dxa"/>
            <w:tcBorders>
              <w:top w:val="single" w:sz="4" w:space="0" w:color="002060"/>
              <w:bottom w:val="single" w:sz="4" w:space="0" w:color="auto"/>
            </w:tcBorders>
            <w:vAlign w:val="bottom"/>
          </w:tcPr>
          <w:p w14:paraId="33BEFA1C" w14:textId="77777777" w:rsidR="00944DC6" w:rsidRPr="007E770D" w:rsidRDefault="00944DC6" w:rsidP="00E4657F">
            <w:pPr>
              <w:pStyle w:val="Footer"/>
              <w:jc w:val="center"/>
              <w:rPr>
                <w:rFonts w:cstheme="minorHAnsi"/>
                <w:color w:val="auto"/>
                <w:sz w:val="14"/>
                <w:szCs w:val="16"/>
                <w:lang w:val="sr-Cyrl-CS"/>
              </w:rPr>
            </w:pPr>
            <w:r w:rsidRPr="007E770D">
              <w:rPr>
                <w:rFonts w:ascii="Calibri" w:hAnsi="Calibri" w:cs="Calibri"/>
                <w:color w:val="auto"/>
                <w:sz w:val="14"/>
                <w:szCs w:val="16"/>
                <w:lang w:val="sr-Cyrl-CS"/>
              </w:rPr>
              <w:t>7=8+9+10+11</w:t>
            </w:r>
          </w:p>
        </w:tc>
        <w:tc>
          <w:tcPr>
            <w:tcW w:w="992" w:type="dxa"/>
            <w:tcBorders>
              <w:top w:val="single" w:sz="4" w:space="0" w:color="002060"/>
              <w:bottom w:val="single" w:sz="4" w:space="0" w:color="auto"/>
            </w:tcBorders>
            <w:vAlign w:val="bottom"/>
          </w:tcPr>
          <w:p w14:paraId="408DE19C" w14:textId="77777777" w:rsidR="00944DC6" w:rsidRPr="007E770D" w:rsidRDefault="00944DC6" w:rsidP="00E4657F">
            <w:pPr>
              <w:pStyle w:val="Footer"/>
              <w:jc w:val="center"/>
              <w:rPr>
                <w:rFonts w:cstheme="minorHAnsi"/>
                <w:color w:val="auto"/>
                <w:sz w:val="14"/>
                <w:szCs w:val="16"/>
                <w:lang w:val="sr-Cyrl-CS"/>
              </w:rPr>
            </w:pPr>
            <w:r w:rsidRPr="007E770D">
              <w:rPr>
                <w:rFonts w:ascii="Calibri" w:hAnsi="Calibri" w:cs="Calibri"/>
                <w:color w:val="auto"/>
                <w:sz w:val="14"/>
                <w:szCs w:val="16"/>
                <w:lang w:val="sr-Cyrl-CS"/>
              </w:rPr>
              <w:t>8</w:t>
            </w:r>
          </w:p>
        </w:tc>
        <w:tc>
          <w:tcPr>
            <w:tcW w:w="851" w:type="dxa"/>
            <w:tcBorders>
              <w:top w:val="single" w:sz="4" w:space="0" w:color="002060"/>
              <w:bottom w:val="single" w:sz="4" w:space="0" w:color="auto"/>
            </w:tcBorders>
            <w:vAlign w:val="bottom"/>
          </w:tcPr>
          <w:p w14:paraId="1E14E48E" w14:textId="77777777" w:rsidR="00944DC6" w:rsidRPr="007E770D" w:rsidRDefault="00944DC6" w:rsidP="00E4657F">
            <w:pPr>
              <w:pStyle w:val="Footer"/>
              <w:jc w:val="center"/>
              <w:rPr>
                <w:rFonts w:cstheme="minorHAnsi"/>
                <w:color w:val="auto"/>
                <w:sz w:val="14"/>
                <w:szCs w:val="16"/>
                <w:lang w:val="sr-Cyrl-CS"/>
              </w:rPr>
            </w:pPr>
            <w:r w:rsidRPr="007E770D">
              <w:rPr>
                <w:rFonts w:ascii="Calibri" w:hAnsi="Calibri" w:cs="Calibri"/>
                <w:color w:val="auto"/>
                <w:sz w:val="14"/>
                <w:szCs w:val="16"/>
                <w:lang w:val="sr-Cyrl-CS"/>
              </w:rPr>
              <w:t>9</w:t>
            </w:r>
          </w:p>
        </w:tc>
        <w:tc>
          <w:tcPr>
            <w:tcW w:w="1000" w:type="dxa"/>
            <w:tcBorders>
              <w:top w:val="single" w:sz="4" w:space="0" w:color="002060"/>
              <w:bottom w:val="single" w:sz="4" w:space="0" w:color="auto"/>
            </w:tcBorders>
            <w:vAlign w:val="bottom"/>
          </w:tcPr>
          <w:p w14:paraId="2290EEFC" w14:textId="77777777" w:rsidR="00944DC6" w:rsidRPr="007E770D" w:rsidRDefault="00944DC6" w:rsidP="00E4657F">
            <w:pPr>
              <w:pStyle w:val="Footer"/>
              <w:jc w:val="center"/>
              <w:rPr>
                <w:rFonts w:cstheme="minorHAnsi"/>
                <w:color w:val="auto"/>
                <w:sz w:val="14"/>
                <w:szCs w:val="16"/>
                <w:lang w:val="sr-Cyrl-CS"/>
              </w:rPr>
            </w:pPr>
            <w:r w:rsidRPr="007E770D">
              <w:rPr>
                <w:rFonts w:ascii="Calibri" w:hAnsi="Calibri" w:cs="Calibri"/>
                <w:color w:val="auto"/>
                <w:sz w:val="14"/>
                <w:szCs w:val="16"/>
                <w:lang w:val="sr-Cyrl-CS"/>
              </w:rPr>
              <w:t>10</w:t>
            </w:r>
          </w:p>
        </w:tc>
        <w:tc>
          <w:tcPr>
            <w:tcW w:w="943" w:type="dxa"/>
            <w:tcBorders>
              <w:top w:val="single" w:sz="4" w:space="0" w:color="002060"/>
              <w:bottom w:val="single" w:sz="4" w:space="0" w:color="auto"/>
            </w:tcBorders>
            <w:vAlign w:val="bottom"/>
          </w:tcPr>
          <w:p w14:paraId="2D2CF365" w14:textId="77777777" w:rsidR="00944DC6" w:rsidRPr="007E770D" w:rsidRDefault="00944DC6" w:rsidP="00E4657F">
            <w:pPr>
              <w:pStyle w:val="Footer"/>
              <w:jc w:val="center"/>
              <w:rPr>
                <w:rFonts w:cstheme="minorHAnsi"/>
                <w:color w:val="auto"/>
                <w:sz w:val="14"/>
                <w:szCs w:val="16"/>
                <w:lang w:val="sr-Cyrl-CS"/>
              </w:rPr>
            </w:pPr>
            <w:r w:rsidRPr="007E770D">
              <w:rPr>
                <w:rFonts w:ascii="Calibri" w:hAnsi="Calibri" w:cs="Calibri"/>
                <w:color w:val="auto"/>
                <w:sz w:val="14"/>
                <w:szCs w:val="16"/>
                <w:lang w:val="sr-Cyrl-CS"/>
              </w:rPr>
              <w:t>11</w:t>
            </w:r>
          </w:p>
        </w:tc>
      </w:tr>
      <w:tr w:rsidR="007E770D" w:rsidRPr="007E770D" w14:paraId="1F68DF8E" w14:textId="77777777" w:rsidTr="00E4657F">
        <w:trPr>
          <w:jc w:val="center"/>
        </w:trPr>
        <w:tc>
          <w:tcPr>
            <w:tcW w:w="2512" w:type="dxa"/>
            <w:tcBorders>
              <w:top w:val="single" w:sz="4" w:space="0" w:color="auto"/>
            </w:tcBorders>
            <w:shd w:val="clear" w:color="auto" w:fill="E7E6E6" w:themeFill="background2"/>
            <w:vAlign w:val="bottom"/>
          </w:tcPr>
          <w:p w14:paraId="0BF33D4B"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bCs/>
                <w:color w:val="auto"/>
                <w:sz w:val="14"/>
                <w:szCs w:val="16"/>
                <w:lang w:val="sr-Cyrl-CS"/>
              </w:rPr>
              <w:t xml:space="preserve"> Јавни приходи</w:t>
            </w:r>
          </w:p>
        </w:tc>
        <w:tc>
          <w:tcPr>
            <w:tcW w:w="1169" w:type="dxa"/>
            <w:tcBorders>
              <w:top w:val="nil"/>
              <w:left w:val="nil"/>
              <w:bottom w:val="nil"/>
              <w:right w:val="nil"/>
            </w:tcBorders>
            <w:shd w:val="clear" w:color="000000" w:fill="E7E6E6"/>
          </w:tcPr>
          <w:p w14:paraId="0D832DF5" w14:textId="55F05DF9"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2.340,8</w:t>
            </w:r>
          </w:p>
        </w:tc>
        <w:tc>
          <w:tcPr>
            <w:tcW w:w="1701" w:type="dxa"/>
            <w:tcBorders>
              <w:top w:val="nil"/>
              <w:left w:val="nil"/>
              <w:bottom w:val="nil"/>
              <w:right w:val="nil"/>
            </w:tcBorders>
            <w:shd w:val="clear" w:color="000000" w:fill="E7E6E6"/>
          </w:tcPr>
          <w:p w14:paraId="7C86BCF5" w14:textId="43D4EF68"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1.264,6</w:t>
            </w:r>
          </w:p>
        </w:tc>
        <w:tc>
          <w:tcPr>
            <w:tcW w:w="992" w:type="dxa"/>
            <w:tcBorders>
              <w:top w:val="nil"/>
              <w:left w:val="nil"/>
              <w:bottom w:val="nil"/>
              <w:right w:val="nil"/>
            </w:tcBorders>
            <w:shd w:val="clear" w:color="000000" w:fill="E7E6E6"/>
          </w:tcPr>
          <w:p w14:paraId="580C029B" w14:textId="72EF1DE8"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303,2</w:t>
            </w:r>
          </w:p>
        </w:tc>
        <w:tc>
          <w:tcPr>
            <w:tcW w:w="992" w:type="dxa"/>
            <w:tcBorders>
              <w:top w:val="nil"/>
              <w:left w:val="nil"/>
              <w:bottom w:val="nil"/>
              <w:right w:val="nil"/>
            </w:tcBorders>
            <w:shd w:val="clear" w:color="000000" w:fill="E7E6E6"/>
          </w:tcPr>
          <w:p w14:paraId="5FCCDB09" w14:textId="793FFC3E"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280,5</w:t>
            </w:r>
          </w:p>
        </w:tc>
        <w:tc>
          <w:tcPr>
            <w:tcW w:w="993" w:type="dxa"/>
            <w:tcBorders>
              <w:top w:val="nil"/>
              <w:left w:val="nil"/>
              <w:bottom w:val="nil"/>
              <w:right w:val="nil"/>
            </w:tcBorders>
            <w:shd w:val="clear" w:color="000000" w:fill="E7E6E6"/>
          </w:tcPr>
          <w:p w14:paraId="50FBC33B" w14:textId="34641C74"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22,7</w:t>
            </w:r>
          </w:p>
        </w:tc>
        <w:tc>
          <w:tcPr>
            <w:tcW w:w="1032" w:type="dxa"/>
            <w:tcBorders>
              <w:top w:val="nil"/>
              <w:left w:val="nil"/>
              <w:bottom w:val="nil"/>
              <w:right w:val="nil"/>
            </w:tcBorders>
            <w:shd w:val="clear" w:color="000000" w:fill="E7E6E6"/>
          </w:tcPr>
          <w:p w14:paraId="657D9BE7" w14:textId="625DEC88"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28,4</w:t>
            </w:r>
          </w:p>
        </w:tc>
        <w:tc>
          <w:tcPr>
            <w:tcW w:w="992" w:type="dxa"/>
            <w:tcBorders>
              <w:top w:val="nil"/>
              <w:left w:val="nil"/>
              <w:bottom w:val="nil"/>
              <w:right w:val="nil"/>
            </w:tcBorders>
            <w:shd w:val="clear" w:color="000000" w:fill="E7E6E6"/>
          </w:tcPr>
          <w:p w14:paraId="1ED2D538" w14:textId="11378043"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744,5</w:t>
            </w:r>
          </w:p>
        </w:tc>
        <w:tc>
          <w:tcPr>
            <w:tcW w:w="992" w:type="dxa"/>
            <w:tcBorders>
              <w:top w:val="nil"/>
              <w:left w:val="nil"/>
              <w:bottom w:val="nil"/>
              <w:right w:val="nil"/>
            </w:tcBorders>
            <w:shd w:val="clear" w:color="000000" w:fill="E7E6E6"/>
          </w:tcPr>
          <w:p w14:paraId="194A9931" w14:textId="50F7C7F1"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524,4</w:t>
            </w:r>
          </w:p>
        </w:tc>
        <w:tc>
          <w:tcPr>
            <w:tcW w:w="851" w:type="dxa"/>
            <w:tcBorders>
              <w:top w:val="nil"/>
              <w:left w:val="nil"/>
              <w:bottom w:val="nil"/>
              <w:right w:val="nil"/>
            </w:tcBorders>
            <w:shd w:val="clear" w:color="000000" w:fill="E7E6E6"/>
          </w:tcPr>
          <w:p w14:paraId="5DE3AA17" w14:textId="3AB7FFFB" w:rsidR="00191645" w:rsidRPr="007E770D" w:rsidRDefault="00191645" w:rsidP="00191645">
            <w:pPr>
              <w:pStyle w:val="Footer"/>
              <w:ind w:right="170"/>
              <w:jc w:val="right"/>
              <w:rPr>
                <w:rFonts w:cstheme="minorHAnsi"/>
                <w:color w:val="auto"/>
                <w:sz w:val="14"/>
                <w:szCs w:val="14"/>
                <w:lang w:val="sr-Cyrl-CS"/>
              </w:rPr>
            </w:pPr>
            <w:r w:rsidRPr="007E770D">
              <w:rPr>
                <w:color w:val="auto"/>
                <w:sz w:val="14"/>
                <w:szCs w:val="14"/>
                <w:lang w:val="sr-Cyrl-CS"/>
              </w:rPr>
              <w:t>201,3</w:t>
            </w:r>
          </w:p>
        </w:tc>
        <w:tc>
          <w:tcPr>
            <w:tcW w:w="1000" w:type="dxa"/>
            <w:tcBorders>
              <w:top w:val="nil"/>
              <w:left w:val="nil"/>
              <w:bottom w:val="nil"/>
              <w:right w:val="nil"/>
            </w:tcBorders>
            <w:shd w:val="clear" w:color="000000" w:fill="E7E6E6"/>
          </w:tcPr>
          <w:p w14:paraId="02012487" w14:textId="2EAA1420"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16,2</w:t>
            </w:r>
          </w:p>
        </w:tc>
        <w:tc>
          <w:tcPr>
            <w:tcW w:w="943" w:type="dxa"/>
            <w:tcBorders>
              <w:top w:val="nil"/>
              <w:left w:val="nil"/>
              <w:bottom w:val="nil"/>
              <w:right w:val="nil"/>
            </w:tcBorders>
            <w:shd w:val="clear" w:color="000000" w:fill="E7E6E6"/>
          </w:tcPr>
          <w:p w14:paraId="00E2FF4D" w14:textId="2EFD0FC9"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2,7</w:t>
            </w:r>
          </w:p>
        </w:tc>
      </w:tr>
      <w:tr w:rsidR="007E770D" w:rsidRPr="007E770D" w14:paraId="35ADC3D7" w14:textId="77777777" w:rsidTr="00E4657F">
        <w:trPr>
          <w:jc w:val="center"/>
        </w:trPr>
        <w:tc>
          <w:tcPr>
            <w:tcW w:w="2512" w:type="dxa"/>
            <w:vAlign w:val="bottom"/>
          </w:tcPr>
          <w:p w14:paraId="15550600"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 xml:space="preserve">   Текући приходи</w:t>
            </w:r>
          </w:p>
        </w:tc>
        <w:tc>
          <w:tcPr>
            <w:tcW w:w="1169" w:type="dxa"/>
            <w:tcBorders>
              <w:top w:val="nil"/>
              <w:left w:val="nil"/>
              <w:bottom w:val="nil"/>
              <w:right w:val="nil"/>
            </w:tcBorders>
            <w:shd w:val="clear" w:color="auto" w:fill="auto"/>
          </w:tcPr>
          <w:p w14:paraId="79D3F644" w14:textId="3FD45CD7"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2.324,3</w:t>
            </w:r>
          </w:p>
        </w:tc>
        <w:tc>
          <w:tcPr>
            <w:tcW w:w="1701" w:type="dxa"/>
            <w:tcBorders>
              <w:top w:val="nil"/>
              <w:left w:val="nil"/>
              <w:bottom w:val="nil"/>
              <w:right w:val="nil"/>
            </w:tcBorders>
            <w:shd w:val="clear" w:color="auto" w:fill="auto"/>
          </w:tcPr>
          <w:p w14:paraId="539B831A" w14:textId="36F7A4FB"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1.249,6</w:t>
            </w:r>
          </w:p>
        </w:tc>
        <w:tc>
          <w:tcPr>
            <w:tcW w:w="992" w:type="dxa"/>
            <w:tcBorders>
              <w:top w:val="nil"/>
              <w:left w:val="nil"/>
              <w:bottom w:val="nil"/>
              <w:right w:val="nil"/>
            </w:tcBorders>
            <w:shd w:val="clear" w:color="auto" w:fill="auto"/>
          </w:tcPr>
          <w:p w14:paraId="1001705D" w14:textId="50F2C979"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302,2</w:t>
            </w:r>
          </w:p>
        </w:tc>
        <w:tc>
          <w:tcPr>
            <w:tcW w:w="992" w:type="dxa"/>
            <w:tcBorders>
              <w:top w:val="nil"/>
              <w:left w:val="nil"/>
              <w:bottom w:val="nil"/>
              <w:right w:val="nil"/>
            </w:tcBorders>
            <w:shd w:val="clear" w:color="auto" w:fill="auto"/>
          </w:tcPr>
          <w:p w14:paraId="22405330" w14:textId="55540585"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279,5</w:t>
            </w:r>
          </w:p>
        </w:tc>
        <w:tc>
          <w:tcPr>
            <w:tcW w:w="993" w:type="dxa"/>
            <w:tcBorders>
              <w:top w:val="nil"/>
              <w:left w:val="nil"/>
              <w:bottom w:val="nil"/>
              <w:right w:val="nil"/>
            </w:tcBorders>
            <w:shd w:val="clear" w:color="auto" w:fill="auto"/>
          </w:tcPr>
          <w:p w14:paraId="18C42325" w14:textId="1479EF09"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22,7</w:t>
            </w:r>
          </w:p>
        </w:tc>
        <w:tc>
          <w:tcPr>
            <w:tcW w:w="1032" w:type="dxa"/>
            <w:tcBorders>
              <w:top w:val="nil"/>
              <w:left w:val="nil"/>
              <w:bottom w:val="nil"/>
              <w:right w:val="nil"/>
            </w:tcBorders>
            <w:shd w:val="clear" w:color="auto" w:fill="auto"/>
          </w:tcPr>
          <w:p w14:paraId="3784F997" w14:textId="701BA9F8"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28,4</w:t>
            </w:r>
          </w:p>
        </w:tc>
        <w:tc>
          <w:tcPr>
            <w:tcW w:w="992" w:type="dxa"/>
            <w:tcBorders>
              <w:top w:val="nil"/>
              <w:left w:val="nil"/>
              <w:bottom w:val="nil"/>
              <w:right w:val="nil"/>
            </w:tcBorders>
            <w:shd w:val="clear" w:color="auto" w:fill="auto"/>
          </w:tcPr>
          <w:p w14:paraId="0367E3B6" w14:textId="74CB4238"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744,0</w:t>
            </w:r>
          </w:p>
        </w:tc>
        <w:tc>
          <w:tcPr>
            <w:tcW w:w="992" w:type="dxa"/>
            <w:tcBorders>
              <w:top w:val="nil"/>
              <w:left w:val="nil"/>
              <w:bottom w:val="nil"/>
              <w:right w:val="nil"/>
            </w:tcBorders>
            <w:shd w:val="clear" w:color="auto" w:fill="auto"/>
          </w:tcPr>
          <w:p w14:paraId="43976607" w14:textId="1E16095F"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524,4</w:t>
            </w:r>
          </w:p>
        </w:tc>
        <w:tc>
          <w:tcPr>
            <w:tcW w:w="851" w:type="dxa"/>
            <w:tcBorders>
              <w:top w:val="nil"/>
              <w:left w:val="nil"/>
              <w:bottom w:val="nil"/>
              <w:right w:val="nil"/>
            </w:tcBorders>
            <w:shd w:val="clear" w:color="auto" w:fill="auto"/>
          </w:tcPr>
          <w:p w14:paraId="2231FB21" w14:textId="0ED7BA8B" w:rsidR="00191645" w:rsidRPr="007E770D" w:rsidRDefault="00191645" w:rsidP="00191645">
            <w:pPr>
              <w:pStyle w:val="Footer"/>
              <w:ind w:right="170"/>
              <w:jc w:val="right"/>
              <w:rPr>
                <w:rFonts w:cstheme="minorHAnsi"/>
                <w:color w:val="auto"/>
                <w:sz w:val="14"/>
                <w:szCs w:val="14"/>
                <w:lang w:val="sr-Cyrl-CS"/>
              </w:rPr>
            </w:pPr>
            <w:r w:rsidRPr="007E770D">
              <w:rPr>
                <w:color w:val="auto"/>
                <w:sz w:val="14"/>
                <w:szCs w:val="14"/>
                <w:lang w:val="sr-Cyrl-CS"/>
              </w:rPr>
              <w:t>201,3</w:t>
            </w:r>
          </w:p>
        </w:tc>
        <w:tc>
          <w:tcPr>
            <w:tcW w:w="1000" w:type="dxa"/>
            <w:tcBorders>
              <w:top w:val="nil"/>
              <w:left w:val="nil"/>
              <w:bottom w:val="nil"/>
              <w:right w:val="nil"/>
            </w:tcBorders>
            <w:shd w:val="clear" w:color="auto" w:fill="auto"/>
          </w:tcPr>
          <w:p w14:paraId="727BD9A2" w14:textId="20F52474"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15,7</w:t>
            </w:r>
          </w:p>
        </w:tc>
        <w:tc>
          <w:tcPr>
            <w:tcW w:w="943" w:type="dxa"/>
            <w:tcBorders>
              <w:top w:val="nil"/>
              <w:left w:val="nil"/>
              <w:bottom w:val="nil"/>
              <w:right w:val="nil"/>
            </w:tcBorders>
            <w:shd w:val="clear" w:color="auto" w:fill="auto"/>
          </w:tcPr>
          <w:p w14:paraId="145901FB" w14:textId="248B0095"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2,7</w:t>
            </w:r>
          </w:p>
        </w:tc>
      </w:tr>
      <w:tr w:rsidR="007E770D" w:rsidRPr="007E770D" w14:paraId="378CCD0A" w14:textId="77777777" w:rsidTr="00E4657F">
        <w:trPr>
          <w:jc w:val="center"/>
        </w:trPr>
        <w:tc>
          <w:tcPr>
            <w:tcW w:w="2512" w:type="dxa"/>
            <w:vAlign w:val="bottom"/>
          </w:tcPr>
          <w:p w14:paraId="663ED7C9"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 xml:space="preserve">      Порески приходи</w:t>
            </w:r>
          </w:p>
        </w:tc>
        <w:tc>
          <w:tcPr>
            <w:tcW w:w="1169" w:type="dxa"/>
            <w:tcBorders>
              <w:top w:val="nil"/>
              <w:left w:val="nil"/>
              <w:bottom w:val="nil"/>
              <w:right w:val="nil"/>
            </w:tcBorders>
            <w:shd w:val="clear" w:color="auto" w:fill="auto"/>
          </w:tcPr>
          <w:p w14:paraId="13E91B34" w14:textId="7A8ED107"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2.084,5</w:t>
            </w:r>
          </w:p>
        </w:tc>
        <w:tc>
          <w:tcPr>
            <w:tcW w:w="1701" w:type="dxa"/>
            <w:tcBorders>
              <w:top w:val="nil"/>
              <w:left w:val="nil"/>
              <w:bottom w:val="nil"/>
              <w:right w:val="nil"/>
            </w:tcBorders>
            <w:shd w:val="clear" w:color="auto" w:fill="auto"/>
          </w:tcPr>
          <w:p w14:paraId="70C563EB" w14:textId="1EBFE308"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1.132,1</w:t>
            </w:r>
          </w:p>
        </w:tc>
        <w:tc>
          <w:tcPr>
            <w:tcW w:w="992" w:type="dxa"/>
            <w:tcBorders>
              <w:top w:val="nil"/>
              <w:left w:val="nil"/>
              <w:bottom w:val="nil"/>
              <w:right w:val="nil"/>
            </w:tcBorders>
            <w:shd w:val="clear" w:color="auto" w:fill="auto"/>
          </w:tcPr>
          <w:p w14:paraId="5F9719E4" w14:textId="2EF34317"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227,1</w:t>
            </w:r>
          </w:p>
        </w:tc>
        <w:tc>
          <w:tcPr>
            <w:tcW w:w="992" w:type="dxa"/>
            <w:tcBorders>
              <w:top w:val="nil"/>
              <w:left w:val="nil"/>
              <w:bottom w:val="nil"/>
              <w:right w:val="nil"/>
            </w:tcBorders>
            <w:shd w:val="clear" w:color="auto" w:fill="auto"/>
          </w:tcPr>
          <w:p w14:paraId="42C932D8" w14:textId="4A858BF4"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209,6</w:t>
            </w:r>
          </w:p>
        </w:tc>
        <w:tc>
          <w:tcPr>
            <w:tcW w:w="993" w:type="dxa"/>
            <w:tcBorders>
              <w:top w:val="nil"/>
              <w:left w:val="nil"/>
              <w:bottom w:val="nil"/>
              <w:right w:val="nil"/>
            </w:tcBorders>
            <w:shd w:val="clear" w:color="auto" w:fill="auto"/>
          </w:tcPr>
          <w:p w14:paraId="3BB05B57" w14:textId="203C9163"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17,5</w:t>
            </w:r>
          </w:p>
        </w:tc>
        <w:tc>
          <w:tcPr>
            <w:tcW w:w="1032" w:type="dxa"/>
            <w:tcBorders>
              <w:top w:val="nil"/>
              <w:left w:val="nil"/>
              <w:bottom w:val="nil"/>
              <w:right w:val="nil"/>
            </w:tcBorders>
            <w:shd w:val="clear" w:color="auto" w:fill="auto"/>
          </w:tcPr>
          <w:p w14:paraId="77ACEE65" w14:textId="3FEFCE88"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0,0</w:t>
            </w:r>
          </w:p>
        </w:tc>
        <w:tc>
          <w:tcPr>
            <w:tcW w:w="992" w:type="dxa"/>
            <w:tcBorders>
              <w:top w:val="nil"/>
              <w:left w:val="nil"/>
              <w:bottom w:val="nil"/>
              <w:right w:val="nil"/>
            </w:tcBorders>
            <w:shd w:val="clear" w:color="auto" w:fill="auto"/>
          </w:tcPr>
          <w:p w14:paraId="40429812" w14:textId="558B8C95"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725,2</w:t>
            </w:r>
          </w:p>
        </w:tc>
        <w:tc>
          <w:tcPr>
            <w:tcW w:w="992" w:type="dxa"/>
            <w:tcBorders>
              <w:top w:val="nil"/>
              <w:left w:val="nil"/>
              <w:bottom w:val="nil"/>
              <w:right w:val="nil"/>
            </w:tcBorders>
            <w:shd w:val="clear" w:color="auto" w:fill="auto"/>
          </w:tcPr>
          <w:p w14:paraId="55D0BC49" w14:textId="5790DE5D"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513,4</w:t>
            </w:r>
          </w:p>
        </w:tc>
        <w:tc>
          <w:tcPr>
            <w:tcW w:w="851" w:type="dxa"/>
            <w:tcBorders>
              <w:top w:val="nil"/>
              <w:left w:val="nil"/>
              <w:bottom w:val="nil"/>
              <w:right w:val="nil"/>
            </w:tcBorders>
            <w:shd w:val="clear" w:color="auto" w:fill="auto"/>
          </w:tcPr>
          <w:p w14:paraId="43D41CE1" w14:textId="46BB8361" w:rsidR="00191645" w:rsidRPr="007E770D" w:rsidRDefault="00191645" w:rsidP="00191645">
            <w:pPr>
              <w:pStyle w:val="Footer"/>
              <w:ind w:right="170"/>
              <w:jc w:val="right"/>
              <w:rPr>
                <w:rFonts w:cstheme="minorHAnsi"/>
                <w:color w:val="auto"/>
                <w:sz w:val="14"/>
                <w:szCs w:val="14"/>
                <w:lang w:val="sr-Cyrl-CS"/>
              </w:rPr>
            </w:pPr>
            <w:r w:rsidRPr="007E770D">
              <w:rPr>
                <w:color w:val="auto"/>
                <w:sz w:val="14"/>
                <w:szCs w:val="14"/>
                <w:lang w:val="sr-Cyrl-CS"/>
              </w:rPr>
              <w:t>194,9</w:t>
            </w:r>
          </w:p>
        </w:tc>
        <w:tc>
          <w:tcPr>
            <w:tcW w:w="1000" w:type="dxa"/>
            <w:tcBorders>
              <w:top w:val="nil"/>
              <w:left w:val="nil"/>
              <w:bottom w:val="nil"/>
              <w:right w:val="nil"/>
            </w:tcBorders>
            <w:shd w:val="clear" w:color="auto" w:fill="auto"/>
          </w:tcPr>
          <w:p w14:paraId="3B64ADD8" w14:textId="3BE79474"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14,5</w:t>
            </w:r>
          </w:p>
        </w:tc>
        <w:tc>
          <w:tcPr>
            <w:tcW w:w="943" w:type="dxa"/>
            <w:tcBorders>
              <w:top w:val="nil"/>
              <w:left w:val="nil"/>
              <w:bottom w:val="nil"/>
              <w:right w:val="nil"/>
            </w:tcBorders>
            <w:shd w:val="clear" w:color="auto" w:fill="auto"/>
          </w:tcPr>
          <w:p w14:paraId="206E0399" w14:textId="5EC7D4B3"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2,4</w:t>
            </w:r>
          </w:p>
        </w:tc>
      </w:tr>
      <w:tr w:rsidR="007E770D" w:rsidRPr="007E770D" w14:paraId="61F814AD" w14:textId="77777777" w:rsidTr="00E4657F">
        <w:trPr>
          <w:jc w:val="center"/>
        </w:trPr>
        <w:tc>
          <w:tcPr>
            <w:tcW w:w="2512" w:type="dxa"/>
            <w:vAlign w:val="bottom"/>
          </w:tcPr>
          <w:p w14:paraId="2FA2C4E9"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 xml:space="preserve">            Порез на доходак</w:t>
            </w:r>
          </w:p>
        </w:tc>
        <w:tc>
          <w:tcPr>
            <w:tcW w:w="1169" w:type="dxa"/>
            <w:tcBorders>
              <w:top w:val="nil"/>
              <w:left w:val="nil"/>
              <w:bottom w:val="nil"/>
              <w:right w:val="nil"/>
            </w:tcBorders>
            <w:shd w:val="clear" w:color="auto" w:fill="auto"/>
          </w:tcPr>
          <w:p w14:paraId="1268F50A" w14:textId="7C8E6F0A"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215,8</w:t>
            </w:r>
          </w:p>
        </w:tc>
        <w:tc>
          <w:tcPr>
            <w:tcW w:w="1701" w:type="dxa"/>
            <w:tcBorders>
              <w:top w:val="nil"/>
              <w:left w:val="nil"/>
              <w:bottom w:val="nil"/>
              <w:right w:val="nil"/>
            </w:tcBorders>
            <w:shd w:val="clear" w:color="auto" w:fill="auto"/>
          </w:tcPr>
          <w:p w14:paraId="5F8D44AB" w14:textId="59138482"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70,2</w:t>
            </w:r>
          </w:p>
        </w:tc>
        <w:tc>
          <w:tcPr>
            <w:tcW w:w="992" w:type="dxa"/>
            <w:tcBorders>
              <w:top w:val="nil"/>
              <w:left w:val="nil"/>
              <w:bottom w:val="nil"/>
              <w:right w:val="nil"/>
            </w:tcBorders>
            <w:shd w:val="clear" w:color="auto" w:fill="auto"/>
          </w:tcPr>
          <w:p w14:paraId="49902B43" w14:textId="18E20F74"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145,5</w:t>
            </w:r>
          </w:p>
        </w:tc>
        <w:tc>
          <w:tcPr>
            <w:tcW w:w="992" w:type="dxa"/>
            <w:tcBorders>
              <w:top w:val="nil"/>
              <w:left w:val="nil"/>
              <w:bottom w:val="nil"/>
              <w:right w:val="nil"/>
            </w:tcBorders>
            <w:shd w:val="clear" w:color="auto" w:fill="auto"/>
          </w:tcPr>
          <w:p w14:paraId="3AD88CB2" w14:textId="0B08EF5A"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138,4</w:t>
            </w:r>
          </w:p>
        </w:tc>
        <w:tc>
          <w:tcPr>
            <w:tcW w:w="993" w:type="dxa"/>
            <w:tcBorders>
              <w:top w:val="nil"/>
              <w:left w:val="nil"/>
              <w:bottom w:val="nil"/>
              <w:right w:val="nil"/>
            </w:tcBorders>
            <w:shd w:val="clear" w:color="auto" w:fill="auto"/>
          </w:tcPr>
          <w:p w14:paraId="209A5CF6" w14:textId="696449B5"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7,2</w:t>
            </w:r>
          </w:p>
        </w:tc>
        <w:tc>
          <w:tcPr>
            <w:tcW w:w="1032" w:type="dxa"/>
            <w:tcBorders>
              <w:top w:val="nil"/>
              <w:left w:val="nil"/>
              <w:bottom w:val="nil"/>
              <w:right w:val="nil"/>
            </w:tcBorders>
            <w:shd w:val="clear" w:color="auto" w:fill="auto"/>
          </w:tcPr>
          <w:p w14:paraId="5CED0A1B" w14:textId="77777777"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0CA98541" w14:textId="2B2CBD44"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0,0</w:t>
            </w:r>
          </w:p>
        </w:tc>
        <w:tc>
          <w:tcPr>
            <w:tcW w:w="992" w:type="dxa"/>
            <w:tcBorders>
              <w:top w:val="nil"/>
              <w:left w:val="nil"/>
              <w:bottom w:val="nil"/>
              <w:right w:val="nil"/>
            </w:tcBorders>
            <w:shd w:val="clear" w:color="auto" w:fill="auto"/>
          </w:tcPr>
          <w:p w14:paraId="5E69C11D" w14:textId="77777777" w:rsidR="00191645" w:rsidRPr="007E770D" w:rsidRDefault="00191645" w:rsidP="00191645">
            <w:pPr>
              <w:pStyle w:val="Footer"/>
              <w:ind w:right="227"/>
              <w:jc w:val="right"/>
              <w:rPr>
                <w:rFonts w:cstheme="minorHAnsi"/>
                <w:color w:val="auto"/>
                <w:sz w:val="14"/>
                <w:szCs w:val="14"/>
                <w:lang w:val="sr-Cyrl-CS"/>
              </w:rPr>
            </w:pPr>
          </w:p>
        </w:tc>
        <w:tc>
          <w:tcPr>
            <w:tcW w:w="851" w:type="dxa"/>
            <w:tcBorders>
              <w:top w:val="nil"/>
              <w:left w:val="nil"/>
              <w:bottom w:val="nil"/>
              <w:right w:val="nil"/>
            </w:tcBorders>
            <w:shd w:val="clear" w:color="auto" w:fill="auto"/>
          </w:tcPr>
          <w:p w14:paraId="1A225FB6" w14:textId="77777777" w:rsidR="00191645" w:rsidRPr="007E770D" w:rsidRDefault="00191645" w:rsidP="00191645">
            <w:pPr>
              <w:pStyle w:val="Footer"/>
              <w:ind w:right="170"/>
              <w:jc w:val="right"/>
              <w:rPr>
                <w:rFonts w:cstheme="minorHAnsi"/>
                <w:color w:val="auto"/>
                <w:sz w:val="14"/>
                <w:szCs w:val="14"/>
                <w:lang w:val="sr-Cyrl-CS"/>
              </w:rPr>
            </w:pPr>
          </w:p>
        </w:tc>
        <w:tc>
          <w:tcPr>
            <w:tcW w:w="1000" w:type="dxa"/>
            <w:tcBorders>
              <w:top w:val="nil"/>
              <w:left w:val="nil"/>
              <w:bottom w:val="nil"/>
              <w:right w:val="nil"/>
            </w:tcBorders>
            <w:shd w:val="clear" w:color="auto" w:fill="auto"/>
          </w:tcPr>
          <w:p w14:paraId="33BE8B5B" w14:textId="77777777" w:rsidR="00191645" w:rsidRPr="007E770D" w:rsidRDefault="00191645" w:rsidP="00191645">
            <w:pPr>
              <w:pStyle w:val="Footer"/>
              <w:ind w:right="284"/>
              <w:jc w:val="right"/>
              <w:rPr>
                <w:rFonts w:cstheme="minorHAnsi"/>
                <w:color w:val="auto"/>
                <w:sz w:val="14"/>
                <w:szCs w:val="14"/>
                <w:lang w:val="sr-Cyrl-CS"/>
              </w:rPr>
            </w:pPr>
          </w:p>
        </w:tc>
        <w:tc>
          <w:tcPr>
            <w:tcW w:w="943" w:type="dxa"/>
            <w:tcBorders>
              <w:top w:val="nil"/>
              <w:left w:val="nil"/>
              <w:bottom w:val="nil"/>
              <w:right w:val="nil"/>
            </w:tcBorders>
            <w:shd w:val="clear" w:color="auto" w:fill="auto"/>
          </w:tcPr>
          <w:p w14:paraId="2FF4EB6A" w14:textId="77777777" w:rsidR="00191645" w:rsidRPr="007E770D" w:rsidRDefault="00191645" w:rsidP="00191645">
            <w:pPr>
              <w:pStyle w:val="Footer"/>
              <w:ind w:right="284"/>
              <w:jc w:val="right"/>
              <w:rPr>
                <w:rFonts w:cstheme="minorHAnsi"/>
                <w:color w:val="auto"/>
                <w:sz w:val="14"/>
                <w:szCs w:val="14"/>
                <w:lang w:val="sr-Cyrl-CS"/>
              </w:rPr>
            </w:pPr>
          </w:p>
        </w:tc>
      </w:tr>
      <w:tr w:rsidR="007E770D" w:rsidRPr="007E770D" w14:paraId="08407868" w14:textId="77777777" w:rsidTr="00E4657F">
        <w:trPr>
          <w:jc w:val="center"/>
        </w:trPr>
        <w:tc>
          <w:tcPr>
            <w:tcW w:w="2512" w:type="dxa"/>
            <w:vAlign w:val="bottom"/>
          </w:tcPr>
          <w:p w14:paraId="053E2285"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 xml:space="preserve">            Доприноси</w:t>
            </w:r>
          </w:p>
        </w:tc>
        <w:tc>
          <w:tcPr>
            <w:tcW w:w="1169" w:type="dxa"/>
            <w:tcBorders>
              <w:top w:val="nil"/>
              <w:left w:val="nil"/>
              <w:bottom w:val="nil"/>
              <w:right w:val="nil"/>
            </w:tcBorders>
            <w:shd w:val="clear" w:color="auto" w:fill="auto"/>
          </w:tcPr>
          <w:p w14:paraId="3BBEEA7C" w14:textId="4EFBE94A"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725,2</w:t>
            </w:r>
          </w:p>
        </w:tc>
        <w:tc>
          <w:tcPr>
            <w:tcW w:w="1701" w:type="dxa"/>
            <w:tcBorders>
              <w:top w:val="nil"/>
              <w:left w:val="nil"/>
              <w:bottom w:val="nil"/>
              <w:right w:val="nil"/>
            </w:tcBorders>
            <w:shd w:val="clear" w:color="auto" w:fill="auto"/>
          </w:tcPr>
          <w:p w14:paraId="26366A4B" w14:textId="31318CBB" w:rsidR="00191645" w:rsidRPr="007E770D" w:rsidRDefault="00191645" w:rsidP="00191645">
            <w:pPr>
              <w:pStyle w:val="Footer"/>
              <w:ind w:right="510"/>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10989185" w14:textId="32520D40"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0,0</w:t>
            </w:r>
          </w:p>
        </w:tc>
        <w:tc>
          <w:tcPr>
            <w:tcW w:w="992" w:type="dxa"/>
            <w:tcBorders>
              <w:top w:val="nil"/>
              <w:left w:val="nil"/>
              <w:bottom w:val="nil"/>
              <w:right w:val="nil"/>
            </w:tcBorders>
            <w:shd w:val="clear" w:color="auto" w:fill="auto"/>
          </w:tcPr>
          <w:p w14:paraId="48135FBA" w14:textId="77777777" w:rsidR="00191645" w:rsidRPr="007E770D" w:rsidRDefault="00191645" w:rsidP="00191645">
            <w:pPr>
              <w:pStyle w:val="Footer"/>
              <w:ind w:right="227"/>
              <w:jc w:val="right"/>
              <w:rPr>
                <w:rFonts w:cstheme="minorHAnsi"/>
                <w:color w:val="auto"/>
                <w:sz w:val="14"/>
                <w:szCs w:val="14"/>
                <w:lang w:val="sr-Cyrl-CS"/>
              </w:rPr>
            </w:pPr>
          </w:p>
        </w:tc>
        <w:tc>
          <w:tcPr>
            <w:tcW w:w="993" w:type="dxa"/>
            <w:tcBorders>
              <w:top w:val="nil"/>
              <w:left w:val="nil"/>
              <w:bottom w:val="nil"/>
              <w:right w:val="nil"/>
            </w:tcBorders>
            <w:shd w:val="clear" w:color="auto" w:fill="auto"/>
          </w:tcPr>
          <w:p w14:paraId="2A4C3631" w14:textId="77777777" w:rsidR="00191645" w:rsidRPr="007E770D" w:rsidRDefault="00191645" w:rsidP="00191645">
            <w:pPr>
              <w:pStyle w:val="Footer"/>
              <w:ind w:right="227"/>
              <w:jc w:val="right"/>
              <w:rPr>
                <w:rFonts w:cstheme="minorHAnsi"/>
                <w:color w:val="auto"/>
                <w:sz w:val="14"/>
                <w:szCs w:val="14"/>
                <w:lang w:val="sr-Cyrl-CS"/>
              </w:rPr>
            </w:pPr>
          </w:p>
        </w:tc>
        <w:tc>
          <w:tcPr>
            <w:tcW w:w="1032" w:type="dxa"/>
            <w:tcBorders>
              <w:top w:val="nil"/>
              <w:left w:val="nil"/>
              <w:bottom w:val="nil"/>
              <w:right w:val="nil"/>
            </w:tcBorders>
            <w:shd w:val="clear" w:color="auto" w:fill="auto"/>
          </w:tcPr>
          <w:p w14:paraId="48C7C48D" w14:textId="77777777"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32CC2B64" w14:textId="0D480575"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725,2</w:t>
            </w:r>
          </w:p>
        </w:tc>
        <w:tc>
          <w:tcPr>
            <w:tcW w:w="992" w:type="dxa"/>
            <w:tcBorders>
              <w:top w:val="nil"/>
              <w:left w:val="nil"/>
              <w:bottom w:val="nil"/>
              <w:right w:val="nil"/>
            </w:tcBorders>
            <w:shd w:val="clear" w:color="auto" w:fill="auto"/>
          </w:tcPr>
          <w:p w14:paraId="5DA970D2" w14:textId="46B3E4C7"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513,4</w:t>
            </w:r>
          </w:p>
        </w:tc>
        <w:tc>
          <w:tcPr>
            <w:tcW w:w="851" w:type="dxa"/>
            <w:tcBorders>
              <w:top w:val="nil"/>
              <w:left w:val="nil"/>
              <w:bottom w:val="nil"/>
              <w:right w:val="nil"/>
            </w:tcBorders>
            <w:shd w:val="clear" w:color="auto" w:fill="auto"/>
          </w:tcPr>
          <w:p w14:paraId="485A0BCB" w14:textId="3D534E08" w:rsidR="00191645" w:rsidRPr="007E770D" w:rsidRDefault="00191645" w:rsidP="00191645">
            <w:pPr>
              <w:pStyle w:val="Footer"/>
              <w:ind w:right="170"/>
              <w:jc w:val="right"/>
              <w:rPr>
                <w:rFonts w:cstheme="minorHAnsi"/>
                <w:color w:val="auto"/>
                <w:sz w:val="14"/>
                <w:szCs w:val="14"/>
                <w:lang w:val="sr-Cyrl-CS"/>
              </w:rPr>
            </w:pPr>
            <w:r w:rsidRPr="007E770D">
              <w:rPr>
                <w:color w:val="auto"/>
                <w:sz w:val="14"/>
                <w:szCs w:val="14"/>
                <w:lang w:val="sr-Cyrl-CS"/>
              </w:rPr>
              <w:t>194,9</w:t>
            </w:r>
          </w:p>
        </w:tc>
        <w:tc>
          <w:tcPr>
            <w:tcW w:w="1000" w:type="dxa"/>
            <w:tcBorders>
              <w:top w:val="nil"/>
              <w:left w:val="nil"/>
              <w:bottom w:val="nil"/>
              <w:right w:val="nil"/>
            </w:tcBorders>
            <w:shd w:val="clear" w:color="auto" w:fill="auto"/>
          </w:tcPr>
          <w:p w14:paraId="41834CFA" w14:textId="5FE175D9"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14,5</w:t>
            </w:r>
          </w:p>
        </w:tc>
        <w:tc>
          <w:tcPr>
            <w:tcW w:w="943" w:type="dxa"/>
            <w:tcBorders>
              <w:top w:val="nil"/>
              <w:left w:val="nil"/>
              <w:bottom w:val="nil"/>
              <w:right w:val="nil"/>
            </w:tcBorders>
            <w:shd w:val="clear" w:color="auto" w:fill="auto"/>
          </w:tcPr>
          <w:p w14:paraId="652CF1AD" w14:textId="3F1DC296"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2,4</w:t>
            </w:r>
          </w:p>
        </w:tc>
      </w:tr>
      <w:tr w:rsidR="007E770D" w:rsidRPr="007E770D" w14:paraId="0F857F77" w14:textId="77777777" w:rsidTr="00E4657F">
        <w:trPr>
          <w:jc w:val="center"/>
        </w:trPr>
        <w:tc>
          <w:tcPr>
            <w:tcW w:w="2512" w:type="dxa"/>
            <w:vAlign w:val="bottom"/>
          </w:tcPr>
          <w:p w14:paraId="2C57D93E"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 xml:space="preserve">            Порез на добит</w:t>
            </w:r>
          </w:p>
        </w:tc>
        <w:tc>
          <w:tcPr>
            <w:tcW w:w="1169" w:type="dxa"/>
            <w:tcBorders>
              <w:top w:val="nil"/>
              <w:left w:val="nil"/>
              <w:bottom w:val="nil"/>
              <w:right w:val="nil"/>
            </w:tcBorders>
            <w:shd w:val="clear" w:color="auto" w:fill="auto"/>
          </w:tcPr>
          <w:p w14:paraId="4135E07D" w14:textId="7791807B"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114,4</w:t>
            </w:r>
          </w:p>
        </w:tc>
        <w:tc>
          <w:tcPr>
            <w:tcW w:w="1701" w:type="dxa"/>
            <w:tcBorders>
              <w:top w:val="nil"/>
              <w:left w:val="nil"/>
              <w:bottom w:val="nil"/>
              <w:right w:val="nil"/>
            </w:tcBorders>
            <w:shd w:val="clear" w:color="auto" w:fill="auto"/>
          </w:tcPr>
          <w:p w14:paraId="4AF1E165" w14:textId="6DCABF47"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104,0</w:t>
            </w:r>
          </w:p>
        </w:tc>
        <w:tc>
          <w:tcPr>
            <w:tcW w:w="992" w:type="dxa"/>
            <w:tcBorders>
              <w:top w:val="nil"/>
              <w:left w:val="nil"/>
              <w:bottom w:val="nil"/>
              <w:right w:val="nil"/>
            </w:tcBorders>
            <w:shd w:val="clear" w:color="auto" w:fill="auto"/>
          </w:tcPr>
          <w:p w14:paraId="3C60AC32" w14:textId="55E3FC5A"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10,4</w:t>
            </w:r>
          </w:p>
        </w:tc>
        <w:tc>
          <w:tcPr>
            <w:tcW w:w="992" w:type="dxa"/>
            <w:tcBorders>
              <w:top w:val="nil"/>
              <w:left w:val="nil"/>
              <w:bottom w:val="nil"/>
              <w:right w:val="nil"/>
            </w:tcBorders>
            <w:shd w:val="clear" w:color="auto" w:fill="auto"/>
          </w:tcPr>
          <w:p w14:paraId="63BABF19" w14:textId="77777777" w:rsidR="00191645" w:rsidRPr="007E770D" w:rsidRDefault="00191645" w:rsidP="00191645">
            <w:pPr>
              <w:pStyle w:val="Footer"/>
              <w:ind w:right="227"/>
              <w:jc w:val="right"/>
              <w:rPr>
                <w:rFonts w:cstheme="minorHAnsi"/>
                <w:color w:val="auto"/>
                <w:sz w:val="14"/>
                <w:szCs w:val="14"/>
                <w:lang w:val="sr-Cyrl-CS"/>
              </w:rPr>
            </w:pPr>
          </w:p>
        </w:tc>
        <w:tc>
          <w:tcPr>
            <w:tcW w:w="993" w:type="dxa"/>
            <w:tcBorders>
              <w:top w:val="nil"/>
              <w:left w:val="nil"/>
              <w:bottom w:val="nil"/>
              <w:right w:val="nil"/>
            </w:tcBorders>
            <w:shd w:val="clear" w:color="auto" w:fill="auto"/>
          </w:tcPr>
          <w:p w14:paraId="0E42001F" w14:textId="20839EF4"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10,4</w:t>
            </w:r>
          </w:p>
        </w:tc>
        <w:tc>
          <w:tcPr>
            <w:tcW w:w="1032" w:type="dxa"/>
            <w:tcBorders>
              <w:top w:val="nil"/>
              <w:left w:val="nil"/>
              <w:bottom w:val="nil"/>
              <w:right w:val="nil"/>
            </w:tcBorders>
            <w:shd w:val="clear" w:color="auto" w:fill="auto"/>
          </w:tcPr>
          <w:p w14:paraId="150B572B" w14:textId="77777777"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6F1BBF0C" w14:textId="6433CE3A"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0,0</w:t>
            </w:r>
          </w:p>
        </w:tc>
        <w:tc>
          <w:tcPr>
            <w:tcW w:w="992" w:type="dxa"/>
            <w:tcBorders>
              <w:top w:val="nil"/>
              <w:left w:val="nil"/>
              <w:bottom w:val="nil"/>
              <w:right w:val="nil"/>
            </w:tcBorders>
            <w:shd w:val="clear" w:color="auto" w:fill="auto"/>
          </w:tcPr>
          <w:p w14:paraId="167D1291" w14:textId="77777777" w:rsidR="00191645" w:rsidRPr="007E770D" w:rsidRDefault="00191645" w:rsidP="00191645">
            <w:pPr>
              <w:pStyle w:val="Footer"/>
              <w:ind w:right="227"/>
              <w:jc w:val="right"/>
              <w:rPr>
                <w:rFonts w:cstheme="minorHAnsi"/>
                <w:color w:val="auto"/>
                <w:sz w:val="14"/>
                <w:szCs w:val="14"/>
                <w:lang w:val="sr-Cyrl-CS"/>
              </w:rPr>
            </w:pPr>
          </w:p>
        </w:tc>
        <w:tc>
          <w:tcPr>
            <w:tcW w:w="851" w:type="dxa"/>
            <w:tcBorders>
              <w:top w:val="nil"/>
              <w:left w:val="nil"/>
              <w:bottom w:val="nil"/>
              <w:right w:val="nil"/>
            </w:tcBorders>
            <w:shd w:val="clear" w:color="auto" w:fill="auto"/>
          </w:tcPr>
          <w:p w14:paraId="573E0B08" w14:textId="77777777" w:rsidR="00191645" w:rsidRPr="007E770D" w:rsidRDefault="00191645" w:rsidP="00191645">
            <w:pPr>
              <w:pStyle w:val="Footer"/>
              <w:ind w:right="170"/>
              <w:jc w:val="right"/>
              <w:rPr>
                <w:rFonts w:cstheme="minorHAnsi"/>
                <w:color w:val="auto"/>
                <w:sz w:val="14"/>
                <w:szCs w:val="14"/>
                <w:lang w:val="sr-Cyrl-CS"/>
              </w:rPr>
            </w:pPr>
          </w:p>
        </w:tc>
        <w:tc>
          <w:tcPr>
            <w:tcW w:w="1000" w:type="dxa"/>
            <w:tcBorders>
              <w:top w:val="nil"/>
              <w:left w:val="nil"/>
              <w:bottom w:val="nil"/>
              <w:right w:val="nil"/>
            </w:tcBorders>
            <w:shd w:val="clear" w:color="auto" w:fill="auto"/>
          </w:tcPr>
          <w:p w14:paraId="023A2141" w14:textId="77777777" w:rsidR="00191645" w:rsidRPr="007E770D" w:rsidRDefault="00191645" w:rsidP="00191645">
            <w:pPr>
              <w:pStyle w:val="Footer"/>
              <w:ind w:right="284"/>
              <w:jc w:val="right"/>
              <w:rPr>
                <w:rFonts w:cstheme="minorHAnsi"/>
                <w:color w:val="auto"/>
                <w:sz w:val="14"/>
                <w:szCs w:val="14"/>
                <w:lang w:val="sr-Cyrl-CS"/>
              </w:rPr>
            </w:pPr>
          </w:p>
        </w:tc>
        <w:tc>
          <w:tcPr>
            <w:tcW w:w="943" w:type="dxa"/>
            <w:tcBorders>
              <w:top w:val="nil"/>
              <w:left w:val="nil"/>
              <w:bottom w:val="nil"/>
              <w:right w:val="nil"/>
            </w:tcBorders>
            <w:shd w:val="clear" w:color="auto" w:fill="auto"/>
          </w:tcPr>
          <w:p w14:paraId="0B1A6AF2" w14:textId="77777777" w:rsidR="00191645" w:rsidRPr="007E770D" w:rsidRDefault="00191645" w:rsidP="00191645">
            <w:pPr>
              <w:pStyle w:val="Footer"/>
              <w:ind w:right="284"/>
              <w:jc w:val="right"/>
              <w:rPr>
                <w:rFonts w:cstheme="minorHAnsi"/>
                <w:color w:val="auto"/>
                <w:sz w:val="14"/>
                <w:szCs w:val="14"/>
                <w:lang w:val="sr-Cyrl-CS"/>
              </w:rPr>
            </w:pPr>
          </w:p>
        </w:tc>
      </w:tr>
      <w:tr w:rsidR="007E770D" w:rsidRPr="007E770D" w14:paraId="127257ED" w14:textId="77777777" w:rsidTr="00E4657F">
        <w:trPr>
          <w:jc w:val="center"/>
        </w:trPr>
        <w:tc>
          <w:tcPr>
            <w:tcW w:w="2512" w:type="dxa"/>
            <w:vAlign w:val="bottom"/>
          </w:tcPr>
          <w:p w14:paraId="0F77AF85"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 xml:space="preserve">            ПДВ</w:t>
            </w:r>
          </w:p>
        </w:tc>
        <w:tc>
          <w:tcPr>
            <w:tcW w:w="1169" w:type="dxa"/>
            <w:tcBorders>
              <w:top w:val="nil"/>
              <w:left w:val="nil"/>
              <w:bottom w:val="nil"/>
              <w:right w:val="nil"/>
            </w:tcBorders>
            <w:shd w:val="clear" w:color="auto" w:fill="auto"/>
          </w:tcPr>
          <w:p w14:paraId="7D954DDA" w14:textId="46E1E709"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582,0</w:t>
            </w:r>
          </w:p>
        </w:tc>
        <w:tc>
          <w:tcPr>
            <w:tcW w:w="1701" w:type="dxa"/>
            <w:tcBorders>
              <w:top w:val="nil"/>
              <w:left w:val="nil"/>
              <w:bottom w:val="nil"/>
              <w:right w:val="nil"/>
            </w:tcBorders>
            <w:shd w:val="clear" w:color="auto" w:fill="auto"/>
          </w:tcPr>
          <w:p w14:paraId="63D8A628" w14:textId="51283BB1"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582,0</w:t>
            </w:r>
          </w:p>
        </w:tc>
        <w:tc>
          <w:tcPr>
            <w:tcW w:w="992" w:type="dxa"/>
            <w:tcBorders>
              <w:top w:val="nil"/>
              <w:left w:val="nil"/>
              <w:bottom w:val="nil"/>
              <w:right w:val="nil"/>
            </w:tcBorders>
            <w:shd w:val="clear" w:color="auto" w:fill="auto"/>
          </w:tcPr>
          <w:p w14:paraId="096B3BCE" w14:textId="40B1762A"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0,0</w:t>
            </w:r>
          </w:p>
        </w:tc>
        <w:tc>
          <w:tcPr>
            <w:tcW w:w="992" w:type="dxa"/>
            <w:tcBorders>
              <w:top w:val="nil"/>
              <w:left w:val="nil"/>
              <w:bottom w:val="nil"/>
              <w:right w:val="nil"/>
            </w:tcBorders>
            <w:shd w:val="clear" w:color="auto" w:fill="auto"/>
          </w:tcPr>
          <w:p w14:paraId="71E1F732" w14:textId="77777777" w:rsidR="00191645" w:rsidRPr="007E770D" w:rsidRDefault="00191645" w:rsidP="00191645">
            <w:pPr>
              <w:pStyle w:val="Footer"/>
              <w:ind w:right="227"/>
              <w:jc w:val="right"/>
              <w:rPr>
                <w:rFonts w:cstheme="minorHAnsi"/>
                <w:color w:val="auto"/>
                <w:sz w:val="14"/>
                <w:szCs w:val="14"/>
                <w:lang w:val="sr-Cyrl-CS"/>
              </w:rPr>
            </w:pPr>
          </w:p>
        </w:tc>
        <w:tc>
          <w:tcPr>
            <w:tcW w:w="993" w:type="dxa"/>
            <w:tcBorders>
              <w:top w:val="nil"/>
              <w:left w:val="nil"/>
              <w:bottom w:val="nil"/>
              <w:right w:val="nil"/>
            </w:tcBorders>
            <w:shd w:val="clear" w:color="auto" w:fill="auto"/>
          </w:tcPr>
          <w:p w14:paraId="04D51D33" w14:textId="77777777" w:rsidR="00191645" w:rsidRPr="007E770D" w:rsidRDefault="00191645" w:rsidP="00191645">
            <w:pPr>
              <w:pStyle w:val="Footer"/>
              <w:ind w:right="227"/>
              <w:jc w:val="right"/>
              <w:rPr>
                <w:rFonts w:cstheme="minorHAnsi"/>
                <w:color w:val="auto"/>
                <w:sz w:val="14"/>
                <w:szCs w:val="14"/>
                <w:lang w:val="sr-Cyrl-CS"/>
              </w:rPr>
            </w:pPr>
          </w:p>
        </w:tc>
        <w:tc>
          <w:tcPr>
            <w:tcW w:w="1032" w:type="dxa"/>
            <w:tcBorders>
              <w:top w:val="nil"/>
              <w:left w:val="nil"/>
              <w:bottom w:val="nil"/>
              <w:right w:val="nil"/>
            </w:tcBorders>
            <w:shd w:val="clear" w:color="auto" w:fill="auto"/>
          </w:tcPr>
          <w:p w14:paraId="7ECDCD85" w14:textId="77777777"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385256A9" w14:textId="23B153D7"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0,0</w:t>
            </w:r>
          </w:p>
        </w:tc>
        <w:tc>
          <w:tcPr>
            <w:tcW w:w="992" w:type="dxa"/>
            <w:tcBorders>
              <w:top w:val="nil"/>
              <w:left w:val="nil"/>
              <w:bottom w:val="nil"/>
              <w:right w:val="nil"/>
            </w:tcBorders>
            <w:shd w:val="clear" w:color="auto" w:fill="auto"/>
          </w:tcPr>
          <w:p w14:paraId="49D3683C" w14:textId="77777777" w:rsidR="00191645" w:rsidRPr="007E770D" w:rsidRDefault="00191645" w:rsidP="00191645">
            <w:pPr>
              <w:pStyle w:val="Footer"/>
              <w:ind w:right="227"/>
              <w:jc w:val="right"/>
              <w:rPr>
                <w:rFonts w:cstheme="minorHAnsi"/>
                <w:color w:val="auto"/>
                <w:sz w:val="14"/>
                <w:szCs w:val="14"/>
                <w:lang w:val="sr-Cyrl-CS"/>
              </w:rPr>
            </w:pPr>
          </w:p>
        </w:tc>
        <w:tc>
          <w:tcPr>
            <w:tcW w:w="851" w:type="dxa"/>
            <w:tcBorders>
              <w:top w:val="nil"/>
              <w:left w:val="nil"/>
              <w:bottom w:val="nil"/>
              <w:right w:val="nil"/>
            </w:tcBorders>
            <w:shd w:val="clear" w:color="auto" w:fill="auto"/>
          </w:tcPr>
          <w:p w14:paraId="4E52B3A4" w14:textId="77777777" w:rsidR="00191645" w:rsidRPr="007E770D" w:rsidRDefault="00191645" w:rsidP="00191645">
            <w:pPr>
              <w:pStyle w:val="Footer"/>
              <w:ind w:right="170"/>
              <w:jc w:val="right"/>
              <w:rPr>
                <w:rFonts w:cstheme="minorHAnsi"/>
                <w:color w:val="auto"/>
                <w:sz w:val="14"/>
                <w:szCs w:val="14"/>
                <w:lang w:val="sr-Cyrl-CS"/>
              </w:rPr>
            </w:pPr>
          </w:p>
        </w:tc>
        <w:tc>
          <w:tcPr>
            <w:tcW w:w="1000" w:type="dxa"/>
            <w:tcBorders>
              <w:top w:val="nil"/>
              <w:left w:val="nil"/>
              <w:bottom w:val="nil"/>
              <w:right w:val="nil"/>
            </w:tcBorders>
            <w:shd w:val="clear" w:color="auto" w:fill="auto"/>
          </w:tcPr>
          <w:p w14:paraId="55C27F5B" w14:textId="77777777" w:rsidR="00191645" w:rsidRPr="007E770D" w:rsidRDefault="00191645" w:rsidP="00191645">
            <w:pPr>
              <w:pStyle w:val="Footer"/>
              <w:ind w:right="284"/>
              <w:jc w:val="right"/>
              <w:rPr>
                <w:rFonts w:cstheme="minorHAnsi"/>
                <w:color w:val="auto"/>
                <w:sz w:val="14"/>
                <w:szCs w:val="14"/>
                <w:lang w:val="sr-Cyrl-CS"/>
              </w:rPr>
            </w:pPr>
          </w:p>
        </w:tc>
        <w:tc>
          <w:tcPr>
            <w:tcW w:w="943" w:type="dxa"/>
            <w:tcBorders>
              <w:top w:val="nil"/>
              <w:left w:val="nil"/>
              <w:bottom w:val="nil"/>
              <w:right w:val="nil"/>
            </w:tcBorders>
            <w:shd w:val="clear" w:color="auto" w:fill="auto"/>
          </w:tcPr>
          <w:p w14:paraId="219CABAA" w14:textId="77777777" w:rsidR="00191645" w:rsidRPr="007E770D" w:rsidRDefault="00191645" w:rsidP="00191645">
            <w:pPr>
              <w:pStyle w:val="Footer"/>
              <w:ind w:right="284"/>
              <w:jc w:val="right"/>
              <w:rPr>
                <w:rFonts w:cstheme="minorHAnsi"/>
                <w:color w:val="auto"/>
                <w:sz w:val="14"/>
                <w:szCs w:val="14"/>
                <w:lang w:val="sr-Cyrl-CS"/>
              </w:rPr>
            </w:pPr>
          </w:p>
        </w:tc>
      </w:tr>
      <w:tr w:rsidR="007E770D" w:rsidRPr="007E770D" w14:paraId="4327A7D0" w14:textId="77777777" w:rsidTr="00E4657F">
        <w:trPr>
          <w:jc w:val="center"/>
        </w:trPr>
        <w:tc>
          <w:tcPr>
            <w:tcW w:w="2512" w:type="dxa"/>
            <w:vAlign w:val="bottom"/>
          </w:tcPr>
          <w:p w14:paraId="47A3D74B"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 xml:space="preserve">            Акцизе</w:t>
            </w:r>
          </w:p>
        </w:tc>
        <w:tc>
          <w:tcPr>
            <w:tcW w:w="1169" w:type="dxa"/>
            <w:tcBorders>
              <w:top w:val="nil"/>
              <w:left w:val="nil"/>
              <w:bottom w:val="nil"/>
              <w:right w:val="nil"/>
            </w:tcBorders>
            <w:shd w:val="clear" w:color="auto" w:fill="auto"/>
          </w:tcPr>
          <w:p w14:paraId="73873AED" w14:textId="05671251"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311,1</w:t>
            </w:r>
          </w:p>
        </w:tc>
        <w:tc>
          <w:tcPr>
            <w:tcW w:w="1701" w:type="dxa"/>
            <w:tcBorders>
              <w:top w:val="nil"/>
              <w:left w:val="nil"/>
              <w:bottom w:val="nil"/>
              <w:right w:val="nil"/>
            </w:tcBorders>
            <w:shd w:val="clear" w:color="auto" w:fill="auto"/>
          </w:tcPr>
          <w:p w14:paraId="25EC7868" w14:textId="6A0A6EBD"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311,1</w:t>
            </w:r>
          </w:p>
        </w:tc>
        <w:tc>
          <w:tcPr>
            <w:tcW w:w="992" w:type="dxa"/>
            <w:tcBorders>
              <w:top w:val="nil"/>
              <w:left w:val="nil"/>
              <w:bottom w:val="nil"/>
              <w:right w:val="nil"/>
            </w:tcBorders>
            <w:shd w:val="clear" w:color="auto" w:fill="auto"/>
          </w:tcPr>
          <w:p w14:paraId="7BD3ED3E" w14:textId="210E2B9E"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0,0</w:t>
            </w:r>
          </w:p>
        </w:tc>
        <w:tc>
          <w:tcPr>
            <w:tcW w:w="992" w:type="dxa"/>
            <w:tcBorders>
              <w:top w:val="nil"/>
              <w:left w:val="nil"/>
              <w:bottom w:val="nil"/>
              <w:right w:val="nil"/>
            </w:tcBorders>
            <w:shd w:val="clear" w:color="auto" w:fill="auto"/>
          </w:tcPr>
          <w:p w14:paraId="0C415DF6" w14:textId="77777777" w:rsidR="00191645" w:rsidRPr="007E770D" w:rsidRDefault="00191645" w:rsidP="00191645">
            <w:pPr>
              <w:pStyle w:val="Footer"/>
              <w:ind w:right="227"/>
              <w:jc w:val="right"/>
              <w:rPr>
                <w:rFonts w:cstheme="minorHAnsi"/>
                <w:color w:val="auto"/>
                <w:sz w:val="14"/>
                <w:szCs w:val="14"/>
                <w:lang w:val="sr-Cyrl-CS"/>
              </w:rPr>
            </w:pPr>
          </w:p>
        </w:tc>
        <w:tc>
          <w:tcPr>
            <w:tcW w:w="993" w:type="dxa"/>
            <w:tcBorders>
              <w:top w:val="nil"/>
              <w:left w:val="nil"/>
              <w:bottom w:val="nil"/>
              <w:right w:val="nil"/>
            </w:tcBorders>
            <w:shd w:val="clear" w:color="auto" w:fill="auto"/>
          </w:tcPr>
          <w:p w14:paraId="42BE525A" w14:textId="77777777" w:rsidR="00191645" w:rsidRPr="007E770D" w:rsidRDefault="00191645" w:rsidP="00191645">
            <w:pPr>
              <w:pStyle w:val="Footer"/>
              <w:ind w:right="227"/>
              <w:jc w:val="right"/>
              <w:rPr>
                <w:rFonts w:cstheme="minorHAnsi"/>
                <w:color w:val="auto"/>
                <w:sz w:val="14"/>
                <w:szCs w:val="14"/>
                <w:lang w:val="sr-Cyrl-CS"/>
              </w:rPr>
            </w:pPr>
          </w:p>
        </w:tc>
        <w:tc>
          <w:tcPr>
            <w:tcW w:w="1032" w:type="dxa"/>
            <w:tcBorders>
              <w:top w:val="nil"/>
              <w:left w:val="nil"/>
              <w:bottom w:val="nil"/>
              <w:right w:val="nil"/>
            </w:tcBorders>
            <w:shd w:val="clear" w:color="auto" w:fill="auto"/>
          </w:tcPr>
          <w:p w14:paraId="1A6A1213" w14:textId="77777777"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72443266" w14:textId="5E55B118"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0,0</w:t>
            </w:r>
          </w:p>
        </w:tc>
        <w:tc>
          <w:tcPr>
            <w:tcW w:w="992" w:type="dxa"/>
            <w:tcBorders>
              <w:top w:val="nil"/>
              <w:left w:val="nil"/>
              <w:bottom w:val="nil"/>
              <w:right w:val="nil"/>
            </w:tcBorders>
            <w:shd w:val="clear" w:color="auto" w:fill="auto"/>
          </w:tcPr>
          <w:p w14:paraId="3D4E688B" w14:textId="77777777" w:rsidR="00191645" w:rsidRPr="007E770D" w:rsidRDefault="00191645" w:rsidP="00191645">
            <w:pPr>
              <w:pStyle w:val="Footer"/>
              <w:ind w:right="227"/>
              <w:jc w:val="right"/>
              <w:rPr>
                <w:rFonts w:cstheme="minorHAnsi"/>
                <w:color w:val="auto"/>
                <w:sz w:val="14"/>
                <w:szCs w:val="14"/>
                <w:lang w:val="sr-Cyrl-CS"/>
              </w:rPr>
            </w:pPr>
          </w:p>
        </w:tc>
        <w:tc>
          <w:tcPr>
            <w:tcW w:w="851" w:type="dxa"/>
            <w:tcBorders>
              <w:top w:val="nil"/>
              <w:left w:val="nil"/>
              <w:bottom w:val="nil"/>
              <w:right w:val="nil"/>
            </w:tcBorders>
            <w:shd w:val="clear" w:color="auto" w:fill="auto"/>
          </w:tcPr>
          <w:p w14:paraId="040D6F25" w14:textId="77777777" w:rsidR="00191645" w:rsidRPr="007E770D" w:rsidRDefault="00191645" w:rsidP="00191645">
            <w:pPr>
              <w:pStyle w:val="Footer"/>
              <w:ind w:right="170"/>
              <w:jc w:val="right"/>
              <w:rPr>
                <w:rFonts w:cstheme="minorHAnsi"/>
                <w:color w:val="auto"/>
                <w:sz w:val="14"/>
                <w:szCs w:val="14"/>
                <w:lang w:val="sr-Cyrl-CS"/>
              </w:rPr>
            </w:pPr>
          </w:p>
        </w:tc>
        <w:tc>
          <w:tcPr>
            <w:tcW w:w="1000" w:type="dxa"/>
            <w:tcBorders>
              <w:top w:val="nil"/>
              <w:left w:val="nil"/>
              <w:bottom w:val="nil"/>
              <w:right w:val="nil"/>
            </w:tcBorders>
            <w:shd w:val="clear" w:color="auto" w:fill="auto"/>
          </w:tcPr>
          <w:p w14:paraId="126D9F55" w14:textId="77777777" w:rsidR="00191645" w:rsidRPr="007E770D" w:rsidRDefault="00191645" w:rsidP="00191645">
            <w:pPr>
              <w:pStyle w:val="Footer"/>
              <w:ind w:right="284"/>
              <w:jc w:val="right"/>
              <w:rPr>
                <w:rFonts w:cstheme="minorHAnsi"/>
                <w:color w:val="auto"/>
                <w:sz w:val="14"/>
                <w:szCs w:val="14"/>
                <w:lang w:val="sr-Cyrl-CS"/>
              </w:rPr>
            </w:pPr>
          </w:p>
        </w:tc>
        <w:tc>
          <w:tcPr>
            <w:tcW w:w="943" w:type="dxa"/>
            <w:tcBorders>
              <w:top w:val="nil"/>
              <w:left w:val="nil"/>
              <w:bottom w:val="nil"/>
              <w:right w:val="nil"/>
            </w:tcBorders>
            <w:shd w:val="clear" w:color="auto" w:fill="auto"/>
          </w:tcPr>
          <w:p w14:paraId="12863EE6" w14:textId="77777777" w:rsidR="00191645" w:rsidRPr="007E770D" w:rsidRDefault="00191645" w:rsidP="00191645">
            <w:pPr>
              <w:pStyle w:val="Footer"/>
              <w:ind w:right="284"/>
              <w:jc w:val="right"/>
              <w:rPr>
                <w:rFonts w:cstheme="minorHAnsi"/>
                <w:color w:val="auto"/>
                <w:sz w:val="14"/>
                <w:szCs w:val="14"/>
                <w:lang w:val="sr-Cyrl-CS"/>
              </w:rPr>
            </w:pPr>
          </w:p>
        </w:tc>
      </w:tr>
      <w:tr w:rsidR="007E770D" w:rsidRPr="007E770D" w14:paraId="7664E5EE" w14:textId="77777777" w:rsidTr="00E4657F">
        <w:trPr>
          <w:jc w:val="center"/>
        </w:trPr>
        <w:tc>
          <w:tcPr>
            <w:tcW w:w="2512" w:type="dxa"/>
            <w:vAlign w:val="bottom"/>
          </w:tcPr>
          <w:p w14:paraId="635DC17C"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 xml:space="preserve">            Царине</w:t>
            </w:r>
          </w:p>
        </w:tc>
        <w:tc>
          <w:tcPr>
            <w:tcW w:w="1169" w:type="dxa"/>
            <w:tcBorders>
              <w:top w:val="nil"/>
              <w:left w:val="nil"/>
              <w:bottom w:val="nil"/>
              <w:right w:val="nil"/>
            </w:tcBorders>
            <w:shd w:val="clear" w:color="auto" w:fill="auto"/>
          </w:tcPr>
          <w:p w14:paraId="1ED4939B" w14:textId="485AFBD3"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52,0</w:t>
            </w:r>
          </w:p>
        </w:tc>
        <w:tc>
          <w:tcPr>
            <w:tcW w:w="1701" w:type="dxa"/>
            <w:tcBorders>
              <w:top w:val="nil"/>
              <w:left w:val="nil"/>
              <w:bottom w:val="nil"/>
              <w:right w:val="nil"/>
            </w:tcBorders>
            <w:shd w:val="clear" w:color="auto" w:fill="auto"/>
          </w:tcPr>
          <w:p w14:paraId="5C2F67D1" w14:textId="5276AE39"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52,0</w:t>
            </w:r>
          </w:p>
        </w:tc>
        <w:tc>
          <w:tcPr>
            <w:tcW w:w="992" w:type="dxa"/>
            <w:tcBorders>
              <w:top w:val="nil"/>
              <w:left w:val="nil"/>
              <w:bottom w:val="nil"/>
              <w:right w:val="nil"/>
            </w:tcBorders>
            <w:shd w:val="clear" w:color="auto" w:fill="auto"/>
          </w:tcPr>
          <w:p w14:paraId="21AE93D8" w14:textId="4EEDB853"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0,0</w:t>
            </w:r>
          </w:p>
        </w:tc>
        <w:tc>
          <w:tcPr>
            <w:tcW w:w="992" w:type="dxa"/>
            <w:tcBorders>
              <w:top w:val="nil"/>
              <w:left w:val="nil"/>
              <w:bottom w:val="nil"/>
              <w:right w:val="nil"/>
            </w:tcBorders>
            <w:shd w:val="clear" w:color="auto" w:fill="auto"/>
          </w:tcPr>
          <w:p w14:paraId="416A93EB" w14:textId="77777777" w:rsidR="00191645" w:rsidRPr="007E770D" w:rsidRDefault="00191645" w:rsidP="00191645">
            <w:pPr>
              <w:pStyle w:val="Footer"/>
              <w:ind w:right="227"/>
              <w:jc w:val="right"/>
              <w:rPr>
                <w:rFonts w:cstheme="minorHAnsi"/>
                <w:color w:val="auto"/>
                <w:sz w:val="14"/>
                <w:szCs w:val="14"/>
                <w:lang w:val="sr-Cyrl-CS"/>
              </w:rPr>
            </w:pPr>
          </w:p>
        </w:tc>
        <w:tc>
          <w:tcPr>
            <w:tcW w:w="993" w:type="dxa"/>
            <w:tcBorders>
              <w:top w:val="nil"/>
              <w:left w:val="nil"/>
              <w:bottom w:val="nil"/>
              <w:right w:val="nil"/>
            </w:tcBorders>
            <w:shd w:val="clear" w:color="auto" w:fill="auto"/>
          </w:tcPr>
          <w:p w14:paraId="30B97F08" w14:textId="77777777" w:rsidR="00191645" w:rsidRPr="007E770D" w:rsidRDefault="00191645" w:rsidP="00191645">
            <w:pPr>
              <w:pStyle w:val="Footer"/>
              <w:ind w:right="227"/>
              <w:jc w:val="right"/>
              <w:rPr>
                <w:rFonts w:cstheme="minorHAnsi"/>
                <w:color w:val="auto"/>
                <w:sz w:val="14"/>
                <w:szCs w:val="14"/>
                <w:lang w:val="sr-Cyrl-CS"/>
              </w:rPr>
            </w:pPr>
          </w:p>
        </w:tc>
        <w:tc>
          <w:tcPr>
            <w:tcW w:w="1032" w:type="dxa"/>
            <w:tcBorders>
              <w:top w:val="nil"/>
              <w:left w:val="nil"/>
              <w:bottom w:val="nil"/>
              <w:right w:val="nil"/>
            </w:tcBorders>
            <w:shd w:val="clear" w:color="auto" w:fill="auto"/>
          </w:tcPr>
          <w:p w14:paraId="574B1585" w14:textId="77777777"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76857152" w14:textId="74BEAA10"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0,0</w:t>
            </w:r>
          </w:p>
        </w:tc>
        <w:tc>
          <w:tcPr>
            <w:tcW w:w="992" w:type="dxa"/>
            <w:tcBorders>
              <w:top w:val="nil"/>
              <w:left w:val="nil"/>
              <w:bottom w:val="nil"/>
              <w:right w:val="nil"/>
            </w:tcBorders>
            <w:shd w:val="clear" w:color="auto" w:fill="auto"/>
          </w:tcPr>
          <w:p w14:paraId="7859471A" w14:textId="77777777" w:rsidR="00191645" w:rsidRPr="007E770D" w:rsidRDefault="00191645" w:rsidP="00191645">
            <w:pPr>
              <w:pStyle w:val="Footer"/>
              <w:ind w:right="227"/>
              <w:jc w:val="right"/>
              <w:rPr>
                <w:rFonts w:cstheme="minorHAnsi"/>
                <w:color w:val="auto"/>
                <w:sz w:val="14"/>
                <w:szCs w:val="14"/>
                <w:lang w:val="sr-Cyrl-CS"/>
              </w:rPr>
            </w:pPr>
          </w:p>
        </w:tc>
        <w:tc>
          <w:tcPr>
            <w:tcW w:w="851" w:type="dxa"/>
            <w:tcBorders>
              <w:top w:val="nil"/>
              <w:left w:val="nil"/>
              <w:bottom w:val="nil"/>
              <w:right w:val="nil"/>
            </w:tcBorders>
            <w:shd w:val="clear" w:color="auto" w:fill="auto"/>
          </w:tcPr>
          <w:p w14:paraId="1409BB71" w14:textId="77777777" w:rsidR="00191645" w:rsidRPr="007E770D" w:rsidRDefault="00191645" w:rsidP="00191645">
            <w:pPr>
              <w:pStyle w:val="Footer"/>
              <w:ind w:right="170"/>
              <w:jc w:val="right"/>
              <w:rPr>
                <w:rFonts w:cstheme="minorHAnsi"/>
                <w:color w:val="auto"/>
                <w:sz w:val="14"/>
                <w:szCs w:val="14"/>
                <w:lang w:val="sr-Cyrl-CS"/>
              </w:rPr>
            </w:pPr>
          </w:p>
        </w:tc>
        <w:tc>
          <w:tcPr>
            <w:tcW w:w="1000" w:type="dxa"/>
            <w:tcBorders>
              <w:top w:val="nil"/>
              <w:left w:val="nil"/>
              <w:bottom w:val="nil"/>
              <w:right w:val="nil"/>
            </w:tcBorders>
            <w:shd w:val="clear" w:color="auto" w:fill="auto"/>
          </w:tcPr>
          <w:p w14:paraId="54688F6D" w14:textId="77777777" w:rsidR="00191645" w:rsidRPr="007E770D" w:rsidRDefault="00191645" w:rsidP="00191645">
            <w:pPr>
              <w:pStyle w:val="Footer"/>
              <w:ind w:right="284"/>
              <w:jc w:val="right"/>
              <w:rPr>
                <w:rFonts w:cstheme="minorHAnsi"/>
                <w:color w:val="auto"/>
                <w:sz w:val="14"/>
                <w:szCs w:val="14"/>
                <w:lang w:val="sr-Cyrl-CS"/>
              </w:rPr>
            </w:pPr>
          </w:p>
        </w:tc>
        <w:tc>
          <w:tcPr>
            <w:tcW w:w="943" w:type="dxa"/>
            <w:tcBorders>
              <w:top w:val="nil"/>
              <w:left w:val="nil"/>
              <w:bottom w:val="nil"/>
              <w:right w:val="nil"/>
            </w:tcBorders>
            <w:shd w:val="clear" w:color="auto" w:fill="auto"/>
          </w:tcPr>
          <w:p w14:paraId="4A533D56" w14:textId="77777777" w:rsidR="00191645" w:rsidRPr="007E770D" w:rsidRDefault="00191645" w:rsidP="00191645">
            <w:pPr>
              <w:pStyle w:val="Footer"/>
              <w:ind w:right="284"/>
              <w:jc w:val="right"/>
              <w:rPr>
                <w:rFonts w:cstheme="minorHAnsi"/>
                <w:color w:val="auto"/>
                <w:sz w:val="14"/>
                <w:szCs w:val="14"/>
                <w:lang w:val="sr-Cyrl-CS"/>
              </w:rPr>
            </w:pPr>
          </w:p>
        </w:tc>
      </w:tr>
      <w:tr w:rsidR="007E770D" w:rsidRPr="007E770D" w14:paraId="307B2892" w14:textId="77777777" w:rsidTr="00E4657F">
        <w:trPr>
          <w:jc w:val="center"/>
        </w:trPr>
        <w:tc>
          <w:tcPr>
            <w:tcW w:w="2512" w:type="dxa"/>
            <w:vAlign w:val="bottom"/>
          </w:tcPr>
          <w:p w14:paraId="17D5C590"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 xml:space="preserve">            Остали порески приходи</w:t>
            </w:r>
          </w:p>
        </w:tc>
        <w:tc>
          <w:tcPr>
            <w:tcW w:w="1169" w:type="dxa"/>
            <w:tcBorders>
              <w:top w:val="nil"/>
              <w:left w:val="nil"/>
              <w:bottom w:val="nil"/>
              <w:right w:val="nil"/>
            </w:tcBorders>
            <w:shd w:val="clear" w:color="auto" w:fill="auto"/>
          </w:tcPr>
          <w:p w14:paraId="7F08E094" w14:textId="7D4C6432"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84,0</w:t>
            </w:r>
          </w:p>
        </w:tc>
        <w:tc>
          <w:tcPr>
            <w:tcW w:w="1701" w:type="dxa"/>
            <w:tcBorders>
              <w:top w:val="nil"/>
              <w:left w:val="nil"/>
              <w:bottom w:val="nil"/>
              <w:right w:val="nil"/>
            </w:tcBorders>
            <w:shd w:val="clear" w:color="auto" w:fill="auto"/>
          </w:tcPr>
          <w:p w14:paraId="129C819C" w14:textId="5D62E53D"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12,7</w:t>
            </w:r>
          </w:p>
        </w:tc>
        <w:tc>
          <w:tcPr>
            <w:tcW w:w="992" w:type="dxa"/>
            <w:tcBorders>
              <w:top w:val="nil"/>
              <w:left w:val="nil"/>
              <w:bottom w:val="nil"/>
              <w:right w:val="nil"/>
            </w:tcBorders>
            <w:shd w:val="clear" w:color="auto" w:fill="auto"/>
          </w:tcPr>
          <w:p w14:paraId="1924EA42" w14:textId="6885CCE0"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71,2</w:t>
            </w:r>
          </w:p>
        </w:tc>
        <w:tc>
          <w:tcPr>
            <w:tcW w:w="992" w:type="dxa"/>
            <w:tcBorders>
              <w:top w:val="nil"/>
              <w:left w:val="nil"/>
              <w:bottom w:val="nil"/>
              <w:right w:val="nil"/>
            </w:tcBorders>
            <w:shd w:val="clear" w:color="auto" w:fill="auto"/>
          </w:tcPr>
          <w:p w14:paraId="383B9C60" w14:textId="6CC4CBE8"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71,2</w:t>
            </w:r>
          </w:p>
        </w:tc>
        <w:tc>
          <w:tcPr>
            <w:tcW w:w="993" w:type="dxa"/>
            <w:tcBorders>
              <w:top w:val="nil"/>
              <w:left w:val="nil"/>
              <w:bottom w:val="nil"/>
              <w:right w:val="nil"/>
            </w:tcBorders>
            <w:shd w:val="clear" w:color="auto" w:fill="auto"/>
          </w:tcPr>
          <w:p w14:paraId="61EAE3C4" w14:textId="77777777" w:rsidR="00191645" w:rsidRPr="007E770D" w:rsidRDefault="00191645" w:rsidP="00191645">
            <w:pPr>
              <w:pStyle w:val="Footer"/>
              <w:ind w:right="227"/>
              <w:jc w:val="right"/>
              <w:rPr>
                <w:rFonts w:cstheme="minorHAnsi"/>
                <w:color w:val="auto"/>
                <w:sz w:val="14"/>
                <w:szCs w:val="14"/>
                <w:lang w:val="sr-Cyrl-CS"/>
              </w:rPr>
            </w:pPr>
          </w:p>
        </w:tc>
        <w:tc>
          <w:tcPr>
            <w:tcW w:w="1032" w:type="dxa"/>
            <w:tcBorders>
              <w:top w:val="nil"/>
              <w:left w:val="nil"/>
              <w:bottom w:val="nil"/>
              <w:right w:val="nil"/>
            </w:tcBorders>
            <w:shd w:val="clear" w:color="auto" w:fill="auto"/>
          </w:tcPr>
          <w:p w14:paraId="0B30CEB1" w14:textId="77777777"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6A7612C5" w14:textId="36788EDE"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0,0</w:t>
            </w:r>
          </w:p>
        </w:tc>
        <w:tc>
          <w:tcPr>
            <w:tcW w:w="992" w:type="dxa"/>
            <w:tcBorders>
              <w:top w:val="nil"/>
              <w:left w:val="nil"/>
              <w:bottom w:val="nil"/>
              <w:right w:val="nil"/>
            </w:tcBorders>
            <w:shd w:val="clear" w:color="auto" w:fill="auto"/>
          </w:tcPr>
          <w:p w14:paraId="4EBB11CB" w14:textId="77777777" w:rsidR="00191645" w:rsidRPr="007E770D" w:rsidRDefault="00191645" w:rsidP="00191645">
            <w:pPr>
              <w:pStyle w:val="Footer"/>
              <w:ind w:right="227"/>
              <w:jc w:val="right"/>
              <w:rPr>
                <w:rFonts w:cstheme="minorHAnsi"/>
                <w:color w:val="auto"/>
                <w:sz w:val="14"/>
                <w:szCs w:val="14"/>
                <w:lang w:val="sr-Cyrl-CS"/>
              </w:rPr>
            </w:pPr>
          </w:p>
        </w:tc>
        <w:tc>
          <w:tcPr>
            <w:tcW w:w="851" w:type="dxa"/>
            <w:tcBorders>
              <w:top w:val="nil"/>
              <w:left w:val="nil"/>
              <w:bottom w:val="nil"/>
              <w:right w:val="nil"/>
            </w:tcBorders>
            <w:shd w:val="clear" w:color="auto" w:fill="auto"/>
          </w:tcPr>
          <w:p w14:paraId="79A666BE" w14:textId="77777777" w:rsidR="00191645" w:rsidRPr="007E770D" w:rsidRDefault="00191645" w:rsidP="00191645">
            <w:pPr>
              <w:pStyle w:val="Footer"/>
              <w:ind w:right="170"/>
              <w:jc w:val="right"/>
              <w:rPr>
                <w:rFonts w:cstheme="minorHAnsi"/>
                <w:color w:val="auto"/>
                <w:sz w:val="14"/>
                <w:szCs w:val="14"/>
                <w:lang w:val="sr-Cyrl-CS"/>
              </w:rPr>
            </w:pPr>
          </w:p>
        </w:tc>
        <w:tc>
          <w:tcPr>
            <w:tcW w:w="1000" w:type="dxa"/>
            <w:tcBorders>
              <w:top w:val="nil"/>
              <w:left w:val="nil"/>
              <w:bottom w:val="nil"/>
              <w:right w:val="nil"/>
            </w:tcBorders>
            <w:shd w:val="clear" w:color="auto" w:fill="auto"/>
          </w:tcPr>
          <w:p w14:paraId="7FC08A98" w14:textId="77777777" w:rsidR="00191645" w:rsidRPr="007E770D" w:rsidRDefault="00191645" w:rsidP="00191645">
            <w:pPr>
              <w:pStyle w:val="Footer"/>
              <w:ind w:right="284"/>
              <w:jc w:val="right"/>
              <w:rPr>
                <w:rFonts w:cstheme="minorHAnsi"/>
                <w:color w:val="auto"/>
                <w:sz w:val="14"/>
                <w:szCs w:val="14"/>
                <w:lang w:val="sr-Cyrl-CS"/>
              </w:rPr>
            </w:pPr>
          </w:p>
        </w:tc>
        <w:tc>
          <w:tcPr>
            <w:tcW w:w="943" w:type="dxa"/>
            <w:tcBorders>
              <w:top w:val="nil"/>
              <w:left w:val="nil"/>
              <w:bottom w:val="nil"/>
              <w:right w:val="nil"/>
            </w:tcBorders>
            <w:shd w:val="clear" w:color="auto" w:fill="auto"/>
          </w:tcPr>
          <w:p w14:paraId="1891E7ED" w14:textId="77777777" w:rsidR="00191645" w:rsidRPr="007E770D" w:rsidRDefault="00191645" w:rsidP="00191645">
            <w:pPr>
              <w:pStyle w:val="Footer"/>
              <w:ind w:right="284"/>
              <w:jc w:val="right"/>
              <w:rPr>
                <w:rFonts w:cstheme="minorHAnsi"/>
                <w:color w:val="auto"/>
                <w:sz w:val="14"/>
                <w:szCs w:val="14"/>
                <w:lang w:val="sr-Cyrl-CS"/>
              </w:rPr>
            </w:pPr>
          </w:p>
        </w:tc>
      </w:tr>
      <w:tr w:rsidR="007E770D" w:rsidRPr="007E770D" w14:paraId="3E6DD7FC" w14:textId="77777777" w:rsidTr="00E4657F">
        <w:trPr>
          <w:jc w:val="center"/>
        </w:trPr>
        <w:tc>
          <w:tcPr>
            <w:tcW w:w="2512" w:type="dxa"/>
            <w:vAlign w:val="bottom"/>
          </w:tcPr>
          <w:p w14:paraId="7FD028B9"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 xml:space="preserve">      Непорески приходи</w:t>
            </w:r>
          </w:p>
        </w:tc>
        <w:tc>
          <w:tcPr>
            <w:tcW w:w="1169" w:type="dxa"/>
            <w:tcBorders>
              <w:top w:val="nil"/>
              <w:left w:val="nil"/>
              <w:bottom w:val="nil"/>
              <w:right w:val="nil"/>
            </w:tcBorders>
            <w:shd w:val="clear" w:color="auto" w:fill="auto"/>
          </w:tcPr>
          <w:p w14:paraId="6FB7508B" w14:textId="0714BC27"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239,8</w:t>
            </w:r>
          </w:p>
        </w:tc>
        <w:tc>
          <w:tcPr>
            <w:tcW w:w="1701" w:type="dxa"/>
            <w:tcBorders>
              <w:top w:val="nil"/>
              <w:left w:val="nil"/>
              <w:bottom w:val="nil"/>
              <w:right w:val="nil"/>
            </w:tcBorders>
            <w:shd w:val="clear" w:color="auto" w:fill="auto"/>
          </w:tcPr>
          <w:p w14:paraId="6699D0C4" w14:textId="52361685"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117,5</w:t>
            </w:r>
          </w:p>
        </w:tc>
        <w:tc>
          <w:tcPr>
            <w:tcW w:w="992" w:type="dxa"/>
            <w:tcBorders>
              <w:top w:val="nil"/>
              <w:left w:val="nil"/>
              <w:bottom w:val="nil"/>
              <w:right w:val="nil"/>
            </w:tcBorders>
            <w:shd w:val="clear" w:color="auto" w:fill="auto"/>
          </w:tcPr>
          <w:p w14:paraId="35EADB2D" w14:textId="3988D0E2"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75,1</w:t>
            </w:r>
          </w:p>
        </w:tc>
        <w:tc>
          <w:tcPr>
            <w:tcW w:w="992" w:type="dxa"/>
            <w:tcBorders>
              <w:top w:val="nil"/>
              <w:left w:val="nil"/>
              <w:bottom w:val="nil"/>
              <w:right w:val="nil"/>
            </w:tcBorders>
            <w:shd w:val="clear" w:color="auto" w:fill="auto"/>
          </w:tcPr>
          <w:p w14:paraId="0DE71D60" w14:textId="47DEACE7"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69,9</w:t>
            </w:r>
          </w:p>
        </w:tc>
        <w:tc>
          <w:tcPr>
            <w:tcW w:w="993" w:type="dxa"/>
            <w:tcBorders>
              <w:top w:val="nil"/>
              <w:left w:val="nil"/>
              <w:bottom w:val="nil"/>
              <w:right w:val="nil"/>
            </w:tcBorders>
            <w:shd w:val="clear" w:color="auto" w:fill="auto"/>
          </w:tcPr>
          <w:p w14:paraId="765E9F0C" w14:textId="2F3EFB80"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5,2</w:t>
            </w:r>
          </w:p>
        </w:tc>
        <w:tc>
          <w:tcPr>
            <w:tcW w:w="1032" w:type="dxa"/>
            <w:tcBorders>
              <w:top w:val="nil"/>
              <w:left w:val="nil"/>
              <w:bottom w:val="nil"/>
              <w:right w:val="nil"/>
            </w:tcBorders>
            <w:shd w:val="clear" w:color="auto" w:fill="auto"/>
          </w:tcPr>
          <w:p w14:paraId="270891E3" w14:textId="13A076ED"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28,4</w:t>
            </w:r>
          </w:p>
        </w:tc>
        <w:tc>
          <w:tcPr>
            <w:tcW w:w="992" w:type="dxa"/>
            <w:tcBorders>
              <w:top w:val="nil"/>
              <w:left w:val="nil"/>
              <w:bottom w:val="nil"/>
              <w:right w:val="nil"/>
            </w:tcBorders>
            <w:shd w:val="clear" w:color="auto" w:fill="auto"/>
          </w:tcPr>
          <w:p w14:paraId="0ED17521" w14:textId="10F0B74A"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18,8</w:t>
            </w:r>
          </w:p>
        </w:tc>
        <w:tc>
          <w:tcPr>
            <w:tcW w:w="992" w:type="dxa"/>
            <w:tcBorders>
              <w:top w:val="nil"/>
              <w:left w:val="nil"/>
              <w:bottom w:val="nil"/>
              <w:right w:val="nil"/>
            </w:tcBorders>
            <w:shd w:val="clear" w:color="auto" w:fill="auto"/>
          </w:tcPr>
          <w:p w14:paraId="1487274B" w14:textId="085CC605"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10,9</w:t>
            </w:r>
          </w:p>
        </w:tc>
        <w:tc>
          <w:tcPr>
            <w:tcW w:w="851" w:type="dxa"/>
            <w:tcBorders>
              <w:top w:val="nil"/>
              <w:left w:val="nil"/>
              <w:bottom w:val="nil"/>
              <w:right w:val="nil"/>
            </w:tcBorders>
            <w:shd w:val="clear" w:color="auto" w:fill="auto"/>
          </w:tcPr>
          <w:p w14:paraId="1FFB137B" w14:textId="36BC0FCC" w:rsidR="00191645" w:rsidRPr="007E770D" w:rsidRDefault="00191645" w:rsidP="00191645">
            <w:pPr>
              <w:pStyle w:val="Footer"/>
              <w:ind w:right="170"/>
              <w:jc w:val="right"/>
              <w:rPr>
                <w:rFonts w:cstheme="minorHAnsi"/>
                <w:color w:val="auto"/>
                <w:sz w:val="14"/>
                <w:szCs w:val="14"/>
                <w:lang w:val="sr-Cyrl-CS"/>
              </w:rPr>
            </w:pPr>
            <w:r w:rsidRPr="007E770D">
              <w:rPr>
                <w:color w:val="auto"/>
                <w:sz w:val="14"/>
                <w:szCs w:val="14"/>
                <w:lang w:val="sr-Cyrl-CS"/>
              </w:rPr>
              <w:t>6,3</w:t>
            </w:r>
          </w:p>
        </w:tc>
        <w:tc>
          <w:tcPr>
            <w:tcW w:w="1000" w:type="dxa"/>
            <w:tcBorders>
              <w:top w:val="nil"/>
              <w:left w:val="nil"/>
              <w:bottom w:val="nil"/>
              <w:right w:val="nil"/>
            </w:tcBorders>
            <w:shd w:val="clear" w:color="auto" w:fill="auto"/>
          </w:tcPr>
          <w:p w14:paraId="7E27281A" w14:textId="6ECA53FB"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1,2</w:t>
            </w:r>
          </w:p>
        </w:tc>
        <w:tc>
          <w:tcPr>
            <w:tcW w:w="943" w:type="dxa"/>
            <w:tcBorders>
              <w:top w:val="nil"/>
              <w:left w:val="nil"/>
              <w:bottom w:val="nil"/>
              <w:right w:val="nil"/>
            </w:tcBorders>
            <w:shd w:val="clear" w:color="auto" w:fill="auto"/>
          </w:tcPr>
          <w:p w14:paraId="3F3A6628" w14:textId="45684452"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0,3</w:t>
            </w:r>
          </w:p>
        </w:tc>
      </w:tr>
      <w:tr w:rsidR="007E770D" w:rsidRPr="007E770D" w14:paraId="5B5BB5BD" w14:textId="77777777" w:rsidTr="00E4657F">
        <w:trPr>
          <w:jc w:val="center"/>
        </w:trPr>
        <w:tc>
          <w:tcPr>
            <w:tcW w:w="2512" w:type="dxa"/>
            <w:vAlign w:val="bottom"/>
          </w:tcPr>
          <w:p w14:paraId="1703B504"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 xml:space="preserve">   Донације</w:t>
            </w:r>
          </w:p>
        </w:tc>
        <w:tc>
          <w:tcPr>
            <w:tcW w:w="1169" w:type="dxa"/>
            <w:tcBorders>
              <w:top w:val="nil"/>
              <w:left w:val="nil"/>
              <w:bottom w:val="nil"/>
              <w:right w:val="nil"/>
            </w:tcBorders>
            <w:shd w:val="clear" w:color="auto" w:fill="auto"/>
          </w:tcPr>
          <w:p w14:paraId="04442576" w14:textId="62F773C1"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16,5</w:t>
            </w:r>
          </w:p>
        </w:tc>
        <w:tc>
          <w:tcPr>
            <w:tcW w:w="1701" w:type="dxa"/>
            <w:tcBorders>
              <w:top w:val="nil"/>
              <w:left w:val="nil"/>
              <w:bottom w:val="nil"/>
              <w:right w:val="nil"/>
            </w:tcBorders>
            <w:shd w:val="clear" w:color="auto" w:fill="auto"/>
          </w:tcPr>
          <w:p w14:paraId="455DCC86" w14:textId="607B3F67"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15,0</w:t>
            </w:r>
          </w:p>
        </w:tc>
        <w:tc>
          <w:tcPr>
            <w:tcW w:w="992" w:type="dxa"/>
            <w:tcBorders>
              <w:top w:val="nil"/>
              <w:left w:val="nil"/>
              <w:bottom w:val="nil"/>
              <w:right w:val="nil"/>
            </w:tcBorders>
            <w:shd w:val="clear" w:color="auto" w:fill="auto"/>
          </w:tcPr>
          <w:p w14:paraId="3A7C1469" w14:textId="68497CD3"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1,0</w:t>
            </w:r>
          </w:p>
        </w:tc>
        <w:tc>
          <w:tcPr>
            <w:tcW w:w="992" w:type="dxa"/>
            <w:tcBorders>
              <w:top w:val="nil"/>
              <w:left w:val="nil"/>
              <w:bottom w:val="nil"/>
              <w:right w:val="nil"/>
            </w:tcBorders>
            <w:shd w:val="clear" w:color="auto" w:fill="auto"/>
          </w:tcPr>
          <w:p w14:paraId="4527D0EB" w14:textId="3E54F968"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1,0</w:t>
            </w:r>
          </w:p>
        </w:tc>
        <w:tc>
          <w:tcPr>
            <w:tcW w:w="993" w:type="dxa"/>
            <w:tcBorders>
              <w:top w:val="nil"/>
              <w:left w:val="nil"/>
              <w:bottom w:val="nil"/>
              <w:right w:val="nil"/>
            </w:tcBorders>
            <w:shd w:val="clear" w:color="auto" w:fill="auto"/>
          </w:tcPr>
          <w:p w14:paraId="238699DF" w14:textId="77777777" w:rsidR="00191645" w:rsidRPr="007E770D" w:rsidRDefault="00191645" w:rsidP="00191645">
            <w:pPr>
              <w:pStyle w:val="Footer"/>
              <w:ind w:right="227"/>
              <w:jc w:val="right"/>
              <w:rPr>
                <w:rFonts w:cstheme="minorHAnsi"/>
                <w:color w:val="auto"/>
                <w:sz w:val="14"/>
                <w:szCs w:val="14"/>
                <w:lang w:val="sr-Cyrl-CS"/>
              </w:rPr>
            </w:pPr>
          </w:p>
        </w:tc>
        <w:tc>
          <w:tcPr>
            <w:tcW w:w="1032" w:type="dxa"/>
            <w:tcBorders>
              <w:top w:val="nil"/>
              <w:left w:val="nil"/>
              <w:bottom w:val="nil"/>
              <w:right w:val="nil"/>
            </w:tcBorders>
            <w:shd w:val="clear" w:color="auto" w:fill="auto"/>
          </w:tcPr>
          <w:p w14:paraId="7DC9B2F6" w14:textId="77777777"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3DE374FD" w14:textId="1F09CA40"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0,5</w:t>
            </w:r>
          </w:p>
        </w:tc>
        <w:tc>
          <w:tcPr>
            <w:tcW w:w="992" w:type="dxa"/>
            <w:tcBorders>
              <w:top w:val="nil"/>
              <w:left w:val="nil"/>
              <w:bottom w:val="nil"/>
              <w:right w:val="nil"/>
            </w:tcBorders>
            <w:shd w:val="clear" w:color="auto" w:fill="auto"/>
          </w:tcPr>
          <w:p w14:paraId="5A0BDDDB" w14:textId="77777777" w:rsidR="00191645" w:rsidRPr="007E770D" w:rsidRDefault="00191645" w:rsidP="00191645">
            <w:pPr>
              <w:pStyle w:val="Footer"/>
              <w:ind w:right="227"/>
              <w:jc w:val="right"/>
              <w:rPr>
                <w:rFonts w:cstheme="minorHAnsi"/>
                <w:color w:val="auto"/>
                <w:sz w:val="14"/>
                <w:szCs w:val="14"/>
                <w:lang w:val="sr-Cyrl-CS"/>
              </w:rPr>
            </w:pPr>
          </w:p>
        </w:tc>
        <w:tc>
          <w:tcPr>
            <w:tcW w:w="851" w:type="dxa"/>
            <w:tcBorders>
              <w:top w:val="nil"/>
              <w:left w:val="nil"/>
              <w:bottom w:val="nil"/>
              <w:right w:val="nil"/>
            </w:tcBorders>
            <w:shd w:val="clear" w:color="auto" w:fill="auto"/>
          </w:tcPr>
          <w:p w14:paraId="144B137F" w14:textId="77777777" w:rsidR="00191645" w:rsidRPr="007E770D" w:rsidRDefault="00191645" w:rsidP="00191645">
            <w:pPr>
              <w:pStyle w:val="Footer"/>
              <w:ind w:right="170"/>
              <w:jc w:val="right"/>
              <w:rPr>
                <w:rFonts w:cstheme="minorHAnsi"/>
                <w:color w:val="auto"/>
                <w:sz w:val="14"/>
                <w:szCs w:val="14"/>
                <w:lang w:val="sr-Cyrl-CS"/>
              </w:rPr>
            </w:pPr>
          </w:p>
        </w:tc>
        <w:tc>
          <w:tcPr>
            <w:tcW w:w="1000" w:type="dxa"/>
            <w:tcBorders>
              <w:top w:val="nil"/>
              <w:left w:val="nil"/>
              <w:bottom w:val="nil"/>
              <w:right w:val="nil"/>
            </w:tcBorders>
            <w:shd w:val="clear" w:color="auto" w:fill="auto"/>
          </w:tcPr>
          <w:p w14:paraId="1F37A90F" w14:textId="0FCA3059"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0,5</w:t>
            </w:r>
          </w:p>
        </w:tc>
        <w:tc>
          <w:tcPr>
            <w:tcW w:w="943" w:type="dxa"/>
            <w:tcBorders>
              <w:top w:val="nil"/>
              <w:left w:val="nil"/>
              <w:bottom w:val="nil"/>
              <w:right w:val="nil"/>
            </w:tcBorders>
            <w:shd w:val="clear" w:color="auto" w:fill="auto"/>
          </w:tcPr>
          <w:p w14:paraId="355D6796" w14:textId="77777777" w:rsidR="00191645" w:rsidRPr="007E770D" w:rsidRDefault="00191645" w:rsidP="00191645">
            <w:pPr>
              <w:pStyle w:val="Footer"/>
              <w:ind w:right="284"/>
              <w:jc w:val="right"/>
              <w:rPr>
                <w:rFonts w:cstheme="minorHAnsi"/>
                <w:color w:val="auto"/>
                <w:sz w:val="14"/>
                <w:szCs w:val="14"/>
                <w:lang w:val="sr-Cyrl-CS"/>
              </w:rPr>
            </w:pPr>
          </w:p>
        </w:tc>
      </w:tr>
      <w:tr w:rsidR="007E770D" w:rsidRPr="007E770D" w14:paraId="4A0AD220" w14:textId="77777777" w:rsidTr="00E4657F">
        <w:trPr>
          <w:jc w:val="center"/>
        </w:trPr>
        <w:tc>
          <w:tcPr>
            <w:tcW w:w="2512" w:type="dxa"/>
            <w:shd w:val="clear" w:color="auto" w:fill="E7E6E6" w:themeFill="background2"/>
            <w:vAlign w:val="bottom"/>
          </w:tcPr>
          <w:p w14:paraId="6858021A"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bCs/>
                <w:color w:val="auto"/>
                <w:sz w:val="14"/>
                <w:szCs w:val="16"/>
                <w:lang w:val="sr-Cyrl-CS"/>
              </w:rPr>
              <w:t>Јавни расходи</w:t>
            </w:r>
          </w:p>
        </w:tc>
        <w:tc>
          <w:tcPr>
            <w:tcW w:w="1169" w:type="dxa"/>
            <w:tcBorders>
              <w:top w:val="nil"/>
              <w:left w:val="nil"/>
              <w:bottom w:val="nil"/>
              <w:right w:val="nil"/>
            </w:tcBorders>
            <w:shd w:val="clear" w:color="000000" w:fill="E7E6E6"/>
          </w:tcPr>
          <w:p w14:paraId="1355959C" w14:textId="4F68665E"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2.369,9</w:t>
            </w:r>
          </w:p>
        </w:tc>
        <w:tc>
          <w:tcPr>
            <w:tcW w:w="1701" w:type="dxa"/>
            <w:tcBorders>
              <w:top w:val="nil"/>
              <w:left w:val="nil"/>
              <w:bottom w:val="nil"/>
              <w:right w:val="nil"/>
            </w:tcBorders>
            <w:shd w:val="clear" w:color="000000" w:fill="E7E6E6"/>
          </w:tcPr>
          <w:p w14:paraId="5559464E" w14:textId="78CA2F71"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1.012,8</w:t>
            </w:r>
          </w:p>
        </w:tc>
        <w:tc>
          <w:tcPr>
            <w:tcW w:w="992" w:type="dxa"/>
            <w:tcBorders>
              <w:top w:val="nil"/>
              <w:left w:val="nil"/>
              <w:bottom w:val="nil"/>
              <w:right w:val="nil"/>
            </w:tcBorders>
            <w:shd w:val="clear" w:color="000000" w:fill="E7E6E6"/>
          </w:tcPr>
          <w:p w14:paraId="5CEB06DC" w14:textId="12F94854"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382,9</w:t>
            </w:r>
          </w:p>
        </w:tc>
        <w:tc>
          <w:tcPr>
            <w:tcW w:w="992" w:type="dxa"/>
            <w:tcBorders>
              <w:top w:val="nil"/>
              <w:left w:val="nil"/>
              <w:bottom w:val="nil"/>
              <w:right w:val="nil"/>
            </w:tcBorders>
            <w:shd w:val="clear" w:color="000000" w:fill="E7E6E6"/>
          </w:tcPr>
          <w:p w14:paraId="3F730EAC" w14:textId="5DE5DA40"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323,5</w:t>
            </w:r>
          </w:p>
        </w:tc>
        <w:tc>
          <w:tcPr>
            <w:tcW w:w="993" w:type="dxa"/>
            <w:tcBorders>
              <w:top w:val="nil"/>
              <w:left w:val="nil"/>
              <w:bottom w:val="nil"/>
              <w:right w:val="nil"/>
            </w:tcBorders>
            <w:shd w:val="clear" w:color="000000" w:fill="E7E6E6"/>
          </w:tcPr>
          <w:p w14:paraId="3C06B3C7" w14:textId="5D021463"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59,4</w:t>
            </w:r>
          </w:p>
        </w:tc>
        <w:tc>
          <w:tcPr>
            <w:tcW w:w="1032" w:type="dxa"/>
            <w:tcBorders>
              <w:top w:val="nil"/>
              <w:left w:val="nil"/>
              <w:bottom w:val="nil"/>
              <w:right w:val="nil"/>
            </w:tcBorders>
            <w:shd w:val="clear" w:color="000000" w:fill="E7E6E6"/>
          </w:tcPr>
          <w:p w14:paraId="682BA438" w14:textId="10514132"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41,4</w:t>
            </w:r>
          </w:p>
        </w:tc>
        <w:tc>
          <w:tcPr>
            <w:tcW w:w="992" w:type="dxa"/>
            <w:tcBorders>
              <w:top w:val="nil"/>
              <w:left w:val="nil"/>
              <w:bottom w:val="nil"/>
              <w:right w:val="nil"/>
            </w:tcBorders>
            <w:shd w:val="clear" w:color="000000" w:fill="E7E6E6"/>
          </w:tcPr>
          <w:p w14:paraId="6D47EAC2" w14:textId="3BCC83C9"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932,8</w:t>
            </w:r>
          </w:p>
        </w:tc>
        <w:tc>
          <w:tcPr>
            <w:tcW w:w="992" w:type="dxa"/>
            <w:tcBorders>
              <w:top w:val="nil"/>
              <w:left w:val="nil"/>
              <w:bottom w:val="nil"/>
              <w:right w:val="nil"/>
            </w:tcBorders>
            <w:shd w:val="clear" w:color="000000" w:fill="E7E6E6"/>
          </w:tcPr>
          <w:p w14:paraId="7B05FC53" w14:textId="0856B76D"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626,6</w:t>
            </w:r>
          </w:p>
        </w:tc>
        <w:tc>
          <w:tcPr>
            <w:tcW w:w="851" w:type="dxa"/>
            <w:tcBorders>
              <w:top w:val="nil"/>
              <w:left w:val="nil"/>
              <w:bottom w:val="nil"/>
              <w:right w:val="nil"/>
            </w:tcBorders>
            <w:shd w:val="clear" w:color="000000" w:fill="E7E6E6"/>
          </w:tcPr>
          <w:p w14:paraId="2FADF311" w14:textId="5C5C7302" w:rsidR="00191645" w:rsidRPr="007E770D" w:rsidRDefault="00191645" w:rsidP="00191645">
            <w:pPr>
              <w:pStyle w:val="Footer"/>
              <w:ind w:right="170"/>
              <w:jc w:val="right"/>
              <w:rPr>
                <w:rFonts w:cstheme="minorHAnsi"/>
                <w:color w:val="auto"/>
                <w:sz w:val="14"/>
                <w:szCs w:val="14"/>
                <w:lang w:val="sr-Cyrl-CS"/>
              </w:rPr>
            </w:pPr>
            <w:r w:rsidRPr="007E770D">
              <w:rPr>
                <w:color w:val="auto"/>
                <w:sz w:val="14"/>
                <w:szCs w:val="14"/>
                <w:lang w:val="sr-Cyrl-CS"/>
              </w:rPr>
              <w:t>281,1</w:t>
            </w:r>
          </w:p>
        </w:tc>
        <w:tc>
          <w:tcPr>
            <w:tcW w:w="1000" w:type="dxa"/>
            <w:tcBorders>
              <w:top w:val="nil"/>
              <w:left w:val="nil"/>
              <w:bottom w:val="nil"/>
              <w:right w:val="nil"/>
            </w:tcBorders>
            <w:shd w:val="clear" w:color="000000" w:fill="E7E6E6"/>
          </w:tcPr>
          <w:p w14:paraId="3F5290D8" w14:textId="74D13EEF"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19,4</w:t>
            </w:r>
          </w:p>
        </w:tc>
        <w:tc>
          <w:tcPr>
            <w:tcW w:w="943" w:type="dxa"/>
            <w:tcBorders>
              <w:top w:val="nil"/>
              <w:left w:val="nil"/>
              <w:bottom w:val="nil"/>
              <w:right w:val="nil"/>
            </w:tcBorders>
            <w:shd w:val="clear" w:color="000000" w:fill="E7E6E6"/>
          </w:tcPr>
          <w:p w14:paraId="5D8B74C0" w14:textId="2F4CDFD0"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5,7</w:t>
            </w:r>
          </w:p>
        </w:tc>
      </w:tr>
      <w:tr w:rsidR="007E770D" w:rsidRPr="007E770D" w14:paraId="56F1F6C6" w14:textId="77777777" w:rsidTr="00E4657F">
        <w:trPr>
          <w:jc w:val="center"/>
        </w:trPr>
        <w:tc>
          <w:tcPr>
            <w:tcW w:w="2512" w:type="dxa"/>
            <w:vAlign w:val="bottom"/>
          </w:tcPr>
          <w:p w14:paraId="1C2BF071"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 xml:space="preserve">     Текући расходи</w:t>
            </w:r>
          </w:p>
        </w:tc>
        <w:tc>
          <w:tcPr>
            <w:tcW w:w="1169" w:type="dxa"/>
            <w:tcBorders>
              <w:top w:val="nil"/>
              <w:left w:val="nil"/>
              <w:bottom w:val="nil"/>
              <w:right w:val="nil"/>
            </w:tcBorders>
            <w:shd w:val="clear" w:color="auto" w:fill="auto"/>
          </w:tcPr>
          <w:p w14:paraId="5CB3D838" w14:textId="44C56C65"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2.090,0</w:t>
            </w:r>
          </w:p>
        </w:tc>
        <w:tc>
          <w:tcPr>
            <w:tcW w:w="1701" w:type="dxa"/>
            <w:tcBorders>
              <w:top w:val="nil"/>
              <w:left w:val="nil"/>
              <w:bottom w:val="nil"/>
              <w:right w:val="nil"/>
            </w:tcBorders>
            <w:shd w:val="clear" w:color="auto" w:fill="auto"/>
          </w:tcPr>
          <w:p w14:paraId="7A7ACCE2" w14:textId="71405641"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800,9</w:t>
            </w:r>
          </w:p>
        </w:tc>
        <w:tc>
          <w:tcPr>
            <w:tcW w:w="992" w:type="dxa"/>
            <w:tcBorders>
              <w:top w:val="nil"/>
              <w:left w:val="nil"/>
              <w:bottom w:val="nil"/>
              <w:right w:val="nil"/>
            </w:tcBorders>
            <w:shd w:val="clear" w:color="auto" w:fill="auto"/>
          </w:tcPr>
          <w:p w14:paraId="5412F38F" w14:textId="65BB070D"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326,7</w:t>
            </w:r>
          </w:p>
        </w:tc>
        <w:tc>
          <w:tcPr>
            <w:tcW w:w="992" w:type="dxa"/>
            <w:tcBorders>
              <w:top w:val="nil"/>
              <w:left w:val="nil"/>
              <w:bottom w:val="nil"/>
              <w:right w:val="nil"/>
            </w:tcBorders>
            <w:shd w:val="clear" w:color="auto" w:fill="auto"/>
          </w:tcPr>
          <w:p w14:paraId="76169FB8" w14:textId="500D12A1"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269,8</w:t>
            </w:r>
          </w:p>
        </w:tc>
        <w:tc>
          <w:tcPr>
            <w:tcW w:w="993" w:type="dxa"/>
            <w:tcBorders>
              <w:top w:val="nil"/>
              <w:left w:val="nil"/>
              <w:bottom w:val="nil"/>
              <w:right w:val="nil"/>
            </w:tcBorders>
            <w:shd w:val="clear" w:color="auto" w:fill="auto"/>
          </w:tcPr>
          <w:p w14:paraId="5CFA4FD3" w14:textId="639037EB"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56,8</w:t>
            </w:r>
          </w:p>
        </w:tc>
        <w:tc>
          <w:tcPr>
            <w:tcW w:w="1032" w:type="dxa"/>
            <w:tcBorders>
              <w:top w:val="nil"/>
              <w:left w:val="nil"/>
              <w:bottom w:val="nil"/>
              <w:right w:val="nil"/>
            </w:tcBorders>
            <w:shd w:val="clear" w:color="auto" w:fill="auto"/>
          </w:tcPr>
          <w:p w14:paraId="09D546C5" w14:textId="4E73C7EE"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31,7</w:t>
            </w:r>
          </w:p>
        </w:tc>
        <w:tc>
          <w:tcPr>
            <w:tcW w:w="992" w:type="dxa"/>
            <w:tcBorders>
              <w:top w:val="nil"/>
              <w:left w:val="nil"/>
              <w:bottom w:val="nil"/>
              <w:right w:val="nil"/>
            </w:tcBorders>
            <w:shd w:val="clear" w:color="auto" w:fill="auto"/>
          </w:tcPr>
          <w:p w14:paraId="5608A35F" w14:textId="3E9AC6AF"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930,8</w:t>
            </w:r>
          </w:p>
        </w:tc>
        <w:tc>
          <w:tcPr>
            <w:tcW w:w="992" w:type="dxa"/>
            <w:tcBorders>
              <w:top w:val="nil"/>
              <w:left w:val="nil"/>
              <w:bottom w:val="nil"/>
              <w:right w:val="nil"/>
            </w:tcBorders>
            <w:shd w:val="clear" w:color="auto" w:fill="auto"/>
          </w:tcPr>
          <w:p w14:paraId="24704902" w14:textId="69A63EC2"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625,9</w:t>
            </w:r>
          </w:p>
        </w:tc>
        <w:tc>
          <w:tcPr>
            <w:tcW w:w="851" w:type="dxa"/>
            <w:tcBorders>
              <w:top w:val="nil"/>
              <w:left w:val="nil"/>
              <w:bottom w:val="nil"/>
              <w:right w:val="nil"/>
            </w:tcBorders>
            <w:shd w:val="clear" w:color="auto" w:fill="auto"/>
          </w:tcPr>
          <w:p w14:paraId="02AD8EDF" w14:textId="25322D62" w:rsidR="00191645" w:rsidRPr="007E770D" w:rsidRDefault="00191645" w:rsidP="00191645">
            <w:pPr>
              <w:pStyle w:val="Footer"/>
              <w:ind w:right="170"/>
              <w:jc w:val="right"/>
              <w:rPr>
                <w:rFonts w:cstheme="minorHAnsi"/>
                <w:color w:val="auto"/>
                <w:sz w:val="14"/>
                <w:szCs w:val="14"/>
                <w:lang w:val="sr-Cyrl-CS"/>
              </w:rPr>
            </w:pPr>
            <w:r w:rsidRPr="007E770D">
              <w:rPr>
                <w:color w:val="auto"/>
                <w:sz w:val="14"/>
                <w:szCs w:val="14"/>
                <w:lang w:val="sr-Cyrl-CS"/>
              </w:rPr>
              <w:t>280,3</w:t>
            </w:r>
          </w:p>
        </w:tc>
        <w:tc>
          <w:tcPr>
            <w:tcW w:w="1000" w:type="dxa"/>
            <w:tcBorders>
              <w:top w:val="nil"/>
              <w:left w:val="nil"/>
              <w:bottom w:val="nil"/>
              <w:right w:val="nil"/>
            </w:tcBorders>
            <w:shd w:val="clear" w:color="auto" w:fill="auto"/>
          </w:tcPr>
          <w:p w14:paraId="574EBCE1" w14:textId="58E2AAF6"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19,0</w:t>
            </w:r>
          </w:p>
        </w:tc>
        <w:tc>
          <w:tcPr>
            <w:tcW w:w="943" w:type="dxa"/>
            <w:tcBorders>
              <w:top w:val="nil"/>
              <w:left w:val="nil"/>
              <w:bottom w:val="nil"/>
              <w:right w:val="nil"/>
            </w:tcBorders>
            <w:shd w:val="clear" w:color="auto" w:fill="auto"/>
          </w:tcPr>
          <w:p w14:paraId="02B0E29B" w14:textId="551B142D"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5,5</w:t>
            </w:r>
          </w:p>
        </w:tc>
      </w:tr>
      <w:tr w:rsidR="007E770D" w:rsidRPr="007E770D" w14:paraId="0FA0749E" w14:textId="77777777" w:rsidTr="00E4657F">
        <w:trPr>
          <w:jc w:val="center"/>
        </w:trPr>
        <w:tc>
          <w:tcPr>
            <w:tcW w:w="2512" w:type="dxa"/>
            <w:vAlign w:val="bottom"/>
          </w:tcPr>
          <w:p w14:paraId="1B94F90E"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 xml:space="preserve">        Расходи за запослене</w:t>
            </w:r>
          </w:p>
        </w:tc>
        <w:tc>
          <w:tcPr>
            <w:tcW w:w="1169" w:type="dxa"/>
            <w:tcBorders>
              <w:top w:val="nil"/>
              <w:left w:val="nil"/>
              <w:bottom w:val="nil"/>
              <w:right w:val="nil"/>
            </w:tcBorders>
            <w:shd w:val="clear" w:color="auto" w:fill="auto"/>
          </w:tcPr>
          <w:p w14:paraId="3D234083" w14:textId="150E1785"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474,5</w:t>
            </w:r>
          </w:p>
        </w:tc>
        <w:tc>
          <w:tcPr>
            <w:tcW w:w="1701" w:type="dxa"/>
            <w:tcBorders>
              <w:top w:val="nil"/>
              <w:left w:val="nil"/>
              <w:bottom w:val="nil"/>
              <w:right w:val="nil"/>
            </w:tcBorders>
            <w:shd w:val="clear" w:color="auto" w:fill="auto"/>
          </w:tcPr>
          <w:p w14:paraId="0C6EC4CC" w14:textId="65CBAB5B"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260,0</w:t>
            </w:r>
          </w:p>
        </w:tc>
        <w:tc>
          <w:tcPr>
            <w:tcW w:w="992" w:type="dxa"/>
            <w:tcBorders>
              <w:top w:val="nil"/>
              <w:left w:val="nil"/>
              <w:bottom w:val="nil"/>
              <w:right w:val="nil"/>
            </w:tcBorders>
            <w:shd w:val="clear" w:color="auto" w:fill="auto"/>
          </w:tcPr>
          <w:p w14:paraId="10808C78" w14:textId="44D11086"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87,6</w:t>
            </w:r>
          </w:p>
        </w:tc>
        <w:tc>
          <w:tcPr>
            <w:tcW w:w="992" w:type="dxa"/>
            <w:tcBorders>
              <w:top w:val="nil"/>
              <w:left w:val="nil"/>
              <w:bottom w:val="nil"/>
              <w:right w:val="nil"/>
            </w:tcBorders>
            <w:shd w:val="clear" w:color="auto" w:fill="auto"/>
          </w:tcPr>
          <w:p w14:paraId="2E99A093" w14:textId="2A6F2558"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55,2</w:t>
            </w:r>
          </w:p>
        </w:tc>
        <w:tc>
          <w:tcPr>
            <w:tcW w:w="993" w:type="dxa"/>
            <w:tcBorders>
              <w:top w:val="nil"/>
              <w:left w:val="nil"/>
              <w:bottom w:val="nil"/>
              <w:right w:val="nil"/>
            </w:tcBorders>
            <w:shd w:val="clear" w:color="auto" w:fill="auto"/>
          </w:tcPr>
          <w:p w14:paraId="56B1FE18" w14:textId="48646D36"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32,4</w:t>
            </w:r>
          </w:p>
        </w:tc>
        <w:tc>
          <w:tcPr>
            <w:tcW w:w="1032" w:type="dxa"/>
            <w:tcBorders>
              <w:top w:val="nil"/>
              <w:left w:val="nil"/>
              <w:bottom w:val="nil"/>
              <w:right w:val="nil"/>
            </w:tcBorders>
            <w:shd w:val="clear" w:color="auto" w:fill="auto"/>
          </w:tcPr>
          <w:p w14:paraId="056DBEA2" w14:textId="5CD250AA"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2,0</w:t>
            </w:r>
          </w:p>
        </w:tc>
        <w:tc>
          <w:tcPr>
            <w:tcW w:w="992" w:type="dxa"/>
            <w:tcBorders>
              <w:top w:val="nil"/>
              <w:left w:val="nil"/>
              <w:bottom w:val="nil"/>
              <w:right w:val="nil"/>
            </w:tcBorders>
            <w:shd w:val="clear" w:color="auto" w:fill="auto"/>
          </w:tcPr>
          <w:p w14:paraId="5E36ED25" w14:textId="010839F0"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124,8</w:t>
            </w:r>
          </w:p>
        </w:tc>
        <w:tc>
          <w:tcPr>
            <w:tcW w:w="992" w:type="dxa"/>
            <w:tcBorders>
              <w:top w:val="nil"/>
              <w:left w:val="nil"/>
              <w:bottom w:val="nil"/>
              <w:right w:val="nil"/>
            </w:tcBorders>
            <w:shd w:val="clear" w:color="auto" w:fill="auto"/>
          </w:tcPr>
          <w:p w14:paraId="7C34894B" w14:textId="1A835200"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3,0</w:t>
            </w:r>
          </w:p>
        </w:tc>
        <w:tc>
          <w:tcPr>
            <w:tcW w:w="851" w:type="dxa"/>
            <w:tcBorders>
              <w:top w:val="nil"/>
              <w:left w:val="nil"/>
              <w:bottom w:val="nil"/>
              <w:right w:val="nil"/>
            </w:tcBorders>
            <w:shd w:val="clear" w:color="auto" w:fill="auto"/>
          </w:tcPr>
          <w:p w14:paraId="0683EED2" w14:textId="42F7FE4F" w:rsidR="00191645" w:rsidRPr="007E770D" w:rsidRDefault="00191645" w:rsidP="00191645">
            <w:pPr>
              <w:pStyle w:val="Footer"/>
              <w:ind w:right="170"/>
              <w:jc w:val="right"/>
              <w:rPr>
                <w:rFonts w:cstheme="minorHAnsi"/>
                <w:color w:val="auto"/>
                <w:sz w:val="14"/>
                <w:szCs w:val="14"/>
                <w:lang w:val="sr-Cyrl-CS"/>
              </w:rPr>
            </w:pPr>
            <w:r w:rsidRPr="007E770D">
              <w:rPr>
                <w:color w:val="auto"/>
                <w:sz w:val="14"/>
                <w:szCs w:val="14"/>
                <w:lang w:val="sr-Cyrl-CS"/>
              </w:rPr>
              <w:t>120,3</w:t>
            </w:r>
          </w:p>
        </w:tc>
        <w:tc>
          <w:tcPr>
            <w:tcW w:w="1000" w:type="dxa"/>
            <w:tcBorders>
              <w:top w:val="nil"/>
              <w:left w:val="nil"/>
              <w:bottom w:val="nil"/>
              <w:right w:val="nil"/>
            </w:tcBorders>
            <w:shd w:val="clear" w:color="auto" w:fill="auto"/>
          </w:tcPr>
          <w:p w14:paraId="0E6DA969" w14:textId="49D2052D"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1,6</w:t>
            </w:r>
          </w:p>
        </w:tc>
        <w:tc>
          <w:tcPr>
            <w:tcW w:w="943" w:type="dxa"/>
            <w:tcBorders>
              <w:top w:val="nil"/>
              <w:left w:val="nil"/>
              <w:bottom w:val="nil"/>
              <w:right w:val="nil"/>
            </w:tcBorders>
            <w:shd w:val="clear" w:color="auto" w:fill="auto"/>
          </w:tcPr>
          <w:p w14:paraId="2008E0B0" w14:textId="18FD00BE"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0,0</w:t>
            </w:r>
          </w:p>
        </w:tc>
      </w:tr>
      <w:tr w:rsidR="007E770D" w:rsidRPr="007E770D" w14:paraId="790F1B73" w14:textId="77777777" w:rsidTr="00E4657F">
        <w:trPr>
          <w:jc w:val="center"/>
        </w:trPr>
        <w:tc>
          <w:tcPr>
            <w:tcW w:w="2512" w:type="dxa"/>
            <w:vAlign w:val="bottom"/>
          </w:tcPr>
          <w:p w14:paraId="19A6791D"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 xml:space="preserve">        Доприноси на терет послодавца</w:t>
            </w:r>
          </w:p>
        </w:tc>
        <w:tc>
          <w:tcPr>
            <w:tcW w:w="1169" w:type="dxa"/>
            <w:tcBorders>
              <w:top w:val="nil"/>
              <w:left w:val="nil"/>
              <w:bottom w:val="nil"/>
              <w:right w:val="nil"/>
            </w:tcBorders>
            <w:shd w:val="clear" w:color="auto" w:fill="auto"/>
          </w:tcPr>
          <w:p w14:paraId="22810B5A" w14:textId="7C7BA518"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80,3</w:t>
            </w:r>
          </w:p>
        </w:tc>
        <w:tc>
          <w:tcPr>
            <w:tcW w:w="1701" w:type="dxa"/>
            <w:tcBorders>
              <w:top w:val="nil"/>
              <w:left w:val="nil"/>
              <w:bottom w:val="nil"/>
              <w:right w:val="nil"/>
            </w:tcBorders>
            <w:shd w:val="clear" w:color="auto" w:fill="auto"/>
          </w:tcPr>
          <w:p w14:paraId="4B9D4FEA" w14:textId="043A7C1D"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44,8</w:t>
            </w:r>
          </w:p>
        </w:tc>
        <w:tc>
          <w:tcPr>
            <w:tcW w:w="992" w:type="dxa"/>
            <w:tcBorders>
              <w:top w:val="nil"/>
              <w:left w:val="nil"/>
              <w:bottom w:val="nil"/>
              <w:right w:val="nil"/>
            </w:tcBorders>
            <w:shd w:val="clear" w:color="auto" w:fill="auto"/>
          </w:tcPr>
          <w:p w14:paraId="6D0FA423" w14:textId="7B4D1EF5"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14,7</w:t>
            </w:r>
          </w:p>
        </w:tc>
        <w:tc>
          <w:tcPr>
            <w:tcW w:w="992" w:type="dxa"/>
            <w:tcBorders>
              <w:top w:val="nil"/>
              <w:left w:val="nil"/>
              <w:bottom w:val="nil"/>
              <w:right w:val="nil"/>
            </w:tcBorders>
            <w:shd w:val="clear" w:color="auto" w:fill="auto"/>
          </w:tcPr>
          <w:p w14:paraId="0C18D4A5" w14:textId="7CEFB835"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8,2</w:t>
            </w:r>
          </w:p>
        </w:tc>
        <w:tc>
          <w:tcPr>
            <w:tcW w:w="993" w:type="dxa"/>
            <w:tcBorders>
              <w:top w:val="nil"/>
              <w:left w:val="nil"/>
              <w:bottom w:val="nil"/>
              <w:right w:val="nil"/>
            </w:tcBorders>
            <w:shd w:val="clear" w:color="auto" w:fill="auto"/>
          </w:tcPr>
          <w:p w14:paraId="2FA27038" w14:textId="69ABF285"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6,5</w:t>
            </w:r>
          </w:p>
        </w:tc>
        <w:tc>
          <w:tcPr>
            <w:tcW w:w="1032" w:type="dxa"/>
            <w:tcBorders>
              <w:top w:val="nil"/>
              <w:left w:val="nil"/>
              <w:bottom w:val="nil"/>
              <w:right w:val="nil"/>
            </w:tcBorders>
            <w:shd w:val="clear" w:color="auto" w:fill="auto"/>
          </w:tcPr>
          <w:p w14:paraId="05B7E99E" w14:textId="4F756ABD"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0,3</w:t>
            </w:r>
          </w:p>
        </w:tc>
        <w:tc>
          <w:tcPr>
            <w:tcW w:w="992" w:type="dxa"/>
            <w:tcBorders>
              <w:top w:val="nil"/>
              <w:left w:val="nil"/>
              <w:bottom w:val="nil"/>
              <w:right w:val="nil"/>
            </w:tcBorders>
            <w:shd w:val="clear" w:color="auto" w:fill="auto"/>
          </w:tcPr>
          <w:p w14:paraId="7B89FAA2" w14:textId="414DF0CC"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20,6</w:t>
            </w:r>
          </w:p>
        </w:tc>
        <w:tc>
          <w:tcPr>
            <w:tcW w:w="992" w:type="dxa"/>
            <w:tcBorders>
              <w:top w:val="nil"/>
              <w:left w:val="nil"/>
              <w:bottom w:val="nil"/>
              <w:right w:val="nil"/>
            </w:tcBorders>
            <w:shd w:val="clear" w:color="auto" w:fill="auto"/>
          </w:tcPr>
          <w:p w14:paraId="77610771" w14:textId="4BE72EB3"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0,5</w:t>
            </w:r>
          </w:p>
        </w:tc>
        <w:tc>
          <w:tcPr>
            <w:tcW w:w="851" w:type="dxa"/>
            <w:tcBorders>
              <w:top w:val="nil"/>
              <w:left w:val="nil"/>
              <w:bottom w:val="nil"/>
              <w:right w:val="nil"/>
            </w:tcBorders>
            <w:shd w:val="clear" w:color="auto" w:fill="auto"/>
          </w:tcPr>
          <w:p w14:paraId="60677E26" w14:textId="74310977" w:rsidR="00191645" w:rsidRPr="007E770D" w:rsidRDefault="00191645" w:rsidP="00191645">
            <w:pPr>
              <w:pStyle w:val="Footer"/>
              <w:ind w:right="170"/>
              <w:jc w:val="right"/>
              <w:rPr>
                <w:rFonts w:cstheme="minorHAnsi"/>
                <w:color w:val="auto"/>
                <w:sz w:val="14"/>
                <w:szCs w:val="14"/>
                <w:lang w:val="sr-Cyrl-CS"/>
              </w:rPr>
            </w:pPr>
            <w:r w:rsidRPr="007E770D">
              <w:rPr>
                <w:color w:val="auto"/>
                <w:sz w:val="14"/>
                <w:szCs w:val="14"/>
                <w:lang w:val="sr-Cyrl-CS"/>
              </w:rPr>
              <w:t>19,7</w:t>
            </w:r>
          </w:p>
        </w:tc>
        <w:tc>
          <w:tcPr>
            <w:tcW w:w="1000" w:type="dxa"/>
            <w:tcBorders>
              <w:top w:val="nil"/>
              <w:left w:val="nil"/>
              <w:bottom w:val="nil"/>
              <w:right w:val="nil"/>
            </w:tcBorders>
            <w:shd w:val="clear" w:color="auto" w:fill="auto"/>
          </w:tcPr>
          <w:p w14:paraId="7D5F5AA2" w14:textId="2A0914A1"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0,3</w:t>
            </w:r>
          </w:p>
        </w:tc>
        <w:tc>
          <w:tcPr>
            <w:tcW w:w="943" w:type="dxa"/>
            <w:tcBorders>
              <w:top w:val="nil"/>
              <w:left w:val="nil"/>
              <w:bottom w:val="nil"/>
              <w:right w:val="nil"/>
            </w:tcBorders>
            <w:shd w:val="clear" w:color="auto" w:fill="auto"/>
          </w:tcPr>
          <w:p w14:paraId="4E24E918" w14:textId="14A018AA"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0,0</w:t>
            </w:r>
          </w:p>
        </w:tc>
      </w:tr>
      <w:tr w:rsidR="007E770D" w:rsidRPr="007E770D" w14:paraId="5E00F6B7" w14:textId="77777777" w:rsidTr="00E4657F">
        <w:trPr>
          <w:jc w:val="center"/>
        </w:trPr>
        <w:tc>
          <w:tcPr>
            <w:tcW w:w="2512" w:type="dxa"/>
            <w:vAlign w:val="bottom"/>
          </w:tcPr>
          <w:p w14:paraId="539D13E5"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 xml:space="preserve">        Куповина роба и услуга</w:t>
            </w:r>
          </w:p>
        </w:tc>
        <w:tc>
          <w:tcPr>
            <w:tcW w:w="1169" w:type="dxa"/>
            <w:tcBorders>
              <w:top w:val="nil"/>
              <w:left w:val="nil"/>
              <w:bottom w:val="nil"/>
              <w:right w:val="nil"/>
            </w:tcBorders>
            <w:shd w:val="clear" w:color="auto" w:fill="auto"/>
          </w:tcPr>
          <w:p w14:paraId="4C11219D" w14:textId="7203B2D0"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394,7</w:t>
            </w:r>
          </w:p>
        </w:tc>
        <w:tc>
          <w:tcPr>
            <w:tcW w:w="1701" w:type="dxa"/>
            <w:tcBorders>
              <w:top w:val="nil"/>
              <w:left w:val="nil"/>
              <w:bottom w:val="nil"/>
              <w:right w:val="nil"/>
            </w:tcBorders>
            <w:shd w:val="clear" w:color="auto" w:fill="auto"/>
          </w:tcPr>
          <w:p w14:paraId="484373AE" w14:textId="164D2D80"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112,4</w:t>
            </w:r>
          </w:p>
        </w:tc>
        <w:tc>
          <w:tcPr>
            <w:tcW w:w="992" w:type="dxa"/>
            <w:tcBorders>
              <w:top w:val="nil"/>
              <w:left w:val="nil"/>
              <w:bottom w:val="nil"/>
              <w:right w:val="nil"/>
            </w:tcBorders>
            <w:shd w:val="clear" w:color="auto" w:fill="auto"/>
          </w:tcPr>
          <w:p w14:paraId="5EB9A669" w14:textId="4465534E"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120,9</w:t>
            </w:r>
          </w:p>
        </w:tc>
        <w:tc>
          <w:tcPr>
            <w:tcW w:w="992" w:type="dxa"/>
            <w:tcBorders>
              <w:top w:val="nil"/>
              <w:left w:val="nil"/>
              <w:bottom w:val="nil"/>
              <w:right w:val="nil"/>
            </w:tcBorders>
            <w:shd w:val="clear" w:color="auto" w:fill="auto"/>
          </w:tcPr>
          <w:p w14:paraId="1331FFEF" w14:textId="08D59FED"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119,0</w:t>
            </w:r>
          </w:p>
        </w:tc>
        <w:tc>
          <w:tcPr>
            <w:tcW w:w="993" w:type="dxa"/>
            <w:tcBorders>
              <w:top w:val="nil"/>
              <w:left w:val="nil"/>
              <w:bottom w:val="nil"/>
              <w:right w:val="nil"/>
            </w:tcBorders>
            <w:shd w:val="clear" w:color="auto" w:fill="auto"/>
          </w:tcPr>
          <w:p w14:paraId="00343BFC" w14:textId="69E536F8"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1,8</w:t>
            </w:r>
          </w:p>
        </w:tc>
        <w:tc>
          <w:tcPr>
            <w:tcW w:w="1032" w:type="dxa"/>
            <w:tcBorders>
              <w:top w:val="nil"/>
              <w:left w:val="nil"/>
              <w:bottom w:val="nil"/>
              <w:right w:val="nil"/>
            </w:tcBorders>
            <w:shd w:val="clear" w:color="auto" w:fill="auto"/>
          </w:tcPr>
          <w:p w14:paraId="6EEDE2F3" w14:textId="15A525D2"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27,3</w:t>
            </w:r>
          </w:p>
        </w:tc>
        <w:tc>
          <w:tcPr>
            <w:tcW w:w="992" w:type="dxa"/>
            <w:tcBorders>
              <w:top w:val="nil"/>
              <w:left w:val="nil"/>
              <w:bottom w:val="nil"/>
              <w:right w:val="nil"/>
            </w:tcBorders>
            <w:shd w:val="clear" w:color="auto" w:fill="auto"/>
          </w:tcPr>
          <w:p w14:paraId="37286B28" w14:textId="0F05D7B5"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134,2</w:t>
            </w:r>
          </w:p>
        </w:tc>
        <w:tc>
          <w:tcPr>
            <w:tcW w:w="992" w:type="dxa"/>
            <w:tcBorders>
              <w:top w:val="nil"/>
              <w:left w:val="nil"/>
              <w:bottom w:val="nil"/>
              <w:right w:val="nil"/>
            </w:tcBorders>
            <w:shd w:val="clear" w:color="auto" w:fill="auto"/>
          </w:tcPr>
          <w:p w14:paraId="24A3AE88" w14:textId="646FB347"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2,3</w:t>
            </w:r>
          </w:p>
        </w:tc>
        <w:tc>
          <w:tcPr>
            <w:tcW w:w="851" w:type="dxa"/>
            <w:tcBorders>
              <w:top w:val="nil"/>
              <w:left w:val="nil"/>
              <w:bottom w:val="nil"/>
              <w:right w:val="nil"/>
            </w:tcBorders>
            <w:shd w:val="clear" w:color="auto" w:fill="auto"/>
          </w:tcPr>
          <w:p w14:paraId="366B5872" w14:textId="5365DADD" w:rsidR="00191645" w:rsidRPr="007E770D" w:rsidRDefault="00191645" w:rsidP="00191645">
            <w:pPr>
              <w:pStyle w:val="Footer"/>
              <w:ind w:right="170"/>
              <w:jc w:val="right"/>
              <w:rPr>
                <w:rFonts w:cstheme="minorHAnsi"/>
                <w:color w:val="auto"/>
                <w:sz w:val="14"/>
                <w:szCs w:val="14"/>
                <w:lang w:val="sr-Cyrl-CS"/>
              </w:rPr>
            </w:pPr>
            <w:r w:rsidRPr="007E770D">
              <w:rPr>
                <w:color w:val="auto"/>
                <w:sz w:val="14"/>
                <w:szCs w:val="14"/>
                <w:lang w:val="sr-Cyrl-CS"/>
              </w:rPr>
              <w:t>127,8</w:t>
            </w:r>
          </w:p>
        </w:tc>
        <w:tc>
          <w:tcPr>
            <w:tcW w:w="1000" w:type="dxa"/>
            <w:tcBorders>
              <w:top w:val="nil"/>
              <w:left w:val="nil"/>
              <w:bottom w:val="nil"/>
              <w:right w:val="nil"/>
            </w:tcBorders>
            <w:shd w:val="clear" w:color="auto" w:fill="auto"/>
          </w:tcPr>
          <w:p w14:paraId="4F2CDA5D" w14:textId="1EFDB0A1"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0,9</w:t>
            </w:r>
          </w:p>
        </w:tc>
        <w:tc>
          <w:tcPr>
            <w:tcW w:w="943" w:type="dxa"/>
            <w:tcBorders>
              <w:top w:val="nil"/>
              <w:left w:val="nil"/>
              <w:bottom w:val="nil"/>
              <w:right w:val="nil"/>
            </w:tcBorders>
            <w:shd w:val="clear" w:color="auto" w:fill="auto"/>
          </w:tcPr>
          <w:p w14:paraId="06C21088" w14:textId="6137130E"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3,2</w:t>
            </w:r>
          </w:p>
        </w:tc>
      </w:tr>
      <w:tr w:rsidR="007E770D" w:rsidRPr="007E770D" w14:paraId="617B9501" w14:textId="77777777" w:rsidTr="00E4657F">
        <w:trPr>
          <w:jc w:val="center"/>
        </w:trPr>
        <w:tc>
          <w:tcPr>
            <w:tcW w:w="2512" w:type="dxa"/>
            <w:vAlign w:val="bottom"/>
          </w:tcPr>
          <w:p w14:paraId="6605A4FE"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 xml:space="preserve">        Отплата камата</w:t>
            </w:r>
          </w:p>
        </w:tc>
        <w:tc>
          <w:tcPr>
            <w:tcW w:w="1169" w:type="dxa"/>
            <w:tcBorders>
              <w:top w:val="nil"/>
              <w:left w:val="nil"/>
              <w:bottom w:val="nil"/>
              <w:right w:val="nil"/>
            </w:tcBorders>
            <w:shd w:val="clear" w:color="auto" w:fill="auto"/>
          </w:tcPr>
          <w:p w14:paraId="01978E4D" w14:textId="516D6F2A"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113,6</w:t>
            </w:r>
          </w:p>
        </w:tc>
        <w:tc>
          <w:tcPr>
            <w:tcW w:w="1701" w:type="dxa"/>
            <w:tcBorders>
              <w:top w:val="nil"/>
              <w:left w:val="nil"/>
              <w:bottom w:val="nil"/>
              <w:right w:val="nil"/>
            </w:tcBorders>
            <w:shd w:val="clear" w:color="auto" w:fill="auto"/>
          </w:tcPr>
          <w:p w14:paraId="2E3AD446" w14:textId="5710FE55"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111,4</w:t>
            </w:r>
          </w:p>
        </w:tc>
        <w:tc>
          <w:tcPr>
            <w:tcW w:w="992" w:type="dxa"/>
            <w:tcBorders>
              <w:top w:val="nil"/>
              <w:left w:val="nil"/>
              <w:bottom w:val="nil"/>
              <w:right w:val="nil"/>
            </w:tcBorders>
            <w:shd w:val="clear" w:color="auto" w:fill="auto"/>
          </w:tcPr>
          <w:p w14:paraId="21EE5308" w14:textId="2DF09E57"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2,1</w:t>
            </w:r>
          </w:p>
        </w:tc>
        <w:tc>
          <w:tcPr>
            <w:tcW w:w="992" w:type="dxa"/>
            <w:tcBorders>
              <w:top w:val="nil"/>
              <w:left w:val="nil"/>
              <w:bottom w:val="nil"/>
              <w:right w:val="nil"/>
            </w:tcBorders>
            <w:shd w:val="clear" w:color="auto" w:fill="auto"/>
          </w:tcPr>
          <w:p w14:paraId="4EF41177" w14:textId="5FCFD9DE"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1,9</w:t>
            </w:r>
          </w:p>
        </w:tc>
        <w:tc>
          <w:tcPr>
            <w:tcW w:w="993" w:type="dxa"/>
            <w:tcBorders>
              <w:top w:val="nil"/>
              <w:left w:val="nil"/>
              <w:bottom w:val="nil"/>
              <w:right w:val="nil"/>
            </w:tcBorders>
            <w:shd w:val="clear" w:color="auto" w:fill="auto"/>
          </w:tcPr>
          <w:p w14:paraId="044EE33B" w14:textId="67D1EA0C"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0,2</w:t>
            </w:r>
          </w:p>
        </w:tc>
        <w:tc>
          <w:tcPr>
            <w:tcW w:w="1032" w:type="dxa"/>
            <w:tcBorders>
              <w:top w:val="nil"/>
              <w:left w:val="nil"/>
              <w:bottom w:val="nil"/>
              <w:right w:val="nil"/>
            </w:tcBorders>
            <w:shd w:val="clear" w:color="auto" w:fill="auto"/>
          </w:tcPr>
          <w:p w14:paraId="616FF3E5" w14:textId="34BF2319"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0,1</w:t>
            </w:r>
          </w:p>
        </w:tc>
        <w:tc>
          <w:tcPr>
            <w:tcW w:w="992" w:type="dxa"/>
            <w:tcBorders>
              <w:top w:val="nil"/>
              <w:left w:val="nil"/>
              <w:bottom w:val="nil"/>
              <w:right w:val="nil"/>
            </w:tcBorders>
            <w:shd w:val="clear" w:color="auto" w:fill="auto"/>
          </w:tcPr>
          <w:p w14:paraId="1EEC9181" w14:textId="0A1B6923"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0,0</w:t>
            </w:r>
          </w:p>
        </w:tc>
        <w:tc>
          <w:tcPr>
            <w:tcW w:w="992" w:type="dxa"/>
            <w:tcBorders>
              <w:top w:val="nil"/>
              <w:left w:val="nil"/>
              <w:bottom w:val="nil"/>
              <w:right w:val="nil"/>
            </w:tcBorders>
            <w:shd w:val="clear" w:color="auto" w:fill="auto"/>
          </w:tcPr>
          <w:p w14:paraId="7496B842" w14:textId="77777777" w:rsidR="00191645" w:rsidRPr="007E770D" w:rsidRDefault="00191645" w:rsidP="00191645">
            <w:pPr>
              <w:pStyle w:val="Footer"/>
              <w:ind w:right="227"/>
              <w:jc w:val="right"/>
              <w:rPr>
                <w:rFonts w:cstheme="minorHAnsi"/>
                <w:color w:val="auto"/>
                <w:sz w:val="14"/>
                <w:szCs w:val="14"/>
                <w:lang w:val="sr-Cyrl-CS"/>
              </w:rPr>
            </w:pPr>
          </w:p>
        </w:tc>
        <w:tc>
          <w:tcPr>
            <w:tcW w:w="851" w:type="dxa"/>
            <w:tcBorders>
              <w:top w:val="nil"/>
              <w:left w:val="nil"/>
              <w:bottom w:val="nil"/>
              <w:right w:val="nil"/>
            </w:tcBorders>
            <w:shd w:val="clear" w:color="auto" w:fill="auto"/>
          </w:tcPr>
          <w:p w14:paraId="5527B73C" w14:textId="77777777" w:rsidR="00191645" w:rsidRPr="007E770D" w:rsidRDefault="00191645" w:rsidP="00191645">
            <w:pPr>
              <w:pStyle w:val="Footer"/>
              <w:ind w:right="170"/>
              <w:jc w:val="right"/>
              <w:rPr>
                <w:rFonts w:cstheme="minorHAnsi"/>
                <w:color w:val="auto"/>
                <w:sz w:val="14"/>
                <w:szCs w:val="14"/>
                <w:lang w:val="sr-Cyrl-CS"/>
              </w:rPr>
            </w:pPr>
          </w:p>
        </w:tc>
        <w:tc>
          <w:tcPr>
            <w:tcW w:w="1000" w:type="dxa"/>
            <w:tcBorders>
              <w:top w:val="nil"/>
              <w:left w:val="nil"/>
              <w:bottom w:val="nil"/>
              <w:right w:val="nil"/>
            </w:tcBorders>
            <w:shd w:val="clear" w:color="auto" w:fill="auto"/>
          </w:tcPr>
          <w:p w14:paraId="6FAD4AFE" w14:textId="77777777" w:rsidR="00191645" w:rsidRPr="007E770D" w:rsidRDefault="00191645" w:rsidP="00191645">
            <w:pPr>
              <w:pStyle w:val="Footer"/>
              <w:ind w:right="284"/>
              <w:jc w:val="right"/>
              <w:rPr>
                <w:rFonts w:cstheme="minorHAnsi"/>
                <w:color w:val="auto"/>
                <w:sz w:val="14"/>
                <w:szCs w:val="14"/>
                <w:lang w:val="sr-Cyrl-CS"/>
              </w:rPr>
            </w:pPr>
          </w:p>
        </w:tc>
        <w:tc>
          <w:tcPr>
            <w:tcW w:w="943" w:type="dxa"/>
            <w:tcBorders>
              <w:top w:val="nil"/>
              <w:left w:val="nil"/>
              <w:bottom w:val="nil"/>
              <w:right w:val="nil"/>
            </w:tcBorders>
            <w:shd w:val="clear" w:color="auto" w:fill="auto"/>
          </w:tcPr>
          <w:p w14:paraId="6622D613" w14:textId="77777777" w:rsidR="00191645" w:rsidRPr="007E770D" w:rsidRDefault="00191645" w:rsidP="00191645">
            <w:pPr>
              <w:pStyle w:val="Footer"/>
              <w:ind w:right="284"/>
              <w:jc w:val="right"/>
              <w:rPr>
                <w:rFonts w:cstheme="minorHAnsi"/>
                <w:color w:val="auto"/>
                <w:sz w:val="14"/>
                <w:szCs w:val="14"/>
                <w:lang w:val="sr-Cyrl-CS"/>
              </w:rPr>
            </w:pPr>
          </w:p>
        </w:tc>
      </w:tr>
      <w:tr w:rsidR="007E770D" w:rsidRPr="007E770D" w14:paraId="4A4DAD44" w14:textId="77777777" w:rsidTr="00E4657F">
        <w:trPr>
          <w:jc w:val="center"/>
        </w:trPr>
        <w:tc>
          <w:tcPr>
            <w:tcW w:w="2512" w:type="dxa"/>
            <w:vAlign w:val="bottom"/>
          </w:tcPr>
          <w:p w14:paraId="5D103C1A"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 xml:space="preserve">        Субвенције</w:t>
            </w:r>
          </w:p>
        </w:tc>
        <w:tc>
          <w:tcPr>
            <w:tcW w:w="1169" w:type="dxa"/>
            <w:tcBorders>
              <w:top w:val="nil"/>
              <w:left w:val="nil"/>
              <w:bottom w:val="nil"/>
              <w:right w:val="nil"/>
            </w:tcBorders>
            <w:shd w:val="clear" w:color="auto" w:fill="auto"/>
          </w:tcPr>
          <w:p w14:paraId="52DE8B22" w14:textId="1B1CE0AB"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114,2</w:t>
            </w:r>
          </w:p>
        </w:tc>
        <w:tc>
          <w:tcPr>
            <w:tcW w:w="1701" w:type="dxa"/>
            <w:tcBorders>
              <w:top w:val="nil"/>
              <w:left w:val="nil"/>
              <w:bottom w:val="nil"/>
              <w:right w:val="nil"/>
            </w:tcBorders>
            <w:shd w:val="clear" w:color="auto" w:fill="auto"/>
          </w:tcPr>
          <w:p w14:paraId="3E8C8173" w14:textId="65C3AB5A"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87,5</w:t>
            </w:r>
          </w:p>
        </w:tc>
        <w:tc>
          <w:tcPr>
            <w:tcW w:w="992" w:type="dxa"/>
            <w:tcBorders>
              <w:top w:val="nil"/>
              <w:left w:val="nil"/>
              <w:bottom w:val="nil"/>
              <w:right w:val="nil"/>
            </w:tcBorders>
            <w:shd w:val="clear" w:color="auto" w:fill="auto"/>
          </w:tcPr>
          <w:p w14:paraId="2F4EFA69" w14:textId="510B6FC3"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26,7</w:t>
            </w:r>
          </w:p>
        </w:tc>
        <w:tc>
          <w:tcPr>
            <w:tcW w:w="992" w:type="dxa"/>
            <w:tcBorders>
              <w:top w:val="nil"/>
              <w:left w:val="nil"/>
              <w:bottom w:val="nil"/>
              <w:right w:val="nil"/>
            </w:tcBorders>
            <w:shd w:val="clear" w:color="auto" w:fill="auto"/>
          </w:tcPr>
          <w:p w14:paraId="03E95BA0" w14:textId="1F21F231"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18,7</w:t>
            </w:r>
          </w:p>
        </w:tc>
        <w:tc>
          <w:tcPr>
            <w:tcW w:w="993" w:type="dxa"/>
            <w:tcBorders>
              <w:top w:val="nil"/>
              <w:left w:val="nil"/>
              <w:bottom w:val="nil"/>
              <w:right w:val="nil"/>
            </w:tcBorders>
            <w:shd w:val="clear" w:color="auto" w:fill="auto"/>
          </w:tcPr>
          <w:p w14:paraId="2A6CB58F" w14:textId="7C469FF5"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8,0</w:t>
            </w:r>
          </w:p>
        </w:tc>
        <w:tc>
          <w:tcPr>
            <w:tcW w:w="1032" w:type="dxa"/>
            <w:tcBorders>
              <w:top w:val="nil"/>
              <w:left w:val="nil"/>
              <w:bottom w:val="nil"/>
              <w:right w:val="nil"/>
            </w:tcBorders>
            <w:shd w:val="clear" w:color="auto" w:fill="auto"/>
          </w:tcPr>
          <w:p w14:paraId="277DFDC7" w14:textId="77777777"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277D7211" w14:textId="77777777"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128DC78D" w14:textId="77777777" w:rsidR="00191645" w:rsidRPr="007E770D" w:rsidRDefault="00191645" w:rsidP="00191645">
            <w:pPr>
              <w:pStyle w:val="Footer"/>
              <w:ind w:right="227"/>
              <w:jc w:val="right"/>
              <w:rPr>
                <w:rFonts w:cstheme="minorHAnsi"/>
                <w:color w:val="auto"/>
                <w:sz w:val="14"/>
                <w:szCs w:val="14"/>
                <w:lang w:val="sr-Cyrl-CS"/>
              </w:rPr>
            </w:pPr>
          </w:p>
        </w:tc>
        <w:tc>
          <w:tcPr>
            <w:tcW w:w="851" w:type="dxa"/>
            <w:tcBorders>
              <w:top w:val="nil"/>
              <w:left w:val="nil"/>
              <w:bottom w:val="nil"/>
              <w:right w:val="nil"/>
            </w:tcBorders>
            <w:shd w:val="clear" w:color="auto" w:fill="auto"/>
          </w:tcPr>
          <w:p w14:paraId="642D29BD" w14:textId="77777777" w:rsidR="00191645" w:rsidRPr="007E770D" w:rsidRDefault="00191645" w:rsidP="00191645">
            <w:pPr>
              <w:pStyle w:val="Footer"/>
              <w:ind w:right="170"/>
              <w:jc w:val="right"/>
              <w:rPr>
                <w:rFonts w:cstheme="minorHAnsi"/>
                <w:color w:val="auto"/>
                <w:sz w:val="14"/>
                <w:szCs w:val="14"/>
                <w:lang w:val="sr-Cyrl-CS"/>
              </w:rPr>
            </w:pPr>
          </w:p>
        </w:tc>
        <w:tc>
          <w:tcPr>
            <w:tcW w:w="1000" w:type="dxa"/>
            <w:tcBorders>
              <w:top w:val="nil"/>
              <w:left w:val="nil"/>
              <w:bottom w:val="nil"/>
              <w:right w:val="nil"/>
            </w:tcBorders>
            <w:shd w:val="clear" w:color="auto" w:fill="auto"/>
          </w:tcPr>
          <w:p w14:paraId="33A7165F" w14:textId="77777777" w:rsidR="00191645" w:rsidRPr="007E770D" w:rsidRDefault="00191645" w:rsidP="00191645">
            <w:pPr>
              <w:pStyle w:val="Footer"/>
              <w:ind w:right="284"/>
              <w:jc w:val="right"/>
              <w:rPr>
                <w:rFonts w:cstheme="minorHAnsi"/>
                <w:color w:val="auto"/>
                <w:sz w:val="14"/>
                <w:szCs w:val="14"/>
                <w:lang w:val="sr-Cyrl-CS"/>
              </w:rPr>
            </w:pPr>
          </w:p>
        </w:tc>
        <w:tc>
          <w:tcPr>
            <w:tcW w:w="943" w:type="dxa"/>
            <w:tcBorders>
              <w:top w:val="nil"/>
              <w:left w:val="nil"/>
              <w:bottom w:val="nil"/>
              <w:right w:val="nil"/>
            </w:tcBorders>
            <w:shd w:val="clear" w:color="auto" w:fill="auto"/>
          </w:tcPr>
          <w:p w14:paraId="2C1204C4" w14:textId="77777777" w:rsidR="00191645" w:rsidRPr="007E770D" w:rsidRDefault="00191645" w:rsidP="00191645">
            <w:pPr>
              <w:pStyle w:val="Footer"/>
              <w:ind w:right="284"/>
              <w:jc w:val="right"/>
              <w:rPr>
                <w:rFonts w:cstheme="minorHAnsi"/>
                <w:color w:val="auto"/>
                <w:sz w:val="14"/>
                <w:szCs w:val="14"/>
                <w:lang w:val="sr-Cyrl-CS"/>
              </w:rPr>
            </w:pPr>
          </w:p>
        </w:tc>
      </w:tr>
      <w:tr w:rsidR="007E770D" w:rsidRPr="007E770D" w14:paraId="4CF1B33B" w14:textId="77777777" w:rsidTr="00E4657F">
        <w:trPr>
          <w:jc w:val="center"/>
        </w:trPr>
        <w:tc>
          <w:tcPr>
            <w:tcW w:w="2512" w:type="dxa"/>
            <w:vAlign w:val="bottom"/>
          </w:tcPr>
          <w:p w14:paraId="20FCF048"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 xml:space="preserve">        Социјална помоћ и трансфери</w:t>
            </w:r>
          </w:p>
        </w:tc>
        <w:tc>
          <w:tcPr>
            <w:tcW w:w="1169" w:type="dxa"/>
            <w:tcBorders>
              <w:top w:val="nil"/>
              <w:left w:val="nil"/>
              <w:bottom w:val="nil"/>
              <w:right w:val="nil"/>
            </w:tcBorders>
            <w:shd w:val="clear" w:color="auto" w:fill="auto"/>
          </w:tcPr>
          <w:p w14:paraId="229AC72F" w14:textId="36D90158"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824,8</w:t>
            </w:r>
          </w:p>
        </w:tc>
        <w:tc>
          <w:tcPr>
            <w:tcW w:w="1701" w:type="dxa"/>
            <w:tcBorders>
              <w:top w:val="nil"/>
              <w:left w:val="nil"/>
              <w:bottom w:val="nil"/>
              <w:right w:val="nil"/>
            </w:tcBorders>
            <w:shd w:val="clear" w:color="auto" w:fill="auto"/>
          </w:tcPr>
          <w:p w14:paraId="26D8256D" w14:textId="552D0F58"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124,5</w:t>
            </w:r>
          </w:p>
        </w:tc>
        <w:tc>
          <w:tcPr>
            <w:tcW w:w="992" w:type="dxa"/>
            <w:tcBorders>
              <w:top w:val="nil"/>
              <w:left w:val="nil"/>
              <w:bottom w:val="nil"/>
              <w:right w:val="nil"/>
            </w:tcBorders>
            <w:shd w:val="clear" w:color="auto" w:fill="auto"/>
          </w:tcPr>
          <w:p w14:paraId="4D2087C9" w14:textId="2A619538"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52,4</w:t>
            </w:r>
          </w:p>
        </w:tc>
        <w:tc>
          <w:tcPr>
            <w:tcW w:w="992" w:type="dxa"/>
            <w:tcBorders>
              <w:top w:val="nil"/>
              <w:left w:val="nil"/>
              <w:bottom w:val="nil"/>
              <w:right w:val="nil"/>
            </w:tcBorders>
            <w:shd w:val="clear" w:color="auto" w:fill="auto"/>
          </w:tcPr>
          <w:p w14:paraId="740604E8" w14:textId="1602FB39"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51,7</w:t>
            </w:r>
          </w:p>
        </w:tc>
        <w:tc>
          <w:tcPr>
            <w:tcW w:w="993" w:type="dxa"/>
            <w:tcBorders>
              <w:top w:val="nil"/>
              <w:left w:val="nil"/>
              <w:bottom w:val="nil"/>
              <w:right w:val="nil"/>
            </w:tcBorders>
            <w:shd w:val="clear" w:color="auto" w:fill="auto"/>
          </w:tcPr>
          <w:p w14:paraId="25F71EC9" w14:textId="5AF8A67C"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0,7</w:t>
            </w:r>
          </w:p>
        </w:tc>
        <w:tc>
          <w:tcPr>
            <w:tcW w:w="1032" w:type="dxa"/>
            <w:tcBorders>
              <w:top w:val="nil"/>
              <w:left w:val="nil"/>
              <w:bottom w:val="nil"/>
              <w:right w:val="nil"/>
            </w:tcBorders>
            <w:shd w:val="clear" w:color="auto" w:fill="auto"/>
          </w:tcPr>
          <w:p w14:paraId="1464CB15" w14:textId="77777777"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79CF91BC" w14:textId="7B820D71"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648,0</w:t>
            </w:r>
          </w:p>
        </w:tc>
        <w:tc>
          <w:tcPr>
            <w:tcW w:w="992" w:type="dxa"/>
            <w:tcBorders>
              <w:top w:val="nil"/>
              <w:left w:val="nil"/>
              <w:bottom w:val="nil"/>
              <w:right w:val="nil"/>
            </w:tcBorders>
            <w:shd w:val="clear" w:color="auto" w:fill="auto"/>
          </w:tcPr>
          <w:p w14:paraId="2B16C07A" w14:textId="1500648E"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619,0</w:t>
            </w:r>
          </w:p>
        </w:tc>
        <w:tc>
          <w:tcPr>
            <w:tcW w:w="851" w:type="dxa"/>
            <w:tcBorders>
              <w:top w:val="nil"/>
              <w:left w:val="nil"/>
              <w:bottom w:val="nil"/>
              <w:right w:val="nil"/>
            </w:tcBorders>
            <w:shd w:val="clear" w:color="auto" w:fill="auto"/>
          </w:tcPr>
          <w:p w14:paraId="22E2C072" w14:textId="6586C214" w:rsidR="00191645" w:rsidRPr="007E770D" w:rsidRDefault="00191645" w:rsidP="00191645">
            <w:pPr>
              <w:pStyle w:val="Footer"/>
              <w:ind w:right="170"/>
              <w:jc w:val="right"/>
              <w:rPr>
                <w:rFonts w:cstheme="minorHAnsi"/>
                <w:color w:val="auto"/>
                <w:sz w:val="14"/>
                <w:szCs w:val="14"/>
                <w:lang w:val="sr-Cyrl-CS"/>
              </w:rPr>
            </w:pPr>
            <w:r w:rsidRPr="007E770D">
              <w:rPr>
                <w:color w:val="auto"/>
                <w:sz w:val="14"/>
                <w:szCs w:val="14"/>
                <w:lang w:val="sr-Cyrl-CS"/>
              </w:rPr>
              <w:t>11,6</w:t>
            </w:r>
          </w:p>
        </w:tc>
        <w:tc>
          <w:tcPr>
            <w:tcW w:w="1000" w:type="dxa"/>
            <w:tcBorders>
              <w:top w:val="nil"/>
              <w:left w:val="nil"/>
              <w:bottom w:val="nil"/>
              <w:right w:val="nil"/>
            </w:tcBorders>
            <w:shd w:val="clear" w:color="auto" w:fill="auto"/>
          </w:tcPr>
          <w:p w14:paraId="6FFD8AC3" w14:textId="3C19A418"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15,2</w:t>
            </w:r>
          </w:p>
        </w:tc>
        <w:tc>
          <w:tcPr>
            <w:tcW w:w="943" w:type="dxa"/>
            <w:tcBorders>
              <w:top w:val="nil"/>
              <w:left w:val="nil"/>
              <w:bottom w:val="nil"/>
              <w:right w:val="nil"/>
            </w:tcBorders>
            <w:shd w:val="clear" w:color="auto" w:fill="auto"/>
          </w:tcPr>
          <w:p w14:paraId="6CC14144" w14:textId="5954C39B"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2,2</w:t>
            </w:r>
          </w:p>
        </w:tc>
      </w:tr>
      <w:tr w:rsidR="007E770D" w:rsidRPr="007E770D" w14:paraId="05353A1C" w14:textId="77777777" w:rsidTr="00E4657F">
        <w:trPr>
          <w:jc w:val="center"/>
        </w:trPr>
        <w:tc>
          <w:tcPr>
            <w:tcW w:w="2512" w:type="dxa"/>
            <w:vAlign w:val="bottom"/>
          </w:tcPr>
          <w:p w14:paraId="6F75BD11"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i/>
                <w:iCs/>
                <w:color w:val="auto"/>
                <w:sz w:val="14"/>
                <w:szCs w:val="16"/>
                <w:lang w:val="sr-Cyrl-CS"/>
              </w:rPr>
              <w:t xml:space="preserve">             oд чега пензије</w:t>
            </w:r>
          </w:p>
        </w:tc>
        <w:tc>
          <w:tcPr>
            <w:tcW w:w="1169" w:type="dxa"/>
            <w:tcBorders>
              <w:top w:val="nil"/>
              <w:left w:val="nil"/>
              <w:bottom w:val="nil"/>
              <w:right w:val="nil"/>
            </w:tcBorders>
            <w:shd w:val="clear" w:color="auto" w:fill="auto"/>
          </w:tcPr>
          <w:p w14:paraId="12E31ED4" w14:textId="0819D1ED"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594,2</w:t>
            </w:r>
          </w:p>
        </w:tc>
        <w:tc>
          <w:tcPr>
            <w:tcW w:w="1701" w:type="dxa"/>
            <w:tcBorders>
              <w:top w:val="nil"/>
              <w:left w:val="nil"/>
              <w:bottom w:val="nil"/>
              <w:right w:val="nil"/>
            </w:tcBorders>
            <w:shd w:val="clear" w:color="auto" w:fill="auto"/>
          </w:tcPr>
          <w:p w14:paraId="2E2262FD" w14:textId="7FC19D4B"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0,0</w:t>
            </w:r>
          </w:p>
        </w:tc>
        <w:tc>
          <w:tcPr>
            <w:tcW w:w="992" w:type="dxa"/>
            <w:tcBorders>
              <w:top w:val="nil"/>
              <w:left w:val="nil"/>
              <w:bottom w:val="nil"/>
              <w:right w:val="nil"/>
            </w:tcBorders>
            <w:shd w:val="clear" w:color="auto" w:fill="auto"/>
          </w:tcPr>
          <w:p w14:paraId="783C51AF" w14:textId="6E3B0348"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0,0</w:t>
            </w:r>
          </w:p>
        </w:tc>
        <w:tc>
          <w:tcPr>
            <w:tcW w:w="992" w:type="dxa"/>
            <w:tcBorders>
              <w:top w:val="nil"/>
              <w:left w:val="nil"/>
              <w:bottom w:val="nil"/>
              <w:right w:val="nil"/>
            </w:tcBorders>
            <w:shd w:val="clear" w:color="auto" w:fill="auto"/>
          </w:tcPr>
          <w:p w14:paraId="3D16953E" w14:textId="77777777" w:rsidR="00191645" w:rsidRPr="007E770D" w:rsidRDefault="00191645" w:rsidP="00191645">
            <w:pPr>
              <w:pStyle w:val="Footer"/>
              <w:ind w:right="227"/>
              <w:jc w:val="right"/>
              <w:rPr>
                <w:rFonts w:cstheme="minorHAnsi"/>
                <w:color w:val="auto"/>
                <w:sz w:val="14"/>
                <w:szCs w:val="14"/>
                <w:lang w:val="sr-Cyrl-CS"/>
              </w:rPr>
            </w:pPr>
          </w:p>
        </w:tc>
        <w:tc>
          <w:tcPr>
            <w:tcW w:w="993" w:type="dxa"/>
            <w:tcBorders>
              <w:top w:val="nil"/>
              <w:left w:val="nil"/>
              <w:bottom w:val="nil"/>
              <w:right w:val="nil"/>
            </w:tcBorders>
            <w:shd w:val="clear" w:color="auto" w:fill="auto"/>
          </w:tcPr>
          <w:p w14:paraId="2668504E" w14:textId="77777777" w:rsidR="00191645" w:rsidRPr="007E770D" w:rsidRDefault="00191645" w:rsidP="00191645">
            <w:pPr>
              <w:pStyle w:val="Footer"/>
              <w:ind w:right="227"/>
              <w:jc w:val="right"/>
              <w:rPr>
                <w:rFonts w:cstheme="minorHAnsi"/>
                <w:color w:val="auto"/>
                <w:sz w:val="14"/>
                <w:szCs w:val="14"/>
                <w:lang w:val="sr-Cyrl-CS"/>
              </w:rPr>
            </w:pPr>
          </w:p>
        </w:tc>
        <w:tc>
          <w:tcPr>
            <w:tcW w:w="1032" w:type="dxa"/>
            <w:tcBorders>
              <w:top w:val="nil"/>
              <w:left w:val="nil"/>
              <w:bottom w:val="nil"/>
              <w:right w:val="nil"/>
            </w:tcBorders>
            <w:shd w:val="clear" w:color="auto" w:fill="auto"/>
          </w:tcPr>
          <w:p w14:paraId="0ADD7F94" w14:textId="77777777"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6E740FED" w14:textId="531111B8"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594,2</w:t>
            </w:r>
          </w:p>
        </w:tc>
        <w:tc>
          <w:tcPr>
            <w:tcW w:w="992" w:type="dxa"/>
            <w:tcBorders>
              <w:top w:val="nil"/>
              <w:left w:val="nil"/>
              <w:bottom w:val="nil"/>
              <w:right w:val="nil"/>
            </w:tcBorders>
            <w:shd w:val="clear" w:color="auto" w:fill="auto"/>
          </w:tcPr>
          <w:p w14:paraId="7593FC04" w14:textId="7CC59E3B"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594,2</w:t>
            </w:r>
          </w:p>
        </w:tc>
        <w:tc>
          <w:tcPr>
            <w:tcW w:w="851" w:type="dxa"/>
            <w:tcBorders>
              <w:top w:val="nil"/>
              <w:left w:val="nil"/>
              <w:bottom w:val="nil"/>
              <w:right w:val="nil"/>
            </w:tcBorders>
            <w:shd w:val="clear" w:color="auto" w:fill="auto"/>
          </w:tcPr>
          <w:p w14:paraId="49382EA6" w14:textId="77777777" w:rsidR="00191645" w:rsidRPr="007E770D" w:rsidRDefault="00191645" w:rsidP="00191645">
            <w:pPr>
              <w:pStyle w:val="Footer"/>
              <w:ind w:right="170"/>
              <w:jc w:val="right"/>
              <w:rPr>
                <w:rFonts w:cstheme="minorHAnsi"/>
                <w:color w:val="auto"/>
                <w:sz w:val="14"/>
                <w:szCs w:val="14"/>
                <w:lang w:val="sr-Cyrl-CS"/>
              </w:rPr>
            </w:pPr>
          </w:p>
        </w:tc>
        <w:tc>
          <w:tcPr>
            <w:tcW w:w="1000" w:type="dxa"/>
            <w:tcBorders>
              <w:top w:val="nil"/>
              <w:left w:val="nil"/>
              <w:bottom w:val="nil"/>
              <w:right w:val="nil"/>
            </w:tcBorders>
            <w:shd w:val="clear" w:color="auto" w:fill="auto"/>
          </w:tcPr>
          <w:p w14:paraId="0B626043" w14:textId="77777777" w:rsidR="00191645" w:rsidRPr="007E770D" w:rsidRDefault="00191645" w:rsidP="00191645">
            <w:pPr>
              <w:pStyle w:val="Footer"/>
              <w:ind w:right="284"/>
              <w:jc w:val="right"/>
              <w:rPr>
                <w:rFonts w:cstheme="minorHAnsi"/>
                <w:color w:val="auto"/>
                <w:sz w:val="14"/>
                <w:szCs w:val="14"/>
                <w:lang w:val="sr-Cyrl-CS"/>
              </w:rPr>
            </w:pPr>
          </w:p>
        </w:tc>
        <w:tc>
          <w:tcPr>
            <w:tcW w:w="943" w:type="dxa"/>
            <w:tcBorders>
              <w:top w:val="nil"/>
              <w:left w:val="nil"/>
              <w:bottom w:val="nil"/>
              <w:right w:val="nil"/>
            </w:tcBorders>
            <w:shd w:val="clear" w:color="auto" w:fill="auto"/>
          </w:tcPr>
          <w:p w14:paraId="5813A887" w14:textId="77777777" w:rsidR="00191645" w:rsidRPr="007E770D" w:rsidRDefault="00191645" w:rsidP="00191645">
            <w:pPr>
              <w:pStyle w:val="Footer"/>
              <w:ind w:right="284"/>
              <w:jc w:val="right"/>
              <w:rPr>
                <w:rFonts w:cstheme="minorHAnsi"/>
                <w:color w:val="auto"/>
                <w:sz w:val="14"/>
                <w:szCs w:val="14"/>
                <w:lang w:val="sr-Cyrl-CS"/>
              </w:rPr>
            </w:pPr>
          </w:p>
        </w:tc>
      </w:tr>
      <w:tr w:rsidR="007E770D" w:rsidRPr="007E770D" w14:paraId="14FCACBB" w14:textId="77777777" w:rsidTr="00E4657F">
        <w:trPr>
          <w:jc w:val="center"/>
        </w:trPr>
        <w:tc>
          <w:tcPr>
            <w:tcW w:w="2512" w:type="dxa"/>
            <w:vAlign w:val="bottom"/>
          </w:tcPr>
          <w:p w14:paraId="6602E956"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 xml:space="preserve">        Остали текући расходи</w:t>
            </w:r>
          </w:p>
        </w:tc>
        <w:tc>
          <w:tcPr>
            <w:tcW w:w="1169" w:type="dxa"/>
            <w:tcBorders>
              <w:top w:val="nil"/>
              <w:left w:val="nil"/>
              <w:bottom w:val="nil"/>
              <w:right w:val="nil"/>
            </w:tcBorders>
            <w:shd w:val="clear" w:color="auto" w:fill="auto"/>
          </w:tcPr>
          <w:p w14:paraId="18BE65AE" w14:textId="6D495958"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87,8</w:t>
            </w:r>
          </w:p>
        </w:tc>
        <w:tc>
          <w:tcPr>
            <w:tcW w:w="1701" w:type="dxa"/>
            <w:tcBorders>
              <w:top w:val="nil"/>
              <w:left w:val="nil"/>
              <w:bottom w:val="nil"/>
              <w:right w:val="nil"/>
            </w:tcBorders>
            <w:shd w:val="clear" w:color="auto" w:fill="auto"/>
          </w:tcPr>
          <w:p w14:paraId="5B4F8B17" w14:textId="30147C90"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60,4</w:t>
            </w:r>
          </w:p>
        </w:tc>
        <w:tc>
          <w:tcPr>
            <w:tcW w:w="992" w:type="dxa"/>
            <w:tcBorders>
              <w:top w:val="nil"/>
              <w:left w:val="nil"/>
              <w:bottom w:val="nil"/>
              <w:right w:val="nil"/>
            </w:tcBorders>
            <w:shd w:val="clear" w:color="auto" w:fill="auto"/>
          </w:tcPr>
          <w:p w14:paraId="1597EB1E" w14:textId="73064451"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22,3</w:t>
            </w:r>
          </w:p>
        </w:tc>
        <w:tc>
          <w:tcPr>
            <w:tcW w:w="992" w:type="dxa"/>
            <w:tcBorders>
              <w:top w:val="nil"/>
              <w:left w:val="nil"/>
              <w:bottom w:val="nil"/>
              <w:right w:val="nil"/>
            </w:tcBorders>
            <w:shd w:val="clear" w:color="auto" w:fill="auto"/>
          </w:tcPr>
          <w:p w14:paraId="002397BF" w14:textId="585C06E5"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15,1</w:t>
            </w:r>
          </w:p>
        </w:tc>
        <w:tc>
          <w:tcPr>
            <w:tcW w:w="993" w:type="dxa"/>
            <w:tcBorders>
              <w:top w:val="nil"/>
              <w:left w:val="nil"/>
              <w:bottom w:val="nil"/>
              <w:right w:val="nil"/>
            </w:tcBorders>
            <w:shd w:val="clear" w:color="auto" w:fill="auto"/>
          </w:tcPr>
          <w:p w14:paraId="7081368D" w14:textId="485AE165"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7,2</w:t>
            </w:r>
          </w:p>
        </w:tc>
        <w:tc>
          <w:tcPr>
            <w:tcW w:w="1032" w:type="dxa"/>
            <w:tcBorders>
              <w:top w:val="nil"/>
              <w:left w:val="nil"/>
              <w:bottom w:val="nil"/>
              <w:right w:val="nil"/>
            </w:tcBorders>
            <w:shd w:val="clear" w:color="auto" w:fill="auto"/>
          </w:tcPr>
          <w:p w14:paraId="2816B9F5" w14:textId="6198CEAC"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2,0</w:t>
            </w:r>
          </w:p>
        </w:tc>
        <w:tc>
          <w:tcPr>
            <w:tcW w:w="992" w:type="dxa"/>
            <w:tcBorders>
              <w:top w:val="nil"/>
              <w:left w:val="nil"/>
              <w:bottom w:val="nil"/>
              <w:right w:val="nil"/>
            </w:tcBorders>
            <w:shd w:val="clear" w:color="auto" w:fill="auto"/>
          </w:tcPr>
          <w:p w14:paraId="0AE8C21A" w14:textId="59A020EA"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3,2</w:t>
            </w:r>
          </w:p>
        </w:tc>
        <w:tc>
          <w:tcPr>
            <w:tcW w:w="992" w:type="dxa"/>
            <w:tcBorders>
              <w:top w:val="nil"/>
              <w:left w:val="nil"/>
              <w:bottom w:val="nil"/>
              <w:right w:val="nil"/>
            </w:tcBorders>
            <w:shd w:val="clear" w:color="auto" w:fill="auto"/>
          </w:tcPr>
          <w:p w14:paraId="1E6B079C" w14:textId="107943B0"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1,1</w:t>
            </w:r>
          </w:p>
        </w:tc>
        <w:tc>
          <w:tcPr>
            <w:tcW w:w="851" w:type="dxa"/>
            <w:tcBorders>
              <w:top w:val="nil"/>
              <w:left w:val="nil"/>
              <w:bottom w:val="nil"/>
              <w:right w:val="nil"/>
            </w:tcBorders>
            <w:shd w:val="clear" w:color="auto" w:fill="auto"/>
          </w:tcPr>
          <w:p w14:paraId="0B0FACF0" w14:textId="360CCA5B" w:rsidR="00191645" w:rsidRPr="007E770D" w:rsidRDefault="00191645" w:rsidP="00191645">
            <w:pPr>
              <w:pStyle w:val="Footer"/>
              <w:ind w:right="170"/>
              <w:jc w:val="right"/>
              <w:rPr>
                <w:rFonts w:cstheme="minorHAnsi"/>
                <w:color w:val="auto"/>
                <w:sz w:val="14"/>
                <w:szCs w:val="14"/>
                <w:lang w:val="sr-Cyrl-CS"/>
              </w:rPr>
            </w:pPr>
            <w:r w:rsidRPr="007E770D">
              <w:rPr>
                <w:color w:val="auto"/>
                <w:sz w:val="14"/>
                <w:szCs w:val="14"/>
                <w:lang w:val="sr-Cyrl-CS"/>
              </w:rPr>
              <w:t>1,0</w:t>
            </w:r>
          </w:p>
        </w:tc>
        <w:tc>
          <w:tcPr>
            <w:tcW w:w="1000" w:type="dxa"/>
            <w:tcBorders>
              <w:top w:val="nil"/>
              <w:left w:val="nil"/>
              <w:bottom w:val="nil"/>
              <w:right w:val="nil"/>
            </w:tcBorders>
            <w:shd w:val="clear" w:color="auto" w:fill="auto"/>
          </w:tcPr>
          <w:p w14:paraId="736A2EAE" w14:textId="77ED4009"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1,0</w:t>
            </w:r>
          </w:p>
        </w:tc>
        <w:tc>
          <w:tcPr>
            <w:tcW w:w="943" w:type="dxa"/>
            <w:tcBorders>
              <w:top w:val="nil"/>
              <w:left w:val="nil"/>
              <w:bottom w:val="nil"/>
              <w:right w:val="nil"/>
            </w:tcBorders>
            <w:shd w:val="clear" w:color="auto" w:fill="auto"/>
          </w:tcPr>
          <w:p w14:paraId="4B8DAB97" w14:textId="21CD8BCF"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0,1</w:t>
            </w:r>
          </w:p>
        </w:tc>
      </w:tr>
      <w:tr w:rsidR="007E770D" w:rsidRPr="007E770D" w14:paraId="2708596B" w14:textId="77777777" w:rsidTr="00E4657F">
        <w:trPr>
          <w:jc w:val="center"/>
        </w:trPr>
        <w:tc>
          <w:tcPr>
            <w:tcW w:w="2512" w:type="dxa"/>
            <w:vAlign w:val="bottom"/>
          </w:tcPr>
          <w:p w14:paraId="3C7B327D"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 xml:space="preserve">     Капитални расходи</w:t>
            </w:r>
          </w:p>
        </w:tc>
        <w:tc>
          <w:tcPr>
            <w:tcW w:w="1169" w:type="dxa"/>
            <w:tcBorders>
              <w:top w:val="nil"/>
              <w:left w:val="nil"/>
              <w:bottom w:val="nil"/>
              <w:right w:val="nil"/>
            </w:tcBorders>
            <w:shd w:val="clear" w:color="auto" w:fill="auto"/>
          </w:tcPr>
          <w:p w14:paraId="5D4CB3DC" w14:textId="7AA6A7FC"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260,0</w:t>
            </w:r>
          </w:p>
        </w:tc>
        <w:tc>
          <w:tcPr>
            <w:tcW w:w="1701" w:type="dxa"/>
            <w:tcBorders>
              <w:top w:val="nil"/>
              <w:left w:val="nil"/>
              <w:bottom w:val="nil"/>
              <w:right w:val="nil"/>
            </w:tcBorders>
            <w:shd w:val="clear" w:color="auto" w:fill="auto"/>
          </w:tcPr>
          <w:p w14:paraId="629CDF94" w14:textId="73CD77A3"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195,6</w:t>
            </w:r>
          </w:p>
        </w:tc>
        <w:tc>
          <w:tcPr>
            <w:tcW w:w="992" w:type="dxa"/>
            <w:tcBorders>
              <w:top w:val="nil"/>
              <w:left w:val="nil"/>
              <w:bottom w:val="nil"/>
              <w:right w:val="nil"/>
            </w:tcBorders>
            <w:shd w:val="clear" w:color="auto" w:fill="auto"/>
          </w:tcPr>
          <w:p w14:paraId="373A16BE" w14:textId="690BA57B"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52,7</w:t>
            </w:r>
          </w:p>
        </w:tc>
        <w:tc>
          <w:tcPr>
            <w:tcW w:w="992" w:type="dxa"/>
            <w:tcBorders>
              <w:top w:val="nil"/>
              <w:left w:val="nil"/>
              <w:bottom w:val="nil"/>
              <w:right w:val="nil"/>
            </w:tcBorders>
            <w:shd w:val="clear" w:color="auto" w:fill="auto"/>
          </w:tcPr>
          <w:p w14:paraId="4A875908" w14:textId="4990AAED"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50,1</w:t>
            </w:r>
          </w:p>
        </w:tc>
        <w:tc>
          <w:tcPr>
            <w:tcW w:w="993" w:type="dxa"/>
            <w:tcBorders>
              <w:top w:val="nil"/>
              <w:left w:val="nil"/>
              <w:bottom w:val="nil"/>
              <w:right w:val="nil"/>
            </w:tcBorders>
            <w:shd w:val="clear" w:color="auto" w:fill="auto"/>
          </w:tcPr>
          <w:p w14:paraId="456F51DC" w14:textId="11A7B4D8"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2,5</w:t>
            </w:r>
          </w:p>
        </w:tc>
        <w:tc>
          <w:tcPr>
            <w:tcW w:w="1032" w:type="dxa"/>
            <w:tcBorders>
              <w:top w:val="nil"/>
              <w:left w:val="nil"/>
              <w:bottom w:val="nil"/>
              <w:right w:val="nil"/>
            </w:tcBorders>
            <w:shd w:val="clear" w:color="auto" w:fill="auto"/>
          </w:tcPr>
          <w:p w14:paraId="5AA44979" w14:textId="22E31F62"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9,7</w:t>
            </w:r>
          </w:p>
        </w:tc>
        <w:tc>
          <w:tcPr>
            <w:tcW w:w="992" w:type="dxa"/>
            <w:tcBorders>
              <w:top w:val="nil"/>
              <w:left w:val="nil"/>
              <w:bottom w:val="nil"/>
              <w:right w:val="nil"/>
            </w:tcBorders>
            <w:shd w:val="clear" w:color="auto" w:fill="auto"/>
          </w:tcPr>
          <w:p w14:paraId="6BA39E04" w14:textId="399A4B8A"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2,0</w:t>
            </w:r>
          </w:p>
        </w:tc>
        <w:tc>
          <w:tcPr>
            <w:tcW w:w="992" w:type="dxa"/>
            <w:tcBorders>
              <w:top w:val="nil"/>
              <w:left w:val="nil"/>
              <w:bottom w:val="nil"/>
              <w:right w:val="nil"/>
            </w:tcBorders>
            <w:shd w:val="clear" w:color="auto" w:fill="auto"/>
          </w:tcPr>
          <w:p w14:paraId="7EF1F157" w14:textId="08361869"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0,7</w:t>
            </w:r>
          </w:p>
        </w:tc>
        <w:tc>
          <w:tcPr>
            <w:tcW w:w="851" w:type="dxa"/>
            <w:tcBorders>
              <w:top w:val="nil"/>
              <w:left w:val="nil"/>
              <w:bottom w:val="nil"/>
              <w:right w:val="nil"/>
            </w:tcBorders>
            <w:shd w:val="clear" w:color="auto" w:fill="auto"/>
          </w:tcPr>
          <w:p w14:paraId="22C49A68" w14:textId="7660593A" w:rsidR="00191645" w:rsidRPr="007E770D" w:rsidRDefault="00191645" w:rsidP="00191645">
            <w:pPr>
              <w:pStyle w:val="Footer"/>
              <w:ind w:right="170"/>
              <w:jc w:val="right"/>
              <w:rPr>
                <w:rFonts w:cstheme="minorHAnsi"/>
                <w:color w:val="auto"/>
                <w:sz w:val="14"/>
                <w:szCs w:val="14"/>
                <w:lang w:val="sr-Cyrl-CS"/>
              </w:rPr>
            </w:pPr>
            <w:r w:rsidRPr="007E770D">
              <w:rPr>
                <w:color w:val="auto"/>
                <w:sz w:val="14"/>
                <w:szCs w:val="14"/>
                <w:lang w:val="sr-Cyrl-CS"/>
              </w:rPr>
              <w:t>0,8</w:t>
            </w:r>
          </w:p>
        </w:tc>
        <w:tc>
          <w:tcPr>
            <w:tcW w:w="1000" w:type="dxa"/>
            <w:tcBorders>
              <w:top w:val="nil"/>
              <w:left w:val="nil"/>
              <w:bottom w:val="nil"/>
              <w:right w:val="nil"/>
            </w:tcBorders>
            <w:shd w:val="clear" w:color="auto" w:fill="auto"/>
          </w:tcPr>
          <w:p w14:paraId="6B644EBC" w14:textId="2088EBFF"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0,4</w:t>
            </w:r>
          </w:p>
        </w:tc>
        <w:tc>
          <w:tcPr>
            <w:tcW w:w="943" w:type="dxa"/>
            <w:tcBorders>
              <w:top w:val="nil"/>
              <w:left w:val="nil"/>
              <w:bottom w:val="nil"/>
              <w:right w:val="nil"/>
            </w:tcBorders>
            <w:shd w:val="clear" w:color="auto" w:fill="auto"/>
          </w:tcPr>
          <w:p w14:paraId="022D8307" w14:textId="019F0B76"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0,1</w:t>
            </w:r>
          </w:p>
        </w:tc>
      </w:tr>
      <w:tr w:rsidR="007E770D" w:rsidRPr="007E770D" w14:paraId="72F8FFDA" w14:textId="77777777" w:rsidTr="00E4657F">
        <w:trPr>
          <w:jc w:val="center"/>
        </w:trPr>
        <w:tc>
          <w:tcPr>
            <w:tcW w:w="2512" w:type="dxa"/>
            <w:vAlign w:val="bottom"/>
          </w:tcPr>
          <w:p w14:paraId="065B285B"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 xml:space="preserve">     Нето буџетске позајмице</w:t>
            </w:r>
          </w:p>
        </w:tc>
        <w:tc>
          <w:tcPr>
            <w:tcW w:w="1169" w:type="dxa"/>
            <w:tcBorders>
              <w:top w:val="nil"/>
              <w:left w:val="nil"/>
              <w:bottom w:val="nil"/>
              <w:right w:val="nil"/>
            </w:tcBorders>
            <w:shd w:val="clear" w:color="auto" w:fill="auto"/>
          </w:tcPr>
          <w:p w14:paraId="7227E44D" w14:textId="5CF3670C"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13,1</w:t>
            </w:r>
          </w:p>
        </w:tc>
        <w:tc>
          <w:tcPr>
            <w:tcW w:w="1701" w:type="dxa"/>
            <w:tcBorders>
              <w:top w:val="nil"/>
              <w:left w:val="nil"/>
              <w:bottom w:val="nil"/>
              <w:right w:val="nil"/>
            </w:tcBorders>
            <w:shd w:val="clear" w:color="auto" w:fill="auto"/>
          </w:tcPr>
          <w:p w14:paraId="7F6E557B" w14:textId="24BE515B"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9,6</w:t>
            </w:r>
          </w:p>
        </w:tc>
        <w:tc>
          <w:tcPr>
            <w:tcW w:w="992" w:type="dxa"/>
            <w:tcBorders>
              <w:top w:val="nil"/>
              <w:left w:val="nil"/>
              <w:bottom w:val="nil"/>
              <w:right w:val="nil"/>
            </w:tcBorders>
            <w:shd w:val="clear" w:color="auto" w:fill="auto"/>
          </w:tcPr>
          <w:p w14:paraId="46D24519" w14:textId="27A2B115"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3,5</w:t>
            </w:r>
          </w:p>
        </w:tc>
        <w:tc>
          <w:tcPr>
            <w:tcW w:w="992" w:type="dxa"/>
            <w:tcBorders>
              <w:top w:val="nil"/>
              <w:left w:val="nil"/>
              <w:bottom w:val="nil"/>
              <w:right w:val="nil"/>
            </w:tcBorders>
            <w:shd w:val="clear" w:color="auto" w:fill="auto"/>
          </w:tcPr>
          <w:p w14:paraId="0BB19BD7" w14:textId="1670E487"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3,5</w:t>
            </w:r>
          </w:p>
        </w:tc>
        <w:tc>
          <w:tcPr>
            <w:tcW w:w="993" w:type="dxa"/>
            <w:tcBorders>
              <w:top w:val="nil"/>
              <w:left w:val="nil"/>
              <w:bottom w:val="nil"/>
              <w:right w:val="nil"/>
            </w:tcBorders>
            <w:shd w:val="clear" w:color="auto" w:fill="auto"/>
          </w:tcPr>
          <w:p w14:paraId="37B42CB8" w14:textId="77777777" w:rsidR="00191645" w:rsidRPr="007E770D" w:rsidRDefault="00191645" w:rsidP="00191645">
            <w:pPr>
              <w:pStyle w:val="Footer"/>
              <w:ind w:right="227"/>
              <w:jc w:val="right"/>
              <w:rPr>
                <w:rFonts w:cstheme="minorHAnsi"/>
                <w:color w:val="auto"/>
                <w:sz w:val="14"/>
                <w:szCs w:val="14"/>
                <w:lang w:val="sr-Cyrl-CS"/>
              </w:rPr>
            </w:pPr>
          </w:p>
        </w:tc>
        <w:tc>
          <w:tcPr>
            <w:tcW w:w="1032" w:type="dxa"/>
            <w:tcBorders>
              <w:top w:val="nil"/>
              <w:left w:val="nil"/>
              <w:bottom w:val="nil"/>
              <w:right w:val="nil"/>
            </w:tcBorders>
            <w:shd w:val="clear" w:color="auto" w:fill="auto"/>
          </w:tcPr>
          <w:p w14:paraId="16246FBB" w14:textId="77777777"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0EDF0718" w14:textId="6ECDAE1E"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0,0</w:t>
            </w:r>
          </w:p>
        </w:tc>
        <w:tc>
          <w:tcPr>
            <w:tcW w:w="992" w:type="dxa"/>
            <w:tcBorders>
              <w:top w:val="nil"/>
              <w:left w:val="nil"/>
              <w:bottom w:val="nil"/>
              <w:right w:val="nil"/>
            </w:tcBorders>
            <w:shd w:val="clear" w:color="auto" w:fill="auto"/>
          </w:tcPr>
          <w:p w14:paraId="1D1FD300" w14:textId="77777777" w:rsidR="00191645" w:rsidRPr="007E770D" w:rsidRDefault="00191645" w:rsidP="00191645">
            <w:pPr>
              <w:pStyle w:val="Footer"/>
              <w:ind w:right="227"/>
              <w:jc w:val="right"/>
              <w:rPr>
                <w:rFonts w:cstheme="minorHAnsi"/>
                <w:color w:val="auto"/>
                <w:sz w:val="14"/>
                <w:szCs w:val="14"/>
                <w:lang w:val="sr-Cyrl-CS"/>
              </w:rPr>
            </w:pPr>
          </w:p>
        </w:tc>
        <w:tc>
          <w:tcPr>
            <w:tcW w:w="851" w:type="dxa"/>
            <w:tcBorders>
              <w:top w:val="nil"/>
              <w:left w:val="nil"/>
              <w:bottom w:val="nil"/>
              <w:right w:val="nil"/>
            </w:tcBorders>
            <w:shd w:val="clear" w:color="auto" w:fill="auto"/>
          </w:tcPr>
          <w:p w14:paraId="68EE7213" w14:textId="77777777" w:rsidR="00191645" w:rsidRPr="007E770D" w:rsidRDefault="00191645" w:rsidP="00191645">
            <w:pPr>
              <w:pStyle w:val="Footer"/>
              <w:ind w:right="170"/>
              <w:jc w:val="right"/>
              <w:rPr>
                <w:rFonts w:cstheme="minorHAnsi"/>
                <w:color w:val="auto"/>
                <w:sz w:val="14"/>
                <w:szCs w:val="14"/>
                <w:lang w:val="sr-Cyrl-CS"/>
              </w:rPr>
            </w:pPr>
          </w:p>
        </w:tc>
        <w:tc>
          <w:tcPr>
            <w:tcW w:w="1000" w:type="dxa"/>
            <w:tcBorders>
              <w:top w:val="nil"/>
              <w:left w:val="nil"/>
              <w:bottom w:val="nil"/>
              <w:right w:val="nil"/>
            </w:tcBorders>
            <w:shd w:val="clear" w:color="auto" w:fill="auto"/>
          </w:tcPr>
          <w:p w14:paraId="1E9B4342" w14:textId="77777777" w:rsidR="00191645" w:rsidRPr="007E770D" w:rsidRDefault="00191645" w:rsidP="00191645">
            <w:pPr>
              <w:pStyle w:val="Footer"/>
              <w:ind w:right="284"/>
              <w:jc w:val="right"/>
              <w:rPr>
                <w:rFonts w:cstheme="minorHAnsi"/>
                <w:color w:val="auto"/>
                <w:sz w:val="14"/>
                <w:szCs w:val="14"/>
                <w:lang w:val="sr-Cyrl-CS"/>
              </w:rPr>
            </w:pPr>
          </w:p>
        </w:tc>
        <w:tc>
          <w:tcPr>
            <w:tcW w:w="943" w:type="dxa"/>
            <w:tcBorders>
              <w:top w:val="nil"/>
              <w:left w:val="nil"/>
              <w:bottom w:val="nil"/>
              <w:right w:val="nil"/>
            </w:tcBorders>
            <w:shd w:val="clear" w:color="auto" w:fill="auto"/>
          </w:tcPr>
          <w:p w14:paraId="456FF439" w14:textId="77777777" w:rsidR="00191645" w:rsidRPr="007E770D" w:rsidRDefault="00191645" w:rsidP="00191645">
            <w:pPr>
              <w:pStyle w:val="Footer"/>
              <w:ind w:right="284"/>
              <w:jc w:val="right"/>
              <w:rPr>
                <w:rFonts w:cstheme="minorHAnsi"/>
                <w:color w:val="auto"/>
                <w:sz w:val="14"/>
                <w:szCs w:val="14"/>
                <w:lang w:val="sr-Cyrl-CS"/>
              </w:rPr>
            </w:pPr>
          </w:p>
        </w:tc>
      </w:tr>
      <w:tr w:rsidR="007E770D" w:rsidRPr="007E770D" w14:paraId="21B8B45B" w14:textId="77777777" w:rsidTr="00E4657F">
        <w:trPr>
          <w:jc w:val="center"/>
        </w:trPr>
        <w:tc>
          <w:tcPr>
            <w:tcW w:w="2512" w:type="dxa"/>
            <w:vAlign w:val="bottom"/>
          </w:tcPr>
          <w:p w14:paraId="557C4388"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 xml:space="preserve">    Активиране гаранције</w:t>
            </w:r>
          </w:p>
        </w:tc>
        <w:tc>
          <w:tcPr>
            <w:tcW w:w="1169" w:type="dxa"/>
            <w:tcBorders>
              <w:top w:val="nil"/>
              <w:left w:val="nil"/>
              <w:bottom w:val="nil"/>
              <w:right w:val="nil"/>
            </w:tcBorders>
            <w:shd w:val="clear" w:color="auto" w:fill="auto"/>
          </w:tcPr>
          <w:p w14:paraId="1B37A3A2" w14:textId="306C7402"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6,7</w:t>
            </w:r>
          </w:p>
        </w:tc>
        <w:tc>
          <w:tcPr>
            <w:tcW w:w="1701" w:type="dxa"/>
            <w:tcBorders>
              <w:top w:val="nil"/>
              <w:left w:val="nil"/>
              <w:bottom w:val="nil"/>
              <w:right w:val="nil"/>
            </w:tcBorders>
            <w:shd w:val="clear" w:color="auto" w:fill="auto"/>
          </w:tcPr>
          <w:p w14:paraId="408D2E8E" w14:textId="032DA750"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6,7</w:t>
            </w:r>
          </w:p>
        </w:tc>
        <w:tc>
          <w:tcPr>
            <w:tcW w:w="992" w:type="dxa"/>
            <w:tcBorders>
              <w:top w:val="nil"/>
              <w:left w:val="nil"/>
              <w:bottom w:val="nil"/>
              <w:right w:val="nil"/>
            </w:tcBorders>
            <w:shd w:val="clear" w:color="auto" w:fill="auto"/>
          </w:tcPr>
          <w:p w14:paraId="033FD9FA" w14:textId="67C1814C"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0,0</w:t>
            </w:r>
          </w:p>
        </w:tc>
        <w:tc>
          <w:tcPr>
            <w:tcW w:w="992" w:type="dxa"/>
            <w:tcBorders>
              <w:top w:val="nil"/>
              <w:left w:val="nil"/>
              <w:bottom w:val="nil"/>
              <w:right w:val="nil"/>
            </w:tcBorders>
            <w:shd w:val="clear" w:color="auto" w:fill="auto"/>
          </w:tcPr>
          <w:p w14:paraId="4399FDDF" w14:textId="77777777" w:rsidR="00191645" w:rsidRPr="007E770D" w:rsidRDefault="00191645" w:rsidP="00191645">
            <w:pPr>
              <w:pStyle w:val="Footer"/>
              <w:ind w:right="227"/>
              <w:jc w:val="right"/>
              <w:rPr>
                <w:rFonts w:cstheme="minorHAnsi"/>
                <w:color w:val="auto"/>
                <w:sz w:val="14"/>
                <w:szCs w:val="14"/>
                <w:lang w:val="sr-Cyrl-CS"/>
              </w:rPr>
            </w:pPr>
          </w:p>
        </w:tc>
        <w:tc>
          <w:tcPr>
            <w:tcW w:w="993" w:type="dxa"/>
            <w:tcBorders>
              <w:top w:val="nil"/>
              <w:left w:val="nil"/>
              <w:bottom w:val="nil"/>
              <w:right w:val="nil"/>
            </w:tcBorders>
            <w:shd w:val="clear" w:color="auto" w:fill="auto"/>
          </w:tcPr>
          <w:p w14:paraId="05AD3ABF" w14:textId="77777777" w:rsidR="00191645" w:rsidRPr="007E770D" w:rsidRDefault="00191645" w:rsidP="00191645">
            <w:pPr>
              <w:pStyle w:val="Footer"/>
              <w:ind w:right="227"/>
              <w:jc w:val="right"/>
              <w:rPr>
                <w:rFonts w:cstheme="minorHAnsi"/>
                <w:color w:val="auto"/>
                <w:sz w:val="14"/>
                <w:szCs w:val="14"/>
                <w:lang w:val="sr-Cyrl-CS"/>
              </w:rPr>
            </w:pPr>
          </w:p>
        </w:tc>
        <w:tc>
          <w:tcPr>
            <w:tcW w:w="1032" w:type="dxa"/>
            <w:tcBorders>
              <w:top w:val="nil"/>
              <w:left w:val="nil"/>
              <w:bottom w:val="nil"/>
              <w:right w:val="nil"/>
            </w:tcBorders>
            <w:shd w:val="clear" w:color="auto" w:fill="auto"/>
          </w:tcPr>
          <w:p w14:paraId="61B356A0" w14:textId="77777777"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380F1C88" w14:textId="77777777"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36C6502B" w14:textId="77777777" w:rsidR="00191645" w:rsidRPr="007E770D" w:rsidRDefault="00191645" w:rsidP="00191645">
            <w:pPr>
              <w:pStyle w:val="Footer"/>
              <w:ind w:right="227"/>
              <w:jc w:val="right"/>
              <w:rPr>
                <w:rFonts w:cstheme="minorHAnsi"/>
                <w:color w:val="auto"/>
                <w:sz w:val="14"/>
                <w:szCs w:val="14"/>
                <w:lang w:val="sr-Cyrl-CS"/>
              </w:rPr>
            </w:pPr>
          </w:p>
        </w:tc>
        <w:tc>
          <w:tcPr>
            <w:tcW w:w="851" w:type="dxa"/>
            <w:tcBorders>
              <w:top w:val="nil"/>
              <w:left w:val="nil"/>
              <w:bottom w:val="nil"/>
              <w:right w:val="nil"/>
            </w:tcBorders>
            <w:shd w:val="clear" w:color="auto" w:fill="auto"/>
          </w:tcPr>
          <w:p w14:paraId="70FE5563" w14:textId="77777777" w:rsidR="00191645" w:rsidRPr="007E770D" w:rsidRDefault="00191645" w:rsidP="00191645">
            <w:pPr>
              <w:pStyle w:val="Footer"/>
              <w:ind w:right="170"/>
              <w:jc w:val="right"/>
              <w:rPr>
                <w:rFonts w:cstheme="minorHAnsi"/>
                <w:color w:val="auto"/>
                <w:sz w:val="14"/>
                <w:szCs w:val="14"/>
                <w:lang w:val="sr-Cyrl-CS"/>
              </w:rPr>
            </w:pPr>
          </w:p>
        </w:tc>
        <w:tc>
          <w:tcPr>
            <w:tcW w:w="1000" w:type="dxa"/>
            <w:tcBorders>
              <w:top w:val="nil"/>
              <w:left w:val="nil"/>
              <w:bottom w:val="nil"/>
              <w:right w:val="nil"/>
            </w:tcBorders>
            <w:shd w:val="clear" w:color="auto" w:fill="auto"/>
          </w:tcPr>
          <w:p w14:paraId="681EBA03" w14:textId="77777777" w:rsidR="00191645" w:rsidRPr="007E770D" w:rsidRDefault="00191645" w:rsidP="00191645">
            <w:pPr>
              <w:pStyle w:val="Footer"/>
              <w:ind w:right="284"/>
              <w:jc w:val="right"/>
              <w:rPr>
                <w:rFonts w:cstheme="minorHAnsi"/>
                <w:color w:val="auto"/>
                <w:sz w:val="14"/>
                <w:szCs w:val="14"/>
                <w:lang w:val="sr-Cyrl-CS"/>
              </w:rPr>
            </w:pPr>
          </w:p>
        </w:tc>
        <w:tc>
          <w:tcPr>
            <w:tcW w:w="943" w:type="dxa"/>
            <w:tcBorders>
              <w:top w:val="nil"/>
              <w:left w:val="nil"/>
              <w:bottom w:val="nil"/>
              <w:right w:val="nil"/>
            </w:tcBorders>
            <w:shd w:val="clear" w:color="auto" w:fill="auto"/>
          </w:tcPr>
          <w:p w14:paraId="7DD2F973" w14:textId="77777777" w:rsidR="00191645" w:rsidRPr="007E770D" w:rsidRDefault="00191645" w:rsidP="00191645">
            <w:pPr>
              <w:pStyle w:val="Footer"/>
              <w:ind w:right="284"/>
              <w:jc w:val="right"/>
              <w:rPr>
                <w:rFonts w:cstheme="minorHAnsi"/>
                <w:color w:val="auto"/>
                <w:sz w:val="14"/>
                <w:szCs w:val="14"/>
                <w:lang w:val="sr-Cyrl-CS"/>
              </w:rPr>
            </w:pPr>
          </w:p>
        </w:tc>
      </w:tr>
      <w:tr w:rsidR="007E770D" w:rsidRPr="007E770D" w14:paraId="71CA4953" w14:textId="77777777" w:rsidTr="00E4657F">
        <w:trPr>
          <w:jc w:val="center"/>
        </w:trPr>
        <w:tc>
          <w:tcPr>
            <w:tcW w:w="2512" w:type="dxa"/>
            <w:shd w:val="clear" w:color="auto" w:fill="E7E6E6" w:themeFill="background2"/>
            <w:vAlign w:val="bottom"/>
          </w:tcPr>
          <w:p w14:paraId="45EBB909"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bCs/>
                <w:color w:val="auto"/>
                <w:sz w:val="14"/>
                <w:szCs w:val="16"/>
                <w:lang w:val="sr-Cyrl-CS"/>
              </w:rPr>
              <w:t>Фискални резултат искљ. трансфере</w:t>
            </w:r>
          </w:p>
        </w:tc>
        <w:tc>
          <w:tcPr>
            <w:tcW w:w="1169" w:type="dxa"/>
            <w:tcBorders>
              <w:top w:val="nil"/>
              <w:left w:val="nil"/>
              <w:bottom w:val="nil"/>
              <w:right w:val="nil"/>
            </w:tcBorders>
            <w:shd w:val="clear" w:color="000000" w:fill="E7E6E6"/>
          </w:tcPr>
          <w:p w14:paraId="7F266E06" w14:textId="239A2496"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-29,0</w:t>
            </w:r>
          </w:p>
        </w:tc>
        <w:tc>
          <w:tcPr>
            <w:tcW w:w="1701" w:type="dxa"/>
            <w:tcBorders>
              <w:top w:val="nil"/>
              <w:left w:val="nil"/>
              <w:bottom w:val="nil"/>
              <w:right w:val="nil"/>
            </w:tcBorders>
            <w:shd w:val="clear" w:color="000000" w:fill="E7E6E6"/>
          </w:tcPr>
          <w:p w14:paraId="0057E1A2" w14:textId="506EE8A8"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251,8</w:t>
            </w:r>
          </w:p>
        </w:tc>
        <w:tc>
          <w:tcPr>
            <w:tcW w:w="992" w:type="dxa"/>
            <w:tcBorders>
              <w:top w:val="nil"/>
              <w:left w:val="nil"/>
              <w:bottom w:val="nil"/>
              <w:right w:val="nil"/>
            </w:tcBorders>
            <w:shd w:val="clear" w:color="000000" w:fill="E7E6E6"/>
          </w:tcPr>
          <w:p w14:paraId="4677A44C" w14:textId="3D6C909D"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-79,7</w:t>
            </w:r>
          </w:p>
        </w:tc>
        <w:tc>
          <w:tcPr>
            <w:tcW w:w="992" w:type="dxa"/>
            <w:tcBorders>
              <w:top w:val="nil"/>
              <w:left w:val="nil"/>
              <w:bottom w:val="nil"/>
              <w:right w:val="nil"/>
            </w:tcBorders>
            <w:shd w:val="clear" w:color="000000" w:fill="E7E6E6"/>
          </w:tcPr>
          <w:p w14:paraId="76E6C409" w14:textId="2FBF0134"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-43,0</w:t>
            </w:r>
          </w:p>
        </w:tc>
        <w:tc>
          <w:tcPr>
            <w:tcW w:w="993" w:type="dxa"/>
            <w:tcBorders>
              <w:top w:val="nil"/>
              <w:left w:val="nil"/>
              <w:bottom w:val="nil"/>
              <w:right w:val="nil"/>
            </w:tcBorders>
            <w:shd w:val="clear" w:color="000000" w:fill="E7E6E6"/>
          </w:tcPr>
          <w:p w14:paraId="0DFB7FFD" w14:textId="3CE6EBF5"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-36,6</w:t>
            </w:r>
          </w:p>
        </w:tc>
        <w:tc>
          <w:tcPr>
            <w:tcW w:w="1032" w:type="dxa"/>
            <w:tcBorders>
              <w:top w:val="nil"/>
              <w:left w:val="nil"/>
              <w:bottom w:val="nil"/>
              <w:right w:val="nil"/>
            </w:tcBorders>
            <w:shd w:val="clear" w:color="000000" w:fill="E7E6E6"/>
          </w:tcPr>
          <w:p w14:paraId="0469C3FD" w14:textId="79284577"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-13,0</w:t>
            </w:r>
          </w:p>
        </w:tc>
        <w:tc>
          <w:tcPr>
            <w:tcW w:w="992" w:type="dxa"/>
            <w:tcBorders>
              <w:top w:val="nil"/>
              <w:left w:val="nil"/>
              <w:bottom w:val="nil"/>
              <w:right w:val="nil"/>
            </w:tcBorders>
            <w:shd w:val="clear" w:color="000000" w:fill="E7E6E6"/>
          </w:tcPr>
          <w:p w14:paraId="6890616D" w14:textId="5F0B1E2C"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-188,3</w:t>
            </w:r>
          </w:p>
        </w:tc>
        <w:tc>
          <w:tcPr>
            <w:tcW w:w="992" w:type="dxa"/>
            <w:tcBorders>
              <w:top w:val="nil"/>
              <w:left w:val="nil"/>
              <w:bottom w:val="nil"/>
              <w:right w:val="nil"/>
            </w:tcBorders>
            <w:shd w:val="clear" w:color="000000" w:fill="E7E6E6"/>
          </w:tcPr>
          <w:p w14:paraId="05F68C5C" w14:textId="0B2AE818"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-102,2</w:t>
            </w:r>
          </w:p>
        </w:tc>
        <w:tc>
          <w:tcPr>
            <w:tcW w:w="851" w:type="dxa"/>
            <w:tcBorders>
              <w:top w:val="nil"/>
              <w:left w:val="nil"/>
              <w:bottom w:val="nil"/>
              <w:right w:val="nil"/>
            </w:tcBorders>
            <w:shd w:val="clear" w:color="000000" w:fill="E7E6E6"/>
          </w:tcPr>
          <w:p w14:paraId="5E735F44" w14:textId="66FD9FCA" w:rsidR="00191645" w:rsidRPr="007E770D" w:rsidRDefault="00191645" w:rsidP="00191645">
            <w:pPr>
              <w:pStyle w:val="Footer"/>
              <w:ind w:right="170"/>
              <w:jc w:val="right"/>
              <w:rPr>
                <w:rFonts w:cstheme="minorHAnsi"/>
                <w:color w:val="auto"/>
                <w:sz w:val="14"/>
                <w:szCs w:val="14"/>
                <w:lang w:val="sr-Cyrl-CS"/>
              </w:rPr>
            </w:pPr>
            <w:r w:rsidRPr="007E770D">
              <w:rPr>
                <w:color w:val="auto"/>
                <w:sz w:val="14"/>
                <w:szCs w:val="14"/>
                <w:lang w:val="sr-Cyrl-CS"/>
              </w:rPr>
              <w:t>-79,9</w:t>
            </w:r>
          </w:p>
        </w:tc>
        <w:tc>
          <w:tcPr>
            <w:tcW w:w="1000" w:type="dxa"/>
            <w:tcBorders>
              <w:top w:val="nil"/>
              <w:left w:val="nil"/>
              <w:bottom w:val="nil"/>
              <w:right w:val="nil"/>
            </w:tcBorders>
            <w:shd w:val="clear" w:color="000000" w:fill="E7E6E6"/>
          </w:tcPr>
          <w:p w14:paraId="0B1A963D" w14:textId="1ECFC002"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-3,2</w:t>
            </w:r>
          </w:p>
        </w:tc>
        <w:tc>
          <w:tcPr>
            <w:tcW w:w="943" w:type="dxa"/>
            <w:tcBorders>
              <w:top w:val="nil"/>
              <w:left w:val="nil"/>
              <w:bottom w:val="nil"/>
              <w:right w:val="nil"/>
            </w:tcBorders>
            <w:shd w:val="clear" w:color="000000" w:fill="E7E6E6"/>
          </w:tcPr>
          <w:p w14:paraId="1602502B" w14:textId="30FE61CB"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-3,0</w:t>
            </w:r>
          </w:p>
        </w:tc>
      </w:tr>
      <w:tr w:rsidR="007E770D" w:rsidRPr="007E770D" w14:paraId="16BFC743" w14:textId="77777777" w:rsidTr="00E4657F">
        <w:trPr>
          <w:jc w:val="center"/>
        </w:trPr>
        <w:tc>
          <w:tcPr>
            <w:tcW w:w="2512" w:type="dxa"/>
            <w:vAlign w:val="bottom"/>
          </w:tcPr>
          <w:p w14:paraId="786BEED5"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Трансфери од других нивоа власти</w:t>
            </w:r>
          </w:p>
        </w:tc>
        <w:tc>
          <w:tcPr>
            <w:tcW w:w="1169" w:type="dxa"/>
            <w:tcBorders>
              <w:top w:val="nil"/>
              <w:left w:val="nil"/>
              <w:bottom w:val="nil"/>
              <w:right w:val="nil"/>
            </w:tcBorders>
            <w:shd w:val="clear" w:color="auto" w:fill="auto"/>
          </w:tcPr>
          <w:p w14:paraId="5FB660FB" w14:textId="09037698"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354,4</w:t>
            </w:r>
          </w:p>
        </w:tc>
        <w:tc>
          <w:tcPr>
            <w:tcW w:w="1701" w:type="dxa"/>
            <w:tcBorders>
              <w:top w:val="nil"/>
              <w:left w:val="nil"/>
              <w:bottom w:val="nil"/>
              <w:right w:val="nil"/>
            </w:tcBorders>
            <w:shd w:val="clear" w:color="auto" w:fill="auto"/>
          </w:tcPr>
          <w:p w14:paraId="72B363E8" w14:textId="64DD2EC7"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6,5</w:t>
            </w:r>
          </w:p>
        </w:tc>
        <w:tc>
          <w:tcPr>
            <w:tcW w:w="992" w:type="dxa"/>
            <w:tcBorders>
              <w:top w:val="nil"/>
              <w:left w:val="nil"/>
              <w:bottom w:val="nil"/>
              <w:right w:val="nil"/>
            </w:tcBorders>
            <w:shd w:val="clear" w:color="auto" w:fill="auto"/>
          </w:tcPr>
          <w:p w14:paraId="670CBC9B" w14:textId="1F65D0C2"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88,7</w:t>
            </w:r>
          </w:p>
        </w:tc>
        <w:tc>
          <w:tcPr>
            <w:tcW w:w="992" w:type="dxa"/>
            <w:tcBorders>
              <w:top w:val="nil"/>
              <w:left w:val="nil"/>
              <w:bottom w:val="nil"/>
              <w:right w:val="nil"/>
            </w:tcBorders>
            <w:shd w:val="clear" w:color="auto" w:fill="auto"/>
          </w:tcPr>
          <w:p w14:paraId="6EAC73ED" w14:textId="2E02647A"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52,0</w:t>
            </w:r>
          </w:p>
        </w:tc>
        <w:tc>
          <w:tcPr>
            <w:tcW w:w="993" w:type="dxa"/>
            <w:tcBorders>
              <w:top w:val="nil"/>
              <w:left w:val="nil"/>
              <w:bottom w:val="nil"/>
              <w:right w:val="nil"/>
            </w:tcBorders>
            <w:shd w:val="clear" w:color="auto" w:fill="auto"/>
          </w:tcPr>
          <w:p w14:paraId="68E84155" w14:textId="13E0B78B"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36,7</w:t>
            </w:r>
          </w:p>
        </w:tc>
        <w:tc>
          <w:tcPr>
            <w:tcW w:w="1032" w:type="dxa"/>
            <w:tcBorders>
              <w:top w:val="nil"/>
              <w:left w:val="nil"/>
              <w:bottom w:val="nil"/>
              <w:right w:val="nil"/>
            </w:tcBorders>
            <w:shd w:val="clear" w:color="auto" w:fill="auto"/>
          </w:tcPr>
          <w:p w14:paraId="311F4BFF" w14:textId="7E985DBC"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7,9</w:t>
            </w:r>
          </w:p>
        </w:tc>
        <w:tc>
          <w:tcPr>
            <w:tcW w:w="992" w:type="dxa"/>
            <w:tcBorders>
              <w:top w:val="nil"/>
              <w:left w:val="nil"/>
              <w:bottom w:val="nil"/>
              <w:right w:val="nil"/>
            </w:tcBorders>
            <w:shd w:val="clear" w:color="auto" w:fill="auto"/>
          </w:tcPr>
          <w:p w14:paraId="18B3419E" w14:textId="596E721D"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251,3</w:t>
            </w:r>
          </w:p>
        </w:tc>
        <w:tc>
          <w:tcPr>
            <w:tcW w:w="992" w:type="dxa"/>
            <w:tcBorders>
              <w:top w:val="nil"/>
              <w:left w:val="nil"/>
              <w:bottom w:val="nil"/>
              <w:right w:val="nil"/>
            </w:tcBorders>
            <w:shd w:val="clear" w:color="auto" w:fill="auto"/>
          </w:tcPr>
          <w:p w14:paraId="2FE904EB" w14:textId="4E00FC8A"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164,0</w:t>
            </w:r>
          </w:p>
        </w:tc>
        <w:tc>
          <w:tcPr>
            <w:tcW w:w="851" w:type="dxa"/>
            <w:tcBorders>
              <w:top w:val="nil"/>
              <w:left w:val="nil"/>
              <w:bottom w:val="nil"/>
              <w:right w:val="nil"/>
            </w:tcBorders>
            <w:shd w:val="clear" w:color="auto" w:fill="auto"/>
          </w:tcPr>
          <w:p w14:paraId="196E7FE5" w14:textId="6B47DFA1" w:rsidR="00191645" w:rsidRPr="007E770D" w:rsidRDefault="00191645" w:rsidP="00191645">
            <w:pPr>
              <w:pStyle w:val="Footer"/>
              <w:ind w:right="170"/>
              <w:jc w:val="right"/>
              <w:rPr>
                <w:rFonts w:cstheme="minorHAnsi"/>
                <w:color w:val="auto"/>
                <w:sz w:val="14"/>
                <w:szCs w:val="14"/>
                <w:lang w:val="sr-Cyrl-CS"/>
              </w:rPr>
            </w:pPr>
            <w:r w:rsidRPr="007E770D">
              <w:rPr>
                <w:color w:val="auto"/>
                <w:sz w:val="14"/>
                <w:szCs w:val="14"/>
                <w:lang w:val="sr-Cyrl-CS"/>
              </w:rPr>
              <w:t>83,3</w:t>
            </w:r>
          </w:p>
        </w:tc>
        <w:tc>
          <w:tcPr>
            <w:tcW w:w="1000" w:type="dxa"/>
            <w:tcBorders>
              <w:top w:val="nil"/>
              <w:left w:val="nil"/>
              <w:bottom w:val="nil"/>
              <w:right w:val="nil"/>
            </w:tcBorders>
            <w:shd w:val="clear" w:color="auto" w:fill="auto"/>
          </w:tcPr>
          <w:p w14:paraId="3F2D2379" w14:textId="249DA442"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1,0</w:t>
            </w:r>
          </w:p>
        </w:tc>
        <w:tc>
          <w:tcPr>
            <w:tcW w:w="943" w:type="dxa"/>
            <w:tcBorders>
              <w:top w:val="nil"/>
              <w:left w:val="nil"/>
              <w:bottom w:val="nil"/>
              <w:right w:val="nil"/>
            </w:tcBorders>
            <w:shd w:val="clear" w:color="auto" w:fill="auto"/>
          </w:tcPr>
          <w:p w14:paraId="41B6A409" w14:textId="4F1D3EB2"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3,0</w:t>
            </w:r>
          </w:p>
        </w:tc>
      </w:tr>
      <w:tr w:rsidR="007E770D" w:rsidRPr="007E770D" w14:paraId="6781DDA5" w14:textId="77777777" w:rsidTr="00E4657F">
        <w:trPr>
          <w:jc w:val="center"/>
        </w:trPr>
        <w:tc>
          <w:tcPr>
            <w:tcW w:w="2512" w:type="dxa"/>
            <w:vAlign w:val="bottom"/>
          </w:tcPr>
          <w:p w14:paraId="564C0E96"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Буџет Републике</w:t>
            </w:r>
          </w:p>
        </w:tc>
        <w:tc>
          <w:tcPr>
            <w:tcW w:w="1169" w:type="dxa"/>
            <w:tcBorders>
              <w:top w:val="nil"/>
              <w:left w:val="nil"/>
              <w:bottom w:val="nil"/>
              <w:right w:val="nil"/>
            </w:tcBorders>
            <w:shd w:val="clear" w:color="auto" w:fill="auto"/>
          </w:tcPr>
          <w:p w14:paraId="3ED861A4" w14:textId="4B5DF695"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285,0</w:t>
            </w:r>
          </w:p>
        </w:tc>
        <w:tc>
          <w:tcPr>
            <w:tcW w:w="1701" w:type="dxa"/>
            <w:tcBorders>
              <w:top w:val="nil"/>
              <w:left w:val="nil"/>
              <w:bottom w:val="nil"/>
              <w:right w:val="nil"/>
            </w:tcBorders>
            <w:shd w:val="clear" w:color="auto" w:fill="auto"/>
          </w:tcPr>
          <w:p w14:paraId="0E269F8E" w14:textId="42F7B2B1"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6,5</w:t>
            </w:r>
          </w:p>
        </w:tc>
        <w:tc>
          <w:tcPr>
            <w:tcW w:w="992" w:type="dxa"/>
            <w:tcBorders>
              <w:top w:val="nil"/>
              <w:left w:val="nil"/>
              <w:bottom w:val="nil"/>
              <w:right w:val="nil"/>
            </w:tcBorders>
            <w:shd w:val="clear" w:color="auto" w:fill="auto"/>
          </w:tcPr>
          <w:p w14:paraId="7AC3CF4B" w14:textId="10BBA1CE"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88,7</w:t>
            </w:r>
          </w:p>
        </w:tc>
        <w:tc>
          <w:tcPr>
            <w:tcW w:w="992" w:type="dxa"/>
            <w:tcBorders>
              <w:top w:val="nil"/>
              <w:left w:val="nil"/>
              <w:bottom w:val="nil"/>
              <w:right w:val="nil"/>
            </w:tcBorders>
            <w:shd w:val="clear" w:color="auto" w:fill="auto"/>
          </w:tcPr>
          <w:p w14:paraId="44F45FBD" w14:textId="3CB2A01C"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52,0</w:t>
            </w:r>
          </w:p>
        </w:tc>
        <w:tc>
          <w:tcPr>
            <w:tcW w:w="993" w:type="dxa"/>
            <w:tcBorders>
              <w:top w:val="nil"/>
              <w:left w:val="nil"/>
              <w:bottom w:val="nil"/>
              <w:right w:val="nil"/>
            </w:tcBorders>
            <w:shd w:val="clear" w:color="auto" w:fill="auto"/>
          </w:tcPr>
          <w:p w14:paraId="6E09BA49" w14:textId="60BC7CE1"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36,7</w:t>
            </w:r>
          </w:p>
        </w:tc>
        <w:tc>
          <w:tcPr>
            <w:tcW w:w="1032" w:type="dxa"/>
            <w:tcBorders>
              <w:top w:val="nil"/>
              <w:left w:val="nil"/>
              <w:bottom w:val="nil"/>
              <w:right w:val="nil"/>
            </w:tcBorders>
            <w:shd w:val="clear" w:color="auto" w:fill="auto"/>
          </w:tcPr>
          <w:p w14:paraId="063C808E" w14:textId="0883D5BF"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7,9</w:t>
            </w:r>
          </w:p>
        </w:tc>
        <w:tc>
          <w:tcPr>
            <w:tcW w:w="992" w:type="dxa"/>
            <w:tcBorders>
              <w:top w:val="nil"/>
              <w:left w:val="nil"/>
              <w:bottom w:val="nil"/>
              <w:right w:val="nil"/>
            </w:tcBorders>
            <w:shd w:val="clear" w:color="auto" w:fill="auto"/>
          </w:tcPr>
          <w:p w14:paraId="5A1C68C7" w14:textId="096DBEFB"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181,9</w:t>
            </w:r>
          </w:p>
        </w:tc>
        <w:tc>
          <w:tcPr>
            <w:tcW w:w="992" w:type="dxa"/>
            <w:tcBorders>
              <w:top w:val="nil"/>
              <w:left w:val="nil"/>
              <w:bottom w:val="nil"/>
              <w:right w:val="nil"/>
            </w:tcBorders>
            <w:shd w:val="clear" w:color="auto" w:fill="auto"/>
          </w:tcPr>
          <w:p w14:paraId="0EEC860B" w14:textId="20B7FA59"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157,6</w:t>
            </w:r>
          </w:p>
        </w:tc>
        <w:tc>
          <w:tcPr>
            <w:tcW w:w="851" w:type="dxa"/>
            <w:tcBorders>
              <w:top w:val="nil"/>
              <w:left w:val="nil"/>
              <w:bottom w:val="nil"/>
              <w:right w:val="nil"/>
            </w:tcBorders>
            <w:shd w:val="clear" w:color="auto" w:fill="auto"/>
          </w:tcPr>
          <w:p w14:paraId="22DF0F1E" w14:textId="5CD99067" w:rsidR="00191645" w:rsidRPr="007E770D" w:rsidRDefault="00191645" w:rsidP="00191645">
            <w:pPr>
              <w:pStyle w:val="Footer"/>
              <w:ind w:right="170"/>
              <w:jc w:val="right"/>
              <w:rPr>
                <w:rFonts w:cstheme="minorHAnsi"/>
                <w:color w:val="auto"/>
                <w:sz w:val="14"/>
                <w:szCs w:val="14"/>
                <w:lang w:val="sr-Cyrl-CS"/>
              </w:rPr>
            </w:pPr>
            <w:r w:rsidRPr="007E770D">
              <w:rPr>
                <w:color w:val="auto"/>
                <w:sz w:val="14"/>
                <w:szCs w:val="14"/>
                <w:lang w:val="sr-Cyrl-CS"/>
              </w:rPr>
              <w:t>22,9</w:t>
            </w:r>
          </w:p>
        </w:tc>
        <w:tc>
          <w:tcPr>
            <w:tcW w:w="1000" w:type="dxa"/>
            <w:tcBorders>
              <w:top w:val="nil"/>
              <w:left w:val="nil"/>
              <w:bottom w:val="nil"/>
              <w:right w:val="nil"/>
            </w:tcBorders>
            <w:shd w:val="clear" w:color="auto" w:fill="auto"/>
          </w:tcPr>
          <w:p w14:paraId="6253B170" w14:textId="1E3B404E"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1,0</w:t>
            </w:r>
          </w:p>
        </w:tc>
        <w:tc>
          <w:tcPr>
            <w:tcW w:w="943" w:type="dxa"/>
            <w:tcBorders>
              <w:top w:val="nil"/>
              <w:left w:val="nil"/>
              <w:bottom w:val="nil"/>
              <w:right w:val="nil"/>
            </w:tcBorders>
            <w:shd w:val="clear" w:color="auto" w:fill="auto"/>
          </w:tcPr>
          <w:p w14:paraId="3FCAF0BA" w14:textId="4EC3DA1C"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0,4</w:t>
            </w:r>
          </w:p>
        </w:tc>
      </w:tr>
      <w:tr w:rsidR="007E770D" w:rsidRPr="007E770D" w14:paraId="7C9F930C" w14:textId="77777777" w:rsidTr="00E4657F">
        <w:trPr>
          <w:jc w:val="center"/>
        </w:trPr>
        <w:tc>
          <w:tcPr>
            <w:tcW w:w="2512" w:type="dxa"/>
            <w:vAlign w:val="bottom"/>
          </w:tcPr>
          <w:p w14:paraId="7C20E71E"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Градови и општине</w:t>
            </w:r>
          </w:p>
        </w:tc>
        <w:tc>
          <w:tcPr>
            <w:tcW w:w="1169" w:type="dxa"/>
            <w:tcBorders>
              <w:top w:val="nil"/>
              <w:left w:val="nil"/>
              <w:bottom w:val="nil"/>
              <w:right w:val="nil"/>
            </w:tcBorders>
            <w:shd w:val="clear" w:color="auto" w:fill="auto"/>
          </w:tcPr>
          <w:p w14:paraId="154F647C" w14:textId="0F6837A0"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0,0</w:t>
            </w:r>
          </w:p>
        </w:tc>
        <w:tc>
          <w:tcPr>
            <w:tcW w:w="1701" w:type="dxa"/>
            <w:tcBorders>
              <w:top w:val="nil"/>
              <w:left w:val="nil"/>
              <w:bottom w:val="nil"/>
              <w:right w:val="nil"/>
            </w:tcBorders>
            <w:shd w:val="clear" w:color="auto" w:fill="auto"/>
          </w:tcPr>
          <w:p w14:paraId="21CEA2D2" w14:textId="2C2AAC0D" w:rsidR="00191645" w:rsidRPr="007E770D" w:rsidRDefault="00191645" w:rsidP="00191645">
            <w:pPr>
              <w:pStyle w:val="Footer"/>
              <w:ind w:right="510"/>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0F49077E" w14:textId="7C1727AA"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7FB11EE6" w14:textId="77777777" w:rsidR="00191645" w:rsidRPr="007E770D" w:rsidRDefault="00191645" w:rsidP="00191645">
            <w:pPr>
              <w:pStyle w:val="Footer"/>
              <w:ind w:right="227"/>
              <w:jc w:val="right"/>
              <w:rPr>
                <w:rFonts w:cstheme="minorHAnsi"/>
                <w:color w:val="auto"/>
                <w:sz w:val="14"/>
                <w:szCs w:val="14"/>
                <w:lang w:val="sr-Cyrl-CS"/>
              </w:rPr>
            </w:pPr>
          </w:p>
        </w:tc>
        <w:tc>
          <w:tcPr>
            <w:tcW w:w="993" w:type="dxa"/>
            <w:tcBorders>
              <w:top w:val="nil"/>
              <w:left w:val="nil"/>
              <w:bottom w:val="nil"/>
              <w:right w:val="nil"/>
            </w:tcBorders>
            <w:shd w:val="clear" w:color="auto" w:fill="auto"/>
          </w:tcPr>
          <w:p w14:paraId="48FB4B40" w14:textId="77777777" w:rsidR="00191645" w:rsidRPr="007E770D" w:rsidRDefault="00191645" w:rsidP="00191645">
            <w:pPr>
              <w:pStyle w:val="Footer"/>
              <w:ind w:right="227"/>
              <w:jc w:val="right"/>
              <w:rPr>
                <w:rFonts w:cstheme="minorHAnsi"/>
                <w:color w:val="auto"/>
                <w:sz w:val="14"/>
                <w:szCs w:val="14"/>
                <w:lang w:val="sr-Cyrl-CS"/>
              </w:rPr>
            </w:pPr>
          </w:p>
        </w:tc>
        <w:tc>
          <w:tcPr>
            <w:tcW w:w="1032" w:type="dxa"/>
            <w:tcBorders>
              <w:top w:val="nil"/>
              <w:left w:val="nil"/>
              <w:bottom w:val="nil"/>
              <w:right w:val="nil"/>
            </w:tcBorders>
            <w:shd w:val="clear" w:color="auto" w:fill="auto"/>
          </w:tcPr>
          <w:p w14:paraId="6B82AD17" w14:textId="77777777"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0F373934" w14:textId="4D5F4002"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0,0</w:t>
            </w:r>
          </w:p>
        </w:tc>
        <w:tc>
          <w:tcPr>
            <w:tcW w:w="992" w:type="dxa"/>
            <w:tcBorders>
              <w:top w:val="nil"/>
              <w:left w:val="nil"/>
              <w:bottom w:val="nil"/>
              <w:right w:val="nil"/>
            </w:tcBorders>
            <w:shd w:val="clear" w:color="auto" w:fill="auto"/>
          </w:tcPr>
          <w:p w14:paraId="549A3E74" w14:textId="77777777" w:rsidR="00191645" w:rsidRPr="007E770D" w:rsidRDefault="00191645" w:rsidP="00191645">
            <w:pPr>
              <w:pStyle w:val="Footer"/>
              <w:ind w:right="227"/>
              <w:jc w:val="right"/>
              <w:rPr>
                <w:rFonts w:cstheme="minorHAnsi"/>
                <w:color w:val="auto"/>
                <w:sz w:val="14"/>
                <w:szCs w:val="14"/>
                <w:lang w:val="sr-Cyrl-CS"/>
              </w:rPr>
            </w:pPr>
          </w:p>
        </w:tc>
        <w:tc>
          <w:tcPr>
            <w:tcW w:w="851" w:type="dxa"/>
            <w:tcBorders>
              <w:top w:val="nil"/>
              <w:left w:val="nil"/>
              <w:bottom w:val="nil"/>
              <w:right w:val="nil"/>
            </w:tcBorders>
            <w:shd w:val="clear" w:color="auto" w:fill="auto"/>
          </w:tcPr>
          <w:p w14:paraId="3C5ADBAE" w14:textId="77777777" w:rsidR="00191645" w:rsidRPr="007E770D" w:rsidRDefault="00191645" w:rsidP="00191645">
            <w:pPr>
              <w:pStyle w:val="Footer"/>
              <w:ind w:right="170"/>
              <w:jc w:val="right"/>
              <w:rPr>
                <w:rFonts w:cstheme="minorHAnsi"/>
                <w:color w:val="auto"/>
                <w:sz w:val="14"/>
                <w:szCs w:val="14"/>
                <w:lang w:val="sr-Cyrl-CS"/>
              </w:rPr>
            </w:pPr>
          </w:p>
        </w:tc>
        <w:tc>
          <w:tcPr>
            <w:tcW w:w="1000" w:type="dxa"/>
            <w:tcBorders>
              <w:top w:val="nil"/>
              <w:left w:val="nil"/>
              <w:bottom w:val="nil"/>
              <w:right w:val="nil"/>
            </w:tcBorders>
            <w:shd w:val="clear" w:color="auto" w:fill="auto"/>
          </w:tcPr>
          <w:p w14:paraId="04AA7F80" w14:textId="77777777" w:rsidR="00191645" w:rsidRPr="007E770D" w:rsidRDefault="00191645" w:rsidP="00191645">
            <w:pPr>
              <w:pStyle w:val="Footer"/>
              <w:ind w:right="284"/>
              <w:jc w:val="right"/>
              <w:rPr>
                <w:rFonts w:cstheme="minorHAnsi"/>
                <w:color w:val="auto"/>
                <w:sz w:val="14"/>
                <w:szCs w:val="14"/>
                <w:lang w:val="sr-Cyrl-CS"/>
              </w:rPr>
            </w:pPr>
          </w:p>
        </w:tc>
        <w:tc>
          <w:tcPr>
            <w:tcW w:w="943" w:type="dxa"/>
            <w:tcBorders>
              <w:top w:val="nil"/>
              <w:left w:val="nil"/>
              <w:bottom w:val="nil"/>
              <w:right w:val="nil"/>
            </w:tcBorders>
            <w:shd w:val="clear" w:color="auto" w:fill="auto"/>
          </w:tcPr>
          <w:p w14:paraId="1BEA0A73" w14:textId="77777777" w:rsidR="00191645" w:rsidRPr="007E770D" w:rsidRDefault="00191645" w:rsidP="00191645">
            <w:pPr>
              <w:pStyle w:val="Footer"/>
              <w:ind w:right="284"/>
              <w:jc w:val="right"/>
              <w:rPr>
                <w:rFonts w:cstheme="minorHAnsi"/>
                <w:color w:val="auto"/>
                <w:sz w:val="14"/>
                <w:szCs w:val="14"/>
                <w:lang w:val="sr-Cyrl-CS"/>
              </w:rPr>
            </w:pPr>
          </w:p>
        </w:tc>
      </w:tr>
      <w:tr w:rsidR="007E770D" w:rsidRPr="007E770D" w14:paraId="41B6CA5B" w14:textId="77777777" w:rsidTr="00E4657F">
        <w:trPr>
          <w:jc w:val="center"/>
        </w:trPr>
        <w:tc>
          <w:tcPr>
            <w:tcW w:w="2512" w:type="dxa"/>
            <w:vAlign w:val="bottom"/>
          </w:tcPr>
          <w:p w14:paraId="10D9392F"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AП Војводина</w:t>
            </w:r>
          </w:p>
        </w:tc>
        <w:tc>
          <w:tcPr>
            <w:tcW w:w="1169" w:type="dxa"/>
            <w:tcBorders>
              <w:top w:val="nil"/>
              <w:left w:val="nil"/>
              <w:bottom w:val="nil"/>
              <w:right w:val="nil"/>
            </w:tcBorders>
            <w:shd w:val="clear" w:color="auto" w:fill="auto"/>
          </w:tcPr>
          <w:p w14:paraId="7873836E" w14:textId="37FD932A"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0,0</w:t>
            </w:r>
          </w:p>
        </w:tc>
        <w:tc>
          <w:tcPr>
            <w:tcW w:w="1701" w:type="dxa"/>
            <w:tcBorders>
              <w:top w:val="nil"/>
              <w:left w:val="nil"/>
              <w:bottom w:val="nil"/>
              <w:right w:val="nil"/>
            </w:tcBorders>
            <w:shd w:val="clear" w:color="auto" w:fill="auto"/>
          </w:tcPr>
          <w:p w14:paraId="02861E7B" w14:textId="16037698" w:rsidR="00191645" w:rsidRPr="007E770D" w:rsidRDefault="00191645" w:rsidP="00191645">
            <w:pPr>
              <w:pStyle w:val="Footer"/>
              <w:ind w:right="510"/>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6E4C108C" w14:textId="1DE971DF"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7723D015" w14:textId="77777777" w:rsidR="00191645" w:rsidRPr="007E770D" w:rsidRDefault="00191645" w:rsidP="00191645">
            <w:pPr>
              <w:pStyle w:val="Footer"/>
              <w:ind w:right="227"/>
              <w:jc w:val="right"/>
              <w:rPr>
                <w:rFonts w:cstheme="minorHAnsi"/>
                <w:color w:val="auto"/>
                <w:sz w:val="14"/>
                <w:szCs w:val="14"/>
                <w:lang w:val="sr-Cyrl-CS"/>
              </w:rPr>
            </w:pPr>
          </w:p>
        </w:tc>
        <w:tc>
          <w:tcPr>
            <w:tcW w:w="993" w:type="dxa"/>
            <w:tcBorders>
              <w:top w:val="nil"/>
              <w:left w:val="nil"/>
              <w:bottom w:val="nil"/>
              <w:right w:val="nil"/>
            </w:tcBorders>
            <w:shd w:val="clear" w:color="auto" w:fill="auto"/>
          </w:tcPr>
          <w:p w14:paraId="33F2A4E6" w14:textId="77777777" w:rsidR="00191645" w:rsidRPr="007E770D" w:rsidRDefault="00191645" w:rsidP="00191645">
            <w:pPr>
              <w:pStyle w:val="Footer"/>
              <w:ind w:right="227"/>
              <w:jc w:val="right"/>
              <w:rPr>
                <w:rFonts w:cstheme="minorHAnsi"/>
                <w:color w:val="auto"/>
                <w:sz w:val="14"/>
                <w:szCs w:val="14"/>
                <w:lang w:val="sr-Cyrl-CS"/>
              </w:rPr>
            </w:pPr>
          </w:p>
        </w:tc>
        <w:tc>
          <w:tcPr>
            <w:tcW w:w="1032" w:type="dxa"/>
            <w:tcBorders>
              <w:top w:val="nil"/>
              <w:left w:val="nil"/>
              <w:bottom w:val="nil"/>
              <w:right w:val="nil"/>
            </w:tcBorders>
            <w:shd w:val="clear" w:color="auto" w:fill="auto"/>
          </w:tcPr>
          <w:p w14:paraId="7EACDB5A" w14:textId="77777777"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4867F6B1" w14:textId="7BBF95E4"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0,0</w:t>
            </w:r>
          </w:p>
        </w:tc>
        <w:tc>
          <w:tcPr>
            <w:tcW w:w="992" w:type="dxa"/>
            <w:tcBorders>
              <w:top w:val="nil"/>
              <w:left w:val="nil"/>
              <w:bottom w:val="nil"/>
              <w:right w:val="nil"/>
            </w:tcBorders>
            <w:shd w:val="clear" w:color="auto" w:fill="auto"/>
          </w:tcPr>
          <w:p w14:paraId="576FCCD3" w14:textId="77777777" w:rsidR="00191645" w:rsidRPr="007E770D" w:rsidRDefault="00191645" w:rsidP="00191645">
            <w:pPr>
              <w:pStyle w:val="Footer"/>
              <w:ind w:right="227"/>
              <w:jc w:val="right"/>
              <w:rPr>
                <w:rFonts w:cstheme="minorHAnsi"/>
                <w:color w:val="auto"/>
                <w:sz w:val="14"/>
                <w:szCs w:val="14"/>
                <w:lang w:val="sr-Cyrl-CS"/>
              </w:rPr>
            </w:pPr>
          </w:p>
        </w:tc>
        <w:tc>
          <w:tcPr>
            <w:tcW w:w="851" w:type="dxa"/>
            <w:tcBorders>
              <w:top w:val="nil"/>
              <w:left w:val="nil"/>
              <w:bottom w:val="nil"/>
              <w:right w:val="nil"/>
            </w:tcBorders>
            <w:shd w:val="clear" w:color="auto" w:fill="auto"/>
          </w:tcPr>
          <w:p w14:paraId="7711A366" w14:textId="77777777" w:rsidR="00191645" w:rsidRPr="007E770D" w:rsidRDefault="00191645" w:rsidP="00191645">
            <w:pPr>
              <w:pStyle w:val="Footer"/>
              <w:ind w:right="170"/>
              <w:jc w:val="right"/>
              <w:rPr>
                <w:rFonts w:cstheme="minorHAnsi"/>
                <w:color w:val="auto"/>
                <w:sz w:val="14"/>
                <w:szCs w:val="14"/>
                <w:lang w:val="sr-Cyrl-CS"/>
              </w:rPr>
            </w:pPr>
          </w:p>
        </w:tc>
        <w:tc>
          <w:tcPr>
            <w:tcW w:w="1000" w:type="dxa"/>
            <w:tcBorders>
              <w:top w:val="nil"/>
              <w:left w:val="nil"/>
              <w:bottom w:val="nil"/>
              <w:right w:val="nil"/>
            </w:tcBorders>
            <w:shd w:val="clear" w:color="auto" w:fill="auto"/>
          </w:tcPr>
          <w:p w14:paraId="7AB67DB5" w14:textId="77777777" w:rsidR="00191645" w:rsidRPr="007E770D" w:rsidRDefault="00191645" w:rsidP="00191645">
            <w:pPr>
              <w:pStyle w:val="Footer"/>
              <w:ind w:right="284"/>
              <w:jc w:val="right"/>
              <w:rPr>
                <w:rFonts w:cstheme="minorHAnsi"/>
                <w:color w:val="auto"/>
                <w:sz w:val="14"/>
                <w:szCs w:val="14"/>
                <w:lang w:val="sr-Cyrl-CS"/>
              </w:rPr>
            </w:pPr>
          </w:p>
        </w:tc>
        <w:tc>
          <w:tcPr>
            <w:tcW w:w="943" w:type="dxa"/>
            <w:tcBorders>
              <w:top w:val="nil"/>
              <w:left w:val="nil"/>
              <w:bottom w:val="nil"/>
              <w:right w:val="nil"/>
            </w:tcBorders>
            <w:shd w:val="clear" w:color="auto" w:fill="auto"/>
          </w:tcPr>
          <w:p w14:paraId="46017A1F" w14:textId="77777777" w:rsidR="00191645" w:rsidRPr="007E770D" w:rsidRDefault="00191645" w:rsidP="00191645">
            <w:pPr>
              <w:pStyle w:val="Footer"/>
              <w:ind w:right="284"/>
              <w:jc w:val="right"/>
              <w:rPr>
                <w:rFonts w:cstheme="minorHAnsi"/>
                <w:color w:val="auto"/>
                <w:sz w:val="14"/>
                <w:szCs w:val="14"/>
                <w:lang w:val="sr-Cyrl-CS"/>
              </w:rPr>
            </w:pPr>
          </w:p>
        </w:tc>
      </w:tr>
      <w:tr w:rsidR="007E770D" w:rsidRPr="007E770D" w14:paraId="31C25C97" w14:textId="77777777" w:rsidTr="00E4657F">
        <w:trPr>
          <w:jc w:val="center"/>
        </w:trPr>
        <w:tc>
          <w:tcPr>
            <w:tcW w:w="2512" w:type="dxa"/>
            <w:vAlign w:val="bottom"/>
          </w:tcPr>
          <w:p w14:paraId="1C7DEFC2"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Фонд ПИО</w:t>
            </w:r>
          </w:p>
        </w:tc>
        <w:tc>
          <w:tcPr>
            <w:tcW w:w="1169" w:type="dxa"/>
            <w:tcBorders>
              <w:top w:val="nil"/>
              <w:left w:val="nil"/>
              <w:bottom w:val="nil"/>
              <w:right w:val="nil"/>
            </w:tcBorders>
            <w:shd w:val="clear" w:color="auto" w:fill="auto"/>
          </w:tcPr>
          <w:p w14:paraId="2663B221" w14:textId="40E00200"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61,8</w:t>
            </w:r>
          </w:p>
        </w:tc>
        <w:tc>
          <w:tcPr>
            <w:tcW w:w="1701" w:type="dxa"/>
            <w:tcBorders>
              <w:top w:val="nil"/>
              <w:left w:val="nil"/>
              <w:bottom w:val="nil"/>
              <w:right w:val="nil"/>
            </w:tcBorders>
            <w:shd w:val="clear" w:color="auto" w:fill="auto"/>
          </w:tcPr>
          <w:p w14:paraId="59B56EDC" w14:textId="6CB99A6E" w:rsidR="00191645" w:rsidRPr="007E770D" w:rsidRDefault="00191645" w:rsidP="00191645">
            <w:pPr>
              <w:pStyle w:val="Footer"/>
              <w:ind w:right="510"/>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206AC3B8" w14:textId="27666566"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3AE31C7F" w14:textId="77777777" w:rsidR="00191645" w:rsidRPr="007E770D" w:rsidRDefault="00191645" w:rsidP="00191645">
            <w:pPr>
              <w:pStyle w:val="Footer"/>
              <w:ind w:right="227"/>
              <w:jc w:val="right"/>
              <w:rPr>
                <w:rFonts w:cstheme="minorHAnsi"/>
                <w:color w:val="auto"/>
                <w:sz w:val="14"/>
                <w:szCs w:val="14"/>
                <w:lang w:val="sr-Cyrl-CS"/>
              </w:rPr>
            </w:pPr>
          </w:p>
        </w:tc>
        <w:tc>
          <w:tcPr>
            <w:tcW w:w="993" w:type="dxa"/>
            <w:tcBorders>
              <w:top w:val="nil"/>
              <w:left w:val="nil"/>
              <w:bottom w:val="nil"/>
              <w:right w:val="nil"/>
            </w:tcBorders>
            <w:shd w:val="clear" w:color="auto" w:fill="auto"/>
          </w:tcPr>
          <w:p w14:paraId="35C905E2" w14:textId="77777777" w:rsidR="00191645" w:rsidRPr="007E770D" w:rsidRDefault="00191645" w:rsidP="00191645">
            <w:pPr>
              <w:pStyle w:val="Footer"/>
              <w:ind w:right="227"/>
              <w:jc w:val="right"/>
              <w:rPr>
                <w:rFonts w:cstheme="minorHAnsi"/>
                <w:color w:val="auto"/>
                <w:sz w:val="14"/>
                <w:szCs w:val="14"/>
                <w:lang w:val="sr-Cyrl-CS"/>
              </w:rPr>
            </w:pPr>
          </w:p>
        </w:tc>
        <w:tc>
          <w:tcPr>
            <w:tcW w:w="1032" w:type="dxa"/>
            <w:tcBorders>
              <w:top w:val="nil"/>
              <w:left w:val="nil"/>
              <w:bottom w:val="nil"/>
              <w:right w:val="nil"/>
            </w:tcBorders>
            <w:shd w:val="clear" w:color="auto" w:fill="auto"/>
          </w:tcPr>
          <w:p w14:paraId="7BF38F75" w14:textId="77777777"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49D36BF9" w14:textId="01C36863"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61,8</w:t>
            </w:r>
          </w:p>
        </w:tc>
        <w:tc>
          <w:tcPr>
            <w:tcW w:w="992" w:type="dxa"/>
            <w:tcBorders>
              <w:top w:val="nil"/>
              <w:left w:val="nil"/>
              <w:bottom w:val="nil"/>
              <w:right w:val="nil"/>
            </w:tcBorders>
            <w:shd w:val="clear" w:color="auto" w:fill="auto"/>
          </w:tcPr>
          <w:p w14:paraId="4EE1FBA9" w14:textId="77777777" w:rsidR="00191645" w:rsidRPr="007E770D" w:rsidRDefault="00191645" w:rsidP="00191645">
            <w:pPr>
              <w:pStyle w:val="Footer"/>
              <w:ind w:right="227"/>
              <w:jc w:val="right"/>
              <w:rPr>
                <w:rFonts w:cstheme="minorHAnsi"/>
                <w:color w:val="auto"/>
                <w:sz w:val="14"/>
                <w:szCs w:val="14"/>
                <w:lang w:val="sr-Cyrl-CS"/>
              </w:rPr>
            </w:pPr>
          </w:p>
        </w:tc>
        <w:tc>
          <w:tcPr>
            <w:tcW w:w="851" w:type="dxa"/>
            <w:tcBorders>
              <w:top w:val="nil"/>
              <w:left w:val="nil"/>
              <w:bottom w:val="nil"/>
              <w:right w:val="nil"/>
            </w:tcBorders>
            <w:shd w:val="clear" w:color="auto" w:fill="auto"/>
          </w:tcPr>
          <w:p w14:paraId="4E8051D1" w14:textId="4A9D5739" w:rsidR="00191645" w:rsidRPr="007E770D" w:rsidRDefault="00191645" w:rsidP="00191645">
            <w:pPr>
              <w:pStyle w:val="Footer"/>
              <w:ind w:right="170"/>
              <w:jc w:val="right"/>
              <w:rPr>
                <w:rFonts w:cstheme="minorHAnsi"/>
                <w:color w:val="auto"/>
                <w:sz w:val="14"/>
                <w:szCs w:val="14"/>
                <w:lang w:val="sr-Cyrl-CS"/>
              </w:rPr>
            </w:pPr>
            <w:r w:rsidRPr="007E770D">
              <w:rPr>
                <w:color w:val="auto"/>
                <w:sz w:val="14"/>
                <w:szCs w:val="14"/>
                <w:lang w:val="sr-Cyrl-CS"/>
              </w:rPr>
              <w:t>59,2</w:t>
            </w:r>
          </w:p>
        </w:tc>
        <w:tc>
          <w:tcPr>
            <w:tcW w:w="1000" w:type="dxa"/>
            <w:tcBorders>
              <w:top w:val="nil"/>
              <w:left w:val="nil"/>
              <w:bottom w:val="nil"/>
              <w:right w:val="nil"/>
            </w:tcBorders>
            <w:shd w:val="clear" w:color="auto" w:fill="auto"/>
          </w:tcPr>
          <w:p w14:paraId="2BCFAD72" w14:textId="77777777" w:rsidR="00191645" w:rsidRPr="007E770D" w:rsidRDefault="00191645" w:rsidP="00191645">
            <w:pPr>
              <w:pStyle w:val="Footer"/>
              <w:ind w:right="284"/>
              <w:jc w:val="right"/>
              <w:rPr>
                <w:rFonts w:cstheme="minorHAnsi"/>
                <w:color w:val="auto"/>
                <w:sz w:val="14"/>
                <w:szCs w:val="14"/>
                <w:lang w:val="sr-Cyrl-CS"/>
              </w:rPr>
            </w:pPr>
          </w:p>
        </w:tc>
        <w:tc>
          <w:tcPr>
            <w:tcW w:w="943" w:type="dxa"/>
            <w:tcBorders>
              <w:top w:val="nil"/>
              <w:left w:val="nil"/>
              <w:bottom w:val="nil"/>
              <w:right w:val="nil"/>
            </w:tcBorders>
            <w:shd w:val="clear" w:color="auto" w:fill="auto"/>
          </w:tcPr>
          <w:p w14:paraId="593DC52E" w14:textId="45EB1663"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2,6</w:t>
            </w:r>
          </w:p>
        </w:tc>
      </w:tr>
      <w:tr w:rsidR="007E770D" w:rsidRPr="007E770D" w14:paraId="778E88BD" w14:textId="77777777" w:rsidTr="00E4657F">
        <w:trPr>
          <w:jc w:val="center"/>
        </w:trPr>
        <w:tc>
          <w:tcPr>
            <w:tcW w:w="2512" w:type="dxa"/>
            <w:vAlign w:val="bottom"/>
          </w:tcPr>
          <w:p w14:paraId="0866CF65"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РФЗО</w:t>
            </w:r>
          </w:p>
        </w:tc>
        <w:tc>
          <w:tcPr>
            <w:tcW w:w="1169" w:type="dxa"/>
            <w:tcBorders>
              <w:top w:val="nil"/>
              <w:left w:val="nil"/>
              <w:bottom w:val="nil"/>
              <w:right w:val="nil"/>
            </w:tcBorders>
            <w:shd w:val="clear" w:color="auto" w:fill="auto"/>
          </w:tcPr>
          <w:p w14:paraId="6B2F148E" w14:textId="6D31FE96"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3,5</w:t>
            </w:r>
          </w:p>
        </w:tc>
        <w:tc>
          <w:tcPr>
            <w:tcW w:w="1701" w:type="dxa"/>
            <w:tcBorders>
              <w:top w:val="nil"/>
              <w:left w:val="nil"/>
              <w:bottom w:val="nil"/>
              <w:right w:val="nil"/>
            </w:tcBorders>
            <w:shd w:val="clear" w:color="auto" w:fill="auto"/>
          </w:tcPr>
          <w:p w14:paraId="083474A4" w14:textId="3200AD70" w:rsidR="00191645" w:rsidRPr="007E770D" w:rsidRDefault="00191645" w:rsidP="00191645">
            <w:pPr>
              <w:pStyle w:val="Footer"/>
              <w:ind w:right="510"/>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5F6B5E2A" w14:textId="5F0A7FB9"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35086001" w14:textId="77777777" w:rsidR="00191645" w:rsidRPr="007E770D" w:rsidRDefault="00191645" w:rsidP="00191645">
            <w:pPr>
              <w:pStyle w:val="Footer"/>
              <w:ind w:right="227"/>
              <w:jc w:val="right"/>
              <w:rPr>
                <w:rFonts w:cstheme="minorHAnsi"/>
                <w:color w:val="auto"/>
                <w:sz w:val="14"/>
                <w:szCs w:val="14"/>
                <w:lang w:val="sr-Cyrl-CS"/>
              </w:rPr>
            </w:pPr>
          </w:p>
        </w:tc>
        <w:tc>
          <w:tcPr>
            <w:tcW w:w="993" w:type="dxa"/>
            <w:tcBorders>
              <w:top w:val="nil"/>
              <w:left w:val="nil"/>
              <w:bottom w:val="nil"/>
              <w:right w:val="nil"/>
            </w:tcBorders>
            <w:shd w:val="clear" w:color="auto" w:fill="auto"/>
          </w:tcPr>
          <w:p w14:paraId="1D57CBAD" w14:textId="77777777" w:rsidR="00191645" w:rsidRPr="007E770D" w:rsidRDefault="00191645" w:rsidP="00191645">
            <w:pPr>
              <w:pStyle w:val="Footer"/>
              <w:ind w:right="227"/>
              <w:jc w:val="right"/>
              <w:rPr>
                <w:rFonts w:cstheme="minorHAnsi"/>
                <w:color w:val="auto"/>
                <w:sz w:val="14"/>
                <w:szCs w:val="14"/>
                <w:lang w:val="sr-Cyrl-CS"/>
              </w:rPr>
            </w:pPr>
          </w:p>
        </w:tc>
        <w:tc>
          <w:tcPr>
            <w:tcW w:w="1032" w:type="dxa"/>
            <w:tcBorders>
              <w:top w:val="nil"/>
              <w:left w:val="nil"/>
              <w:bottom w:val="nil"/>
              <w:right w:val="nil"/>
            </w:tcBorders>
            <w:shd w:val="clear" w:color="auto" w:fill="auto"/>
          </w:tcPr>
          <w:p w14:paraId="4C2D5FFF" w14:textId="77777777"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03C8A3AA" w14:textId="1E625EC0"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3,5</w:t>
            </w:r>
          </w:p>
        </w:tc>
        <w:tc>
          <w:tcPr>
            <w:tcW w:w="992" w:type="dxa"/>
            <w:tcBorders>
              <w:top w:val="nil"/>
              <w:left w:val="nil"/>
              <w:bottom w:val="nil"/>
              <w:right w:val="nil"/>
            </w:tcBorders>
            <w:shd w:val="clear" w:color="auto" w:fill="auto"/>
          </w:tcPr>
          <w:p w14:paraId="433B650F" w14:textId="3F259594"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3,5</w:t>
            </w:r>
          </w:p>
        </w:tc>
        <w:tc>
          <w:tcPr>
            <w:tcW w:w="851" w:type="dxa"/>
            <w:tcBorders>
              <w:top w:val="nil"/>
              <w:left w:val="nil"/>
              <w:bottom w:val="nil"/>
              <w:right w:val="nil"/>
            </w:tcBorders>
            <w:shd w:val="clear" w:color="auto" w:fill="auto"/>
          </w:tcPr>
          <w:p w14:paraId="58A0C20C" w14:textId="77777777" w:rsidR="00191645" w:rsidRPr="007E770D" w:rsidRDefault="00191645" w:rsidP="00191645">
            <w:pPr>
              <w:pStyle w:val="Footer"/>
              <w:ind w:right="170"/>
              <w:jc w:val="right"/>
              <w:rPr>
                <w:rFonts w:cstheme="minorHAnsi"/>
                <w:color w:val="auto"/>
                <w:sz w:val="14"/>
                <w:szCs w:val="14"/>
                <w:lang w:val="sr-Cyrl-CS"/>
              </w:rPr>
            </w:pPr>
          </w:p>
        </w:tc>
        <w:tc>
          <w:tcPr>
            <w:tcW w:w="1000" w:type="dxa"/>
            <w:tcBorders>
              <w:top w:val="nil"/>
              <w:left w:val="nil"/>
              <w:bottom w:val="nil"/>
              <w:right w:val="nil"/>
            </w:tcBorders>
            <w:shd w:val="clear" w:color="auto" w:fill="auto"/>
          </w:tcPr>
          <w:p w14:paraId="2A4118C8" w14:textId="77777777" w:rsidR="00191645" w:rsidRPr="007E770D" w:rsidRDefault="00191645" w:rsidP="00191645">
            <w:pPr>
              <w:pStyle w:val="Footer"/>
              <w:ind w:right="284"/>
              <w:jc w:val="right"/>
              <w:rPr>
                <w:rFonts w:cstheme="minorHAnsi"/>
                <w:color w:val="auto"/>
                <w:sz w:val="14"/>
                <w:szCs w:val="14"/>
                <w:lang w:val="sr-Cyrl-CS"/>
              </w:rPr>
            </w:pPr>
          </w:p>
        </w:tc>
        <w:tc>
          <w:tcPr>
            <w:tcW w:w="943" w:type="dxa"/>
            <w:tcBorders>
              <w:top w:val="nil"/>
              <w:left w:val="nil"/>
              <w:bottom w:val="nil"/>
              <w:right w:val="nil"/>
            </w:tcBorders>
            <w:shd w:val="clear" w:color="auto" w:fill="auto"/>
          </w:tcPr>
          <w:p w14:paraId="1E608301" w14:textId="77777777" w:rsidR="00191645" w:rsidRPr="007E770D" w:rsidRDefault="00191645" w:rsidP="00191645">
            <w:pPr>
              <w:pStyle w:val="Footer"/>
              <w:ind w:right="284"/>
              <w:jc w:val="right"/>
              <w:rPr>
                <w:rFonts w:cstheme="minorHAnsi"/>
                <w:color w:val="auto"/>
                <w:sz w:val="14"/>
                <w:szCs w:val="14"/>
                <w:lang w:val="sr-Cyrl-CS"/>
              </w:rPr>
            </w:pPr>
          </w:p>
        </w:tc>
      </w:tr>
      <w:tr w:rsidR="007E770D" w:rsidRPr="007E770D" w14:paraId="3FB05A6A" w14:textId="77777777" w:rsidTr="00E4657F">
        <w:trPr>
          <w:jc w:val="center"/>
        </w:trPr>
        <w:tc>
          <w:tcPr>
            <w:tcW w:w="2512" w:type="dxa"/>
            <w:vAlign w:val="bottom"/>
          </w:tcPr>
          <w:p w14:paraId="3220B086"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НСЗ</w:t>
            </w:r>
          </w:p>
        </w:tc>
        <w:tc>
          <w:tcPr>
            <w:tcW w:w="1169" w:type="dxa"/>
            <w:tcBorders>
              <w:top w:val="nil"/>
              <w:left w:val="nil"/>
              <w:bottom w:val="nil"/>
              <w:right w:val="nil"/>
            </w:tcBorders>
            <w:shd w:val="clear" w:color="auto" w:fill="auto"/>
          </w:tcPr>
          <w:p w14:paraId="2B20D3E1" w14:textId="25E3D115"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4,1</w:t>
            </w:r>
          </w:p>
        </w:tc>
        <w:tc>
          <w:tcPr>
            <w:tcW w:w="1701" w:type="dxa"/>
            <w:tcBorders>
              <w:top w:val="nil"/>
              <w:left w:val="nil"/>
              <w:bottom w:val="nil"/>
              <w:right w:val="nil"/>
            </w:tcBorders>
            <w:shd w:val="clear" w:color="auto" w:fill="auto"/>
          </w:tcPr>
          <w:p w14:paraId="256D385B" w14:textId="2FD8CC2D" w:rsidR="00191645" w:rsidRPr="007E770D" w:rsidRDefault="00191645" w:rsidP="00191645">
            <w:pPr>
              <w:pStyle w:val="Footer"/>
              <w:ind w:right="510"/>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6A17B7D3" w14:textId="2B1DA102"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2AF3FF68" w14:textId="77777777" w:rsidR="00191645" w:rsidRPr="007E770D" w:rsidRDefault="00191645" w:rsidP="00191645">
            <w:pPr>
              <w:pStyle w:val="Footer"/>
              <w:ind w:right="227"/>
              <w:jc w:val="right"/>
              <w:rPr>
                <w:rFonts w:cstheme="minorHAnsi"/>
                <w:color w:val="auto"/>
                <w:sz w:val="14"/>
                <w:szCs w:val="14"/>
                <w:lang w:val="sr-Cyrl-CS"/>
              </w:rPr>
            </w:pPr>
          </w:p>
        </w:tc>
        <w:tc>
          <w:tcPr>
            <w:tcW w:w="993" w:type="dxa"/>
            <w:tcBorders>
              <w:top w:val="nil"/>
              <w:left w:val="nil"/>
              <w:bottom w:val="nil"/>
              <w:right w:val="nil"/>
            </w:tcBorders>
            <w:shd w:val="clear" w:color="auto" w:fill="auto"/>
          </w:tcPr>
          <w:p w14:paraId="6D9A05E1" w14:textId="77777777" w:rsidR="00191645" w:rsidRPr="007E770D" w:rsidRDefault="00191645" w:rsidP="00191645">
            <w:pPr>
              <w:pStyle w:val="Footer"/>
              <w:ind w:right="227"/>
              <w:jc w:val="right"/>
              <w:rPr>
                <w:rFonts w:cstheme="minorHAnsi"/>
                <w:color w:val="auto"/>
                <w:sz w:val="14"/>
                <w:szCs w:val="14"/>
                <w:lang w:val="sr-Cyrl-CS"/>
              </w:rPr>
            </w:pPr>
          </w:p>
        </w:tc>
        <w:tc>
          <w:tcPr>
            <w:tcW w:w="1032" w:type="dxa"/>
            <w:tcBorders>
              <w:top w:val="nil"/>
              <w:left w:val="nil"/>
              <w:bottom w:val="nil"/>
              <w:right w:val="nil"/>
            </w:tcBorders>
            <w:shd w:val="clear" w:color="auto" w:fill="auto"/>
          </w:tcPr>
          <w:p w14:paraId="48E0856B" w14:textId="77777777"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686B3D4C" w14:textId="3794928D"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4,1</w:t>
            </w:r>
          </w:p>
        </w:tc>
        <w:tc>
          <w:tcPr>
            <w:tcW w:w="992" w:type="dxa"/>
            <w:tcBorders>
              <w:top w:val="nil"/>
              <w:left w:val="nil"/>
              <w:bottom w:val="nil"/>
              <w:right w:val="nil"/>
            </w:tcBorders>
            <w:shd w:val="clear" w:color="auto" w:fill="auto"/>
          </w:tcPr>
          <w:p w14:paraId="751B8E3B" w14:textId="443C5B6C"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2,9</w:t>
            </w:r>
          </w:p>
        </w:tc>
        <w:tc>
          <w:tcPr>
            <w:tcW w:w="851" w:type="dxa"/>
            <w:tcBorders>
              <w:top w:val="nil"/>
              <w:left w:val="nil"/>
              <w:bottom w:val="nil"/>
              <w:right w:val="nil"/>
            </w:tcBorders>
            <w:shd w:val="clear" w:color="auto" w:fill="auto"/>
          </w:tcPr>
          <w:p w14:paraId="3D2C76C7" w14:textId="4C507964" w:rsidR="00191645" w:rsidRPr="007E770D" w:rsidRDefault="00191645" w:rsidP="00191645">
            <w:pPr>
              <w:pStyle w:val="Footer"/>
              <w:ind w:right="170"/>
              <w:jc w:val="right"/>
              <w:rPr>
                <w:rFonts w:cstheme="minorHAnsi"/>
                <w:color w:val="auto"/>
                <w:sz w:val="14"/>
                <w:szCs w:val="14"/>
                <w:lang w:val="sr-Cyrl-CS"/>
              </w:rPr>
            </w:pPr>
            <w:r w:rsidRPr="007E770D">
              <w:rPr>
                <w:color w:val="auto"/>
                <w:sz w:val="14"/>
                <w:szCs w:val="14"/>
                <w:lang w:val="sr-Cyrl-CS"/>
              </w:rPr>
              <w:t>1,2</w:t>
            </w:r>
          </w:p>
        </w:tc>
        <w:tc>
          <w:tcPr>
            <w:tcW w:w="1000" w:type="dxa"/>
            <w:tcBorders>
              <w:top w:val="nil"/>
              <w:left w:val="nil"/>
              <w:bottom w:val="nil"/>
              <w:right w:val="nil"/>
            </w:tcBorders>
            <w:shd w:val="clear" w:color="auto" w:fill="auto"/>
          </w:tcPr>
          <w:p w14:paraId="6DD5882E" w14:textId="77777777" w:rsidR="00191645" w:rsidRPr="007E770D" w:rsidRDefault="00191645" w:rsidP="00191645">
            <w:pPr>
              <w:pStyle w:val="Footer"/>
              <w:ind w:right="284"/>
              <w:jc w:val="right"/>
              <w:rPr>
                <w:rFonts w:cstheme="minorHAnsi"/>
                <w:color w:val="auto"/>
                <w:sz w:val="14"/>
                <w:szCs w:val="14"/>
                <w:lang w:val="sr-Cyrl-CS"/>
              </w:rPr>
            </w:pPr>
          </w:p>
        </w:tc>
        <w:tc>
          <w:tcPr>
            <w:tcW w:w="943" w:type="dxa"/>
            <w:tcBorders>
              <w:top w:val="nil"/>
              <w:left w:val="nil"/>
              <w:bottom w:val="nil"/>
              <w:right w:val="nil"/>
            </w:tcBorders>
            <w:shd w:val="clear" w:color="auto" w:fill="auto"/>
          </w:tcPr>
          <w:p w14:paraId="33D64F63" w14:textId="77777777" w:rsidR="00191645" w:rsidRPr="007E770D" w:rsidRDefault="00191645" w:rsidP="00191645">
            <w:pPr>
              <w:pStyle w:val="Footer"/>
              <w:ind w:right="284"/>
              <w:jc w:val="right"/>
              <w:rPr>
                <w:rFonts w:cstheme="minorHAnsi"/>
                <w:color w:val="auto"/>
                <w:sz w:val="14"/>
                <w:szCs w:val="14"/>
                <w:lang w:val="sr-Cyrl-CS"/>
              </w:rPr>
            </w:pPr>
          </w:p>
        </w:tc>
      </w:tr>
      <w:tr w:rsidR="007E770D" w:rsidRPr="007E770D" w14:paraId="35ECBE98" w14:textId="77777777" w:rsidTr="00E4657F">
        <w:trPr>
          <w:jc w:val="center"/>
        </w:trPr>
        <w:tc>
          <w:tcPr>
            <w:tcW w:w="2512" w:type="dxa"/>
            <w:vAlign w:val="bottom"/>
          </w:tcPr>
          <w:p w14:paraId="6B8958FD"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Фонд СОВО</w:t>
            </w:r>
          </w:p>
        </w:tc>
        <w:tc>
          <w:tcPr>
            <w:tcW w:w="1169" w:type="dxa"/>
            <w:tcBorders>
              <w:top w:val="nil"/>
              <w:left w:val="nil"/>
              <w:bottom w:val="nil"/>
              <w:right w:val="nil"/>
            </w:tcBorders>
            <w:shd w:val="clear" w:color="auto" w:fill="auto"/>
          </w:tcPr>
          <w:p w14:paraId="0F27E2DD" w14:textId="338BCA5E"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0,0</w:t>
            </w:r>
          </w:p>
        </w:tc>
        <w:tc>
          <w:tcPr>
            <w:tcW w:w="1701" w:type="dxa"/>
            <w:tcBorders>
              <w:top w:val="nil"/>
              <w:left w:val="nil"/>
              <w:bottom w:val="nil"/>
              <w:right w:val="nil"/>
            </w:tcBorders>
            <w:shd w:val="clear" w:color="auto" w:fill="auto"/>
          </w:tcPr>
          <w:p w14:paraId="083702FE" w14:textId="14DF5669" w:rsidR="00191645" w:rsidRPr="007E770D" w:rsidRDefault="00191645" w:rsidP="00191645">
            <w:pPr>
              <w:pStyle w:val="Footer"/>
              <w:ind w:right="510"/>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417A816C" w14:textId="5702C0F3"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13C3DA17" w14:textId="77777777" w:rsidR="00191645" w:rsidRPr="007E770D" w:rsidRDefault="00191645" w:rsidP="00191645">
            <w:pPr>
              <w:pStyle w:val="Footer"/>
              <w:ind w:right="227"/>
              <w:jc w:val="right"/>
              <w:rPr>
                <w:rFonts w:cstheme="minorHAnsi"/>
                <w:color w:val="auto"/>
                <w:sz w:val="14"/>
                <w:szCs w:val="14"/>
                <w:lang w:val="sr-Cyrl-CS"/>
              </w:rPr>
            </w:pPr>
          </w:p>
        </w:tc>
        <w:tc>
          <w:tcPr>
            <w:tcW w:w="993" w:type="dxa"/>
            <w:tcBorders>
              <w:top w:val="nil"/>
              <w:left w:val="nil"/>
              <w:bottom w:val="nil"/>
              <w:right w:val="nil"/>
            </w:tcBorders>
            <w:shd w:val="clear" w:color="auto" w:fill="auto"/>
          </w:tcPr>
          <w:p w14:paraId="5B924D44" w14:textId="77777777" w:rsidR="00191645" w:rsidRPr="007E770D" w:rsidRDefault="00191645" w:rsidP="00191645">
            <w:pPr>
              <w:pStyle w:val="Footer"/>
              <w:ind w:right="227"/>
              <w:jc w:val="right"/>
              <w:rPr>
                <w:rFonts w:cstheme="minorHAnsi"/>
                <w:color w:val="auto"/>
                <w:sz w:val="14"/>
                <w:szCs w:val="14"/>
                <w:lang w:val="sr-Cyrl-CS"/>
              </w:rPr>
            </w:pPr>
          </w:p>
        </w:tc>
        <w:tc>
          <w:tcPr>
            <w:tcW w:w="1032" w:type="dxa"/>
            <w:tcBorders>
              <w:top w:val="nil"/>
              <w:left w:val="nil"/>
              <w:bottom w:val="nil"/>
              <w:right w:val="nil"/>
            </w:tcBorders>
            <w:shd w:val="clear" w:color="auto" w:fill="auto"/>
          </w:tcPr>
          <w:p w14:paraId="16AB0A4A" w14:textId="77777777"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3AB67187" w14:textId="68B4F981"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0,0</w:t>
            </w:r>
          </w:p>
        </w:tc>
        <w:tc>
          <w:tcPr>
            <w:tcW w:w="992" w:type="dxa"/>
            <w:tcBorders>
              <w:top w:val="nil"/>
              <w:left w:val="nil"/>
              <w:bottom w:val="nil"/>
              <w:right w:val="nil"/>
            </w:tcBorders>
            <w:shd w:val="clear" w:color="auto" w:fill="auto"/>
          </w:tcPr>
          <w:p w14:paraId="042E2E2D" w14:textId="77777777" w:rsidR="00191645" w:rsidRPr="007E770D" w:rsidRDefault="00191645" w:rsidP="00191645">
            <w:pPr>
              <w:pStyle w:val="Footer"/>
              <w:ind w:right="227"/>
              <w:jc w:val="right"/>
              <w:rPr>
                <w:rFonts w:cstheme="minorHAnsi"/>
                <w:color w:val="auto"/>
                <w:sz w:val="14"/>
                <w:szCs w:val="14"/>
                <w:lang w:val="sr-Cyrl-CS"/>
              </w:rPr>
            </w:pPr>
          </w:p>
        </w:tc>
        <w:tc>
          <w:tcPr>
            <w:tcW w:w="851" w:type="dxa"/>
            <w:tcBorders>
              <w:top w:val="nil"/>
              <w:left w:val="nil"/>
              <w:bottom w:val="nil"/>
              <w:right w:val="nil"/>
            </w:tcBorders>
            <w:shd w:val="clear" w:color="auto" w:fill="auto"/>
          </w:tcPr>
          <w:p w14:paraId="7AAE1790" w14:textId="77777777" w:rsidR="00191645" w:rsidRPr="007E770D" w:rsidRDefault="00191645" w:rsidP="00191645">
            <w:pPr>
              <w:pStyle w:val="Footer"/>
              <w:ind w:right="170"/>
              <w:jc w:val="right"/>
              <w:rPr>
                <w:rFonts w:cstheme="minorHAnsi"/>
                <w:color w:val="auto"/>
                <w:sz w:val="14"/>
                <w:szCs w:val="14"/>
                <w:lang w:val="sr-Cyrl-CS"/>
              </w:rPr>
            </w:pPr>
          </w:p>
        </w:tc>
        <w:tc>
          <w:tcPr>
            <w:tcW w:w="1000" w:type="dxa"/>
            <w:tcBorders>
              <w:top w:val="nil"/>
              <w:left w:val="nil"/>
              <w:bottom w:val="nil"/>
              <w:right w:val="nil"/>
            </w:tcBorders>
            <w:shd w:val="clear" w:color="auto" w:fill="auto"/>
          </w:tcPr>
          <w:p w14:paraId="03CAD764" w14:textId="77777777" w:rsidR="00191645" w:rsidRPr="007E770D" w:rsidRDefault="00191645" w:rsidP="00191645">
            <w:pPr>
              <w:pStyle w:val="Footer"/>
              <w:ind w:right="284"/>
              <w:jc w:val="right"/>
              <w:rPr>
                <w:rFonts w:cstheme="minorHAnsi"/>
                <w:color w:val="auto"/>
                <w:sz w:val="14"/>
                <w:szCs w:val="14"/>
                <w:lang w:val="sr-Cyrl-CS"/>
              </w:rPr>
            </w:pPr>
          </w:p>
        </w:tc>
        <w:tc>
          <w:tcPr>
            <w:tcW w:w="943" w:type="dxa"/>
            <w:tcBorders>
              <w:top w:val="nil"/>
              <w:left w:val="nil"/>
              <w:bottom w:val="nil"/>
              <w:right w:val="nil"/>
            </w:tcBorders>
            <w:shd w:val="clear" w:color="auto" w:fill="auto"/>
          </w:tcPr>
          <w:p w14:paraId="17B5D658" w14:textId="77777777" w:rsidR="00191645" w:rsidRPr="007E770D" w:rsidRDefault="00191645" w:rsidP="00191645">
            <w:pPr>
              <w:pStyle w:val="Footer"/>
              <w:ind w:right="284"/>
              <w:jc w:val="right"/>
              <w:rPr>
                <w:rFonts w:cstheme="minorHAnsi"/>
                <w:color w:val="auto"/>
                <w:sz w:val="14"/>
                <w:szCs w:val="14"/>
                <w:lang w:val="sr-Cyrl-CS"/>
              </w:rPr>
            </w:pPr>
          </w:p>
        </w:tc>
      </w:tr>
      <w:tr w:rsidR="007E770D" w:rsidRPr="007E770D" w14:paraId="38B99598" w14:textId="77777777" w:rsidTr="00E4657F">
        <w:trPr>
          <w:jc w:val="center"/>
        </w:trPr>
        <w:tc>
          <w:tcPr>
            <w:tcW w:w="2512" w:type="dxa"/>
            <w:vAlign w:val="bottom"/>
          </w:tcPr>
          <w:p w14:paraId="565891C7"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Остали нивои</w:t>
            </w:r>
          </w:p>
        </w:tc>
        <w:tc>
          <w:tcPr>
            <w:tcW w:w="1169" w:type="dxa"/>
            <w:tcBorders>
              <w:top w:val="nil"/>
              <w:left w:val="nil"/>
              <w:bottom w:val="nil"/>
              <w:right w:val="nil"/>
            </w:tcBorders>
            <w:shd w:val="clear" w:color="auto" w:fill="auto"/>
          </w:tcPr>
          <w:p w14:paraId="1EDD60DA" w14:textId="56D813B5"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0,0</w:t>
            </w:r>
          </w:p>
        </w:tc>
        <w:tc>
          <w:tcPr>
            <w:tcW w:w="1701" w:type="dxa"/>
            <w:tcBorders>
              <w:top w:val="nil"/>
              <w:left w:val="nil"/>
              <w:bottom w:val="nil"/>
              <w:right w:val="nil"/>
            </w:tcBorders>
            <w:shd w:val="clear" w:color="auto" w:fill="auto"/>
          </w:tcPr>
          <w:p w14:paraId="2DD951B4" w14:textId="3A78E312" w:rsidR="00191645" w:rsidRPr="007E770D" w:rsidRDefault="00191645" w:rsidP="00191645">
            <w:pPr>
              <w:pStyle w:val="Footer"/>
              <w:ind w:right="510"/>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05203D50" w14:textId="4AABEBA0"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40DCCE26" w14:textId="77777777" w:rsidR="00191645" w:rsidRPr="007E770D" w:rsidRDefault="00191645" w:rsidP="00191645">
            <w:pPr>
              <w:pStyle w:val="Footer"/>
              <w:ind w:right="227"/>
              <w:jc w:val="right"/>
              <w:rPr>
                <w:rFonts w:cstheme="minorHAnsi"/>
                <w:color w:val="auto"/>
                <w:sz w:val="14"/>
                <w:szCs w:val="14"/>
                <w:lang w:val="sr-Cyrl-CS"/>
              </w:rPr>
            </w:pPr>
          </w:p>
        </w:tc>
        <w:tc>
          <w:tcPr>
            <w:tcW w:w="993" w:type="dxa"/>
            <w:tcBorders>
              <w:top w:val="nil"/>
              <w:left w:val="nil"/>
              <w:bottom w:val="nil"/>
              <w:right w:val="nil"/>
            </w:tcBorders>
            <w:shd w:val="clear" w:color="auto" w:fill="auto"/>
          </w:tcPr>
          <w:p w14:paraId="71DD6876" w14:textId="77777777" w:rsidR="00191645" w:rsidRPr="007E770D" w:rsidRDefault="00191645" w:rsidP="00191645">
            <w:pPr>
              <w:pStyle w:val="Footer"/>
              <w:ind w:right="227"/>
              <w:jc w:val="right"/>
              <w:rPr>
                <w:rFonts w:cstheme="minorHAnsi"/>
                <w:color w:val="auto"/>
                <w:sz w:val="14"/>
                <w:szCs w:val="14"/>
                <w:lang w:val="sr-Cyrl-CS"/>
              </w:rPr>
            </w:pPr>
          </w:p>
        </w:tc>
        <w:tc>
          <w:tcPr>
            <w:tcW w:w="1032" w:type="dxa"/>
            <w:tcBorders>
              <w:top w:val="nil"/>
              <w:left w:val="nil"/>
              <w:bottom w:val="nil"/>
              <w:right w:val="nil"/>
            </w:tcBorders>
            <w:shd w:val="clear" w:color="auto" w:fill="auto"/>
          </w:tcPr>
          <w:p w14:paraId="55FD5CD8" w14:textId="77777777"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73DFAC8C" w14:textId="528FB1B1"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0,0</w:t>
            </w:r>
          </w:p>
        </w:tc>
        <w:tc>
          <w:tcPr>
            <w:tcW w:w="992" w:type="dxa"/>
            <w:tcBorders>
              <w:top w:val="nil"/>
              <w:left w:val="nil"/>
              <w:bottom w:val="nil"/>
              <w:right w:val="nil"/>
            </w:tcBorders>
            <w:shd w:val="clear" w:color="auto" w:fill="auto"/>
          </w:tcPr>
          <w:p w14:paraId="66EB6E25" w14:textId="77777777" w:rsidR="00191645" w:rsidRPr="007E770D" w:rsidRDefault="00191645" w:rsidP="00191645">
            <w:pPr>
              <w:pStyle w:val="Footer"/>
              <w:ind w:right="227"/>
              <w:jc w:val="right"/>
              <w:rPr>
                <w:rFonts w:cstheme="minorHAnsi"/>
                <w:color w:val="auto"/>
                <w:sz w:val="14"/>
                <w:szCs w:val="14"/>
                <w:lang w:val="sr-Cyrl-CS"/>
              </w:rPr>
            </w:pPr>
          </w:p>
        </w:tc>
        <w:tc>
          <w:tcPr>
            <w:tcW w:w="851" w:type="dxa"/>
            <w:tcBorders>
              <w:top w:val="nil"/>
              <w:left w:val="nil"/>
              <w:bottom w:val="nil"/>
              <w:right w:val="nil"/>
            </w:tcBorders>
            <w:shd w:val="clear" w:color="auto" w:fill="auto"/>
          </w:tcPr>
          <w:p w14:paraId="70ED61DF" w14:textId="77777777" w:rsidR="00191645" w:rsidRPr="007E770D" w:rsidRDefault="00191645" w:rsidP="00191645">
            <w:pPr>
              <w:pStyle w:val="Footer"/>
              <w:ind w:right="170"/>
              <w:jc w:val="right"/>
              <w:rPr>
                <w:rFonts w:cstheme="minorHAnsi"/>
                <w:color w:val="auto"/>
                <w:sz w:val="14"/>
                <w:szCs w:val="14"/>
                <w:lang w:val="sr-Cyrl-CS"/>
              </w:rPr>
            </w:pPr>
          </w:p>
        </w:tc>
        <w:tc>
          <w:tcPr>
            <w:tcW w:w="1000" w:type="dxa"/>
            <w:tcBorders>
              <w:top w:val="nil"/>
              <w:left w:val="nil"/>
              <w:bottom w:val="nil"/>
              <w:right w:val="nil"/>
            </w:tcBorders>
            <w:shd w:val="clear" w:color="auto" w:fill="auto"/>
          </w:tcPr>
          <w:p w14:paraId="5DD09F72" w14:textId="77777777" w:rsidR="00191645" w:rsidRPr="007E770D" w:rsidRDefault="00191645" w:rsidP="00191645">
            <w:pPr>
              <w:pStyle w:val="Footer"/>
              <w:ind w:right="284"/>
              <w:jc w:val="right"/>
              <w:rPr>
                <w:rFonts w:cstheme="minorHAnsi"/>
                <w:color w:val="auto"/>
                <w:sz w:val="14"/>
                <w:szCs w:val="14"/>
                <w:lang w:val="sr-Cyrl-CS"/>
              </w:rPr>
            </w:pPr>
          </w:p>
        </w:tc>
        <w:tc>
          <w:tcPr>
            <w:tcW w:w="943" w:type="dxa"/>
            <w:tcBorders>
              <w:top w:val="nil"/>
              <w:left w:val="nil"/>
              <w:bottom w:val="nil"/>
              <w:right w:val="nil"/>
            </w:tcBorders>
            <w:shd w:val="clear" w:color="auto" w:fill="auto"/>
          </w:tcPr>
          <w:p w14:paraId="2781C6EF" w14:textId="77777777" w:rsidR="00191645" w:rsidRPr="007E770D" w:rsidRDefault="00191645" w:rsidP="00191645">
            <w:pPr>
              <w:pStyle w:val="Footer"/>
              <w:ind w:right="284"/>
              <w:jc w:val="right"/>
              <w:rPr>
                <w:rFonts w:cstheme="minorHAnsi"/>
                <w:color w:val="auto"/>
                <w:sz w:val="14"/>
                <w:szCs w:val="14"/>
                <w:lang w:val="sr-Cyrl-CS"/>
              </w:rPr>
            </w:pPr>
          </w:p>
        </w:tc>
      </w:tr>
      <w:tr w:rsidR="007E770D" w:rsidRPr="007E770D" w14:paraId="61318A21" w14:textId="77777777" w:rsidTr="00E4657F">
        <w:trPr>
          <w:jc w:val="center"/>
        </w:trPr>
        <w:tc>
          <w:tcPr>
            <w:tcW w:w="2512" w:type="dxa"/>
            <w:vAlign w:val="bottom"/>
          </w:tcPr>
          <w:p w14:paraId="42ACA8BB"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Трансфери другим нивоима власти</w:t>
            </w:r>
          </w:p>
        </w:tc>
        <w:tc>
          <w:tcPr>
            <w:tcW w:w="1169" w:type="dxa"/>
            <w:tcBorders>
              <w:top w:val="nil"/>
              <w:left w:val="nil"/>
              <w:bottom w:val="nil"/>
              <w:right w:val="nil"/>
            </w:tcBorders>
            <w:shd w:val="clear" w:color="auto" w:fill="auto"/>
          </w:tcPr>
          <w:p w14:paraId="74D1F6D5" w14:textId="4B9467EB"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354,4</w:t>
            </w:r>
          </w:p>
        </w:tc>
        <w:tc>
          <w:tcPr>
            <w:tcW w:w="1701" w:type="dxa"/>
            <w:tcBorders>
              <w:top w:val="nil"/>
              <w:left w:val="nil"/>
              <w:bottom w:val="nil"/>
              <w:right w:val="nil"/>
            </w:tcBorders>
            <w:shd w:val="clear" w:color="auto" w:fill="auto"/>
          </w:tcPr>
          <w:p w14:paraId="35F72E9C" w14:textId="5E16FB7F"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278,5</w:t>
            </w:r>
          </w:p>
        </w:tc>
        <w:tc>
          <w:tcPr>
            <w:tcW w:w="992" w:type="dxa"/>
            <w:tcBorders>
              <w:top w:val="nil"/>
              <w:left w:val="nil"/>
              <w:bottom w:val="nil"/>
              <w:right w:val="nil"/>
            </w:tcBorders>
            <w:shd w:val="clear" w:color="auto" w:fill="auto"/>
          </w:tcPr>
          <w:p w14:paraId="66C3D96E" w14:textId="4E5BCEEC"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6,5</w:t>
            </w:r>
          </w:p>
        </w:tc>
        <w:tc>
          <w:tcPr>
            <w:tcW w:w="992" w:type="dxa"/>
            <w:tcBorders>
              <w:top w:val="nil"/>
              <w:left w:val="nil"/>
              <w:bottom w:val="nil"/>
              <w:right w:val="nil"/>
            </w:tcBorders>
            <w:shd w:val="clear" w:color="auto" w:fill="auto"/>
          </w:tcPr>
          <w:p w14:paraId="02794B19" w14:textId="23350F7D"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6,5</w:t>
            </w:r>
          </w:p>
        </w:tc>
        <w:tc>
          <w:tcPr>
            <w:tcW w:w="993" w:type="dxa"/>
            <w:tcBorders>
              <w:top w:val="nil"/>
              <w:left w:val="nil"/>
              <w:bottom w:val="nil"/>
              <w:right w:val="nil"/>
            </w:tcBorders>
            <w:shd w:val="clear" w:color="auto" w:fill="auto"/>
          </w:tcPr>
          <w:p w14:paraId="0242B469" w14:textId="267D9B87"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0,0</w:t>
            </w:r>
          </w:p>
        </w:tc>
        <w:tc>
          <w:tcPr>
            <w:tcW w:w="1032" w:type="dxa"/>
            <w:tcBorders>
              <w:top w:val="nil"/>
              <w:left w:val="nil"/>
              <w:bottom w:val="nil"/>
              <w:right w:val="nil"/>
            </w:tcBorders>
            <w:shd w:val="clear" w:color="auto" w:fill="auto"/>
          </w:tcPr>
          <w:p w14:paraId="540FC7B5" w14:textId="770DB438"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0,0</w:t>
            </w:r>
          </w:p>
        </w:tc>
        <w:tc>
          <w:tcPr>
            <w:tcW w:w="992" w:type="dxa"/>
            <w:tcBorders>
              <w:top w:val="nil"/>
              <w:left w:val="nil"/>
              <w:bottom w:val="nil"/>
              <w:right w:val="nil"/>
            </w:tcBorders>
            <w:shd w:val="clear" w:color="auto" w:fill="auto"/>
          </w:tcPr>
          <w:p w14:paraId="7C6D57FE" w14:textId="03512A01"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69,4</w:t>
            </w:r>
          </w:p>
        </w:tc>
        <w:tc>
          <w:tcPr>
            <w:tcW w:w="992" w:type="dxa"/>
            <w:tcBorders>
              <w:top w:val="nil"/>
              <w:left w:val="nil"/>
              <w:bottom w:val="nil"/>
              <w:right w:val="nil"/>
            </w:tcBorders>
            <w:shd w:val="clear" w:color="auto" w:fill="auto"/>
          </w:tcPr>
          <w:p w14:paraId="09D59D65" w14:textId="35DDA0DB"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61,8</w:t>
            </w:r>
          </w:p>
        </w:tc>
        <w:tc>
          <w:tcPr>
            <w:tcW w:w="851" w:type="dxa"/>
            <w:tcBorders>
              <w:top w:val="nil"/>
              <w:left w:val="nil"/>
              <w:bottom w:val="nil"/>
              <w:right w:val="nil"/>
            </w:tcBorders>
            <w:shd w:val="clear" w:color="auto" w:fill="auto"/>
          </w:tcPr>
          <w:p w14:paraId="6303D161" w14:textId="0A942C9D" w:rsidR="00191645" w:rsidRPr="007E770D" w:rsidRDefault="00191645" w:rsidP="00191645">
            <w:pPr>
              <w:pStyle w:val="Footer"/>
              <w:ind w:right="170"/>
              <w:jc w:val="right"/>
              <w:rPr>
                <w:rFonts w:cstheme="minorHAnsi"/>
                <w:color w:val="auto"/>
                <w:sz w:val="14"/>
                <w:szCs w:val="14"/>
                <w:lang w:val="sr-Cyrl-CS"/>
              </w:rPr>
            </w:pPr>
            <w:r w:rsidRPr="007E770D">
              <w:rPr>
                <w:color w:val="auto"/>
                <w:sz w:val="14"/>
                <w:szCs w:val="14"/>
                <w:lang w:val="sr-Cyrl-CS"/>
              </w:rPr>
              <w:t>3,5</w:t>
            </w:r>
          </w:p>
        </w:tc>
        <w:tc>
          <w:tcPr>
            <w:tcW w:w="1000" w:type="dxa"/>
            <w:tcBorders>
              <w:top w:val="nil"/>
              <w:left w:val="nil"/>
              <w:bottom w:val="nil"/>
              <w:right w:val="nil"/>
            </w:tcBorders>
            <w:shd w:val="clear" w:color="auto" w:fill="auto"/>
          </w:tcPr>
          <w:p w14:paraId="24845E17" w14:textId="5CD526FD"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4,1</w:t>
            </w:r>
          </w:p>
        </w:tc>
        <w:tc>
          <w:tcPr>
            <w:tcW w:w="943" w:type="dxa"/>
            <w:tcBorders>
              <w:top w:val="nil"/>
              <w:left w:val="nil"/>
              <w:bottom w:val="nil"/>
              <w:right w:val="nil"/>
            </w:tcBorders>
            <w:shd w:val="clear" w:color="auto" w:fill="auto"/>
          </w:tcPr>
          <w:p w14:paraId="051A68C2" w14:textId="202EC1D6"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0,0</w:t>
            </w:r>
          </w:p>
        </w:tc>
      </w:tr>
      <w:tr w:rsidR="007E770D" w:rsidRPr="007E770D" w14:paraId="3D5AF322" w14:textId="77777777" w:rsidTr="00E4657F">
        <w:trPr>
          <w:jc w:val="center"/>
        </w:trPr>
        <w:tc>
          <w:tcPr>
            <w:tcW w:w="2512" w:type="dxa"/>
            <w:vAlign w:val="bottom"/>
          </w:tcPr>
          <w:p w14:paraId="448D01E8"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Буџет Републике</w:t>
            </w:r>
          </w:p>
        </w:tc>
        <w:tc>
          <w:tcPr>
            <w:tcW w:w="1169" w:type="dxa"/>
            <w:tcBorders>
              <w:top w:val="nil"/>
              <w:left w:val="nil"/>
              <w:bottom w:val="nil"/>
              <w:right w:val="nil"/>
            </w:tcBorders>
            <w:shd w:val="clear" w:color="auto" w:fill="auto"/>
          </w:tcPr>
          <w:p w14:paraId="708F0D07" w14:textId="6CA31825"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6,5</w:t>
            </w:r>
          </w:p>
        </w:tc>
        <w:tc>
          <w:tcPr>
            <w:tcW w:w="1701" w:type="dxa"/>
            <w:tcBorders>
              <w:top w:val="nil"/>
              <w:left w:val="nil"/>
              <w:bottom w:val="nil"/>
              <w:right w:val="nil"/>
            </w:tcBorders>
            <w:shd w:val="clear" w:color="auto" w:fill="auto"/>
          </w:tcPr>
          <w:p w14:paraId="3AF3A706" w14:textId="4BE2BE5D"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0,0</w:t>
            </w:r>
          </w:p>
        </w:tc>
        <w:tc>
          <w:tcPr>
            <w:tcW w:w="992" w:type="dxa"/>
            <w:tcBorders>
              <w:top w:val="nil"/>
              <w:left w:val="nil"/>
              <w:bottom w:val="nil"/>
              <w:right w:val="nil"/>
            </w:tcBorders>
            <w:shd w:val="clear" w:color="auto" w:fill="auto"/>
          </w:tcPr>
          <w:p w14:paraId="305B7729" w14:textId="2BEBD453"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6,5</w:t>
            </w:r>
          </w:p>
        </w:tc>
        <w:tc>
          <w:tcPr>
            <w:tcW w:w="992" w:type="dxa"/>
            <w:tcBorders>
              <w:top w:val="nil"/>
              <w:left w:val="nil"/>
              <w:bottom w:val="nil"/>
              <w:right w:val="nil"/>
            </w:tcBorders>
            <w:shd w:val="clear" w:color="auto" w:fill="auto"/>
          </w:tcPr>
          <w:p w14:paraId="3FF71B8A" w14:textId="73CCAA25"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6,5</w:t>
            </w:r>
          </w:p>
        </w:tc>
        <w:tc>
          <w:tcPr>
            <w:tcW w:w="993" w:type="dxa"/>
            <w:tcBorders>
              <w:top w:val="nil"/>
              <w:left w:val="nil"/>
              <w:bottom w:val="nil"/>
              <w:right w:val="nil"/>
            </w:tcBorders>
            <w:shd w:val="clear" w:color="auto" w:fill="auto"/>
          </w:tcPr>
          <w:p w14:paraId="05E84717" w14:textId="77777777" w:rsidR="00191645" w:rsidRPr="007E770D" w:rsidRDefault="00191645" w:rsidP="00191645">
            <w:pPr>
              <w:pStyle w:val="Footer"/>
              <w:ind w:right="227"/>
              <w:jc w:val="right"/>
              <w:rPr>
                <w:rFonts w:cstheme="minorHAnsi"/>
                <w:color w:val="auto"/>
                <w:sz w:val="14"/>
                <w:szCs w:val="14"/>
                <w:lang w:val="sr-Cyrl-CS"/>
              </w:rPr>
            </w:pPr>
          </w:p>
        </w:tc>
        <w:tc>
          <w:tcPr>
            <w:tcW w:w="1032" w:type="dxa"/>
            <w:tcBorders>
              <w:top w:val="nil"/>
              <w:left w:val="nil"/>
              <w:bottom w:val="nil"/>
              <w:right w:val="nil"/>
            </w:tcBorders>
            <w:shd w:val="clear" w:color="auto" w:fill="auto"/>
          </w:tcPr>
          <w:p w14:paraId="3AFBFB8C" w14:textId="77777777"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6FEDFA8E" w14:textId="0DD9D78E"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0,0</w:t>
            </w:r>
          </w:p>
        </w:tc>
        <w:tc>
          <w:tcPr>
            <w:tcW w:w="992" w:type="dxa"/>
            <w:tcBorders>
              <w:top w:val="nil"/>
              <w:left w:val="nil"/>
              <w:bottom w:val="nil"/>
              <w:right w:val="nil"/>
            </w:tcBorders>
            <w:shd w:val="clear" w:color="auto" w:fill="auto"/>
          </w:tcPr>
          <w:p w14:paraId="17B20B7B" w14:textId="77777777" w:rsidR="00191645" w:rsidRPr="007E770D" w:rsidRDefault="00191645" w:rsidP="00191645">
            <w:pPr>
              <w:pStyle w:val="Footer"/>
              <w:ind w:right="227"/>
              <w:jc w:val="right"/>
              <w:rPr>
                <w:rFonts w:cstheme="minorHAnsi"/>
                <w:color w:val="auto"/>
                <w:sz w:val="14"/>
                <w:szCs w:val="14"/>
                <w:lang w:val="sr-Cyrl-CS"/>
              </w:rPr>
            </w:pPr>
          </w:p>
        </w:tc>
        <w:tc>
          <w:tcPr>
            <w:tcW w:w="851" w:type="dxa"/>
            <w:tcBorders>
              <w:top w:val="nil"/>
              <w:left w:val="nil"/>
              <w:bottom w:val="nil"/>
              <w:right w:val="nil"/>
            </w:tcBorders>
            <w:shd w:val="clear" w:color="auto" w:fill="auto"/>
          </w:tcPr>
          <w:p w14:paraId="246F24C2" w14:textId="77777777" w:rsidR="00191645" w:rsidRPr="007E770D" w:rsidRDefault="00191645" w:rsidP="00191645">
            <w:pPr>
              <w:pStyle w:val="Footer"/>
              <w:ind w:right="170"/>
              <w:jc w:val="right"/>
              <w:rPr>
                <w:rFonts w:cstheme="minorHAnsi"/>
                <w:color w:val="auto"/>
                <w:sz w:val="14"/>
                <w:szCs w:val="14"/>
                <w:lang w:val="sr-Cyrl-CS"/>
              </w:rPr>
            </w:pPr>
          </w:p>
        </w:tc>
        <w:tc>
          <w:tcPr>
            <w:tcW w:w="1000" w:type="dxa"/>
            <w:tcBorders>
              <w:top w:val="nil"/>
              <w:left w:val="nil"/>
              <w:bottom w:val="nil"/>
              <w:right w:val="nil"/>
            </w:tcBorders>
            <w:shd w:val="clear" w:color="auto" w:fill="auto"/>
          </w:tcPr>
          <w:p w14:paraId="56E1ED5C" w14:textId="77777777" w:rsidR="00191645" w:rsidRPr="007E770D" w:rsidRDefault="00191645" w:rsidP="00191645">
            <w:pPr>
              <w:pStyle w:val="Footer"/>
              <w:ind w:right="284"/>
              <w:jc w:val="right"/>
              <w:rPr>
                <w:rFonts w:cstheme="minorHAnsi"/>
                <w:color w:val="auto"/>
                <w:sz w:val="14"/>
                <w:szCs w:val="14"/>
                <w:lang w:val="sr-Cyrl-CS"/>
              </w:rPr>
            </w:pPr>
          </w:p>
        </w:tc>
        <w:tc>
          <w:tcPr>
            <w:tcW w:w="943" w:type="dxa"/>
            <w:tcBorders>
              <w:top w:val="nil"/>
              <w:left w:val="nil"/>
              <w:bottom w:val="nil"/>
              <w:right w:val="nil"/>
            </w:tcBorders>
            <w:shd w:val="clear" w:color="auto" w:fill="auto"/>
          </w:tcPr>
          <w:p w14:paraId="345BB5D1" w14:textId="77777777" w:rsidR="00191645" w:rsidRPr="007E770D" w:rsidRDefault="00191645" w:rsidP="00191645">
            <w:pPr>
              <w:pStyle w:val="Footer"/>
              <w:ind w:right="284"/>
              <w:jc w:val="right"/>
              <w:rPr>
                <w:rFonts w:cstheme="minorHAnsi"/>
                <w:color w:val="auto"/>
                <w:sz w:val="14"/>
                <w:szCs w:val="14"/>
                <w:lang w:val="sr-Cyrl-CS"/>
              </w:rPr>
            </w:pPr>
          </w:p>
        </w:tc>
      </w:tr>
      <w:tr w:rsidR="007E770D" w:rsidRPr="007E770D" w14:paraId="56E050F4" w14:textId="77777777" w:rsidTr="00E4657F">
        <w:trPr>
          <w:jc w:val="center"/>
        </w:trPr>
        <w:tc>
          <w:tcPr>
            <w:tcW w:w="2512" w:type="dxa"/>
            <w:vAlign w:val="bottom"/>
          </w:tcPr>
          <w:p w14:paraId="652E41E1"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Градови и општине</w:t>
            </w:r>
          </w:p>
        </w:tc>
        <w:tc>
          <w:tcPr>
            <w:tcW w:w="1169" w:type="dxa"/>
            <w:tcBorders>
              <w:top w:val="nil"/>
              <w:left w:val="nil"/>
              <w:bottom w:val="nil"/>
              <w:right w:val="nil"/>
            </w:tcBorders>
            <w:shd w:val="clear" w:color="auto" w:fill="auto"/>
          </w:tcPr>
          <w:p w14:paraId="3AA24F79" w14:textId="1F3A4C4E"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52,0</w:t>
            </w:r>
          </w:p>
        </w:tc>
        <w:tc>
          <w:tcPr>
            <w:tcW w:w="1701" w:type="dxa"/>
            <w:tcBorders>
              <w:top w:val="nil"/>
              <w:left w:val="nil"/>
              <w:bottom w:val="nil"/>
              <w:right w:val="nil"/>
            </w:tcBorders>
            <w:shd w:val="clear" w:color="auto" w:fill="auto"/>
          </w:tcPr>
          <w:p w14:paraId="7FCF9CA9" w14:textId="56B2482E"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52,0</w:t>
            </w:r>
          </w:p>
        </w:tc>
        <w:tc>
          <w:tcPr>
            <w:tcW w:w="992" w:type="dxa"/>
            <w:tcBorders>
              <w:top w:val="nil"/>
              <w:left w:val="nil"/>
              <w:bottom w:val="nil"/>
              <w:right w:val="nil"/>
            </w:tcBorders>
            <w:shd w:val="clear" w:color="auto" w:fill="auto"/>
          </w:tcPr>
          <w:p w14:paraId="5AB9F914" w14:textId="1087E6DA"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2B954D82" w14:textId="77777777" w:rsidR="00191645" w:rsidRPr="007E770D" w:rsidRDefault="00191645" w:rsidP="00191645">
            <w:pPr>
              <w:pStyle w:val="Footer"/>
              <w:ind w:right="227"/>
              <w:jc w:val="right"/>
              <w:rPr>
                <w:rFonts w:cstheme="minorHAnsi"/>
                <w:color w:val="auto"/>
                <w:sz w:val="14"/>
                <w:szCs w:val="14"/>
                <w:lang w:val="sr-Cyrl-CS"/>
              </w:rPr>
            </w:pPr>
          </w:p>
        </w:tc>
        <w:tc>
          <w:tcPr>
            <w:tcW w:w="993" w:type="dxa"/>
            <w:tcBorders>
              <w:top w:val="nil"/>
              <w:left w:val="nil"/>
              <w:bottom w:val="nil"/>
              <w:right w:val="nil"/>
            </w:tcBorders>
            <w:shd w:val="clear" w:color="auto" w:fill="auto"/>
          </w:tcPr>
          <w:p w14:paraId="19CB3485" w14:textId="77777777" w:rsidR="00191645" w:rsidRPr="007E770D" w:rsidRDefault="00191645" w:rsidP="00191645">
            <w:pPr>
              <w:pStyle w:val="Footer"/>
              <w:ind w:right="227"/>
              <w:jc w:val="right"/>
              <w:rPr>
                <w:rFonts w:cstheme="minorHAnsi"/>
                <w:color w:val="auto"/>
                <w:sz w:val="14"/>
                <w:szCs w:val="14"/>
                <w:lang w:val="sr-Cyrl-CS"/>
              </w:rPr>
            </w:pPr>
          </w:p>
        </w:tc>
        <w:tc>
          <w:tcPr>
            <w:tcW w:w="1032" w:type="dxa"/>
            <w:tcBorders>
              <w:top w:val="nil"/>
              <w:left w:val="nil"/>
              <w:bottom w:val="nil"/>
              <w:right w:val="nil"/>
            </w:tcBorders>
            <w:shd w:val="clear" w:color="auto" w:fill="auto"/>
          </w:tcPr>
          <w:p w14:paraId="23AA7FF3" w14:textId="77777777"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5EFB5881" w14:textId="230B5225"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0,0</w:t>
            </w:r>
          </w:p>
        </w:tc>
        <w:tc>
          <w:tcPr>
            <w:tcW w:w="992" w:type="dxa"/>
            <w:tcBorders>
              <w:top w:val="nil"/>
              <w:left w:val="nil"/>
              <w:bottom w:val="nil"/>
              <w:right w:val="nil"/>
            </w:tcBorders>
            <w:shd w:val="clear" w:color="auto" w:fill="auto"/>
          </w:tcPr>
          <w:p w14:paraId="6B7F34C9" w14:textId="77777777" w:rsidR="00191645" w:rsidRPr="007E770D" w:rsidRDefault="00191645" w:rsidP="00191645">
            <w:pPr>
              <w:pStyle w:val="Footer"/>
              <w:ind w:right="227"/>
              <w:jc w:val="right"/>
              <w:rPr>
                <w:rFonts w:cstheme="minorHAnsi"/>
                <w:color w:val="auto"/>
                <w:sz w:val="14"/>
                <w:szCs w:val="14"/>
                <w:lang w:val="sr-Cyrl-CS"/>
              </w:rPr>
            </w:pPr>
          </w:p>
        </w:tc>
        <w:tc>
          <w:tcPr>
            <w:tcW w:w="851" w:type="dxa"/>
            <w:tcBorders>
              <w:top w:val="nil"/>
              <w:left w:val="nil"/>
              <w:bottom w:val="nil"/>
              <w:right w:val="nil"/>
            </w:tcBorders>
            <w:shd w:val="clear" w:color="auto" w:fill="auto"/>
          </w:tcPr>
          <w:p w14:paraId="0A1900C1" w14:textId="77777777" w:rsidR="00191645" w:rsidRPr="007E770D" w:rsidRDefault="00191645" w:rsidP="00191645">
            <w:pPr>
              <w:pStyle w:val="Footer"/>
              <w:ind w:right="170"/>
              <w:jc w:val="right"/>
              <w:rPr>
                <w:rFonts w:cstheme="minorHAnsi"/>
                <w:color w:val="auto"/>
                <w:sz w:val="14"/>
                <w:szCs w:val="14"/>
                <w:lang w:val="sr-Cyrl-CS"/>
              </w:rPr>
            </w:pPr>
          </w:p>
        </w:tc>
        <w:tc>
          <w:tcPr>
            <w:tcW w:w="1000" w:type="dxa"/>
            <w:tcBorders>
              <w:top w:val="nil"/>
              <w:left w:val="nil"/>
              <w:bottom w:val="nil"/>
              <w:right w:val="nil"/>
            </w:tcBorders>
            <w:shd w:val="clear" w:color="auto" w:fill="auto"/>
          </w:tcPr>
          <w:p w14:paraId="7C3E97CB" w14:textId="77777777" w:rsidR="00191645" w:rsidRPr="007E770D" w:rsidRDefault="00191645" w:rsidP="00191645">
            <w:pPr>
              <w:pStyle w:val="Footer"/>
              <w:ind w:right="284"/>
              <w:jc w:val="right"/>
              <w:rPr>
                <w:rFonts w:cstheme="minorHAnsi"/>
                <w:color w:val="auto"/>
                <w:sz w:val="14"/>
                <w:szCs w:val="14"/>
                <w:lang w:val="sr-Cyrl-CS"/>
              </w:rPr>
            </w:pPr>
          </w:p>
        </w:tc>
        <w:tc>
          <w:tcPr>
            <w:tcW w:w="943" w:type="dxa"/>
            <w:tcBorders>
              <w:top w:val="nil"/>
              <w:left w:val="nil"/>
              <w:bottom w:val="nil"/>
              <w:right w:val="nil"/>
            </w:tcBorders>
            <w:shd w:val="clear" w:color="auto" w:fill="auto"/>
          </w:tcPr>
          <w:p w14:paraId="085242FB" w14:textId="77777777" w:rsidR="00191645" w:rsidRPr="007E770D" w:rsidRDefault="00191645" w:rsidP="00191645">
            <w:pPr>
              <w:pStyle w:val="Footer"/>
              <w:ind w:right="284"/>
              <w:jc w:val="right"/>
              <w:rPr>
                <w:rFonts w:cstheme="minorHAnsi"/>
                <w:color w:val="auto"/>
                <w:sz w:val="14"/>
                <w:szCs w:val="14"/>
                <w:lang w:val="sr-Cyrl-CS"/>
              </w:rPr>
            </w:pPr>
          </w:p>
        </w:tc>
      </w:tr>
      <w:tr w:rsidR="007E770D" w:rsidRPr="007E770D" w14:paraId="15765D99" w14:textId="77777777" w:rsidTr="00E4657F">
        <w:trPr>
          <w:jc w:val="center"/>
        </w:trPr>
        <w:tc>
          <w:tcPr>
            <w:tcW w:w="2512" w:type="dxa"/>
            <w:vAlign w:val="bottom"/>
          </w:tcPr>
          <w:p w14:paraId="768E7C33"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AП Војводина</w:t>
            </w:r>
          </w:p>
        </w:tc>
        <w:tc>
          <w:tcPr>
            <w:tcW w:w="1169" w:type="dxa"/>
            <w:tcBorders>
              <w:top w:val="nil"/>
              <w:left w:val="nil"/>
              <w:bottom w:val="nil"/>
              <w:right w:val="nil"/>
            </w:tcBorders>
            <w:shd w:val="clear" w:color="auto" w:fill="auto"/>
          </w:tcPr>
          <w:p w14:paraId="533FAF61" w14:textId="37ADA04A"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36,7</w:t>
            </w:r>
          </w:p>
        </w:tc>
        <w:tc>
          <w:tcPr>
            <w:tcW w:w="1701" w:type="dxa"/>
            <w:tcBorders>
              <w:top w:val="nil"/>
              <w:left w:val="nil"/>
              <w:bottom w:val="nil"/>
              <w:right w:val="nil"/>
            </w:tcBorders>
            <w:shd w:val="clear" w:color="auto" w:fill="auto"/>
          </w:tcPr>
          <w:p w14:paraId="4D380A02" w14:textId="43FF1CA2"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36,7</w:t>
            </w:r>
          </w:p>
        </w:tc>
        <w:tc>
          <w:tcPr>
            <w:tcW w:w="992" w:type="dxa"/>
            <w:tcBorders>
              <w:top w:val="nil"/>
              <w:left w:val="nil"/>
              <w:bottom w:val="nil"/>
              <w:right w:val="nil"/>
            </w:tcBorders>
            <w:shd w:val="clear" w:color="auto" w:fill="auto"/>
          </w:tcPr>
          <w:p w14:paraId="79E4CC89" w14:textId="2CFA4DAB"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59878D7E" w14:textId="77777777" w:rsidR="00191645" w:rsidRPr="007E770D" w:rsidRDefault="00191645" w:rsidP="00191645">
            <w:pPr>
              <w:pStyle w:val="Footer"/>
              <w:ind w:right="227"/>
              <w:jc w:val="right"/>
              <w:rPr>
                <w:rFonts w:cstheme="minorHAnsi"/>
                <w:color w:val="auto"/>
                <w:sz w:val="14"/>
                <w:szCs w:val="14"/>
                <w:lang w:val="sr-Cyrl-CS"/>
              </w:rPr>
            </w:pPr>
          </w:p>
        </w:tc>
        <w:tc>
          <w:tcPr>
            <w:tcW w:w="993" w:type="dxa"/>
            <w:tcBorders>
              <w:top w:val="nil"/>
              <w:left w:val="nil"/>
              <w:bottom w:val="nil"/>
              <w:right w:val="nil"/>
            </w:tcBorders>
            <w:shd w:val="clear" w:color="auto" w:fill="auto"/>
          </w:tcPr>
          <w:p w14:paraId="404C0000" w14:textId="77777777" w:rsidR="00191645" w:rsidRPr="007E770D" w:rsidRDefault="00191645" w:rsidP="00191645">
            <w:pPr>
              <w:pStyle w:val="Footer"/>
              <w:ind w:right="227"/>
              <w:jc w:val="right"/>
              <w:rPr>
                <w:rFonts w:cstheme="minorHAnsi"/>
                <w:color w:val="auto"/>
                <w:sz w:val="14"/>
                <w:szCs w:val="14"/>
                <w:lang w:val="sr-Cyrl-CS"/>
              </w:rPr>
            </w:pPr>
          </w:p>
        </w:tc>
        <w:tc>
          <w:tcPr>
            <w:tcW w:w="1032" w:type="dxa"/>
            <w:tcBorders>
              <w:top w:val="nil"/>
              <w:left w:val="nil"/>
              <w:bottom w:val="nil"/>
              <w:right w:val="nil"/>
            </w:tcBorders>
            <w:shd w:val="clear" w:color="auto" w:fill="auto"/>
          </w:tcPr>
          <w:p w14:paraId="3EA8E90D" w14:textId="77777777"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71016486" w14:textId="379BD16D"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0,0</w:t>
            </w:r>
          </w:p>
        </w:tc>
        <w:tc>
          <w:tcPr>
            <w:tcW w:w="992" w:type="dxa"/>
            <w:tcBorders>
              <w:top w:val="nil"/>
              <w:left w:val="nil"/>
              <w:bottom w:val="nil"/>
              <w:right w:val="nil"/>
            </w:tcBorders>
            <w:shd w:val="clear" w:color="auto" w:fill="auto"/>
          </w:tcPr>
          <w:p w14:paraId="5D7A497C" w14:textId="77777777" w:rsidR="00191645" w:rsidRPr="007E770D" w:rsidRDefault="00191645" w:rsidP="00191645">
            <w:pPr>
              <w:pStyle w:val="Footer"/>
              <w:ind w:right="227"/>
              <w:jc w:val="right"/>
              <w:rPr>
                <w:rFonts w:cstheme="minorHAnsi"/>
                <w:color w:val="auto"/>
                <w:sz w:val="14"/>
                <w:szCs w:val="14"/>
                <w:lang w:val="sr-Cyrl-CS"/>
              </w:rPr>
            </w:pPr>
          </w:p>
        </w:tc>
        <w:tc>
          <w:tcPr>
            <w:tcW w:w="851" w:type="dxa"/>
            <w:tcBorders>
              <w:top w:val="nil"/>
              <w:left w:val="nil"/>
              <w:bottom w:val="nil"/>
              <w:right w:val="nil"/>
            </w:tcBorders>
            <w:shd w:val="clear" w:color="auto" w:fill="auto"/>
          </w:tcPr>
          <w:p w14:paraId="37620DF6" w14:textId="77777777" w:rsidR="00191645" w:rsidRPr="007E770D" w:rsidRDefault="00191645" w:rsidP="00191645">
            <w:pPr>
              <w:pStyle w:val="Footer"/>
              <w:ind w:right="170"/>
              <w:jc w:val="right"/>
              <w:rPr>
                <w:rFonts w:cstheme="minorHAnsi"/>
                <w:color w:val="auto"/>
                <w:sz w:val="14"/>
                <w:szCs w:val="14"/>
                <w:lang w:val="sr-Cyrl-CS"/>
              </w:rPr>
            </w:pPr>
          </w:p>
        </w:tc>
        <w:tc>
          <w:tcPr>
            <w:tcW w:w="1000" w:type="dxa"/>
            <w:tcBorders>
              <w:top w:val="nil"/>
              <w:left w:val="nil"/>
              <w:bottom w:val="nil"/>
              <w:right w:val="nil"/>
            </w:tcBorders>
            <w:shd w:val="clear" w:color="auto" w:fill="auto"/>
          </w:tcPr>
          <w:p w14:paraId="47BE7022" w14:textId="77777777" w:rsidR="00191645" w:rsidRPr="007E770D" w:rsidRDefault="00191645" w:rsidP="00191645">
            <w:pPr>
              <w:pStyle w:val="Footer"/>
              <w:ind w:right="284"/>
              <w:jc w:val="right"/>
              <w:rPr>
                <w:rFonts w:cstheme="minorHAnsi"/>
                <w:color w:val="auto"/>
                <w:sz w:val="14"/>
                <w:szCs w:val="14"/>
                <w:lang w:val="sr-Cyrl-CS"/>
              </w:rPr>
            </w:pPr>
          </w:p>
        </w:tc>
        <w:tc>
          <w:tcPr>
            <w:tcW w:w="943" w:type="dxa"/>
            <w:tcBorders>
              <w:top w:val="nil"/>
              <w:left w:val="nil"/>
              <w:bottom w:val="nil"/>
              <w:right w:val="nil"/>
            </w:tcBorders>
            <w:shd w:val="clear" w:color="auto" w:fill="auto"/>
          </w:tcPr>
          <w:p w14:paraId="6FE0930D" w14:textId="77777777" w:rsidR="00191645" w:rsidRPr="007E770D" w:rsidRDefault="00191645" w:rsidP="00191645">
            <w:pPr>
              <w:pStyle w:val="Footer"/>
              <w:ind w:right="284"/>
              <w:jc w:val="right"/>
              <w:rPr>
                <w:rFonts w:cstheme="minorHAnsi"/>
                <w:color w:val="auto"/>
                <w:sz w:val="14"/>
                <w:szCs w:val="14"/>
                <w:lang w:val="sr-Cyrl-CS"/>
              </w:rPr>
            </w:pPr>
          </w:p>
        </w:tc>
      </w:tr>
      <w:tr w:rsidR="007E770D" w:rsidRPr="007E770D" w14:paraId="0E9A93DD" w14:textId="77777777" w:rsidTr="00E4657F">
        <w:trPr>
          <w:jc w:val="center"/>
        </w:trPr>
        <w:tc>
          <w:tcPr>
            <w:tcW w:w="2512" w:type="dxa"/>
            <w:vAlign w:val="bottom"/>
          </w:tcPr>
          <w:p w14:paraId="78F1846E"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Фонд ПИО</w:t>
            </w:r>
          </w:p>
        </w:tc>
        <w:tc>
          <w:tcPr>
            <w:tcW w:w="1169" w:type="dxa"/>
            <w:tcBorders>
              <w:top w:val="nil"/>
              <w:left w:val="nil"/>
              <w:bottom w:val="nil"/>
              <w:right w:val="nil"/>
            </w:tcBorders>
            <w:shd w:val="clear" w:color="auto" w:fill="auto"/>
          </w:tcPr>
          <w:p w14:paraId="64726599" w14:textId="6A5311FF"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164,0</w:t>
            </w:r>
          </w:p>
        </w:tc>
        <w:tc>
          <w:tcPr>
            <w:tcW w:w="1701" w:type="dxa"/>
            <w:tcBorders>
              <w:top w:val="nil"/>
              <w:left w:val="nil"/>
              <w:bottom w:val="nil"/>
              <w:right w:val="nil"/>
            </w:tcBorders>
            <w:shd w:val="clear" w:color="auto" w:fill="auto"/>
          </w:tcPr>
          <w:p w14:paraId="13B07F51" w14:textId="1297178B"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157,6</w:t>
            </w:r>
          </w:p>
        </w:tc>
        <w:tc>
          <w:tcPr>
            <w:tcW w:w="992" w:type="dxa"/>
            <w:tcBorders>
              <w:top w:val="nil"/>
              <w:left w:val="nil"/>
              <w:bottom w:val="nil"/>
              <w:right w:val="nil"/>
            </w:tcBorders>
            <w:shd w:val="clear" w:color="auto" w:fill="auto"/>
          </w:tcPr>
          <w:p w14:paraId="75110D01" w14:textId="496EDEED"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2A2CE39D" w14:textId="77777777" w:rsidR="00191645" w:rsidRPr="007E770D" w:rsidRDefault="00191645" w:rsidP="00191645">
            <w:pPr>
              <w:pStyle w:val="Footer"/>
              <w:ind w:right="227"/>
              <w:jc w:val="right"/>
              <w:rPr>
                <w:rFonts w:cstheme="minorHAnsi"/>
                <w:color w:val="auto"/>
                <w:sz w:val="14"/>
                <w:szCs w:val="14"/>
                <w:lang w:val="sr-Cyrl-CS"/>
              </w:rPr>
            </w:pPr>
          </w:p>
        </w:tc>
        <w:tc>
          <w:tcPr>
            <w:tcW w:w="993" w:type="dxa"/>
            <w:tcBorders>
              <w:top w:val="nil"/>
              <w:left w:val="nil"/>
              <w:bottom w:val="nil"/>
              <w:right w:val="nil"/>
            </w:tcBorders>
            <w:shd w:val="clear" w:color="auto" w:fill="auto"/>
          </w:tcPr>
          <w:p w14:paraId="1724C871" w14:textId="77777777" w:rsidR="00191645" w:rsidRPr="007E770D" w:rsidRDefault="00191645" w:rsidP="00191645">
            <w:pPr>
              <w:pStyle w:val="Footer"/>
              <w:ind w:right="227"/>
              <w:jc w:val="right"/>
              <w:rPr>
                <w:rFonts w:cstheme="minorHAnsi"/>
                <w:color w:val="auto"/>
                <w:sz w:val="14"/>
                <w:szCs w:val="14"/>
                <w:lang w:val="sr-Cyrl-CS"/>
              </w:rPr>
            </w:pPr>
          </w:p>
        </w:tc>
        <w:tc>
          <w:tcPr>
            <w:tcW w:w="1032" w:type="dxa"/>
            <w:tcBorders>
              <w:top w:val="nil"/>
              <w:left w:val="nil"/>
              <w:bottom w:val="nil"/>
              <w:right w:val="nil"/>
            </w:tcBorders>
            <w:shd w:val="clear" w:color="auto" w:fill="auto"/>
          </w:tcPr>
          <w:p w14:paraId="792A58AF" w14:textId="77777777"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68993645" w14:textId="4D634148"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6,4</w:t>
            </w:r>
          </w:p>
        </w:tc>
        <w:tc>
          <w:tcPr>
            <w:tcW w:w="992" w:type="dxa"/>
            <w:tcBorders>
              <w:top w:val="nil"/>
              <w:left w:val="nil"/>
              <w:bottom w:val="nil"/>
              <w:right w:val="nil"/>
            </w:tcBorders>
            <w:shd w:val="clear" w:color="auto" w:fill="auto"/>
          </w:tcPr>
          <w:p w14:paraId="58C3E947" w14:textId="77777777" w:rsidR="00191645" w:rsidRPr="007E770D" w:rsidRDefault="00191645" w:rsidP="00191645">
            <w:pPr>
              <w:pStyle w:val="Footer"/>
              <w:ind w:right="227"/>
              <w:jc w:val="right"/>
              <w:rPr>
                <w:rFonts w:cstheme="minorHAnsi"/>
                <w:color w:val="auto"/>
                <w:sz w:val="14"/>
                <w:szCs w:val="14"/>
                <w:lang w:val="sr-Cyrl-CS"/>
              </w:rPr>
            </w:pPr>
          </w:p>
        </w:tc>
        <w:tc>
          <w:tcPr>
            <w:tcW w:w="851" w:type="dxa"/>
            <w:tcBorders>
              <w:top w:val="nil"/>
              <w:left w:val="nil"/>
              <w:bottom w:val="nil"/>
              <w:right w:val="nil"/>
            </w:tcBorders>
            <w:shd w:val="clear" w:color="auto" w:fill="auto"/>
          </w:tcPr>
          <w:p w14:paraId="6ED93E6E" w14:textId="7EE05D0E" w:rsidR="00191645" w:rsidRPr="007E770D" w:rsidRDefault="00191645" w:rsidP="00191645">
            <w:pPr>
              <w:pStyle w:val="Footer"/>
              <w:ind w:right="170"/>
              <w:jc w:val="right"/>
              <w:rPr>
                <w:rFonts w:cstheme="minorHAnsi"/>
                <w:color w:val="auto"/>
                <w:sz w:val="14"/>
                <w:szCs w:val="14"/>
                <w:lang w:val="sr-Cyrl-CS"/>
              </w:rPr>
            </w:pPr>
            <w:r w:rsidRPr="007E770D">
              <w:rPr>
                <w:color w:val="auto"/>
                <w:sz w:val="14"/>
                <w:szCs w:val="14"/>
                <w:lang w:val="sr-Cyrl-CS"/>
              </w:rPr>
              <w:t>3,5</w:t>
            </w:r>
          </w:p>
        </w:tc>
        <w:tc>
          <w:tcPr>
            <w:tcW w:w="1000" w:type="dxa"/>
            <w:tcBorders>
              <w:top w:val="nil"/>
              <w:left w:val="nil"/>
              <w:bottom w:val="nil"/>
              <w:right w:val="nil"/>
            </w:tcBorders>
            <w:shd w:val="clear" w:color="auto" w:fill="auto"/>
          </w:tcPr>
          <w:p w14:paraId="1F3CE28C" w14:textId="5110DA2B"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2,9</w:t>
            </w:r>
          </w:p>
        </w:tc>
        <w:tc>
          <w:tcPr>
            <w:tcW w:w="943" w:type="dxa"/>
            <w:tcBorders>
              <w:top w:val="nil"/>
              <w:left w:val="nil"/>
              <w:bottom w:val="nil"/>
              <w:right w:val="nil"/>
            </w:tcBorders>
            <w:shd w:val="clear" w:color="auto" w:fill="auto"/>
          </w:tcPr>
          <w:p w14:paraId="7DCBCD94" w14:textId="77777777" w:rsidR="00191645" w:rsidRPr="007E770D" w:rsidRDefault="00191645" w:rsidP="00191645">
            <w:pPr>
              <w:pStyle w:val="Footer"/>
              <w:ind w:right="284"/>
              <w:jc w:val="right"/>
              <w:rPr>
                <w:rFonts w:cstheme="minorHAnsi"/>
                <w:color w:val="auto"/>
                <w:sz w:val="14"/>
                <w:szCs w:val="14"/>
                <w:lang w:val="sr-Cyrl-CS"/>
              </w:rPr>
            </w:pPr>
          </w:p>
        </w:tc>
      </w:tr>
      <w:tr w:rsidR="007E770D" w:rsidRPr="007E770D" w14:paraId="3E07BF29" w14:textId="77777777" w:rsidTr="00E4657F">
        <w:trPr>
          <w:jc w:val="center"/>
        </w:trPr>
        <w:tc>
          <w:tcPr>
            <w:tcW w:w="2512" w:type="dxa"/>
            <w:vAlign w:val="bottom"/>
          </w:tcPr>
          <w:p w14:paraId="5B274ABE"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РФЗО</w:t>
            </w:r>
          </w:p>
        </w:tc>
        <w:tc>
          <w:tcPr>
            <w:tcW w:w="1169" w:type="dxa"/>
            <w:tcBorders>
              <w:top w:val="nil"/>
              <w:left w:val="nil"/>
              <w:bottom w:val="nil"/>
              <w:right w:val="nil"/>
            </w:tcBorders>
            <w:shd w:val="clear" w:color="auto" w:fill="auto"/>
          </w:tcPr>
          <w:p w14:paraId="0D6B437A" w14:textId="09D4EA6C"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83,3</w:t>
            </w:r>
          </w:p>
        </w:tc>
        <w:tc>
          <w:tcPr>
            <w:tcW w:w="1701" w:type="dxa"/>
            <w:tcBorders>
              <w:top w:val="nil"/>
              <w:left w:val="nil"/>
              <w:bottom w:val="nil"/>
              <w:right w:val="nil"/>
            </w:tcBorders>
            <w:shd w:val="clear" w:color="auto" w:fill="auto"/>
          </w:tcPr>
          <w:p w14:paraId="67085ABD" w14:textId="3E6A7CEB"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22,9</w:t>
            </w:r>
          </w:p>
        </w:tc>
        <w:tc>
          <w:tcPr>
            <w:tcW w:w="992" w:type="dxa"/>
            <w:tcBorders>
              <w:top w:val="nil"/>
              <w:left w:val="nil"/>
              <w:bottom w:val="nil"/>
              <w:right w:val="nil"/>
            </w:tcBorders>
            <w:shd w:val="clear" w:color="auto" w:fill="auto"/>
          </w:tcPr>
          <w:p w14:paraId="468DE013" w14:textId="16470F34"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4BDA0375" w14:textId="77777777" w:rsidR="00191645" w:rsidRPr="007E770D" w:rsidRDefault="00191645" w:rsidP="00191645">
            <w:pPr>
              <w:pStyle w:val="Footer"/>
              <w:ind w:right="227"/>
              <w:jc w:val="right"/>
              <w:rPr>
                <w:rFonts w:cstheme="minorHAnsi"/>
                <w:color w:val="auto"/>
                <w:sz w:val="14"/>
                <w:szCs w:val="14"/>
                <w:lang w:val="sr-Cyrl-CS"/>
              </w:rPr>
            </w:pPr>
          </w:p>
        </w:tc>
        <w:tc>
          <w:tcPr>
            <w:tcW w:w="993" w:type="dxa"/>
            <w:tcBorders>
              <w:top w:val="nil"/>
              <w:left w:val="nil"/>
              <w:bottom w:val="nil"/>
              <w:right w:val="nil"/>
            </w:tcBorders>
            <w:shd w:val="clear" w:color="auto" w:fill="auto"/>
          </w:tcPr>
          <w:p w14:paraId="05C36F15" w14:textId="77777777" w:rsidR="00191645" w:rsidRPr="007E770D" w:rsidRDefault="00191645" w:rsidP="00191645">
            <w:pPr>
              <w:pStyle w:val="Footer"/>
              <w:ind w:right="227"/>
              <w:jc w:val="right"/>
              <w:rPr>
                <w:rFonts w:cstheme="minorHAnsi"/>
                <w:color w:val="auto"/>
                <w:sz w:val="14"/>
                <w:szCs w:val="14"/>
                <w:lang w:val="sr-Cyrl-CS"/>
              </w:rPr>
            </w:pPr>
          </w:p>
        </w:tc>
        <w:tc>
          <w:tcPr>
            <w:tcW w:w="1032" w:type="dxa"/>
            <w:tcBorders>
              <w:top w:val="nil"/>
              <w:left w:val="nil"/>
              <w:bottom w:val="nil"/>
              <w:right w:val="nil"/>
            </w:tcBorders>
            <w:shd w:val="clear" w:color="auto" w:fill="auto"/>
          </w:tcPr>
          <w:p w14:paraId="3589285C" w14:textId="77777777"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69DE1FF2" w14:textId="201600B8"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60,4</w:t>
            </w:r>
          </w:p>
        </w:tc>
        <w:tc>
          <w:tcPr>
            <w:tcW w:w="992" w:type="dxa"/>
            <w:tcBorders>
              <w:top w:val="nil"/>
              <w:left w:val="nil"/>
              <w:bottom w:val="nil"/>
              <w:right w:val="nil"/>
            </w:tcBorders>
            <w:shd w:val="clear" w:color="auto" w:fill="auto"/>
          </w:tcPr>
          <w:p w14:paraId="097C6E8B" w14:textId="67668FC8"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59,2</w:t>
            </w:r>
          </w:p>
        </w:tc>
        <w:tc>
          <w:tcPr>
            <w:tcW w:w="851" w:type="dxa"/>
            <w:tcBorders>
              <w:top w:val="nil"/>
              <w:left w:val="nil"/>
              <w:bottom w:val="nil"/>
              <w:right w:val="nil"/>
            </w:tcBorders>
            <w:shd w:val="clear" w:color="auto" w:fill="auto"/>
          </w:tcPr>
          <w:p w14:paraId="05A985FE" w14:textId="77777777" w:rsidR="00191645" w:rsidRPr="007E770D" w:rsidRDefault="00191645" w:rsidP="00191645">
            <w:pPr>
              <w:pStyle w:val="Footer"/>
              <w:ind w:right="170"/>
              <w:jc w:val="right"/>
              <w:rPr>
                <w:rFonts w:cstheme="minorHAnsi"/>
                <w:color w:val="auto"/>
                <w:sz w:val="14"/>
                <w:szCs w:val="14"/>
                <w:lang w:val="sr-Cyrl-CS"/>
              </w:rPr>
            </w:pPr>
          </w:p>
        </w:tc>
        <w:tc>
          <w:tcPr>
            <w:tcW w:w="1000" w:type="dxa"/>
            <w:tcBorders>
              <w:top w:val="nil"/>
              <w:left w:val="nil"/>
              <w:bottom w:val="nil"/>
              <w:right w:val="nil"/>
            </w:tcBorders>
            <w:shd w:val="clear" w:color="auto" w:fill="auto"/>
          </w:tcPr>
          <w:p w14:paraId="53861D4A" w14:textId="6D6665A2"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1,2</w:t>
            </w:r>
          </w:p>
        </w:tc>
        <w:tc>
          <w:tcPr>
            <w:tcW w:w="943" w:type="dxa"/>
            <w:tcBorders>
              <w:top w:val="nil"/>
              <w:left w:val="nil"/>
              <w:bottom w:val="nil"/>
              <w:right w:val="nil"/>
            </w:tcBorders>
            <w:shd w:val="clear" w:color="auto" w:fill="auto"/>
          </w:tcPr>
          <w:p w14:paraId="5B1E8CAD" w14:textId="77777777" w:rsidR="00191645" w:rsidRPr="007E770D" w:rsidRDefault="00191645" w:rsidP="00191645">
            <w:pPr>
              <w:pStyle w:val="Footer"/>
              <w:ind w:right="284"/>
              <w:jc w:val="right"/>
              <w:rPr>
                <w:rFonts w:cstheme="minorHAnsi"/>
                <w:color w:val="auto"/>
                <w:sz w:val="14"/>
                <w:szCs w:val="14"/>
                <w:lang w:val="sr-Cyrl-CS"/>
              </w:rPr>
            </w:pPr>
          </w:p>
        </w:tc>
      </w:tr>
      <w:tr w:rsidR="007E770D" w:rsidRPr="007E770D" w14:paraId="60D1EC88" w14:textId="77777777" w:rsidTr="00E4657F">
        <w:trPr>
          <w:jc w:val="center"/>
        </w:trPr>
        <w:tc>
          <w:tcPr>
            <w:tcW w:w="2512" w:type="dxa"/>
            <w:vAlign w:val="bottom"/>
          </w:tcPr>
          <w:p w14:paraId="4A3D5A77"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НСЗ</w:t>
            </w:r>
          </w:p>
        </w:tc>
        <w:tc>
          <w:tcPr>
            <w:tcW w:w="1169" w:type="dxa"/>
            <w:tcBorders>
              <w:top w:val="nil"/>
              <w:left w:val="nil"/>
              <w:bottom w:val="nil"/>
              <w:right w:val="nil"/>
            </w:tcBorders>
            <w:shd w:val="clear" w:color="auto" w:fill="auto"/>
          </w:tcPr>
          <w:p w14:paraId="2EC46784" w14:textId="5753D744"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1,0</w:t>
            </w:r>
          </w:p>
        </w:tc>
        <w:tc>
          <w:tcPr>
            <w:tcW w:w="1701" w:type="dxa"/>
            <w:tcBorders>
              <w:top w:val="nil"/>
              <w:left w:val="nil"/>
              <w:bottom w:val="nil"/>
              <w:right w:val="nil"/>
            </w:tcBorders>
            <w:shd w:val="clear" w:color="auto" w:fill="auto"/>
          </w:tcPr>
          <w:p w14:paraId="3FC3F617" w14:textId="3E5CEDBA"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1,0</w:t>
            </w:r>
          </w:p>
        </w:tc>
        <w:tc>
          <w:tcPr>
            <w:tcW w:w="992" w:type="dxa"/>
            <w:tcBorders>
              <w:top w:val="nil"/>
              <w:left w:val="nil"/>
              <w:bottom w:val="nil"/>
              <w:right w:val="nil"/>
            </w:tcBorders>
            <w:shd w:val="clear" w:color="auto" w:fill="auto"/>
          </w:tcPr>
          <w:p w14:paraId="5BC4A09A" w14:textId="0E18D808"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21522264" w14:textId="77777777" w:rsidR="00191645" w:rsidRPr="007E770D" w:rsidRDefault="00191645" w:rsidP="00191645">
            <w:pPr>
              <w:pStyle w:val="Footer"/>
              <w:ind w:right="227"/>
              <w:jc w:val="right"/>
              <w:rPr>
                <w:rFonts w:cstheme="minorHAnsi"/>
                <w:color w:val="auto"/>
                <w:sz w:val="14"/>
                <w:szCs w:val="14"/>
                <w:lang w:val="sr-Cyrl-CS"/>
              </w:rPr>
            </w:pPr>
          </w:p>
        </w:tc>
        <w:tc>
          <w:tcPr>
            <w:tcW w:w="993" w:type="dxa"/>
            <w:tcBorders>
              <w:top w:val="nil"/>
              <w:left w:val="nil"/>
              <w:bottom w:val="nil"/>
              <w:right w:val="nil"/>
            </w:tcBorders>
            <w:shd w:val="clear" w:color="auto" w:fill="auto"/>
          </w:tcPr>
          <w:p w14:paraId="66FE2620" w14:textId="77777777" w:rsidR="00191645" w:rsidRPr="007E770D" w:rsidRDefault="00191645" w:rsidP="00191645">
            <w:pPr>
              <w:pStyle w:val="Footer"/>
              <w:ind w:right="227"/>
              <w:jc w:val="right"/>
              <w:rPr>
                <w:rFonts w:cstheme="minorHAnsi"/>
                <w:color w:val="auto"/>
                <w:sz w:val="14"/>
                <w:szCs w:val="14"/>
                <w:lang w:val="sr-Cyrl-CS"/>
              </w:rPr>
            </w:pPr>
          </w:p>
        </w:tc>
        <w:tc>
          <w:tcPr>
            <w:tcW w:w="1032" w:type="dxa"/>
            <w:tcBorders>
              <w:top w:val="nil"/>
              <w:left w:val="nil"/>
              <w:bottom w:val="nil"/>
              <w:right w:val="nil"/>
            </w:tcBorders>
            <w:shd w:val="clear" w:color="auto" w:fill="auto"/>
          </w:tcPr>
          <w:p w14:paraId="3F09849F" w14:textId="77777777"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6B31B049" w14:textId="12A14C1E"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0,0</w:t>
            </w:r>
          </w:p>
        </w:tc>
        <w:tc>
          <w:tcPr>
            <w:tcW w:w="992" w:type="dxa"/>
            <w:tcBorders>
              <w:top w:val="nil"/>
              <w:left w:val="nil"/>
              <w:bottom w:val="nil"/>
              <w:right w:val="nil"/>
            </w:tcBorders>
            <w:shd w:val="clear" w:color="auto" w:fill="auto"/>
          </w:tcPr>
          <w:p w14:paraId="6C44C944" w14:textId="77777777" w:rsidR="00191645" w:rsidRPr="007E770D" w:rsidRDefault="00191645" w:rsidP="00191645">
            <w:pPr>
              <w:pStyle w:val="Footer"/>
              <w:ind w:right="227"/>
              <w:jc w:val="right"/>
              <w:rPr>
                <w:rFonts w:cstheme="minorHAnsi"/>
                <w:color w:val="auto"/>
                <w:sz w:val="14"/>
                <w:szCs w:val="14"/>
                <w:lang w:val="sr-Cyrl-CS"/>
              </w:rPr>
            </w:pPr>
          </w:p>
        </w:tc>
        <w:tc>
          <w:tcPr>
            <w:tcW w:w="851" w:type="dxa"/>
            <w:tcBorders>
              <w:top w:val="nil"/>
              <w:left w:val="nil"/>
              <w:bottom w:val="nil"/>
              <w:right w:val="nil"/>
            </w:tcBorders>
            <w:shd w:val="clear" w:color="auto" w:fill="auto"/>
          </w:tcPr>
          <w:p w14:paraId="25EA3382" w14:textId="77777777" w:rsidR="00191645" w:rsidRPr="007E770D" w:rsidRDefault="00191645" w:rsidP="00191645">
            <w:pPr>
              <w:pStyle w:val="Footer"/>
              <w:ind w:right="170"/>
              <w:jc w:val="right"/>
              <w:rPr>
                <w:rFonts w:cstheme="minorHAnsi"/>
                <w:color w:val="auto"/>
                <w:sz w:val="14"/>
                <w:szCs w:val="14"/>
                <w:lang w:val="sr-Cyrl-CS"/>
              </w:rPr>
            </w:pPr>
          </w:p>
        </w:tc>
        <w:tc>
          <w:tcPr>
            <w:tcW w:w="1000" w:type="dxa"/>
            <w:tcBorders>
              <w:top w:val="nil"/>
              <w:left w:val="nil"/>
              <w:bottom w:val="nil"/>
              <w:right w:val="nil"/>
            </w:tcBorders>
            <w:shd w:val="clear" w:color="auto" w:fill="auto"/>
          </w:tcPr>
          <w:p w14:paraId="24C6DB2B" w14:textId="77777777" w:rsidR="00191645" w:rsidRPr="007E770D" w:rsidRDefault="00191645" w:rsidP="00191645">
            <w:pPr>
              <w:pStyle w:val="Footer"/>
              <w:ind w:right="284"/>
              <w:jc w:val="right"/>
              <w:rPr>
                <w:rFonts w:cstheme="minorHAnsi"/>
                <w:color w:val="auto"/>
                <w:sz w:val="14"/>
                <w:szCs w:val="14"/>
                <w:lang w:val="sr-Cyrl-CS"/>
              </w:rPr>
            </w:pPr>
          </w:p>
        </w:tc>
        <w:tc>
          <w:tcPr>
            <w:tcW w:w="943" w:type="dxa"/>
            <w:tcBorders>
              <w:top w:val="nil"/>
              <w:left w:val="nil"/>
              <w:bottom w:val="nil"/>
              <w:right w:val="nil"/>
            </w:tcBorders>
            <w:shd w:val="clear" w:color="auto" w:fill="auto"/>
          </w:tcPr>
          <w:p w14:paraId="7BD2CB65" w14:textId="77777777" w:rsidR="00191645" w:rsidRPr="007E770D" w:rsidRDefault="00191645" w:rsidP="00191645">
            <w:pPr>
              <w:pStyle w:val="Footer"/>
              <w:ind w:right="284"/>
              <w:jc w:val="right"/>
              <w:rPr>
                <w:rFonts w:cstheme="minorHAnsi"/>
                <w:color w:val="auto"/>
                <w:sz w:val="14"/>
                <w:szCs w:val="14"/>
                <w:lang w:val="sr-Cyrl-CS"/>
              </w:rPr>
            </w:pPr>
          </w:p>
        </w:tc>
      </w:tr>
      <w:tr w:rsidR="007E770D" w:rsidRPr="007E770D" w14:paraId="436F990D" w14:textId="77777777" w:rsidTr="00E4657F">
        <w:trPr>
          <w:jc w:val="center"/>
        </w:trPr>
        <w:tc>
          <w:tcPr>
            <w:tcW w:w="2512" w:type="dxa"/>
            <w:vAlign w:val="bottom"/>
          </w:tcPr>
          <w:p w14:paraId="706C0D92"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Фонд СОВО</w:t>
            </w:r>
          </w:p>
        </w:tc>
        <w:tc>
          <w:tcPr>
            <w:tcW w:w="1169" w:type="dxa"/>
            <w:tcBorders>
              <w:top w:val="nil"/>
              <w:left w:val="nil"/>
              <w:bottom w:val="nil"/>
              <w:right w:val="nil"/>
            </w:tcBorders>
            <w:shd w:val="clear" w:color="auto" w:fill="auto"/>
          </w:tcPr>
          <w:p w14:paraId="7C519704" w14:textId="69FF6E18"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3,0</w:t>
            </w:r>
          </w:p>
        </w:tc>
        <w:tc>
          <w:tcPr>
            <w:tcW w:w="1701" w:type="dxa"/>
            <w:tcBorders>
              <w:top w:val="nil"/>
              <w:left w:val="nil"/>
              <w:bottom w:val="nil"/>
              <w:right w:val="nil"/>
            </w:tcBorders>
            <w:shd w:val="clear" w:color="auto" w:fill="auto"/>
          </w:tcPr>
          <w:p w14:paraId="611B73C1" w14:textId="42D63015"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0,4</w:t>
            </w:r>
          </w:p>
        </w:tc>
        <w:tc>
          <w:tcPr>
            <w:tcW w:w="992" w:type="dxa"/>
            <w:tcBorders>
              <w:top w:val="nil"/>
              <w:left w:val="nil"/>
              <w:bottom w:val="nil"/>
              <w:right w:val="nil"/>
            </w:tcBorders>
            <w:shd w:val="clear" w:color="auto" w:fill="auto"/>
          </w:tcPr>
          <w:p w14:paraId="7534A454" w14:textId="2DFF8041"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7F9115F6" w14:textId="77777777" w:rsidR="00191645" w:rsidRPr="007E770D" w:rsidRDefault="00191645" w:rsidP="00191645">
            <w:pPr>
              <w:pStyle w:val="Footer"/>
              <w:ind w:right="227"/>
              <w:jc w:val="right"/>
              <w:rPr>
                <w:rFonts w:cstheme="minorHAnsi"/>
                <w:color w:val="auto"/>
                <w:sz w:val="14"/>
                <w:szCs w:val="14"/>
                <w:lang w:val="sr-Cyrl-CS"/>
              </w:rPr>
            </w:pPr>
          </w:p>
        </w:tc>
        <w:tc>
          <w:tcPr>
            <w:tcW w:w="993" w:type="dxa"/>
            <w:tcBorders>
              <w:top w:val="nil"/>
              <w:left w:val="nil"/>
              <w:bottom w:val="nil"/>
              <w:right w:val="nil"/>
            </w:tcBorders>
            <w:shd w:val="clear" w:color="auto" w:fill="auto"/>
          </w:tcPr>
          <w:p w14:paraId="7C046A7C" w14:textId="77777777" w:rsidR="00191645" w:rsidRPr="007E770D" w:rsidRDefault="00191645" w:rsidP="00191645">
            <w:pPr>
              <w:pStyle w:val="Footer"/>
              <w:ind w:right="227"/>
              <w:jc w:val="right"/>
              <w:rPr>
                <w:rFonts w:cstheme="minorHAnsi"/>
                <w:color w:val="auto"/>
                <w:sz w:val="14"/>
                <w:szCs w:val="14"/>
                <w:lang w:val="sr-Cyrl-CS"/>
              </w:rPr>
            </w:pPr>
          </w:p>
        </w:tc>
        <w:tc>
          <w:tcPr>
            <w:tcW w:w="1032" w:type="dxa"/>
            <w:tcBorders>
              <w:top w:val="nil"/>
              <w:left w:val="nil"/>
              <w:bottom w:val="nil"/>
              <w:right w:val="nil"/>
            </w:tcBorders>
            <w:shd w:val="clear" w:color="auto" w:fill="auto"/>
          </w:tcPr>
          <w:p w14:paraId="50761B72" w14:textId="77777777"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5E07BCC1" w14:textId="08D3519B"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2,6</w:t>
            </w:r>
          </w:p>
        </w:tc>
        <w:tc>
          <w:tcPr>
            <w:tcW w:w="992" w:type="dxa"/>
            <w:tcBorders>
              <w:top w:val="nil"/>
              <w:left w:val="nil"/>
              <w:bottom w:val="nil"/>
              <w:right w:val="nil"/>
            </w:tcBorders>
            <w:shd w:val="clear" w:color="auto" w:fill="auto"/>
          </w:tcPr>
          <w:p w14:paraId="69E117DF" w14:textId="2B740A53"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2,6</w:t>
            </w:r>
          </w:p>
        </w:tc>
        <w:tc>
          <w:tcPr>
            <w:tcW w:w="851" w:type="dxa"/>
            <w:tcBorders>
              <w:top w:val="nil"/>
              <w:left w:val="nil"/>
              <w:bottom w:val="nil"/>
              <w:right w:val="nil"/>
            </w:tcBorders>
            <w:shd w:val="clear" w:color="auto" w:fill="auto"/>
          </w:tcPr>
          <w:p w14:paraId="7B5DA518" w14:textId="77777777" w:rsidR="00191645" w:rsidRPr="007E770D" w:rsidRDefault="00191645" w:rsidP="00191645">
            <w:pPr>
              <w:pStyle w:val="Footer"/>
              <w:ind w:right="170"/>
              <w:jc w:val="right"/>
              <w:rPr>
                <w:rFonts w:cstheme="minorHAnsi"/>
                <w:color w:val="auto"/>
                <w:sz w:val="14"/>
                <w:szCs w:val="14"/>
                <w:lang w:val="sr-Cyrl-CS"/>
              </w:rPr>
            </w:pPr>
          </w:p>
        </w:tc>
        <w:tc>
          <w:tcPr>
            <w:tcW w:w="1000" w:type="dxa"/>
            <w:tcBorders>
              <w:top w:val="nil"/>
              <w:left w:val="nil"/>
              <w:bottom w:val="nil"/>
              <w:right w:val="nil"/>
            </w:tcBorders>
            <w:shd w:val="clear" w:color="auto" w:fill="auto"/>
          </w:tcPr>
          <w:p w14:paraId="529376D0" w14:textId="77777777" w:rsidR="00191645" w:rsidRPr="007E770D" w:rsidRDefault="00191645" w:rsidP="00191645">
            <w:pPr>
              <w:pStyle w:val="Footer"/>
              <w:ind w:right="284"/>
              <w:jc w:val="right"/>
              <w:rPr>
                <w:rFonts w:cstheme="minorHAnsi"/>
                <w:color w:val="auto"/>
                <w:sz w:val="14"/>
                <w:szCs w:val="14"/>
                <w:lang w:val="sr-Cyrl-CS"/>
              </w:rPr>
            </w:pPr>
          </w:p>
        </w:tc>
        <w:tc>
          <w:tcPr>
            <w:tcW w:w="943" w:type="dxa"/>
            <w:tcBorders>
              <w:top w:val="nil"/>
              <w:left w:val="nil"/>
              <w:bottom w:val="nil"/>
              <w:right w:val="nil"/>
            </w:tcBorders>
            <w:shd w:val="clear" w:color="auto" w:fill="auto"/>
          </w:tcPr>
          <w:p w14:paraId="7E41F561" w14:textId="77777777" w:rsidR="00191645" w:rsidRPr="007E770D" w:rsidRDefault="00191645" w:rsidP="00191645">
            <w:pPr>
              <w:pStyle w:val="Footer"/>
              <w:ind w:right="284"/>
              <w:jc w:val="right"/>
              <w:rPr>
                <w:rFonts w:cstheme="minorHAnsi"/>
                <w:color w:val="auto"/>
                <w:sz w:val="14"/>
                <w:szCs w:val="14"/>
                <w:lang w:val="sr-Cyrl-CS"/>
              </w:rPr>
            </w:pPr>
          </w:p>
        </w:tc>
      </w:tr>
      <w:tr w:rsidR="007E770D" w:rsidRPr="007E770D" w14:paraId="2BA1A5D1" w14:textId="77777777" w:rsidTr="00E4657F">
        <w:trPr>
          <w:jc w:val="center"/>
        </w:trPr>
        <w:tc>
          <w:tcPr>
            <w:tcW w:w="2512" w:type="dxa"/>
            <w:vAlign w:val="bottom"/>
          </w:tcPr>
          <w:p w14:paraId="2B4F69A8"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color w:val="auto"/>
                <w:sz w:val="14"/>
                <w:szCs w:val="16"/>
                <w:lang w:val="sr-Cyrl-CS"/>
              </w:rPr>
              <w:t>Остали нивои</w:t>
            </w:r>
          </w:p>
        </w:tc>
        <w:tc>
          <w:tcPr>
            <w:tcW w:w="1169" w:type="dxa"/>
            <w:tcBorders>
              <w:top w:val="nil"/>
              <w:left w:val="nil"/>
              <w:bottom w:val="nil"/>
              <w:right w:val="nil"/>
            </w:tcBorders>
            <w:shd w:val="clear" w:color="auto" w:fill="auto"/>
          </w:tcPr>
          <w:p w14:paraId="20951505" w14:textId="6FD68D8F"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7,9</w:t>
            </w:r>
          </w:p>
        </w:tc>
        <w:tc>
          <w:tcPr>
            <w:tcW w:w="1701" w:type="dxa"/>
            <w:tcBorders>
              <w:top w:val="nil"/>
              <w:left w:val="nil"/>
              <w:bottom w:val="nil"/>
              <w:right w:val="nil"/>
            </w:tcBorders>
            <w:shd w:val="clear" w:color="auto" w:fill="auto"/>
          </w:tcPr>
          <w:p w14:paraId="12542322" w14:textId="7BBE319A"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7,9</w:t>
            </w:r>
          </w:p>
        </w:tc>
        <w:tc>
          <w:tcPr>
            <w:tcW w:w="992" w:type="dxa"/>
            <w:tcBorders>
              <w:top w:val="nil"/>
              <w:left w:val="nil"/>
              <w:bottom w:val="nil"/>
              <w:right w:val="nil"/>
            </w:tcBorders>
            <w:shd w:val="clear" w:color="auto" w:fill="auto"/>
          </w:tcPr>
          <w:p w14:paraId="40D47950" w14:textId="4A81ECC3"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323EC11D" w14:textId="77777777" w:rsidR="00191645" w:rsidRPr="007E770D" w:rsidRDefault="00191645" w:rsidP="00191645">
            <w:pPr>
              <w:pStyle w:val="Footer"/>
              <w:ind w:right="227"/>
              <w:jc w:val="right"/>
              <w:rPr>
                <w:rFonts w:cstheme="minorHAnsi"/>
                <w:color w:val="auto"/>
                <w:sz w:val="14"/>
                <w:szCs w:val="14"/>
                <w:lang w:val="sr-Cyrl-CS"/>
              </w:rPr>
            </w:pPr>
          </w:p>
        </w:tc>
        <w:tc>
          <w:tcPr>
            <w:tcW w:w="993" w:type="dxa"/>
            <w:tcBorders>
              <w:top w:val="nil"/>
              <w:left w:val="nil"/>
              <w:bottom w:val="nil"/>
              <w:right w:val="nil"/>
            </w:tcBorders>
            <w:shd w:val="clear" w:color="auto" w:fill="auto"/>
          </w:tcPr>
          <w:p w14:paraId="2C834137" w14:textId="77777777" w:rsidR="00191645" w:rsidRPr="007E770D" w:rsidRDefault="00191645" w:rsidP="00191645">
            <w:pPr>
              <w:pStyle w:val="Footer"/>
              <w:ind w:right="227"/>
              <w:jc w:val="right"/>
              <w:rPr>
                <w:rFonts w:cstheme="minorHAnsi"/>
                <w:color w:val="auto"/>
                <w:sz w:val="14"/>
                <w:szCs w:val="14"/>
                <w:lang w:val="sr-Cyrl-CS"/>
              </w:rPr>
            </w:pPr>
          </w:p>
        </w:tc>
        <w:tc>
          <w:tcPr>
            <w:tcW w:w="1032" w:type="dxa"/>
            <w:tcBorders>
              <w:top w:val="nil"/>
              <w:left w:val="nil"/>
              <w:bottom w:val="nil"/>
              <w:right w:val="nil"/>
            </w:tcBorders>
            <w:shd w:val="clear" w:color="auto" w:fill="auto"/>
          </w:tcPr>
          <w:p w14:paraId="42699FFD" w14:textId="77777777"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bottom w:val="nil"/>
              <w:right w:val="nil"/>
            </w:tcBorders>
            <w:shd w:val="clear" w:color="auto" w:fill="auto"/>
          </w:tcPr>
          <w:p w14:paraId="692B91E9" w14:textId="37093E81"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0,0</w:t>
            </w:r>
          </w:p>
        </w:tc>
        <w:tc>
          <w:tcPr>
            <w:tcW w:w="992" w:type="dxa"/>
            <w:tcBorders>
              <w:top w:val="nil"/>
              <w:left w:val="nil"/>
              <w:bottom w:val="nil"/>
              <w:right w:val="nil"/>
            </w:tcBorders>
            <w:shd w:val="clear" w:color="auto" w:fill="auto"/>
          </w:tcPr>
          <w:p w14:paraId="47899227" w14:textId="77777777" w:rsidR="00191645" w:rsidRPr="007E770D" w:rsidRDefault="00191645" w:rsidP="00191645">
            <w:pPr>
              <w:pStyle w:val="Footer"/>
              <w:ind w:right="227"/>
              <w:jc w:val="right"/>
              <w:rPr>
                <w:rFonts w:cstheme="minorHAnsi"/>
                <w:color w:val="auto"/>
                <w:sz w:val="14"/>
                <w:szCs w:val="14"/>
                <w:lang w:val="sr-Cyrl-CS"/>
              </w:rPr>
            </w:pPr>
          </w:p>
        </w:tc>
        <w:tc>
          <w:tcPr>
            <w:tcW w:w="851" w:type="dxa"/>
            <w:tcBorders>
              <w:top w:val="nil"/>
              <w:left w:val="nil"/>
              <w:bottom w:val="nil"/>
              <w:right w:val="nil"/>
            </w:tcBorders>
            <w:shd w:val="clear" w:color="auto" w:fill="auto"/>
          </w:tcPr>
          <w:p w14:paraId="03B8BB56" w14:textId="77777777" w:rsidR="00191645" w:rsidRPr="007E770D" w:rsidRDefault="00191645" w:rsidP="00191645">
            <w:pPr>
              <w:pStyle w:val="Footer"/>
              <w:ind w:right="170"/>
              <w:jc w:val="right"/>
              <w:rPr>
                <w:rFonts w:cstheme="minorHAnsi"/>
                <w:color w:val="auto"/>
                <w:sz w:val="14"/>
                <w:szCs w:val="14"/>
                <w:lang w:val="sr-Cyrl-CS"/>
              </w:rPr>
            </w:pPr>
          </w:p>
        </w:tc>
        <w:tc>
          <w:tcPr>
            <w:tcW w:w="1000" w:type="dxa"/>
            <w:tcBorders>
              <w:top w:val="nil"/>
              <w:left w:val="nil"/>
              <w:bottom w:val="nil"/>
              <w:right w:val="nil"/>
            </w:tcBorders>
            <w:shd w:val="clear" w:color="auto" w:fill="auto"/>
          </w:tcPr>
          <w:p w14:paraId="60F78B90" w14:textId="77777777" w:rsidR="00191645" w:rsidRPr="007E770D" w:rsidRDefault="00191645" w:rsidP="00191645">
            <w:pPr>
              <w:pStyle w:val="Footer"/>
              <w:ind w:right="284"/>
              <w:jc w:val="right"/>
              <w:rPr>
                <w:rFonts w:cstheme="minorHAnsi"/>
                <w:color w:val="auto"/>
                <w:sz w:val="14"/>
                <w:szCs w:val="14"/>
                <w:lang w:val="sr-Cyrl-CS"/>
              </w:rPr>
            </w:pPr>
          </w:p>
        </w:tc>
        <w:tc>
          <w:tcPr>
            <w:tcW w:w="943" w:type="dxa"/>
            <w:tcBorders>
              <w:top w:val="nil"/>
              <w:left w:val="nil"/>
              <w:bottom w:val="nil"/>
              <w:right w:val="nil"/>
            </w:tcBorders>
            <w:shd w:val="clear" w:color="auto" w:fill="auto"/>
          </w:tcPr>
          <w:p w14:paraId="13B1EB6E" w14:textId="77777777" w:rsidR="00191645" w:rsidRPr="007E770D" w:rsidRDefault="00191645" w:rsidP="00191645">
            <w:pPr>
              <w:pStyle w:val="Footer"/>
              <w:ind w:right="284"/>
              <w:jc w:val="right"/>
              <w:rPr>
                <w:rFonts w:cstheme="minorHAnsi"/>
                <w:color w:val="auto"/>
                <w:sz w:val="14"/>
                <w:szCs w:val="14"/>
                <w:lang w:val="sr-Cyrl-CS"/>
              </w:rPr>
            </w:pPr>
          </w:p>
        </w:tc>
      </w:tr>
      <w:tr w:rsidR="007E770D" w:rsidRPr="007E770D" w14:paraId="101B735F" w14:textId="77777777" w:rsidTr="00E4657F">
        <w:trPr>
          <w:jc w:val="center"/>
        </w:trPr>
        <w:tc>
          <w:tcPr>
            <w:tcW w:w="2512" w:type="dxa"/>
            <w:vAlign w:val="center"/>
          </w:tcPr>
          <w:p w14:paraId="73630802" w14:textId="77777777" w:rsidR="00191645" w:rsidRPr="007E770D" w:rsidRDefault="00191645" w:rsidP="00191645">
            <w:pPr>
              <w:pStyle w:val="Footer"/>
              <w:rPr>
                <w:rFonts w:cstheme="minorHAnsi"/>
                <w:color w:val="auto"/>
                <w:spacing w:val="-4"/>
                <w:sz w:val="14"/>
                <w:szCs w:val="16"/>
                <w:lang w:val="sr-Cyrl-CS"/>
              </w:rPr>
            </w:pPr>
            <w:r w:rsidRPr="007E770D">
              <w:rPr>
                <w:rFonts w:ascii="Calibri" w:hAnsi="Calibri" w:cs="Calibri"/>
                <w:color w:val="auto"/>
                <w:spacing w:val="-4"/>
                <w:sz w:val="14"/>
                <w:szCs w:val="16"/>
                <w:lang w:val="sr-Cyrl-CS"/>
              </w:rPr>
              <w:t>Нето трансфери другим нивоима власти</w:t>
            </w:r>
          </w:p>
        </w:tc>
        <w:tc>
          <w:tcPr>
            <w:tcW w:w="1169" w:type="dxa"/>
            <w:tcBorders>
              <w:top w:val="nil"/>
              <w:left w:val="nil"/>
              <w:right w:val="nil"/>
            </w:tcBorders>
            <w:shd w:val="clear" w:color="auto" w:fill="auto"/>
          </w:tcPr>
          <w:p w14:paraId="393720B3" w14:textId="07B42F11"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0,0</w:t>
            </w:r>
          </w:p>
        </w:tc>
        <w:tc>
          <w:tcPr>
            <w:tcW w:w="1701" w:type="dxa"/>
            <w:tcBorders>
              <w:top w:val="nil"/>
              <w:left w:val="nil"/>
              <w:right w:val="nil"/>
            </w:tcBorders>
            <w:shd w:val="clear" w:color="auto" w:fill="auto"/>
          </w:tcPr>
          <w:p w14:paraId="12EE4321" w14:textId="572A22DB"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-272,0</w:t>
            </w:r>
          </w:p>
        </w:tc>
        <w:tc>
          <w:tcPr>
            <w:tcW w:w="992" w:type="dxa"/>
            <w:tcBorders>
              <w:top w:val="nil"/>
              <w:left w:val="nil"/>
              <w:right w:val="nil"/>
            </w:tcBorders>
            <w:shd w:val="clear" w:color="auto" w:fill="auto"/>
          </w:tcPr>
          <w:p w14:paraId="59920322" w14:textId="2DAB100D"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82,2</w:t>
            </w:r>
          </w:p>
        </w:tc>
        <w:tc>
          <w:tcPr>
            <w:tcW w:w="992" w:type="dxa"/>
            <w:tcBorders>
              <w:top w:val="nil"/>
              <w:left w:val="nil"/>
              <w:right w:val="nil"/>
            </w:tcBorders>
            <w:shd w:val="clear" w:color="auto" w:fill="auto"/>
          </w:tcPr>
          <w:p w14:paraId="518F0764" w14:textId="37EA11FC"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45,5</w:t>
            </w:r>
          </w:p>
        </w:tc>
        <w:tc>
          <w:tcPr>
            <w:tcW w:w="993" w:type="dxa"/>
            <w:tcBorders>
              <w:top w:val="nil"/>
              <w:left w:val="nil"/>
              <w:right w:val="nil"/>
            </w:tcBorders>
            <w:shd w:val="clear" w:color="auto" w:fill="auto"/>
          </w:tcPr>
          <w:p w14:paraId="771B7193" w14:textId="640FCA69"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36,7</w:t>
            </w:r>
          </w:p>
        </w:tc>
        <w:tc>
          <w:tcPr>
            <w:tcW w:w="1032" w:type="dxa"/>
            <w:tcBorders>
              <w:top w:val="nil"/>
              <w:left w:val="nil"/>
              <w:right w:val="nil"/>
            </w:tcBorders>
            <w:shd w:val="clear" w:color="auto" w:fill="auto"/>
          </w:tcPr>
          <w:p w14:paraId="72E103F8" w14:textId="24DDA652"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7,9</w:t>
            </w:r>
          </w:p>
        </w:tc>
        <w:tc>
          <w:tcPr>
            <w:tcW w:w="992" w:type="dxa"/>
            <w:tcBorders>
              <w:top w:val="nil"/>
              <w:left w:val="nil"/>
              <w:right w:val="nil"/>
            </w:tcBorders>
            <w:shd w:val="clear" w:color="auto" w:fill="auto"/>
          </w:tcPr>
          <w:p w14:paraId="3D622CC4" w14:textId="195C7539"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181,9</w:t>
            </w:r>
          </w:p>
        </w:tc>
        <w:tc>
          <w:tcPr>
            <w:tcW w:w="992" w:type="dxa"/>
            <w:tcBorders>
              <w:top w:val="nil"/>
              <w:left w:val="nil"/>
              <w:right w:val="nil"/>
            </w:tcBorders>
            <w:shd w:val="clear" w:color="auto" w:fill="auto"/>
          </w:tcPr>
          <w:p w14:paraId="7A5C35CA" w14:textId="0F5746FE"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102,2</w:t>
            </w:r>
          </w:p>
        </w:tc>
        <w:tc>
          <w:tcPr>
            <w:tcW w:w="851" w:type="dxa"/>
            <w:tcBorders>
              <w:top w:val="nil"/>
              <w:left w:val="nil"/>
              <w:right w:val="nil"/>
            </w:tcBorders>
            <w:shd w:val="clear" w:color="auto" w:fill="auto"/>
          </w:tcPr>
          <w:p w14:paraId="3E887760" w14:textId="39C6242A" w:rsidR="00191645" w:rsidRPr="007E770D" w:rsidRDefault="00191645" w:rsidP="00191645">
            <w:pPr>
              <w:pStyle w:val="Footer"/>
              <w:ind w:right="170"/>
              <w:jc w:val="right"/>
              <w:rPr>
                <w:rFonts w:cstheme="minorHAnsi"/>
                <w:color w:val="auto"/>
                <w:sz w:val="14"/>
                <w:szCs w:val="14"/>
                <w:lang w:val="sr-Cyrl-CS"/>
              </w:rPr>
            </w:pPr>
            <w:r w:rsidRPr="007E770D">
              <w:rPr>
                <w:color w:val="auto"/>
                <w:sz w:val="14"/>
                <w:szCs w:val="14"/>
                <w:lang w:val="sr-Cyrl-CS"/>
              </w:rPr>
              <w:t>79,9</w:t>
            </w:r>
          </w:p>
        </w:tc>
        <w:tc>
          <w:tcPr>
            <w:tcW w:w="1000" w:type="dxa"/>
            <w:tcBorders>
              <w:top w:val="nil"/>
              <w:left w:val="nil"/>
              <w:right w:val="nil"/>
            </w:tcBorders>
            <w:shd w:val="clear" w:color="auto" w:fill="auto"/>
          </w:tcPr>
          <w:p w14:paraId="1458746C" w14:textId="485BD4C1"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-3,1</w:t>
            </w:r>
          </w:p>
        </w:tc>
        <w:tc>
          <w:tcPr>
            <w:tcW w:w="943" w:type="dxa"/>
            <w:tcBorders>
              <w:top w:val="nil"/>
              <w:left w:val="nil"/>
              <w:right w:val="nil"/>
            </w:tcBorders>
            <w:shd w:val="clear" w:color="auto" w:fill="auto"/>
          </w:tcPr>
          <w:p w14:paraId="2076FED8" w14:textId="76CE9507"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3,0</w:t>
            </w:r>
          </w:p>
        </w:tc>
      </w:tr>
      <w:tr w:rsidR="007E770D" w:rsidRPr="007E770D" w14:paraId="725E6CA1" w14:textId="77777777" w:rsidTr="00E4657F">
        <w:trPr>
          <w:jc w:val="center"/>
        </w:trPr>
        <w:tc>
          <w:tcPr>
            <w:tcW w:w="2512" w:type="dxa"/>
            <w:vAlign w:val="center"/>
          </w:tcPr>
          <w:p w14:paraId="0825C142" w14:textId="77777777" w:rsidR="00191645" w:rsidRPr="007E770D" w:rsidRDefault="00191645" w:rsidP="00191645">
            <w:pPr>
              <w:pStyle w:val="Footer"/>
              <w:rPr>
                <w:rFonts w:ascii="Calibri" w:hAnsi="Calibri" w:cs="Calibri"/>
                <w:color w:val="auto"/>
                <w:spacing w:val="-4"/>
                <w:sz w:val="14"/>
                <w:szCs w:val="16"/>
                <w:lang w:val="sr-Cyrl-CS"/>
              </w:rPr>
            </w:pPr>
            <w:r w:rsidRPr="007E770D">
              <w:rPr>
                <w:rFonts w:ascii="Calibri" w:hAnsi="Calibri" w:cs="Calibri"/>
                <w:color w:val="auto"/>
                <w:spacing w:val="-4"/>
                <w:sz w:val="14"/>
                <w:szCs w:val="16"/>
                <w:lang w:val="sr-Cyrl-CS"/>
              </w:rPr>
              <w:t>Нераспоређени фискални простор</w:t>
            </w:r>
          </w:p>
        </w:tc>
        <w:tc>
          <w:tcPr>
            <w:tcW w:w="1169" w:type="dxa"/>
            <w:tcBorders>
              <w:top w:val="nil"/>
              <w:left w:val="nil"/>
              <w:right w:val="nil"/>
            </w:tcBorders>
            <w:shd w:val="clear" w:color="auto" w:fill="auto"/>
          </w:tcPr>
          <w:p w14:paraId="2B73A7DE" w14:textId="7CAA2545"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0,0</w:t>
            </w:r>
          </w:p>
        </w:tc>
        <w:tc>
          <w:tcPr>
            <w:tcW w:w="1701" w:type="dxa"/>
            <w:tcBorders>
              <w:top w:val="nil"/>
              <w:left w:val="nil"/>
              <w:right w:val="nil"/>
            </w:tcBorders>
            <w:shd w:val="clear" w:color="auto" w:fill="auto"/>
          </w:tcPr>
          <w:p w14:paraId="0EFBAD8B" w14:textId="037ACFC8"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0,0</w:t>
            </w:r>
          </w:p>
        </w:tc>
        <w:tc>
          <w:tcPr>
            <w:tcW w:w="992" w:type="dxa"/>
            <w:tcBorders>
              <w:top w:val="nil"/>
              <w:left w:val="nil"/>
              <w:right w:val="nil"/>
            </w:tcBorders>
            <w:shd w:val="clear" w:color="auto" w:fill="auto"/>
          </w:tcPr>
          <w:p w14:paraId="683D6252" w14:textId="2822F876"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0,0</w:t>
            </w:r>
          </w:p>
        </w:tc>
        <w:tc>
          <w:tcPr>
            <w:tcW w:w="992" w:type="dxa"/>
            <w:tcBorders>
              <w:top w:val="nil"/>
              <w:left w:val="nil"/>
              <w:right w:val="nil"/>
            </w:tcBorders>
            <w:shd w:val="clear" w:color="auto" w:fill="auto"/>
          </w:tcPr>
          <w:p w14:paraId="15F1BFCE" w14:textId="77777777" w:rsidR="00191645" w:rsidRPr="007E770D" w:rsidRDefault="00191645" w:rsidP="00191645">
            <w:pPr>
              <w:pStyle w:val="Footer"/>
              <w:ind w:right="227"/>
              <w:jc w:val="right"/>
              <w:rPr>
                <w:rFonts w:cstheme="minorHAnsi"/>
                <w:color w:val="auto"/>
                <w:sz w:val="14"/>
                <w:szCs w:val="14"/>
                <w:lang w:val="sr-Cyrl-CS"/>
              </w:rPr>
            </w:pPr>
          </w:p>
        </w:tc>
        <w:tc>
          <w:tcPr>
            <w:tcW w:w="993" w:type="dxa"/>
            <w:tcBorders>
              <w:top w:val="nil"/>
              <w:left w:val="nil"/>
              <w:right w:val="nil"/>
            </w:tcBorders>
            <w:shd w:val="clear" w:color="auto" w:fill="auto"/>
          </w:tcPr>
          <w:p w14:paraId="7657F768" w14:textId="77777777" w:rsidR="00191645" w:rsidRPr="007E770D" w:rsidRDefault="00191645" w:rsidP="00191645">
            <w:pPr>
              <w:pStyle w:val="Footer"/>
              <w:ind w:right="227"/>
              <w:jc w:val="right"/>
              <w:rPr>
                <w:rFonts w:cstheme="minorHAnsi"/>
                <w:color w:val="auto"/>
                <w:sz w:val="14"/>
                <w:szCs w:val="14"/>
                <w:lang w:val="sr-Cyrl-CS"/>
              </w:rPr>
            </w:pPr>
          </w:p>
        </w:tc>
        <w:tc>
          <w:tcPr>
            <w:tcW w:w="1032" w:type="dxa"/>
            <w:tcBorders>
              <w:top w:val="nil"/>
              <w:left w:val="nil"/>
              <w:right w:val="nil"/>
            </w:tcBorders>
            <w:shd w:val="clear" w:color="auto" w:fill="auto"/>
          </w:tcPr>
          <w:p w14:paraId="27BB4C1D" w14:textId="77777777" w:rsidR="00191645" w:rsidRPr="007E770D" w:rsidRDefault="00191645" w:rsidP="00191645">
            <w:pPr>
              <w:pStyle w:val="Footer"/>
              <w:ind w:right="227"/>
              <w:jc w:val="right"/>
              <w:rPr>
                <w:rFonts w:cstheme="minorHAnsi"/>
                <w:color w:val="auto"/>
                <w:sz w:val="14"/>
                <w:szCs w:val="14"/>
                <w:lang w:val="sr-Cyrl-CS"/>
              </w:rPr>
            </w:pPr>
          </w:p>
        </w:tc>
        <w:tc>
          <w:tcPr>
            <w:tcW w:w="992" w:type="dxa"/>
            <w:tcBorders>
              <w:top w:val="nil"/>
              <w:left w:val="nil"/>
              <w:right w:val="nil"/>
            </w:tcBorders>
            <w:shd w:val="clear" w:color="auto" w:fill="auto"/>
          </w:tcPr>
          <w:p w14:paraId="5763CDC6" w14:textId="5974F781"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0,0</w:t>
            </w:r>
          </w:p>
        </w:tc>
        <w:tc>
          <w:tcPr>
            <w:tcW w:w="992" w:type="dxa"/>
            <w:tcBorders>
              <w:top w:val="nil"/>
              <w:left w:val="nil"/>
              <w:right w:val="nil"/>
            </w:tcBorders>
            <w:shd w:val="clear" w:color="auto" w:fill="auto"/>
          </w:tcPr>
          <w:p w14:paraId="2ADA0B95" w14:textId="77777777" w:rsidR="00191645" w:rsidRPr="007E770D" w:rsidRDefault="00191645" w:rsidP="00191645">
            <w:pPr>
              <w:pStyle w:val="Footer"/>
              <w:ind w:right="227"/>
              <w:jc w:val="right"/>
              <w:rPr>
                <w:rFonts w:cstheme="minorHAnsi"/>
                <w:color w:val="auto"/>
                <w:sz w:val="14"/>
                <w:szCs w:val="14"/>
                <w:lang w:val="sr-Cyrl-CS"/>
              </w:rPr>
            </w:pPr>
          </w:p>
        </w:tc>
        <w:tc>
          <w:tcPr>
            <w:tcW w:w="851" w:type="dxa"/>
            <w:tcBorders>
              <w:top w:val="nil"/>
              <w:left w:val="nil"/>
              <w:right w:val="nil"/>
            </w:tcBorders>
            <w:shd w:val="clear" w:color="auto" w:fill="auto"/>
          </w:tcPr>
          <w:p w14:paraId="09FB2721" w14:textId="77777777" w:rsidR="00191645" w:rsidRPr="007E770D" w:rsidRDefault="00191645" w:rsidP="00191645">
            <w:pPr>
              <w:pStyle w:val="Footer"/>
              <w:ind w:right="170"/>
              <w:jc w:val="right"/>
              <w:rPr>
                <w:rFonts w:cstheme="minorHAnsi"/>
                <w:color w:val="auto"/>
                <w:sz w:val="14"/>
                <w:szCs w:val="14"/>
                <w:lang w:val="sr-Cyrl-CS"/>
              </w:rPr>
            </w:pPr>
          </w:p>
        </w:tc>
        <w:tc>
          <w:tcPr>
            <w:tcW w:w="1000" w:type="dxa"/>
            <w:tcBorders>
              <w:top w:val="nil"/>
              <w:left w:val="nil"/>
              <w:right w:val="nil"/>
            </w:tcBorders>
            <w:shd w:val="clear" w:color="auto" w:fill="auto"/>
          </w:tcPr>
          <w:p w14:paraId="0318C1DB" w14:textId="77777777" w:rsidR="00191645" w:rsidRPr="007E770D" w:rsidRDefault="00191645" w:rsidP="00191645">
            <w:pPr>
              <w:pStyle w:val="Footer"/>
              <w:ind w:right="284"/>
              <w:jc w:val="right"/>
              <w:rPr>
                <w:rFonts w:cstheme="minorHAnsi"/>
                <w:color w:val="auto"/>
                <w:sz w:val="14"/>
                <w:szCs w:val="14"/>
                <w:lang w:val="sr-Cyrl-CS"/>
              </w:rPr>
            </w:pPr>
          </w:p>
        </w:tc>
        <w:tc>
          <w:tcPr>
            <w:tcW w:w="943" w:type="dxa"/>
            <w:tcBorders>
              <w:top w:val="nil"/>
              <w:left w:val="nil"/>
              <w:right w:val="nil"/>
            </w:tcBorders>
            <w:shd w:val="clear" w:color="auto" w:fill="auto"/>
          </w:tcPr>
          <w:p w14:paraId="67D1B01E" w14:textId="77777777" w:rsidR="00191645" w:rsidRPr="007E770D" w:rsidRDefault="00191645" w:rsidP="00191645">
            <w:pPr>
              <w:pStyle w:val="Footer"/>
              <w:ind w:right="284"/>
              <w:jc w:val="right"/>
              <w:rPr>
                <w:rFonts w:cstheme="minorHAnsi"/>
                <w:color w:val="auto"/>
                <w:sz w:val="14"/>
                <w:szCs w:val="14"/>
                <w:lang w:val="sr-Cyrl-CS"/>
              </w:rPr>
            </w:pPr>
          </w:p>
        </w:tc>
      </w:tr>
      <w:tr w:rsidR="007E770D" w:rsidRPr="007E770D" w14:paraId="5704CD70" w14:textId="77777777" w:rsidTr="00E4657F">
        <w:trPr>
          <w:jc w:val="center"/>
        </w:trPr>
        <w:tc>
          <w:tcPr>
            <w:tcW w:w="2512" w:type="dxa"/>
            <w:tcBorders>
              <w:bottom w:val="single" w:sz="4" w:space="0" w:color="002060"/>
            </w:tcBorders>
            <w:shd w:val="clear" w:color="auto" w:fill="E7E6E6" w:themeFill="background2"/>
            <w:vAlign w:val="bottom"/>
          </w:tcPr>
          <w:p w14:paraId="2B7A4564" w14:textId="77777777" w:rsidR="00191645" w:rsidRPr="007E770D" w:rsidRDefault="00191645" w:rsidP="00191645">
            <w:pPr>
              <w:pStyle w:val="Footer"/>
              <w:rPr>
                <w:rFonts w:cstheme="minorHAnsi"/>
                <w:color w:val="auto"/>
                <w:sz w:val="14"/>
                <w:szCs w:val="16"/>
                <w:lang w:val="sr-Cyrl-CS"/>
              </w:rPr>
            </w:pPr>
            <w:r w:rsidRPr="007E770D">
              <w:rPr>
                <w:rFonts w:ascii="Calibri" w:hAnsi="Calibri" w:cs="Calibri"/>
                <w:bCs/>
                <w:color w:val="auto"/>
                <w:sz w:val="14"/>
                <w:szCs w:val="16"/>
                <w:lang w:val="sr-Cyrl-CS"/>
              </w:rPr>
              <w:t>Фискални резултат</w:t>
            </w:r>
          </w:p>
        </w:tc>
        <w:tc>
          <w:tcPr>
            <w:tcW w:w="1169" w:type="dxa"/>
            <w:tcBorders>
              <w:top w:val="nil"/>
              <w:left w:val="nil"/>
              <w:bottom w:val="single" w:sz="4" w:space="0" w:color="002060"/>
              <w:right w:val="nil"/>
            </w:tcBorders>
            <w:shd w:val="clear" w:color="000000" w:fill="E7E6E6"/>
          </w:tcPr>
          <w:p w14:paraId="0CC4CC32" w14:textId="1D140D9C"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-29,0</w:t>
            </w:r>
          </w:p>
        </w:tc>
        <w:tc>
          <w:tcPr>
            <w:tcW w:w="1701" w:type="dxa"/>
            <w:tcBorders>
              <w:top w:val="nil"/>
              <w:left w:val="nil"/>
              <w:bottom w:val="single" w:sz="4" w:space="0" w:color="002060"/>
              <w:right w:val="nil"/>
            </w:tcBorders>
            <w:shd w:val="clear" w:color="000000" w:fill="E7E6E6"/>
          </w:tcPr>
          <w:p w14:paraId="74DA5CD9" w14:textId="27323FD7" w:rsidR="00191645" w:rsidRPr="007E770D" w:rsidRDefault="00191645" w:rsidP="00191645">
            <w:pPr>
              <w:pStyle w:val="Footer"/>
              <w:ind w:right="510"/>
              <w:jc w:val="right"/>
              <w:rPr>
                <w:rFonts w:cstheme="minorHAnsi"/>
                <w:color w:val="auto"/>
                <w:sz w:val="14"/>
                <w:szCs w:val="14"/>
                <w:lang w:val="sr-Cyrl-CS"/>
              </w:rPr>
            </w:pPr>
            <w:r w:rsidRPr="007E770D">
              <w:rPr>
                <w:color w:val="auto"/>
                <w:sz w:val="14"/>
                <w:szCs w:val="14"/>
                <w:lang w:val="sr-Cyrl-CS"/>
              </w:rPr>
              <w:t>-20,2</w:t>
            </w:r>
          </w:p>
        </w:tc>
        <w:tc>
          <w:tcPr>
            <w:tcW w:w="992" w:type="dxa"/>
            <w:tcBorders>
              <w:top w:val="nil"/>
              <w:left w:val="nil"/>
              <w:bottom w:val="single" w:sz="4" w:space="0" w:color="002060"/>
              <w:right w:val="nil"/>
            </w:tcBorders>
            <w:shd w:val="clear" w:color="000000" w:fill="E7E6E6"/>
          </w:tcPr>
          <w:p w14:paraId="7828E3FE" w14:textId="09CAC813"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2,5</w:t>
            </w:r>
          </w:p>
        </w:tc>
        <w:tc>
          <w:tcPr>
            <w:tcW w:w="992" w:type="dxa"/>
            <w:tcBorders>
              <w:top w:val="nil"/>
              <w:left w:val="nil"/>
              <w:bottom w:val="single" w:sz="4" w:space="0" w:color="002060"/>
              <w:right w:val="nil"/>
            </w:tcBorders>
            <w:shd w:val="clear" w:color="000000" w:fill="E7E6E6"/>
          </w:tcPr>
          <w:p w14:paraId="53BF8E85" w14:textId="5C84FD9E"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2,5</w:t>
            </w:r>
          </w:p>
        </w:tc>
        <w:tc>
          <w:tcPr>
            <w:tcW w:w="993" w:type="dxa"/>
            <w:tcBorders>
              <w:top w:val="nil"/>
              <w:left w:val="nil"/>
              <w:bottom w:val="single" w:sz="4" w:space="0" w:color="002060"/>
              <w:right w:val="nil"/>
            </w:tcBorders>
            <w:shd w:val="clear" w:color="000000" w:fill="E7E6E6"/>
          </w:tcPr>
          <w:p w14:paraId="76CB58E8" w14:textId="791A2B85"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0,1</w:t>
            </w:r>
          </w:p>
        </w:tc>
        <w:tc>
          <w:tcPr>
            <w:tcW w:w="1032" w:type="dxa"/>
            <w:tcBorders>
              <w:top w:val="nil"/>
              <w:left w:val="nil"/>
              <w:bottom w:val="single" w:sz="4" w:space="0" w:color="002060"/>
              <w:right w:val="nil"/>
            </w:tcBorders>
            <w:shd w:val="clear" w:color="000000" w:fill="E7E6E6"/>
          </w:tcPr>
          <w:p w14:paraId="721EBF41" w14:textId="54180BAF"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-5,1</w:t>
            </w:r>
          </w:p>
        </w:tc>
        <w:tc>
          <w:tcPr>
            <w:tcW w:w="992" w:type="dxa"/>
            <w:tcBorders>
              <w:top w:val="nil"/>
              <w:left w:val="nil"/>
              <w:bottom w:val="single" w:sz="4" w:space="0" w:color="002060"/>
              <w:right w:val="nil"/>
            </w:tcBorders>
            <w:shd w:val="clear" w:color="000000" w:fill="E7E6E6"/>
          </w:tcPr>
          <w:p w14:paraId="209C0DF0" w14:textId="44CF13C3"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-6,3</w:t>
            </w:r>
          </w:p>
        </w:tc>
        <w:tc>
          <w:tcPr>
            <w:tcW w:w="992" w:type="dxa"/>
            <w:tcBorders>
              <w:top w:val="nil"/>
              <w:left w:val="nil"/>
              <w:bottom w:val="single" w:sz="4" w:space="0" w:color="002060"/>
              <w:right w:val="nil"/>
            </w:tcBorders>
            <w:shd w:val="clear" w:color="000000" w:fill="E7E6E6"/>
          </w:tcPr>
          <w:p w14:paraId="1DCF6444" w14:textId="4B4E2A2D" w:rsidR="00191645" w:rsidRPr="007E770D" w:rsidRDefault="00191645" w:rsidP="00191645">
            <w:pPr>
              <w:pStyle w:val="Footer"/>
              <w:ind w:right="227"/>
              <w:jc w:val="right"/>
              <w:rPr>
                <w:rFonts w:cstheme="minorHAnsi"/>
                <w:color w:val="auto"/>
                <w:sz w:val="14"/>
                <w:szCs w:val="14"/>
                <w:lang w:val="sr-Cyrl-CS"/>
              </w:rPr>
            </w:pPr>
            <w:r w:rsidRPr="007E770D">
              <w:rPr>
                <w:color w:val="auto"/>
                <w:sz w:val="14"/>
                <w:szCs w:val="14"/>
                <w:lang w:val="sr-Cyrl-CS"/>
              </w:rPr>
              <w:t>0,0</w:t>
            </w:r>
          </w:p>
        </w:tc>
        <w:tc>
          <w:tcPr>
            <w:tcW w:w="851" w:type="dxa"/>
            <w:tcBorders>
              <w:top w:val="nil"/>
              <w:left w:val="nil"/>
              <w:bottom w:val="single" w:sz="4" w:space="0" w:color="002060"/>
              <w:right w:val="nil"/>
            </w:tcBorders>
            <w:shd w:val="clear" w:color="000000" w:fill="E7E6E6"/>
          </w:tcPr>
          <w:p w14:paraId="38464165" w14:textId="08259274" w:rsidR="00191645" w:rsidRPr="007E770D" w:rsidRDefault="00191645" w:rsidP="00191645">
            <w:pPr>
              <w:pStyle w:val="Footer"/>
              <w:ind w:right="170"/>
              <w:jc w:val="right"/>
              <w:rPr>
                <w:rFonts w:cstheme="minorHAnsi"/>
                <w:color w:val="auto"/>
                <w:sz w:val="14"/>
                <w:szCs w:val="14"/>
                <w:lang w:val="sr-Cyrl-CS"/>
              </w:rPr>
            </w:pPr>
            <w:r w:rsidRPr="007E770D">
              <w:rPr>
                <w:color w:val="auto"/>
                <w:sz w:val="14"/>
                <w:szCs w:val="14"/>
                <w:lang w:val="sr-Cyrl-CS"/>
              </w:rPr>
              <w:t>0,0</w:t>
            </w:r>
          </w:p>
        </w:tc>
        <w:tc>
          <w:tcPr>
            <w:tcW w:w="1000" w:type="dxa"/>
            <w:tcBorders>
              <w:top w:val="nil"/>
              <w:left w:val="nil"/>
              <w:bottom w:val="single" w:sz="4" w:space="0" w:color="002060"/>
              <w:right w:val="nil"/>
            </w:tcBorders>
            <w:shd w:val="clear" w:color="000000" w:fill="E7E6E6"/>
          </w:tcPr>
          <w:p w14:paraId="7A479E79" w14:textId="7D9EF4E0"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-6,3</w:t>
            </w:r>
          </w:p>
        </w:tc>
        <w:tc>
          <w:tcPr>
            <w:tcW w:w="943" w:type="dxa"/>
            <w:tcBorders>
              <w:top w:val="nil"/>
              <w:left w:val="nil"/>
              <w:bottom w:val="single" w:sz="4" w:space="0" w:color="002060"/>
              <w:right w:val="nil"/>
            </w:tcBorders>
            <w:shd w:val="clear" w:color="000000" w:fill="E7E6E6"/>
          </w:tcPr>
          <w:p w14:paraId="28977F8B" w14:textId="6CB33E71" w:rsidR="00191645" w:rsidRPr="007E770D" w:rsidRDefault="00191645" w:rsidP="00191645">
            <w:pPr>
              <w:pStyle w:val="Footer"/>
              <w:ind w:right="284"/>
              <w:jc w:val="right"/>
              <w:rPr>
                <w:rFonts w:cstheme="minorHAnsi"/>
                <w:color w:val="auto"/>
                <w:sz w:val="14"/>
                <w:szCs w:val="14"/>
                <w:lang w:val="sr-Cyrl-CS"/>
              </w:rPr>
            </w:pPr>
            <w:r w:rsidRPr="007E770D">
              <w:rPr>
                <w:color w:val="auto"/>
                <w:sz w:val="14"/>
                <w:szCs w:val="14"/>
                <w:lang w:val="sr-Cyrl-CS"/>
              </w:rPr>
              <w:t>0,0</w:t>
            </w:r>
          </w:p>
        </w:tc>
      </w:tr>
    </w:tbl>
    <w:bookmarkEnd w:id="37"/>
    <w:p w14:paraId="6E4A28A3" w14:textId="77777777" w:rsidR="00944DC6" w:rsidRPr="007E770D" w:rsidRDefault="00944DC6" w:rsidP="00944DC6">
      <w:pPr>
        <w:pStyle w:val="Footer"/>
        <w:spacing w:before="40" w:after="60"/>
        <w:ind w:left="284" w:right="340"/>
        <w:rPr>
          <w:rFonts w:cstheme="minorHAnsi"/>
          <w:color w:val="auto"/>
          <w:sz w:val="16"/>
          <w:szCs w:val="16"/>
          <w:lang w:val="sr-Cyrl-CS"/>
        </w:rPr>
      </w:pPr>
      <w:r w:rsidRPr="007E770D">
        <w:rPr>
          <w:rFonts w:cstheme="minorHAnsi"/>
          <w:color w:val="auto"/>
          <w:sz w:val="16"/>
          <w:szCs w:val="16"/>
          <w:lang w:val="sr-Cyrl-CS"/>
        </w:rPr>
        <w:t>У табели је приказан оквирни износ прихода и расхода у 2020. години који је у већој мери заснован на статистичкој методологији рачуна јавних финансија него на рачуноводственој. Будући да током буџетског процеса може доћи до измена у висини и структури појединих категорија, ови износи нису законски обавезујући.</w:t>
      </w:r>
    </w:p>
    <w:p w14:paraId="7BD311C9" w14:textId="7D286F62" w:rsidR="008066BE" w:rsidRPr="007E770D" w:rsidRDefault="00944DC6" w:rsidP="00944DC6">
      <w:pPr>
        <w:pStyle w:val="Footer"/>
        <w:ind w:left="284"/>
        <w:rPr>
          <w:rFonts w:cstheme="minorHAnsi"/>
          <w:color w:val="auto"/>
          <w:sz w:val="16"/>
          <w:szCs w:val="16"/>
          <w:lang w:val="sr-Cyrl-CS"/>
        </w:rPr>
      </w:pPr>
      <w:r w:rsidRPr="007E770D">
        <w:rPr>
          <w:rFonts w:cstheme="minorHAnsi"/>
          <w:color w:val="auto"/>
          <w:sz w:val="16"/>
          <w:szCs w:val="16"/>
          <w:lang w:val="sr-Cyrl-CS"/>
        </w:rPr>
        <w:t>* Буџет је приказан без сопствених прихода индиректних буџетских корисника и из њих финансираних расхода, који нису обухваћени информационим системом извршења буџета.</w:t>
      </w:r>
    </w:p>
    <w:sectPr w:rsidR="008066BE" w:rsidRPr="007E770D" w:rsidSect="00944DC6">
      <w:headerReference w:type="default" r:id="rId173"/>
      <w:footerReference w:type="default" r:id="rId174"/>
      <w:pgSz w:w="15840" w:h="12240" w:orient="landscape" w:code="1"/>
      <w:pgMar w:top="680" w:right="567" w:bottom="680" w:left="567" w:header="510" w:footer="39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4F958A4" w14:textId="77777777" w:rsidR="006E5591" w:rsidRDefault="006E5591" w:rsidP="00BF7F6A">
      <w:pPr>
        <w:spacing w:after="0" w:line="240" w:lineRule="auto"/>
      </w:pPr>
      <w:r>
        <w:separator/>
      </w:r>
    </w:p>
  </w:endnote>
  <w:endnote w:type="continuationSeparator" w:id="0">
    <w:p w14:paraId="699F02B1" w14:textId="77777777" w:rsidR="006E5591" w:rsidRDefault="006E5591" w:rsidP="00BF7F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PGothic">
    <w:panose1 w:val="020B0600070205080204"/>
    <w:charset w:val="80"/>
    <w:family w:val="swiss"/>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42779108"/>
      <w:docPartObj>
        <w:docPartGallery w:val="Page Numbers (Bottom of Page)"/>
        <w:docPartUnique/>
      </w:docPartObj>
    </w:sdtPr>
    <w:sdtEndPr>
      <w:rPr>
        <w:noProof/>
      </w:rPr>
    </w:sdtEndPr>
    <w:sdtContent>
      <w:p w14:paraId="662369E3" w14:textId="1A633953" w:rsidR="00E07FF8" w:rsidRDefault="00E07FF8" w:rsidP="00D20C27">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77A211B0" w14:textId="77777777" w:rsidR="00E07FF8" w:rsidRDefault="00E07FF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5586345"/>
      <w:docPartObj>
        <w:docPartGallery w:val="Page Numbers (Bottom of Page)"/>
        <w:docPartUnique/>
      </w:docPartObj>
    </w:sdtPr>
    <w:sdtEndPr>
      <w:rPr>
        <w:noProof/>
      </w:rPr>
    </w:sdtEndPr>
    <w:sdtContent>
      <w:p w14:paraId="127B2647" w14:textId="4DE13B01" w:rsidR="00E07FF8" w:rsidRDefault="00E07FF8">
        <w:pPr>
          <w:pStyle w:val="Footer"/>
        </w:pPr>
        <w:r>
          <w:fldChar w:fldCharType="begin"/>
        </w:r>
        <w:r>
          <w:instrText xml:space="preserve"> PAGE   \* MERGEFORMAT </w:instrText>
        </w:r>
        <w:r>
          <w:fldChar w:fldCharType="separate"/>
        </w:r>
        <w:r w:rsidR="00ED72C2">
          <w:rPr>
            <w:noProof/>
          </w:rPr>
          <w:t>2</w:t>
        </w:r>
        <w:r>
          <w:rPr>
            <w:noProof/>
          </w:rPr>
          <w:fldChar w:fldCharType="end"/>
        </w:r>
      </w:p>
    </w:sdtContent>
  </w:sdt>
  <w:p w14:paraId="197822CC" w14:textId="77777777" w:rsidR="00E07FF8" w:rsidRDefault="00E07FF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91268810"/>
      <w:docPartObj>
        <w:docPartGallery w:val="Page Numbers (Bottom of Page)"/>
        <w:docPartUnique/>
      </w:docPartObj>
    </w:sdtPr>
    <w:sdtEndPr>
      <w:rPr>
        <w:noProof/>
      </w:rPr>
    </w:sdtEndPr>
    <w:sdtContent>
      <w:p w14:paraId="44E1784C" w14:textId="6E5A5D87" w:rsidR="00E07FF8" w:rsidRDefault="00E07FF8" w:rsidP="00D20C27">
        <w:pPr>
          <w:pStyle w:val="Footer"/>
          <w:jc w:val="right"/>
        </w:pPr>
        <w:r>
          <w:fldChar w:fldCharType="begin"/>
        </w:r>
        <w:r>
          <w:instrText xml:space="preserve"> PAGE   \* MERGEFORMAT </w:instrText>
        </w:r>
        <w:r>
          <w:fldChar w:fldCharType="separate"/>
        </w:r>
        <w:r>
          <w:rPr>
            <w:noProof/>
          </w:rPr>
          <w:t>4</w:t>
        </w:r>
        <w:r>
          <w:rPr>
            <w:noProof/>
          </w:rPr>
          <w:fldChar w:fldCharType="end"/>
        </w:r>
      </w:p>
    </w:sdtContent>
  </w:sdt>
  <w:p w14:paraId="18D0CF3B" w14:textId="77777777" w:rsidR="00E07FF8" w:rsidRDefault="00E07FF8">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28190949"/>
      <w:docPartObj>
        <w:docPartGallery w:val="Page Numbers (Bottom of Page)"/>
        <w:docPartUnique/>
      </w:docPartObj>
    </w:sdtPr>
    <w:sdtEndPr>
      <w:rPr>
        <w:noProof/>
      </w:rPr>
    </w:sdtEndPr>
    <w:sdtContent>
      <w:p w14:paraId="3E5AB63E" w14:textId="4C3C7030" w:rsidR="00E07FF8" w:rsidRDefault="00E07FF8">
        <w:pPr>
          <w:pStyle w:val="Footer"/>
        </w:pPr>
        <w:r>
          <w:fldChar w:fldCharType="begin"/>
        </w:r>
        <w:r>
          <w:instrText xml:space="preserve"> PAGE   \* MERGEFORMAT </w:instrText>
        </w:r>
        <w:r>
          <w:fldChar w:fldCharType="separate"/>
        </w:r>
        <w:r w:rsidR="00ED72C2">
          <w:rPr>
            <w:noProof/>
          </w:rPr>
          <w:t>4</w:t>
        </w:r>
        <w:r>
          <w:rPr>
            <w:noProof/>
          </w:rPr>
          <w:fldChar w:fldCharType="end"/>
        </w:r>
      </w:p>
    </w:sdtContent>
  </w:sdt>
  <w:p w14:paraId="390E3E04" w14:textId="77777777" w:rsidR="00E07FF8" w:rsidRDefault="00E07FF8">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11763463"/>
      <w:docPartObj>
        <w:docPartGallery w:val="Page Numbers (Bottom of Page)"/>
        <w:docPartUnique/>
      </w:docPartObj>
    </w:sdtPr>
    <w:sdtEndPr>
      <w:rPr>
        <w:noProof/>
      </w:rPr>
    </w:sdtEndPr>
    <w:sdtContent>
      <w:p w14:paraId="27A41833" w14:textId="3BE5FDF7" w:rsidR="00E07FF8" w:rsidRDefault="00E07FF8">
        <w:pPr>
          <w:pStyle w:val="Footer"/>
          <w:jc w:val="right"/>
        </w:pPr>
        <w:r>
          <w:fldChar w:fldCharType="begin"/>
        </w:r>
        <w:r>
          <w:instrText xml:space="preserve"> PAGE   \* MERGEFORMAT </w:instrText>
        </w:r>
        <w:r>
          <w:fldChar w:fldCharType="separate"/>
        </w:r>
        <w:r>
          <w:rPr>
            <w:noProof/>
          </w:rPr>
          <w:t>6</w:t>
        </w:r>
        <w:r>
          <w:rPr>
            <w:noProof/>
          </w:rPr>
          <w:fldChar w:fldCharType="end"/>
        </w:r>
      </w:p>
    </w:sdtContent>
  </w:sdt>
  <w:p w14:paraId="5D41291A" w14:textId="77777777" w:rsidR="00E07FF8" w:rsidRDefault="00E07FF8">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54462909"/>
      <w:docPartObj>
        <w:docPartGallery w:val="Page Numbers (Bottom of Page)"/>
        <w:docPartUnique/>
      </w:docPartObj>
    </w:sdtPr>
    <w:sdtEndPr>
      <w:rPr>
        <w:noProof/>
      </w:rPr>
    </w:sdtEndPr>
    <w:sdtContent>
      <w:p w14:paraId="5A9E6C08" w14:textId="5894CE37" w:rsidR="00E07FF8" w:rsidRDefault="00E07FF8" w:rsidP="00521A99">
        <w:pPr>
          <w:pStyle w:val="Footer"/>
          <w:jc w:val="left"/>
        </w:pPr>
        <w:r>
          <w:fldChar w:fldCharType="begin"/>
        </w:r>
        <w:r>
          <w:instrText xml:space="preserve"> PAGE   \* MERGEFORMAT </w:instrText>
        </w:r>
        <w:r>
          <w:fldChar w:fldCharType="separate"/>
        </w:r>
        <w:r w:rsidR="00ED72C2">
          <w:rPr>
            <w:noProof/>
          </w:rPr>
          <w:t>7</w:t>
        </w:r>
        <w:r>
          <w:rPr>
            <w:noProof/>
          </w:rPr>
          <w:fldChar w:fldCharType="end"/>
        </w:r>
      </w:p>
    </w:sdtContent>
  </w:sdt>
  <w:p w14:paraId="0AA3478D" w14:textId="77777777" w:rsidR="00E07FF8" w:rsidRDefault="00E07FF8">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51084610"/>
      <w:docPartObj>
        <w:docPartGallery w:val="Page Numbers (Bottom of Page)"/>
        <w:docPartUnique/>
      </w:docPartObj>
    </w:sdtPr>
    <w:sdtEndPr>
      <w:rPr>
        <w:noProof/>
      </w:rPr>
    </w:sdtEndPr>
    <w:sdtContent>
      <w:sdt>
        <w:sdtPr>
          <w:id w:val="983354463"/>
          <w:docPartObj>
            <w:docPartGallery w:val="Page Numbers (Bottom of Page)"/>
            <w:docPartUnique/>
          </w:docPartObj>
        </w:sdtPr>
        <w:sdtEndPr>
          <w:rPr>
            <w:noProof/>
          </w:rPr>
        </w:sdtEndPr>
        <w:sdtContent>
          <w:p w14:paraId="773A15B9" w14:textId="7E7C6166" w:rsidR="00E07FF8" w:rsidRPr="00F061F2" w:rsidRDefault="00E07FF8" w:rsidP="00C130D2">
            <w:pPr>
              <w:pStyle w:val="Footer"/>
              <w:rPr>
                <w:noProof/>
              </w:rPr>
            </w:pPr>
            <w:r w:rsidRPr="001B7E15">
              <w:fldChar w:fldCharType="begin"/>
            </w:r>
            <w:r w:rsidRPr="001B7E15">
              <w:instrText xml:space="preserve"> PAGE   \* MERGEFORMAT </w:instrText>
            </w:r>
            <w:r w:rsidRPr="001B7E15">
              <w:fldChar w:fldCharType="separate"/>
            </w:r>
            <w:r w:rsidR="00ED72C2">
              <w:rPr>
                <w:noProof/>
              </w:rPr>
              <w:t>8</w:t>
            </w:r>
            <w:r w:rsidRPr="001B7E15">
              <w:rPr>
                <w:noProof/>
              </w:rPr>
              <w:fldChar w:fldCharType="end"/>
            </w:r>
          </w:p>
        </w:sdtContent>
      </w:sdt>
    </w:sdtContent>
  </w:sdt>
  <w:p w14:paraId="0A606354" w14:textId="77777777" w:rsidR="00E07FF8" w:rsidRPr="00287EFB" w:rsidRDefault="00E07FF8" w:rsidP="00C130D2">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18068856"/>
      <w:docPartObj>
        <w:docPartGallery w:val="Page Numbers (Bottom of Page)"/>
        <w:docPartUnique/>
      </w:docPartObj>
    </w:sdtPr>
    <w:sdtEndPr>
      <w:rPr>
        <w:noProof/>
      </w:rPr>
    </w:sdtEndPr>
    <w:sdtContent>
      <w:p w14:paraId="5DD4DD4E" w14:textId="333D0786" w:rsidR="00E07FF8" w:rsidRDefault="00E07FF8">
        <w:pPr>
          <w:pStyle w:val="Footer"/>
          <w:jc w:val="right"/>
        </w:pPr>
        <w:r>
          <w:fldChar w:fldCharType="begin"/>
        </w:r>
        <w:r>
          <w:instrText xml:space="preserve"> PAGE   \* MERGEFORMAT </w:instrText>
        </w:r>
        <w:r>
          <w:fldChar w:fldCharType="separate"/>
        </w:r>
        <w:r>
          <w:rPr>
            <w:noProof/>
          </w:rPr>
          <w:t>14</w:t>
        </w:r>
        <w:r>
          <w:rPr>
            <w:noProof/>
          </w:rPr>
          <w:fldChar w:fldCharType="end"/>
        </w:r>
      </w:p>
    </w:sdtContent>
  </w:sdt>
  <w:p w14:paraId="4A3ADFEA" w14:textId="77777777" w:rsidR="00E07FF8" w:rsidRDefault="00E07FF8">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21341562"/>
      <w:docPartObj>
        <w:docPartGallery w:val="Page Numbers (Bottom of Page)"/>
        <w:docPartUnique/>
      </w:docPartObj>
    </w:sdtPr>
    <w:sdtEndPr>
      <w:rPr>
        <w:noProof/>
      </w:rPr>
    </w:sdtEndPr>
    <w:sdtContent>
      <w:p w14:paraId="3641E59F" w14:textId="204781F0" w:rsidR="00E07FF8" w:rsidRDefault="00E07FF8" w:rsidP="00521A99">
        <w:pPr>
          <w:pStyle w:val="Footer"/>
          <w:jc w:val="left"/>
        </w:pPr>
        <w:r>
          <w:fldChar w:fldCharType="begin"/>
        </w:r>
        <w:r>
          <w:instrText xml:space="preserve"> PAGE   \* MERGEFORMAT </w:instrText>
        </w:r>
        <w:r>
          <w:fldChar w:fldCharType="separate"/>
        </w:r>
        <w:r w:rsidR="00ED72C2">
          <w:rPr>
            <w:noProof/>
          </w:rPr>
          <w:t>15</w:t>
        </w:r>
        <w:r>
          <w:rPr>
            <w:noProof/>
          </w:rPr>
          <w:fldChar w:fldCharType="end"/>
        </w:r>
      </w:p>
    </w:sdtContent>
  </w:sdt>
  <w:p w14:paraId="1912C5F4" w14:textId="77777777" w:rsidR="00E07FF8" w:rsidRDefault="00E07FF8">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24371492"/>
      <w:docPartObj>
        <w:docPartGallery w:val="Page Numbers (Bottom of Page)"/>
        <w:docPartUnique/>
      </w:docPartObj>
    </w:sdtPr>
    <w:sdtEndPr>
      <w:rPr>
        <w:noProof/>
      </w:rPr>
    </w:sdtEndPr>
    <w:sdtContent>
      <w:p w14:paraId="016DA56D" w14:textId="6726F848" w:rsidR="00E07FF8" w:rsidRDefault="00E07FF8" w:rsidP="00D20C27">
        <w:pPr>
          <w:pStyle w:val="Footer"/>
          <w:jc w:val="right"/>
        </w:pPr>
        <w:r>
          <w:fldChar w:fldCharType="begin"/>
        </w:r>
        <w:r>
          <w:instrText xml:space="preserve"> PAGE   \* MERGEFORMAT </w:instrText>
        </w:r>
        <w:r>
          <w:fldChar w:fldCharType="separate"/>
        </w:r>
        <w:r>
          <w:rPr>
            <w:noProof/>
          </w:rPr>
          <w:t>16</w:t>
        </w:r>
        <w:r>
          <w:rPr>
            <w:noProof/>
          </w:rPr>
          <w:fldChar w:fldCharType="end"/>
        </w:r>
      </w:p>
    </w:sdtContent>
  </w:sdt>
  <w:p w14:paraId="66700024" w14:textId="77777777" w:rsidR="00E07FF8" w:rsidRDefault="00E07FF8">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92726492"/>
      <w:docPartObj>
        <w:docPartGallery w:val="Page Numbers (Bottom of Page)"/>
        <w:docPartUnique/>
      </w:docPartObj>
    </w:sdtPr>
    <w:sdtEndPr>
      <w:rPr>
        <w:noProof/>
      </w:rPr>
    </w:sdtEndPr>
    <w:sdtContent>
      <w:p w14:paraId="46D47966" w14:textId="703B876E" w:rsidR="00E07FF8" w:rsidRDefault="00E07FF8">
        <w:pPr>
          <w:pStyle w:val="Footer"/>
        </w:pPr>
        <w:r>
          <w:fldChar w:fldCharType="begin"/>
        </w:r>
        <w:r>
          <w:instrText xml:space="preserve"> PAGE   \* MERGEFORMAT </w:instrText>
        </w:r>
        <w:r>
          <w:fldChar w:fldCharType="separate"/>
        </w:r>
        <w:r w:rsidR="00ED72C2">
          <w:rPr>
            <w:noProof/>
          </w:rPr>
          <w:t>16</w:t>
        </w:r>
        <w:r>
          <w:rPr>
            <w:noProof/>
          </w:rPr>
          <w:fldChar w:fldCharType="end"/>
        </w:r>
      </w:p>
    </w:sdtContent>
  </w:sdt>
  <w:p w14:paraId="604222AF" w14:textId="77777777" w:rsidR="00E07FF8" w:rsidRDefault="00E07FF8">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06092870"/>
      <w:docPartObj>
        <w:docPartGallery w:val="Page Numbers (Bottom of Page)"/>
        <w:docPartUnique/>
      </w:docPartObj>
    </w:sdtPr>
    <w:sdtEndPr>
      <w:rPr>
        <w:noProof/>
      </w:rPr>
    </w:sdtEndPr>
    <w:sdtContent>
      <w:p w14:paraId="3BB23FE4" w14:textId="51CEE051" w:rsidR="00E07FF8" w:rsidRDefault="00E07FF8">
        <w:pPr>
          <w:pStyle w:val="Footer"/>
          <w:jc w:val="right"/>
        </w:pPr>
        <w:r>
          <w:fldChar w:fldCharType="begin"/>
        </w:r>
        <w:r>
          <w:instrText xml:space="preserve"> PAGE   \* MERGEFORMAT </w:instrText>
        </w:r>
        <w:r>
          <w:fldChar w:fldCharType="separate"/>
        </w:r>
        <w:r>
          <w:rPr>
            <w:noProof/>
          </w:rPr>
          <w:t>20</w:t>
        </w:r>
        <w:r>
          <w:rPr>
            <w:noProof/>
          </w:rPr>
          <w:fldChar w:fldCharType="end"/>
        </w:r>
      </w:p>
    </w:sdtContent>
  </w:sdt>
  <w:p w14:paraId="4049EC8A" w14:textId="77777777" w:rsidR="00E07FF8" w:rsidRDefault="00E07FF8">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46097003"/>
      <w:docPartObj>
        <w:docPartGallery w:val="Page Numbers (Bottom of Page)"/>
        <w:docPartUnique/>
      </w:docPartObj>
    </w:sdtPr>
    <w:sdtEndPr>
      <w:rPr>
        <w:noProof/>
      </w:rPr>
    </w:sdtEndPr>
    <w:sdtContent>
      <w:p w14:paraId="0F5A9408" w14:textId="744A1392" w:rsidR="00E07FF8" w:rsidRPr="001B7E15" w:rsidRDefault="00E07FF8" w:rsidP="00C130D2">
        <w:pPr>
          <w:pStyle w:val="Footer"/>
        </w:pPr>
        <w:r w:rsidRPr="001B7E15">
          <w:fldChar w:fldCharType="begin"/>
        </w:r>
        <w:r w:rsidRPr="001B7E15">
          <w:instrText xml:space="preserve"> PAGE   \* MERGEFORMAT </w:instrText>
        </w:r>
        <w:r w:rsidRPr="001B7E15">
          <w:fldChar w:fldCharType="separate"/>
        </w:r>
        <w:r w:rsidR="00ED72C2">
          <w:rPr>
            <w:noProof/>
          </w:rPr>
          <w:t>20</w:t>
        </w:r>
        <w:r w:rsidRPr="001B7E15">
          <w:rPr>
            <w:noProof/>
          </w:rPr>
          <w:fldChar w:fldCharType="end"/>
        </w:r>
      </w:p>
    </w:sdtContent>
  </w:sdt>
  <w:p w14:paraId="20EDB746" w14:textId="77777777" w:rsidR="00E07FF8" w:rsidRPr="001B7E15" w:rsidRDefault="00E07FF8">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4398396"/>
      <w:docPartObj>
        <w:docPartGallery w:val="Page Numbers (Bottom of Page)"/>
        <w:docPartUnique/>
      </w:docPartObj>
    </w:sdtPr>
    <w:sdtEndPr>
      <w:rPr>
        <w:noProof/>
      </w:rPr>
    </w:sdtEndPr>
    <w:sdtContent>
      <w:p w14:paraId="178232B4" w14:textId="53236A98" w:rsidR="00E07FF8" w:rsidRDefault="00E07FF8" w:rsidP="00D20C27">
        <w:pPr>
          <w:pStyle w:val="Footer"/>
          <w:jc w:val="right"/>
        </w:pPr>
        <w:r>
          <w:fldChar w:fldCharType="begin"/>
        </w:r>
        <w:r>
          <w:instrText xml:space="preserve"> PAGE   \* MERGEFORMAT </w:instrText>
        </w:r>
        <w:r>
          <w:fldChar w:fldCharType="separate"/>
        </w:r>
        <w:r>
          <w:rPr>
            <w:noProof/>
          </w:rPr>
          <w:t>22</w:t>
        </w:r>
        <w:r>
          <w:rPr>
            <w:noProof/>
          </w:rPr>
          <w:fldChar w:fldCharType="end"/>
        </w:r>
      </w:p>
    </w:sdtContent>
  </w:sdt>
  <w:p w14:paraId="78DFD6B7" w14:textId="77777777" w:rsidR="00E07FF8" w:rsidRDefault="00E07FF8">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52442920"/>
      <w:docPartObj>
        <w:docPartGallery w:val="Page Numbers (Bottom of Page)"/>
        <w:docPartUnique/>
      </w:docPartObj>
    </w:sdtPr>
    <w:sdtEndPr>
      <w:rPr>
        <w:noProof/>
      </w:rPr>
    </w:sdtEndPr>
    <w:sdtContent>
      <w:p w14:paraId="484B5366" w14:textId="4E550FE9" w:rsidR="00E07FF8" w:rsidRDefault="00E07FF8">
        <w:pPr>
          <w:pStyle w:val="Footer"/>
        </w:pPr>
        <w:r>
          <w:fldChar w:fldCharType="begin"/>
        </w:r>
        <w:r>
          <w:instrText xml:space="preserve"> PAGE   \* MERGEFORMAT </w:instrText>
        </w:r>
        <w:r>
          <w:fldChar w:fldCharType="separate"/>
        </w:r>
        <w:r w:rsidR="00ED72C2">
          <w:rPr>
            <w:noProof/>
          </w:rPr>
          <w:t>21</w:t>
        </w:r>
        <w:r>
          <w:rPr>
            <w:noProof/>
          </w:rPr>
          <w:fldChar w:fldCharType="end"/>
        </w:r>
      </w:p>
    </w:sdtContent>
  </w:sdt>
  <w:p w14:paraId="0CCB3D89" w14:textId="77777777" w:rsidR="00E07FF8" w:rsidRDefault="00E07FF8">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70244971"/>
      <w:docPartObj>
        <w:docPartGallery w:val="Page Numbers (Bottom of Page)"/>
        <w:docPartUnique/>
      </w:docPartObj>
    </w:sdtPr>
    <w:sdtEndPr>
      <w:rPr>
        <w:noProof/>
      </w:rPr>
    </w:sdtEndPr>
    <w:sdtContent>
      <w:p w14:paraId="21100811" w14:textId="41C33D1C" w:rsidR="00E07FF8" w:rsidRDefault="00E07FF8" w:rsidP="00D20C27">
        <w:pPr>
          <w:pStyle w:val="Footer"/>
          <w:jc w:val="right"/>
        </w:pPr>
        <w:r>
          <w:fldChar w:fldCharType="begin"/>
        </w:r>
        <w:r>
          <w:instrText xml:space="preserve"> PAGE   \* MERGEFORMAT </w:instrText>
        </w:r>
        <w:r>
          <w:fldChar w:fldCharType="separate"/>
        </w:r>
        <w:r>
          <w:rPr>
            <w:noProof/>
          </w:rPr>
          <w:t>28</w:t>
        </w:r>
        <w:r>
          <w:rPr>
            <w:noProof/>
          </w:rPr>
          <w:fldChar w:fldCharType="end"/>
        </w:r>
      </w:p>
    </w:sdtContent>
  </w:sdt>
  <w:p w14:paraId="7F12251A" w14:textId="77777777" w:rsidR="00E07FF8" w:rsidRDefault="00E07FF8">
    <w:pPr>
      <w:pStyle w:val="Footer"/>
    </w:pPr>
  </w:p>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49482075"/>
      <w:docPartObj>
        <w:docPartGallery w:val="Page Numbers (Bottom of Page)"/>
        <w:docPartUnique/>
      </w:docPartObj>
    </w:sdtPr>
    <w:sdtEndPr>
      <w:rPr>
        <w:noProof/>
      </w:rPr>
    </w:sdtEndPr>
    <w:sdtContent>
      <w:p w14:paraId="359AE9B7" w14:textId="317FBCC8" w:rsidR="00E07FF8" w:rsidRDefault="00E07FF8">
        <w:pPr>
          <w:pStyle w:val="Footer"/>
        </w:pPr>
        <w:r>
          <w:fldChar w:fldCharType="begin"/>
        </w:r>
        <w:r>
          <w:instrText xml:space="preserve"> PAGE   \* MERGEFORMAT </w:instrText>
        </w:r>
        <w:r>
          <w:fldChar w:fldCharType="separate"/>
        </w:r>
        <w:r w:rsidR="00ED72C2">
          <w:rPr>
            <w:noProof/>
          </w:rPr>
          <w:t>27</w:t>
        </w:r>
        <w:r>
          <w:rPr>
            <w:noProof/>
          </w:rPr>
          <w:fldChar w:fldCharType="end"/>
        </w:r>
      </w:p>
    </w:sdtContent>
  </w:sdt>
  <w:p w14:paraId="1304D30C" w14:textId="77777777" w:rsidR="00E07FF8" w:rsidRDefault="00E07FF8">
    <w:pPr>
      <w:pStyle w:val="Footer"/>
    </w:pPr>
  </w:p>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0836293"/>
      <w:docPartObj>
        <w:docPartGallery w:val="Page Numbers (Bottom of Page)"/>
        <w:docPartUnique/>
      </w:docPartObj>
    </w:sdtPr>
    <w:sdtEndPr>
      <w:rPr>
        <w:noProof/>
      </w:rPr>
    </w:sdtEndPr>
    <w:sdtContent>
      <w:p w14:paraId="2AE923C5" w14:textId="431F0650" w:rsidR="00E07FF8" w:rsidRPr="001B7E15" w:rsidRDefault="00E07FF8" w:rsidP="00D20C27">
        <w:pPr>
          <w:pStyle w:val="Footer"/>
          <w:jc w:val="right"/>
        </w:pPr>
        <w:r w:rsidRPr="001B7E15">
          <w:fldChar w:fldCharType="begin"/>
        </w:r>
        <w:r w:rsidRPr="001B7E15">
          <w:instrText xml:space="preserve"> PAGE   \* MERGEFORMAT </w:instrText>
        </w:r>
        <w:r w:rsidRPr="001B7E15">
          <w:fldChar w:fldCharType="separate"/>
        </w:r>
        <w:r>
          <w:rPr>
            <w:noProof/>
          </w:rPr>
          <w:t>28</w:t>
        </w:r>
        <w:r w:rsidRPr="001B7E15">
          <w:rPr>
            <w:noProof/>
          </w:rPr>
          <w:fldChar w:fldCharType="end"/>
        </w:r>
      </w:p>
    </w:sdtContent>
  </w:sdt>
  <w:p w14:paraId="4D0DF3B7" w14:textId="77777777" w:rsidR="00E07FF8" w:rsidRPr="001B7E15" w:rsidRDefault="00E07FF8">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45523031"/>
      <w:docPartObj>
        <w:docPartGallery w:val="Page Numbers (Bottom of Page)"/>
        <w:docPartUnique/>
      </w:docPartObj>
    </w:sdtPr>
    <w:sdtEndPr/>
    <w:sdtContent>
      <w:sdt>
        <w:sdtPr>
          <w:id w:val="112323529"/>
          <w:docPartObj>
            <w:docPartGallery w:val="Page Numbers (Bottom of Page)"/>
            <w:docPartUnique/>
          </w:docPartObj>
        </w:sdtPr>
        <w:sdtEndPr/>
        <w:sdtContent>
          <w:p w14:paraId="0AAD6928" w14:textId="7D728504" w:rsidR="00E07FF8" w:rsidRPr="001476C8" w:rsidRDefault="00E07FF8" w:rsidP="007F1E4F">
            <w:pPr>
              <w:pStyle w:val="Footer"/>
              <w:jc w:val="left"/>
            </w:pPr>
            <w:r w:rsidRPr="001476C8">
              <w:fldChar w:fldCharType="begin"/>
            </w:r>
            <w:r w:rsidRPr="001476C8">
              <w:instrText xml:space="preserve"> PAGE   \* MERGEFORMAT </w:instrText>
            </w:r>
            <w:r w:rsidRPr="001476C8">
              <w:fldChar w:fldCharType="separate"/>
            </w:r>
            <w:r w:rsidR="00ED72C2">
              <w:rPr>
                <w:noProof/>
              </w:rPr>
              <w:t>28</w:t>
            </w:r>
            <w:r w:rsidRPr="001476C8">
              <w:fldChar w:fldCharType="end"/>
            </w:r>
          </w:p>
        </w:sdtContent>
      </w:sdt>
    </w:sdtContent>
  </w:sdt>
  <w:p w14:paraId="39A7DDC0" w14:textId="77777777" w:rsidR="00E07FF8" w:rsidRPr="004F72C4" w:rsidRDefault="00E07FF8" w:rsidP="004F72C4">
    <w:pPr>
      <w:pStyle w:val="Footer"/>
    </w:pPr>
  </w:p>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1393227"/>
      <w:docPartObj>
        <w:docPartGallery w:val="Page Numbers (Bottom of Page)"/>
        <w:docPartUnique/>
      </w:docPartObj>
    </w:sdtPr>
    <w:sdtEndPr>
      <w:rPr>
        <w:noProof/>
      </w:rPr>
    </w:sdtEndPr>
    <w:sdtContent>
      <w:p w14:paraId="485EF1A1" w14:textId="79F21DA8" w:rsidR="00E07FF8" w:rsidRPr="001B7E15" w:rsidRDefault="00E07FF8" w:rsidP="00D20C27">
        <w:pPr>
          <w:pStyle w:val="Footer"/>
          <w:jc w:val="right"/>
        </w:pPr>
        <w:r w:rsidRPr="001B7E15">
          <w:fldChar w:fldCharType="begin"/>
        </w:r>
        <w:r w:rsidRPr="001B7E15">
          <w:instrText xml:space="preserve"> PAGE   \* MERGEFORMAT </w:instrText>
        </w:r>
        <w:r w:rsidRPr="001B7E15">
          <w:fldChar w:fldCharType="separate"/>
        </w:r>
        <w:r>
          <w:rPr>
            <w:noProof/>
          </w:rPr>
          <w:t>30</w:t>
        </w:r>
        <w:r w:rsidRPr="001B7E15">
          <w:rPr>
            <w:noProof/>
          </w:rPr>
          <w:fldChar w:fldCharType="end"/>
        </w:r>
      </w:p>
    </w:sdtContent>
  </w:sdt>
  <w:p w14:paraId="7D687A49" w14:textId="77777777" w:rsidR="00E07FF8" w:rsidRPr="001B7E15" w:rsidRDefault="00E07FF8">
    <w:pPr>
      <w:pStyle w:val="Footer"/>
    </w:pPr>
  </w:p>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8554000"/>
      <w:docPartObj>
        <w:docPartGallery w:val="Page Numbers (Bottom of Page)"/>
        <w:docPartUnique/>
      </w:docPartObj>
    </w:sdtPr>
    <w:sdtEndPr>
      <w:rPr>
        <w:noProof/>
      </w:rPr>
    </w:sdtEndPr>
    <w:sdtContent>
      <w:sdt>
        <w:sdtPr>
          <w:id w:val="-249508415"/>
          <w:docPartObj>
            <w:docPartGallery w:val="Page Numbers (Bottom of Page)"/>
            <w:docPartUnique/>
          </w:docPartObj>
        </w:sdtPr>
        <w:sdtEndPr>
          <w:rPr>
            <w:noProof/>
            <w:sz w:val="14"/>
            <w:szCs w:val="16"/>
          </w:rPr>
        </w:sdtEndPr>
        <w:sdtContent>
          <w:p w14:paraId="209FD8DB" w14:textId="3713A15E" w:rsidR="00E07FF8" w:rsidRPr="004441CA" w:rsidRDefault="00E07FF8" w:rsidP="007F1E4F">
            <w:pPr>
              <w:pStyle w:val="Footer"/>
              <w:jc w:val="left"/>
              <w:rPr>
                <w:sz w:val="14"/>
                <w:szCs w:val="16"/>
              </w:rPr>
            </w:pPr>
            <w:r w:rsidRPr="001B7E15">
              <w:rPr>
                <w:szCs w:val="16"/>
              </w:rPr>
              <w:fldChar w:fldCharType="begin"/>
            </w:r>
            <w:r w:rsidRPr="001B7E15">
              <w:rPr>
                <w:szCs w:val="16"/>
              </w:rPr>
              <w:instrText xml:space="preserve"> PAGE   \* MERGEFORMAT </w:instrText>
            </w:r>
            <w:r w:rsidRPr="001B7E15">
              <w:rPr>
                <w:szCs w:val="16"/>
              </w:rPr>
              <w:fldChar w:fldCharType="separate"/>
            </w:r>
            <w:r w:rsidR="00ED72C2">
              <w:rPr>
                <w:noProof/>
                <w:szCs w:val="16"/>
              </w:rPr>
              <w:t>29</w:t>
            </w:r>
            <w:r w:rsidRPr="001B7E15">
              <w:rPr>
                <w:noProof/>
                <w:szCs w:val="16"/>
              </w:rPr>
              <w:fldChar w:fldCharType="end"/>
            </w:r>
            <w:r w:rsidRPr="001B7E15">
              <w:rPr>
                <w:noProof/>
                <w:sz w:val="14"/>
                <w:szCs w:val="16"/>
              </w:rPr>
              <w:t xml:space="preserve"> </w:t>
            </w:r>
          </w:p>
        </w:sdtContent>
      </w:sdt>
    </w:sdtContent>
  </w:sdt>
  <w:p w14:paraId="2F4EFCF6" w14:textId="77777777" w:rsidR="00E07FF8" w:rsidRPr="004F72C4" w:rsidRDefault="00E07FF8" w:rsidP="004F72C4">
    <w:pPr>
      <w:pStyle w:val="Footer"/>
    </w:pPr>
  </w:p>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68862087"/>
      <w:docPartObj>
        <w:docPartGallery w:val="Page Numbers (Bottom of Page)"/>
        <w:docPartUnique/>
      </w:docPartObj>
    </w:sdtPr>
    <w:sdtEndPr>
      <w:rPr>
        <w:noProof/>
      </w:rPr>
    </w:sdtEndPr>
    <w:sdtContent>
      <w:p w14:paraId="5ACAA2B4" w14:textId="4B021C67" w:rsidR="00E07FF8" w:rsidRPr="001B7E15" w:rsidRDefault="00E07FF8" w:rsidP="00C130D2">
        <w:pPr>
          <w:pStyle w:val="Footer"/>
          <w:jc w:val="right"/>
        </w:pPr>
        <w:r w:rsidRPr="001B7E15">
          <w:fldChar w:fldCharType="begin"/>
        </w:r>
        <w:r w:rsidRPr="001B7E15">
          <w:instrText xml:space="preserve"> PAGE   \* MERGEFORMAT </w:instrText>
        </w:r>
        <w:r w:rsidRPr="001B7E15">
          <w:fldChar w:fldCharType="separate"/>
        </w:r>
        <w:r>
          <w:rPr>
            <w:noProof/>
          </w:rPr>
          <w:t>36</w:t>
        </w:r>
        <w:r w:rsidRPr="001B7E15">
          <w:rPr>
            <w:noProof/>
          </w:rPr>
          <w:fldChar w:fldCharType="end"/>
        </w:r>
      </w:p>
    </w:sdtContent>
  </w:sdt>
  <w:p w14:paraId="2AD0B28D" w14:textId="77777777" w:rsidR="00E07FF8" w:rsidRPr="00231623" w:rsidRDefault="00E07FF8" w:rsidP="00231623">
    <w:pPr>
      <w:pStyle w:val="Footer"/>
    </w:pPr>
  </w:p>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74654684"/>
      <w:docPartObj>
        <w:docPartGallery w:val="Page Numbers (Bottom of Page)"/>
        <w:docPartUnique/>
      </w:docPartObj>
    </w:sdtPr>
    <w:sdtEndPr>
      <w:rPr>
        <w:noProof/>
      </w:rPr>
    </w:sdtEndPr>
    <w:sdtContent>
      <w:p w14:paraId="7F1D7D6E" w14:textId="7324743D" w:rsidR="00E07FF8" w:rsidRPr="001B7E15" w:rsidRDefault="00E07FF8" w:rsidP="00C130D2">
        <w:pPr>
          <w:pStyle w:val="Footer"/>
        </w:pPr>
        <w:r w:rsidRPr="001B7E15">
          <w:fldChar w:fldCharType="begin"/>
        </w:r>
        <w:r w:rsidRPr="001B7E15">
          <w:instrText xml:space="preserve"> PAGE   \* MERGEFORMAT </w:instrText>
        </w:r>
        <w:r w:rsidRPr="001B7E15">
          <w:fldChar w:fldCharType="separate"/>
        </w:r>
        <w:r w:rsidR="00ED72C2">
          <w:rPr>
            <w:noProof/>
          </w:rPr>
          <w:t>37</w:t>
        </w:r>
        <w:r w:rsidRPr="001B7E15">
          <w:rPr>
            <w:noProof/>
          </w:rPr>
          <w:fldChar w:fldCharType="end"/>
        </w:r>
      </w:p>
    </w:sdtContent>
  </w:sdt>
  <w:p w14:paraId="2961F427" w14:textId="77777777" w:rsidR="00E07FF8" w:rsidRPr="00725FF8" w:rsidRDefault="00E07FF8" w:rsidP="00C130D2">
    <w:pPr>
      <w:pStyle w:val="Footer"/>
    </w:pPr>
  </w:p>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17582342"/>
      <w:docPartObj>
        <w:docPartGallery w:val="Page Numbers (Bottom of Page)"/>
        <w:docPartUnique/>
      </w:docPartObj>
    </w:sdtPr>
    <w:sdtEndPr>
      <w:rPr>
        <w:noProof/>
      </w:rPr>
    </w:sdtEndPr>
    <w:sdtContent>
      <w:p w14:paraId="1D3A7CC5" w14:textId="6DAFD694" w:rsidR="00E07FF8" w:rsidRPr="001B7E15" w:rsidRDefault="00E07FF8" w:rsidP="00C130D2">
        <w:pPr>
          <w:pStyle w:val="Footer"/>
          <w:jc w:val="right"/>
        </w:pPr>
        <w:r w:rsidRPr="001B7E15">
          <w:fldChar w:fldCharType="begin"/>
        </w:r>
        <w:r w:rsidRPr="001B7E15">
          <w:instrText xml:space="preserve"> PAGE   \* MERGEFORMAT </w:instrText>
        </w:r>
        <w:r w:rsidRPr="001B7E15">
          <w:fldChar w:fldCharType="separate"/>
        </w:r>
        <w:r>
          <w:rPr>
            <w:noProof/>
          </w:rPr>
          <w:t>50</w:t>
        </w:r>
        <w:r w:rsidRPr="001B7E15">
          <w:rPr>
            <w:noProof/>
          </w:rPr>
          <w:fldChar w:fldCharType="end"/>
        </w:r>
      </w:p>
    </w:sdtContent>
  </w:sdt>
  <w:p w14:paraId="67D150E1" w14:textId="77777777" w:rsidR="00E07FF8" w:rsidRPr="00231623" w:rsidRDefault="00E07FF8" w:rsidP="00C130D2">
    <w:pPr>
      <w:pStyle w:val="Footer"/>
    </w:pPr>
  </w:p>
</w:ftr>
</file>

<file path=word/footer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16519983"/>
      <w:docPartObj>
        <w:docPartGallery w:val="Page Numbers (Bottom of Page)"/>
        <w:docPartUnique/>
      </w:docPartObj>
    </w:sdtPr>
    <w:sdtEndPr>
      <w:rPr>
        <w:noProof/>
      </w:rPr>
    </w:sdtEndPr>
    <w:sdtContent>
      <w:p w14:paraId="22C73C3D" w14:textId="00C1B56A" w:rsidR="00E07FF8" w:rsidRDefault="00E07FF8" w:rsidP="00C130D2">
        <w:pPr>
          <w:pStyle w:val="Footer"/>
          <w:rPr>
            <w:noProof/>
          </w:rPr>
        </w:pPr>
        <w:r w:rsidRPr="001B7E15">
          <w:fldChar w:fldCharType="begin"/>
        </w:r>
        <w:r w:rsidRPr="001B7E15">
          <w:instrText xml:space="preserve"> PAGE   \* MERGEFORMAT </w:instrText>
        </w:r>
        <w:r w:rsidRPr="001B7E15">
          <w:fldChar w:fldCharType="separate"/>
        </w:r>
        <w:r w:rsidR="00ED72C2">
          <w:rPr>
            <w:noProof/>
          </w:rPr>
          <w:t>40</w:t>
        </w:r>
        <w:r w:rsidRPr="001B7E15">
          <w:rPr>
            <w:noProof/>
          </w:rPr>
          <w:fldChar w:fldCharType="end"/>
        </w:r>
      </w:p>
    </w:sdtContent>
  </w:sdt>
  <w:p w14:paraId="505EACDA" w14:textId="77777777" w:rsidR="00E07FF8" w:rsidRPr="00956C60" w:rsidRDefault="00E07FF8" w:rsidP="00956C60">
    <w:pPr>
      <w:pStyle w:val="Footer"/>
    </w:pPr>
  </w:p>
</w:ftr>
</file>

<file path=word/footer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60594641"/>
      <w:docPartObj>
        <w:docPartGallery w:val="Page Numbers (Bottom of Page)"/>
        <w:docPartUnique/>
      </w:docPartObj>
    </w:sdtPr>
    <w:sdtEndPr>
      <w:rPr>
        <w:noProof/>
      </w:rPr>
    </w:sdtEndPr>
    <w:sdtContent>
      <w:p w14:paraId="5B4F62F7" w14:textId="2286FAD0" w:rsidR="00E07FF8" w:rsidRPr="001B7E15" w:rsidRDefault="00E07FF8" w:rsidP="00C130D2">
        <w:pPr>
          <w:pStyle w:val="Footer"/>
          <w:jc w:val="right"/>
        </w:pPr>
        <w:r w:rsidRPr="001B7E15">
          <w:fldChar w:fldCharType="begin"/>
        </w:r>
        <w:r w:rsidRPr="001B7E15">
          <w:instrText xml:space="preserve"> PAGE   \* MERGEFORMAT </w:instrText>
        </w:r>
        <w:r w:rsidRPr="001B7E15">
          <w:fldChar w:fldCharType="separate"/>
        </w:r>
        <w:r>
          <w:rPr>
            <w:noProof/>
          </w:rPr>
          <w:t>58</w:t>
        </w:r>
        <w:r w:rsidRPr="001B7E15">
          <w:rPr>
            <w:noProof/>
          </w:rPr>
          <w:fldChar w:fldCharType="end"/>
        </w:r>
      </w:p>
    </w:sdtContent>
  </w:sdt>
  <w:p w14:paraId="0F9488E2" w14:textId="77777777" w:rsidR="00E07FF8" w:rsidRPr="00231623" w:rsidRDefault="00E07FF8" w:rsidP="00C130D2">
    <w:pPr>
      <w:pStyle w:val="Footer"/>
    </w:pPr>
  </w:p>
</w:ftr>
</file>

<file path=word/footer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31081999"/>
      <w:docPartObj>
        <w:docPartGallery w:val="Page Numbers (Bottom of Page)"/>
        <w:docPartUnique/>
      </w:docPartObj>
    </w:sdtPr>
    <w:sdtEndPr>
      <w:rPr>
        <w:noProof/>
      </w:rPr>
    </w:sdtEndPr>
    <w:sdtContent>
      <w:p w14:paraId="3F24C540" w14:textId="57CAAF4B" w:rsidR="00E07FF8" w:rsidRDefault="00E07FF8" w:rsidP="00C130D2">
        <w:pPr>
          <w:pStyle w:val="Footer"/>
          <w:rPr>
            <w:noProof/>
          </w:rPr>
        </w:pPr>
        <w:r w:rsidRPr="001B7E15">
          <w:fldChar w:fldCharType="begin"/>
        </w:r>
        <w:r w:rsidRPr="001B7E15">
          <w:instrText xml:space="preserve"> PAGE   \* MERGEFORMAT </w:instrText>
        </w:r>
        <w:r w:rsidRPr="001B7E15">
          <w:fldChar w:fldCharType="separate"/>
        </w:r>
        <w:r w:rsidR="00ED72C2">
          <w:rPr>
            <w:noProof/>
          </w:rPr>
          <w:t>55</w:t>
        </w:r>
        <w:r w:rsidRPr="001B7E15">
          <w:rPr>
            <w:noProof/>
          </w:rPr>
          <w:fldChar w:fldCharType="end"/>
        </w:r>
      </w:p>
    </w:sdtContent>
  </w:sdt>
  <w:p w14:paraId="00B0004C" w14:textId="77777777" w:rsidR="00E07FF8" w:rsidRPr="00956C60" w:rsidRDefault="00E07FF8" w:rsidP="00956C60">
    <w:pPr>
      <w:pStyle w:val="Footer"/>
    </w:pPr>
  </w:p>
</w:ftr>
</file>

<file path=word/footer2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91821414"/>
      <w:docPartObj>
        <w:docPartGallery w:val="Page Numbers (Bottom of Page)"/>
        <w:docPartUnique/>
      </w:docPartObj>
    </w:sdtPr>
    <w:sdtEndPr>
      <w:rPr>
        <w:noProof/>
      </w:rPr>
    </w:sdtEndPr>
    <w:sdtContent>
      <w:p w14:paraId="2C2BDB3C" w14:textId="1095FF59" w:rsidR="00E07FF8" w:rsidRPr="001B7E15" w:rsidRDefault="00E07FF8" w:rsidP="00C130D2">
        <w:pPr>
          <w:pStyle w:val="Footer"/>
          <w:jc w:val="right"/>
        </w:pPr>
        <w:r w:rsidRPr="001B7E15">
          <w:fldChar w:fldCharType="begin"/>
        </w:r>
        <w:r w:rsidRPr="001B7E15">
          <w:instrText xml:space="preserve"> PAGE   \* MERGEFORMAT </w:instrText>
        </w:r>
        <w:r w:rsidRPr="001B7E15">
          <w:fldChar w:fldCharType="separate"/>
        </w:r>
        <w:r>
          <w:rPr>
            <w:noProof/>
          </w:rPr>
          <w:t>64</w:t>
        </w:r>
        <w:r w:rsidRPr="001B7E15">
          <w:rPr>
            <w:noProof/>
          </w:rPr>
          <w:fldChar w:fldCharType="end"/>
        </w:r>
      </w:p>
    </w:sdtContent>
  </w:sdt>
  <w:p w14:paraId="298666A3" w14:textId="77777777" w:rsidR="00E07FF8" w:rsidRPr="00231623" w:rsidRDefault="00E07FF8" w:rsidP="00C130D2">
    <w:pPr>
      <w:pStyle w:val="Footer"/>
    </w:pPr>
  </w:p>
</w:ftr>
</file>

<file path=word/footer2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5088960"/>
      <w:docPartObj>
        <w:docPartGallery w:val="Page Numbers (Bottom of Page)"/>
        <w:docPartUnique/>
      </w:docPartObj>
    </w:sdtPr>
    <w:sdtEndPr>
      <w:rPr>
        <w:noProof/>
      </w:rPr>
    </w:sdtEndPr>
    <w:sdtContent>
      <w:p w14:paraId="6CBE79DA" w14:textId="6056DE05" w:rsidR="00E07FF8" w:rsidRDefault="00E07FF8" w:rsidP="00C130D2">
        <w:pPr>
          <w:pStyle w:val="Footer"/>
          <w:rPr>
            <w:noProof/>
          </w:rPr>
        </w:pPr>
        <w:r w:rsidRPr="001B7E15">
          <w:fldChar w:fldCharType="begin"/>
        </w:r>
        <w:r w:rsidRPr="001B7E15">
          <w:instrText xml:space="preserve"> PAGE   \* MERGEFORMAT </w:instrText>
        </w:r>
        <w:r w:rsidRPr="001B7E15">
          <w:fldChar w:fldCharType="separate"/>
        </w:r>
        <w:r w:rsidR="00ED72C2">
          <w:rPr>
            <w:noProof/>
          </w:rPr>
          <w:t>65</w:t>
        </w:r>
        <w:r w:rsidRPr="001B7E15">
          <w:rPr>
            <w:noProof/>
          </w:rPr>
          <w:fldChar w:fldCharType="end"/>
        </w:r>
      </w:p>
    </w:sdtContent>
  </w:sdt>
  <w:p w14:paraId="625594C8" w14:textId="77777777" w:rsidR="00E07FF8" w:rsidRPr="00956C60" w:rsidRDefault="00E07FF8" w:rsidP="00956C60">
    <w:pPr>
      <w:pStyle w:val="Footer"/>
    </w:pPr>
  </w:p>
</w:ftr>
</file>

<file path=word/footer3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41031986"/>
      <w:docPartObj>
        <w:docPartGallery w:val="Page Numbers (Bottom of Page)"/>
        <w:docPartUnique/>
      </w:docPartObj>
    </w:sdtPr>
    <w:sdtEndPr>
      <w:rPr>
        <w:noProof/>
      </w:rPr>
    </w:sdtEndPr>
    <w:sdtContent>
      <w:p w14:paraId="1756EA4E" w14:textId="38D7E26B" w:rsidR="00E07FF8" w:rsidRPr="001B7E15" w:rsidRDefault="00E07FF8" w:rsidP="00C130D2">
        <w:pPr>
          <w:pStyle w:val="Footer"/>
          <w:jc w:val="right"/>
        </w:pPr>
        <w:r w:rsidRPr="001B7E15">
          <w:fldChar w:fldCharType="begin"/>
        </w:r>
        <w:r w:rsidRPr="001B7E15">
          <w:instrText xml:space="preserve"> PAGE   \* MERGEFORMAT </w:instrText>
        </w:r>
        <w:r w:rsidRPr="001B7E15">
          <w:fldChar w:fldCharType="separate"/>
        </w:r>
        <w:r>
          <w:rPr>
            <w:noProof/>
          </w:rPr>
          <w:t>70</w:t>
        </w:r>
        <w:r w:rsidRPr="001B7E15">
          <w:rPr>
            <w:noProof/>
          </w:rPr>
          <w:fldChar w:fldCharType="end"/>
        </w:r>
      </w:p>
    </w:sdtContent>
  </w:sdt>
  <w:p w14:paraId="7C677E50" w14:textId="77777777" w:rsidR="00E07FF8" w:rsidRPr="00231623" w:rsidRDefault="00E07FF8" w:rsidP="00C130D2">
    <w:pPr>
      <w:pStyle w:val="Footer"/>
    </w:pPr>
  </w:p>
</w:ftr>
</file>

<file path=word/footer3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47707117"/>
      <w:docPartObj>
        <w:docPartGallery w:val="Page Numbers (Bottom of Page)"/>
        <w:docPartUnique/>
      </w:docPartObj>
    </w:sdtPr>
    <w:sdtEndPr>
      <w:rPr>
        <w:noProof/>
      </w:rPr>
    </w:sdtEndPr>
    <w:sdtContent>
      <w:p w14:paraId="3D767EA7" w14:textId="658F931E" w:rsidR="00E07FF8" w:rsidRDefault="00E07FF8" w:rsidP="00C130D2">
        <w:pPr>
          <w:pStyle w:val="Footer"/>
          <w:rPr>
            <w:noProof/>
          </w:rPr>
        </w:pPr>
        <w:r w:rsidRPr="001B7E15">
          <w:fldChar w:fldCharType="begin"/>
        </w:r>
        <w:r w:rsidRPr="001B7E15">
          <w:instrText xml:space="preserve"> PAGE   \* MERGEFORMAT </w:instrText>
        </w:r>
        <w:r w:rsidRPr="001B7E15">
          <w:fldChar w:fldCharType="separate"/>
        </w:r>
        <w:r w:rsidR="00ED72C2">
          <w:rPr>
            <w:noProof/>
          </w:rPr>
          <w:t>69</w:t>
        </w:r>
        <w:r w:rsidRPr="001B7E15">
          <w:rPr>
            <w:noProof/>
          </w:rPr>
          <w:fldChar w:fldCharType="end"/>
        </w:r>
      </w:p>
    </w:sdtContent>
  </w:sdt>
  <w:p w14:paraId="05E5B379" w14:textId="77777777" w:rsidR="00E07FF8" w:rsidRPr="00956C60" w:rsidRDefault="00E07FF8" w:rsidP="00956C60">
    <w:pPr>
      <w:pStyle w:val="Footer"/>
    </w:pPr>
  </w:p>
</w:ftr>
</file>

<file path=word/footer3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33422665"/>
      <w:docPartObj>
        <w:docPartGallery w:val="Page Numbers (Bottom of Page)"/>
        <w:docPartUnique/>
      </w:docPartObj>
    </w:sdtPr>
    <w:sdtEndPr>
      <w:rPr>
        <w:noProof/>
      </w:rPr>
    </w:sdtEndPr>
    <w:sdtContent>
      <w:sdt>
        <w:sdtPr>
          <w:id w:val="2124424384"/>
          <w:docPartObj>
            <w:docPartGallery w:val="Page Numbers (Bottom of Page)"/>
            <w:docPartUnique/>
          </w:docPartObj>
        </w:sdtPr>
        <w:sdtEndPr>
          <w:rPr>
            <w:noProof/>
          </w:rPr>
        </w:sdtEndPr>
        <w:sdtContent>
          <w:p w14:paraId="607C29FB" w14:textId="5FF05EFC" w:rsidR="00E07FF8" w:rsidRPr="00F061F2" w:rsidRDefault="00E07FF8" w:rsidP="00C130D2">
            <w:pPr>
              <w:pStyle w:val="Footer"/>
              <w:jc w:val="right"/>
            </w:pPr>
            <w:r w:rsidRPr="001B7E15">
              <w:fldChar w:fldCharType="begin"/>
            </w:r>
            <w:r w:rsidRPr="001B7E15">
              <w:instrText xml:space="preserve"> PAGE   \* MERGEFORMAT </w:instrText>
            </w:r>
            <w:r w:rsidRPr="001B7E15">
              <w:fldChar w:fldCharType="separate"/>
            </w:r>
            <w:r>
              <w:rPr>
                <w:noProof/>
              </w:rPr>
              <w:t>88</w:t>
            </w:r>
            <w:r w:rsidRPr="001B7E15">
              <w:rPr>
                <w:noProof/>
              </w:rPr>
              <w:fldChar w:fldCharType="end"/>
            </w:r>
          </w:p>
        </w:sdtContent>
      </w:sdt>
    </w:sdtContent>
  </w:sdt>
  <w:p w14:paraId="166367B7" w14:textId="77777777" w:rsidR="00E07FF8" w:rsidRDefault="00E07FF8" w:rsidP="00542CA2">
    <w:pPr>
      <w:spacing w:after="0"/>
    </w:pPr>
  </w:p>
</w:ftr>
</file>

<file path=word/footer3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91072008"/>
      <w:docPartObj>
        <w:docPartGallery w:val="Page Numbers (Bottom of Page)"/>
        <w:docPartUnique/>
      </w:docPartObj>
    </w:sdtPr>
    <w:sdtEndPr>
      <w:rPr>
        <w:noProof/>
      </w:rPr>
    </w:sdtEndPr>
    <w:sdtContent>
      <w:sdt>
        <w:sdtPr>
          <w:id w:val="-1240482936"/>
          <w:docPartObj>
            <w:docPartGallery w:val="Page Numbers (Bottom of Page)"/>
            <w:docPartUnique/>
          </w:docPartObj>
        </w:sdtPr>
        <w:sdtEndPr>
          <w:rPr>
            <w:noProof/>
          </w:rPr>
        </w:sdtEndPr>
        <w:sdtContent>
          <w:p w14:paraId="3E2AC287" w14:textId="7784F8A6" w:rsidR="00E07FF8" w:rsidRPr="00F061F2" w:rsidRDefault="00E07FF8" w:rsidP="00C130D2">
            <w:pPr>
              <w:pStyle w:val="Footer"/>
              <w:rPr>
                <w:noProof/>
              </w:rPr>
            </w:pPr>
            <w:r w:rsidRPr="001B7E15">
              <w:fldChar w:fldCharType="begin"/>
            </w:r>
            <w:r w:rsidRPr="001B7E15">
              <w:instrText xml:space="preserve"> PAGE   \* MERGEFORMAT </w:instrText>
            </w:r>
            <w:r w:rsidRPr="001B7E15">
              <w:fldChar w:fldCharType="separate"/>
            </w:r>
            <w:r w:rsidR="00ED72C2">
              <w:rPr>
                <w:noProof/>
              </w:rPr>
              <w:t>76</w:t>
            </w:r>
            <w:r w:rsidRPr="001B7E15">
              <w:rPr>
                <w:noProof/>
              </w:rPr>
              <w:fldChar w:fldCharType="end"/>
            </w:r>
          </w:p>
        </w:sdtContent>
      </w:sdt>
    </w:sdtContent>
  </w:sdt>
  <w:p w14:paraId="0975976D" w14:textId="77777777" w:rsidR="00E07FF8" w:rsidRDefault="00E07FF8" w:rsidP="00542CA2">
    <w:pPr>
      <w:spacing w:after="0"/>
    </w:pPr>
  </w:p>
</w:ftr>
</file>

<file path=word/footer3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8334181"/>
      <w:docPartObj>
        <w:docPartGallery w:val="Page Numbers (Bottom of Page)"/>
        <w:docPartUnique/>
      </w:docPartObj>
    </w:sdtPr>
    <w:sdtEndPr>
      <w:rPr>
        <w:noProof/>
      </w:rPr>
    </w:sdtEndPr>
    <w:sdtContent>
      <w:p w14:paraId="55B00813" w14:textId="35D0EFC1" w:rsidR="00E07FF8" w:rsidRDefault="00E07FF8">
        <w:pPr>
          <w:pStyle w:val="Footer"/>
        </w:pPr>
        <w:r>
          <w:fldChar w:fldCharType="begin"/>
        </w:r>
        <w:r>
          <w:instrText xml:space="preserve"> PAGE   \* MERGEFORMAT </w:instrText>
        </w:r>
        <w:r>
          <w:fldChar w:fldCharType="separate"/>
        </w:r>
        <w:r w:rsidR="00ED72C2">
          <w:rPr>
            <w:noProof/>
          </w:rPr>
          <w:t>88</w:t>
        </w:r>
        <w:r>
          <w:rPr>
            <w:noProof/>
          </w:rPr>
          <w:fldChar w:fldCharType="end"/>
        </w:r>
      </w:p>
    </w:sdtContent>
  </w:sdt>
  <w:p w14:paraId="7998BE9F" w14:textId="77777777" w:rsidR="00E07FF8" w:rsidRPr="00287EFB" w:rsidRDefault="00E07FF8" w:rsidP="00C130D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5923214" w14:textId="77777777" w:rsidR="006E5591" w:rsidRDefault="006E5591" w:rsidP="00BF7F6A">
      <w:pPr>
        <w:spacing w:after="0" w:line="240" w:lineRule="auto"/>
      </w:pPr>
      <w:r>
        <w:separator/>
      </w:r>
    </w:p>
  </w:footnote>
  <w:footnote w:type="continuationSeparator" w:id="0">
    <w:p w14:paraId="38CFBC8E" w14:textId="77777777" w:rsidR="006E5591" w:rsidRDefault="006E5591" w:rsidP="00BF7F6A">
      <w:pPr>
        <w:spacing w:after="0" w:line="240" w:lineRule="auto"/>
      </w:pPr>
      <w:r>
        <w:continuationSeparator/>
      </w:r>
    </w:p>
  </w:footnote>
  <w:footnote w:id="1">
    <w:p w14:paraId="5484BBB1" w14:textId="77777777" w:rsidR="00E07FF8" w:rsidRPr="00C336AD" w:rsidRDefault="00E07FF8" w:rsidP="00D670D2">
      <w:pPr>
        <w:pStyle w:val="FootnoteText"/>
        <w:rPr>
          <w:rFonts w:cstheme="minorHAnsi"/>
          <w:sz w:val="16"/>
          <w:szCs w:val="16"/>
          <w:lang w:val="sr-Cyrl-RS"/>
        </w:rPr>
      </w:pPr>
      <w:r w:rsidRPr="002C617A">
        <w:rPr>
          <w:rStyle w:val="FootnoteReference"/>
          <w:sz w:val="16"/>
        </w:rPr>
        <w:footnoteRef/>
      </w:r>
      <w:r w:rsidRPr="001D6C6B">
        <w:rPr>
          <w:rFonts w:cstheme="minorHAnsi"/>
          <w:sz w:val="16"/>
          <w:szCs w:val="16"/>
          <w:lang w:val="sr-Cyrl-RS"/>
        </w:rPr>
        <w:t xml:space="preserve"> </w:t>
      </w:r>
      <w:r w:rsidRPr="002E1612">
        <w:rPr>
          <w:rStyle w:val="FootnoteReference"/>
          <w:rFonts w:cstheme="minorHAnsi"/>
          <w:sz w:val="16"/>
          <w:szCs w:val="16"/>
          <w:vertAlign w:val="baseline"/>
          <w:lang w:val="sr-Cyrl-RS"/>
        </w:rPr>
        <w:t>Просечна цена нафте типа „Брент”, „Дубаи Фатекс” и „Западни Тексас”.</w:t>
      </w:r>
    </w:p>
  </w:footnote>
  <w:footnote w:id="2">
    <w:p w14:paraId="12DBA103" w14:textId="77777777" w:rsidR="00E07FF8" w:rsidRPr="0018168A" w:rsidRDefault="00E07FF8">
      <w:pPr>
        <w:pStyle w:val="FootnoteText"/>
        <w:rPr>
          <w:sz w:val="16"/>
          <w:szCs w:val="16"/>
          <w:lang w:val="sr-Cyrl-RS"/>
        </w:rPr>
      </w:pPr>
      <w:r w:rsidRPr="0018168A">
        <w:rPr>
          <w:rStyle w:val="FootnoteReference"/>
          <w:sz w:val="16"/>
          <w:szCs w:val="16"/>
        </w:rPr>
        <w:footnoteRef/>
      </w:r>
      <w:r w:rsidRPr="0018168A">
        <w:rPr>
          <w:sz w:val="16"/>
          <w:szCs w:val="16"/>
        </w:rPr>
        <w:t xml:space="preserve"> </w:t>
      </w:r>
      <w:r w:rsidRPr="0018168A">
        <w:rPr>
          <w:sz w:val="16"/>
          <w:szCs w:val="16"/>
          <w:lang w:val="sr-Cyrl-RS"/>
        </w:rPr>
        <w:t>Национални рачуни</w:t>
      </w:r>
    </w:p>
  </w:footnote>
  <w:footnote w:id="3">
    <w:p w14:paraId="0EBCA478" w14:textId="77777777" w:rsidR="00E07FF8" w:rsidRPr="0018168A" w:rsidRDefault="00E07FF8" w:rsidP="00B435B3">
      <w:pPr>
        <w:pStyle w:val="FootnoteText"/>
        <w:rPr>
          <w:sz w:val="16"/>
          <w:szCs w:val="16"/>
        </w:rPr>
      </w:pPr>
      <w:r w:rsidRPr="0018168A">
        <w:rPr>
          <w:rStyle w:val="FootnoteReference"/>
          <w:sz w:val="16"/>
          <w:szCs w:val="16"/>
        </w:rPr>
        <w:footnoteRef/>
      </w:r>
      <w:r w:rsidRPr="0018168A">
        <w:rPr>
          <w:sz w:val="16"/>
          <w:szCs w:val="16"/>
        </w:rPr>
        <w:t xml:space="preserve"> </w:t>
      </w:r>
      <w:hyperlink r:id="rId1" w:history="1">
        <w:r w:rsidRPr="0018168A">
          <w:rPr>
            <w:rStyle w:val="Hyperlink"/>
            <w:sz w:val="16"/>
            <w:szCs w:val="16"/>
            <w:lang w:val="sr-Cyrl-RS"/>
          </w:rPr>
          <w:t>http://www.mfin.gov.rs/pages/article.php?id=13281</w:t>
        </w:r>
      </w:hyperlink>
    </w:p>
    <w:p w14:paraId="75FE41CB" w14:textId="77777777" w:rsidR="00E07FF8" w:rsidRPr="00043B08" w:rsidRDefault="00E07FF8">
      <w:pPr>
        <w:pStyle w:val="FootnoteText"/>
        <w:rPr>
          <w:lang w:val="sr-Cyrl-RS"/>
        </w:rPr>
      </w:pPr>
    </w:p>
  </w:footnote>
  <w:footnote w:id="4">
    <w:p w14:paraId="04AF80F0" w14:textId="0DAA63D5" w:rsidR="00E07FF8" w:rsidRPr="00182173" w:rsidRDefault="00E07FF8" w:rsidP="008217BC">
      <w:pPr>
        <w:pStyle w:val="FootnoteText"/>
        <w:rPr>
          <w:rFonts w:cstheme="minorHAnsi"/>
          <w:sz w:val="16"/>
          <w:szCs w:val="16"/>
          <w:lang w:val="sr-Cyrl-RS"/>
        </w:rPr>
      </w:pPr>
      <w:r w:rsidRPr="006B68DD">
        <w:rPr>
          <w:rStyle w:val="FootnoteReference"/>
          <w:sz w:val="16"/>
          <w:szCs w:val="16"/>
        </w:rPr>
        <w:footnoteRef/>
      </w:r>
      <w:r>
        <w:rPr>
          <w:rFonts w:cstheme="minorHAnsi"/>
          <w:sz w:val="16"/>
          <w:szCs w:val="16"/>
        </w:rPr>
        <w:t xml:space="preserve"> </w:t>
      </w:r>
      <w:r w:rsidRPr="00182173">
        <w:rPr>
          <w:rFonts w:cstheme="minorHAnsi"/>
          <w:sz w:val="16"/>
          <w:szCs w:val="16"/>
          <w:lang w:val="sr-Cyrl-RS"/>
        </w:rPr>
        <w:t xml:space="preserve">Програм иновационих ваучера се имплементира као једна од услуга Канцеларије за информационе технологије и електронску управу, чија је сврха да подстакне преношење резултата јавног истраживања у приватни сектор како би се креирали производи и услуге којима ће се унапредити привреда. Дизајн и процедуре за имплементацију Програма су припремљене у оквиру пројекта „Подршка истраживању, иновацијама и трансферу технологијеˮ, који се финансира из Претприступних фондова </w:t>
      </w:r>
      <w:r w:rsidRPr="00B30851">
        <w:rPr>
          <w:rFonts w:cstheme="minorHAnsi"/>
          <w:sz w:val="16"/>
          <w:szCs w:val="16"/>
          <w:lang w:val="sr-Cyrl-RS"/>
        </w:rPr>
        <w:t>Европске уније (</w:t>
      </w:r>
      <w:r w:rsidRPr="00182173">
        <w:rPr>
          <w:rFonts w:cstheme="minorHAnsi"/>
          <w:sz w:val="16"/>
          <w:szCs w:val="16"/>
          <w:lang w:val="sr-Cyrl-RS"/>
        </w:rPr>
        <w:t>ИПА 2013), а њиме администрира Светска банка, док су средства за реализацију Програма обезбеђена из буџета Републике Србије са раздела Министарства просвете, науке и технолошког развоја кроз „Пројекат за унапређење конкурентности и запошљавањаˮ (споразум о зајму Републике Србије са Светском банком). http://www.inovacionifond.rs/program-inovacionih-vaucera/</w:t>
      </w:r>
    </w:p>
  </w:footnote>
  <w:footnote w:id="5">
    <w:p w14:paraId="10ED454E" w14:textId="77777777" w:rsidR="00E07FF8" w:rsidRPr="00D54907" w:rsidRDefault="00E07FF8" w:rsidP="00E4657F">
      <w:pPr>
        <w:pStyle w:val="FootnoteText"/>
        <w:rPr>
          <w:rFonts w:eastAsia="MS PGothic" w:cstheme="minorHAnsi"/>
          <w:sz w:val="16"/>
          <w:szCs w:val="16"/>
          <w:lang w:val="sr-Cyrl-RS" w:eastAsia="ja-JP"/>
        </w:rPr>
      </w:pPr>
      <w:r w:rsidRPr="00D54907">
        <w:rPr>
          <w:rStyle w:val="FootnoteReference"/>
          <w:sz w:val="16"/>
          <w:szCs w:val="16"/>
        </w:rPr>
        <w:footnoteRef/>
      </w:r>
      <w:r w:rsidRPr="00D54907">
        <w:rPr>
          <w:sz w:val="16"/>
          <w:szCs w:val="16"/>
        </w:rPr>
        <w:t xml:space="preserve"> </w:t>
      </w:r>
      <w:r w:rsidRPr="00D54907">
        <w:rPr>
          <w:sz w:val="16"/>
          <w:szCs w:val="16"/>
          <w:lang w:val="sr-Cyrl-RS"/>
        </w:rPr>
        <w:t xml:space="preserve">Један део овог износа односи се на </w:t>
      </w:r>
      <w:r w:rsidRPr="00D54907">
        <w:rPr>
          <w:rFonts w:eastAsia="MS PGothic" w:cstheme="minorHAnsi"/>
          <w:sz w:val="16"/>
          <w:szCs w:val="16"/>
          <w:lang w:val="sr-Cyrl-RS" w:eastAsia="ja-JP"/>
        </w:rPr>
        <w:t>порез на доходак грађана по основу дивиденди које је исплатио Аеродром Никола Тесла а.д. од око 0,8 млрд.</w:t>
      </w:r>
    </w:p>
    <w:p w14:paraId="798884D8" w14:textId="77777777" w:rsidR="00E07FF8" w:rsidRPr="00722E82" w:rsidRDefault="00E07FF8">
      <w:pPr>
        <w:pStyle w:val="FootnoteText"/>
        <w:rPr>
          <w:lang w:val="sr-Cyrl-RS"/>
        </w:rPr>
      </w:pPr>
    </w:p>
  </w:footnote>
  <w:footnote w:id="6">
    <w:p w14:paraId="055D4590" w14:textId="77777777" w:rsidR="00E07FF8" w:rsidRPr="00EF5958" w:rsidRDefault="00E07FF8" w:rsidP="00C130D2">
      <w:pPr>
        <w:pStyle w:val="FootnoteText"/>
        <w:rPr>
          <w:color w:val="44546A"/>
          <w:sz w:val="16"/>
          <w:szCs w:val="16"/>
          <w:lang w:val="sr-Cyrl-RS"/>
        </w:rPr>
      </w:pPr>
      <w:r w:rsidRPr="00EF5958">
        <w:rPr>
          <w:rStyle w:val="FootnoteReference"/>
          <w:color w:val="44546A"/>
          <w:sz w:val="16"/>
          <w:szCs w:val="16"/>
        </w:rPr>
        <w:footnoteRef/>
      </w:r>
      <w:r w:rsidRPr="00EF5958">
        <w:rPr>
          <w:color w:val="44546A"/>
          <w:sz w:val="16"/>
          <w:szCs w:val="16"/>
        </w:rPr>
        <w:t xml:space="preserve"> </w:t>
      </w:r>
      <w:r w:rsidRPr="00EF5958">
        <w:rPr>
          <w:color w:val="44546A"/>
          <w:sz w:val="16"/>
          <w:szCs w:val="16"/>
          <w:lang w:val="sr-Cyrl-RS"/>
        </w:rPr>
        <w:t>Индиректни корисници су обухваћени планом приликом израде годишњег буџета као и завршним рачуном</w:t>
      </w:r>
      <w:r>
        <w:rPr>
          <w:color w:val="44546A"/>
          <w:sz w:val="16"/>
          <w:szCs w:val="16"/>
          <w:lang w:val="sr-Cyrl-RS"/>
        </w:rPr>
        <w:t>,</w:t>
      </w:r>
      <w:r w:rsidRPr="00EF5958">
        <w:rPr>
          <w:color w:val="44546A"/>
          <w:sz w:val="16"/>
          <w:szCs w:val="16"/>
          <w:lang w:val="sr-Cyrl-RS"/>
        </w:rPr>
        <w:t xml:space="preserve"> али нису били обухваћени међугодишњим извештавањем јер нису били укључени у систем извршења буџета. Од 2015. године у јединствени систем извршења буџета укључиване су поједине категорије индиректних корисника (правосудни органи, установе културе, заводи за извршење кривичних санкција и установе социјалне заштите).</w:t>
      </w:r>
    </w:p>
  </w:footnote>
  <w:footnote w:id="7">
    <w:p w14:paraId="664258C9" w14:textId="77777777" w:rsidR="00E07FF8" w:rsidRPr="00EC308A" w:rsidRDefault="00E07FF8" w:rsidP="00C130D2">
      <w:pPr>
        <w:pStyle w:val="FootnoteText"/>
        <w:rPr>
          <w:rFonts w:eastAsia="Calibri" w:cs="Times New Roman"/>
          <w:sz w:val="16"/>
          <w:szCs w:val="16"/>
          <w:lang w:val="sr-Cyrl-RS"/>
        </w:rPr>
      </w:pPr>
      <w:r w:rsidRPr="00852FA3">
        <w:rPr>
          <w:rStyle w:val="FootnoteReference"/>
          <w:sz w:val="16"/>
          <w:szCs w:val="16"/>
        </w:rPr>
        <w:footnoteRef/>
      </w:r>
      <w:r w:rsidRPr="00852FA3">
        <w:rPr>
          <w:sz w:val="16"/>
          <w:szCs w:val="16"/>
        </w:rPr>
        <w:t xml:space="preserve"> </w:t>
      </w:r>
      <w:r w:rsidRPr="00EC308A">
        <w:rPr>
          <w:rFonts w:eastAsia="Calibri" w:cs="Times New Roman"/>
          <w:sz w:val="16"/>
          <w:szCs w:val="16"/>
          <w:lang w:val="sr-Cyrl-RS"/>
        </w:rPr>
        <w:t>Детаљнија дефиниција S0 индикатора као и опис коришћене методологије и резултата могу се пронаћи у Фискалној стратегији за 2018. годину са пројекцијама за 2019. и 2020. годину путем линка http://www.mfin.gov.rs/pages/issue.php?id=83</w:t>
      </w:r>
      <w:r>
        <w:rPr>
          <w:rFonts w:eastAsia="Calibri" w:cs="Times New Roman"/>
          <w:sz w:val="16"/>
          <w:szCs w:val="16"/>
          <w:lang w:val="sr-Cyrl-RS"/>
        </w:rPr>
        <w:t>82 и извештају ЕК</w:t>
      </w:r>
      <w:r w:rsidRPr="00EC308A">
        <w:rPr>
          <w:rFonts w:eastAsia="Calibri" w:cs="Times New Roman"/>
          <w:sz w:val="16"/>
          <w:szCs w:val="16"/>
          <w:lang w:val="sr-Cyrl-RS"/>
        </w:rPr>
        <w:t xml:space="preserve"> “Fiscal Sustainability report 2015” 25, Јануар 2016, 157–158.</w:t>
      </w:r>
    </w:p>
  </w:footnote>
  <w:footnote w:id="8">
    <w:p w14:paraId="1A550F0F" w14:textId="77777777" w:rsidR="00E07FF8" w:rsidRPr="00C336AD" w:rsidRDefault="00E07FF8" w:rsidP="00E4657F">
      <w:pPr>
        <w:pStyle w:val="FootnoteText"/>
        <w:rPr>
          <w:rFonts w:cstheme="minorHAnsi"/>
          <w:sz w:val="16"/>
          <w:szCs w:val="16"/>
          <w:lang w:val="sr-Cyrl-RS"/>
        </w:rPr>
      </w:pPr>
      <w:r w:rsidRPr="00C336AD">
        <w:rPr>
          <w:rStyle w:val="FootnoteReference"/>
          <w:rFonts w:cstheme="minorHAnsi"/>
          <w:sz w:val="16"/>
          <w:szCs w:val="16"/>
          <w:lang w:val="sr-Cyrl-RS"/>
        </w:rPr>
        <w:footnoteRef/>
      </w:r>
      <w:r w:rsidRPr="00C336AD">
        <w:rPr>
          <w:rFonts w:cstheme="minorHAnsi"/>
          <w:sz w:val="16"/>
          <w:szCs w:val="16"/>
          <w:lang w:val="sr-Cyrl-RS"/>
        </w:rPr>
        <w:t xml:space="preserve"> </w:t>
      </w:r>
      <w:r w:rsidRPr="00906E14">
        <w:rPr>
          <w:rFonts w:cstheme="minorHAnsi"/>
          <w:spacing w:val="-2"/>
          <w:sz w:val="16"/>
          <w:szCs w:val="16"/>
          <w:lang w:val="sr-Cyrl-RS"/>
        </w:rPr>
        <w:t>Детаљнији приказ структурних реформи по приоритетним областима је саставни део Програма економских реформи у периоду 2019–2021.</w:t>
      </w:r>
    </w:p>
  </w:footnote>
  <w:footnote w:id="9">
    <w:p w14:paraId="4C2F657A" w14:textId="77777777" w:rsidR="00E07FF8" w:rsidRPr="00C336AD" w:rsidRDefault="00E07FF8" w:rsidP="00E4657F">
      <w:pPr>
        <w:pStyle w:val="FootnoteText"/>
        <w:rPr>
          <w:rFonts w:cstheme="minorHAnsi"/>
          <w:sz w:val="16"/>
          <w:szCs w:val="16"/>
          <w:lang w:val="sr-Cyrl-RS"/>
        </w:rPr>
      </w:pPr>
      <w:r w:rsidRPr="00C336AD">
        <w:rPr>
          <w:rStyle w:val="FootnoteReference"/>
          <w:rFonts w:cstheme="minorHAnsi"/>
          <w:sz w:val="16"/>
          <w:szCs w:val="16"/>
          <w:lang w:val="sr-Cyrl-RS"/>
        </w:rPr>
        <w:footnoteRef/>
      </w:r>
      <w:r>
        <w:rPr>
          <w:rFonts w:cstheme="minorHAnsi"/>
          <w:sz w:val="16"/>
          <w:szCs w:val="16"/>
          <w:lang w:val="sr-Cyrl-RS"/>
        </w:rPr>
        <w:t xml:space="preserve"> Фискална стратегија за 2019. годину са пројекцијама за 2020. и 2021</w:t>
      </w:r>
      <w:r w:rsidRPr="00C336AD">
        <w:rPr>
          <w:rFonts w:cstheme="minorHAnsi"/>
          <w:sz w:val="16"/>
          <w:szCs w:val="16"/>
          <w:lang w:val="sr-Cyrl-RS"/>
        </w:rPr>
        <w:t>. годину.</w:t>
      </w:r>
    </w:p>
  </w:footnote>
  <w:footnote w:id="10">
    <w:p w14:paraId="5154C78B" w14:textId="77777777" w:rsidR="00E07FF8" w:rsidRPr="001A06AE" w:rsidRDefault="00E07FF8" w:rsidP="00E4657F">
      <w:pPr>
        <w:pStyle w:val="FootnoteText"/>
        <w:rPr>
          <w:sz w:val="16"/>
          <w:lang w:val="sr-Cyrl-RS"/>
        </w:rPr>
      </w:pPr>
      <w:r w:rsidRPr="00326508">
        <w:rPr>
          <w:rStyle w:val="FootnoteReference"/>
          <w:sz w:val="16"/>
        </w:rPr>
        <w:footnoteRef/>
      </w:r>
      <w:r w:rsidRPr="00326508">
        <w:rPr>
          <w:sz w:val="16"/>
        </w:rPr>
        <w:t xml:space="preserve"> </w:t>
      </w:r>
      <w:r w:rsidRPr="00326508">
        <w:rPr>
          <w:sz w:val="16"/>
          <w:lang w:val="sr-Cyrl-RS"/>
        </w:rPr>
        <w:t>Износи су прерачунати на основу реви</w:t>
      </w:r>
      <w:r>
        <w:rPr>
          <w:sz w:val="16"/>
          <w:lang w:val="sr-Cyrl-RS"/>
        </w:rPr>
        <w:t>зије података серије БДП од 2018. до 2021</w:t>
      </w:r>
      <w:r w:rsidRPr="00326508">
        <w:rPr>
          <w:sz w:val="16"/>
          <w:lang w:val="sr-Cyrl-RS"/>
        </w:rPr>
        <w:t>. године.</w:t>
      </w:r>
    </w:p>
  </w:footnote>
  <w:footnote w:id="11">
    <w:p w14:paraId="34C4047E" w14:textId="77777777" w:rsidR="00E07FF8" w:rsidRPr="00C336AD" w:rsidRDefault="00E07FF8" w:rsidP="00E4657F">
      <w:pPr>
        <w:pStyle w:val="FootnoteText"/>
        <w:rPr>
          <w:rFonts w:eastAsia="Times New Roman" w:cstheme="minorHAnsi"/>
          <w:sz w:val="16"/>
          <w:szCs w:val="16"/>
          <w:lang w:val="sr-Cyrl-RS"/>
        </w:rPr>
      </w:pPr>
      <w:r w:rsidRPr="00C336AD">
        <w:rPr>
          <w:rStyle w:val="FootnoteReference"/>
          <w:rFonts w:cstheme="minorHAnsi"/>
          <w:sz w:val="16"/>
          <w:szCs w:val="16"/>
          <w:lang w:val="sr-Cyrl-RS"/>
        </w:rPr>
        <w:footnoteRef/>
      </w:r>
      <w:r w:rsidRPr="002E51AD">
        <w:rPr>
          <w:rStyle w:val="Hyperlink2"/>
          <w:rFonts w:cstheme="minorHAnsi"/>
          <w:color w:val="44546A" w:themeColor="text2"/>
          <w:sz w:val="16"/>
          <w:szCs w:val="16"/>
          <w:u w:val="none"/>
          <w:lang w:val="sr-Latn-RS"/>
        </w:rPr>
        <w:t xml:space="preserve"> </w:t>
      </w:r>
      <w:r w:rsidRPr="00A70F3C">
        <w:rPr>
          <w:rStyle w:val="Hyperlink2"/>
          <w:rFonts w:cstheme="minorHAnsi"/>
          <w:color w:val="44546A" w:themeColor="text2"/>
          <w:sz w:val="16"/>
          <w:szCs w:val="16"/>
          <w:u w:val="none"/>
          <w:lang w:val="sr-Cyrl-RS"/>
        </w:rPr>
        <w:t>http://www.obnova.gov.rs/uploads/useruploads/Documents/Kancelarija-za-pomoc-poplavljenih-podrucja-infograf-15-04-2016-srb.pdf</w:t>
      </w:r>
    </w:p>
  </w:footnote>
  <w:footnote w:id="12">
    <w:p w14:paraId="5EED1CF4" w14:textId="77777777" w:rsidR="00E07FF8" w:rsidRPr="00C336AD" w:rsidRDefault="00E07FF8" w:rsidP="00E4657F">
      <w:pPr>
        <w:pStyle w:val="FootnoteText"/>
        <w:rPr>
          <w:rFonts w:cstheme="minorHAnsi"/>
          <w:sz w:val="16"/>
          <w:szCs w:val="16"/>
          <w:lang w:val="sr-Cyrl-RS"/>
        </w:rPr>
      </w:pPr>
      <w:r w:rsidRPr="00C336AD">
        <w:rPr>
          <w:rStyle w:val="FootnoteReference"/>
          <w:rFonts w:cstheme="minorHAnsi"/>
          <w:sz w:val="16"/>
          <w:szCs w:val="16"/>
          <w:lang w:val="sr-Cyrl-RS"/>
        </w:rPr>
        <w:footnoteRef/>
      </w:r>
      <w:r w:rsidRPr="00C336AD">
        <w:rPr>
          <w:rFonts w:cstheme="minorHAnsi"/>
          <w:sz w:val="16"/>
          <w:szCs w:val="16"/>
          <w:lang w:val="sr-Cyrl-RS"/>
        </w:rPr>
        <w:t xml:space="preserve"> Закон о јавном дугу </w:t>
      </w:r>
      <w:r>
        <w:rPr>
          <w:rFonts w:cstheme="minorHAnsi"/>
          <w:sz w:val="16"/>
          <w:szCs w:val="16"/>
          <w:lang w:val="sr-Cyrl-RS"/>
        </w:rPr>
        <w:t xml:space="preserve">„Службени </w:t>
      </w:r>
      <w:r w:rsidRPr="00C336AD">
        <w:rPr>
          <w:rFonts w:cstheme="minorHAnsi"/>
          <w:sz w:val="16"/>
          <w:szCs w:val="16"/>
          <w:lang w:val="sr-Cyrl-RS"/>
        </w:rPr>
        <w:t>гласник РС</w:t>
      </w:r>
      <w:r w:rsidRPr="00956C60">
        <w:rPr>
          <w:rFonts w:cstheme="minorHAnsi"/>
          <w:sz w:val="16"/>
          <w:szCs w:val="16"/>
          <w:lang w:val="sr-Cyrl-RS"/>
        </w:rPr>
        <w:t>ˮ</w:t>
      </w:r>
      <w:r w:rsidRPr="00C336AD">
        <w:rPr>
          <w:rFonts w:cstheme="minorHAnsi"/>
          <w:sz w:val="16"/>
          <w:szCs w:val="16"/>
          <w:lang w:val="sr-Cyrl-RS"/>
        </w:rPr>
        <w:t>, бр.</w:t>
      </w:r>
      <w:r>
        <w:rPr>
          <w:rFonts w:cstheme="minorHAnsi"/>
          <w:sz w:val="16"/>
          <w:szCs w:val="16"/>
          <w:lang w:val="sr-Cyrl-RS"/>
        </w:rPr>
        <w:t xml:space="preserve"> </w:t>
      </w:r>
      <w:r w:rsidRPr="00C336AD">
        <w:rPr>
          <w:rFonts w:cstheme="minorHAnsi"/>
          <w:sz w:val="16"/>
          <w:szCs w:val="16"/>
          <w:lang w:val="sr-Cyrl-RS"/>
        </w:rPr>
        <w:t>61/05, 107/09, 78/11</w:t>
      </w:r>
      <w:r>
        <w:rPr>
          <w:rFonts w:cstheme="minorHAnsi"/>
          <w:sz w:val="16"/>
          <w:szCs w:val="16"/>
          <w:lang w:val="sr-Cyrl-RS"/>
        </w:rPr>
        <w:t>,</w:t>
      </w:r>
      <w:r w:rsidRPr="00C336AD">
        <w:rPr>
          <w:rFonts w:cstheme="minorHAnsi"/>
          <w:sz w:val="16"/>
          <w:szCs w:val="16"/>
          <w:lang w:val="sr-Cyrl-RS"/>
        </w:rPr>
        <w:t xml:space="preserve"> 68/15</w:t>
      </w:r>
      <w:r>
        <w:rPr>
          <w:rFonts w:cstheme="minorHAnsi"/>
          <w:sz w:val="16"/>
          <w:szCs w:val="16"/>
          <w:lang w:val="sr-Cyrl-RS"/>
        </w:rPr>
        <w:t xml:space="preserve"> и 95/18.</w:t>
      </w:r>
    </w:p>
  </w:footnote>
  <w:footnote w:id="13">
    <w:p w14:paraId="497CABE9" w14:textId="77777777" w:rsidR="00E07FF8" w:rsidRPr="00C336AD" w:rsidRDefault="00E07FF8" w:rsidP="00E4657F">
      <w:pPr>
        <w:pStyle w:val="FootnoteText"/>
        <w:rPr>
          <w:rFonts w:cstheme="minorHAnsi"/>
          <w:sz w:val="16"/>
          <w:szCs w:val="16"/>
          <w:lang w:val="sr-Cyrl-RS"/>
        </w:rPr>
      </w:pPr>
      <w:r w:rsidRPr="00C336AD">
        <w:rPr>
          <w:rStyle w:val="FootnoteReference"/>
          <w:rFonts w:cstheme="minorHAnsi"/>
          <w:sz w:val="16"/>
          <w:szCs w:val="16"/>
          <w:lang w:val="sr-Cyrl-RS"/>
        </w:rPr>
        <w:footnoteRef/>
      </w:r>
      <w:r w:rsidRPr="00C336AD">
        <w:rPr>
          <w:rFonts w:cstheme="minorHAnsi"/>
          <w:sz w:val="16"/>
          <w:szCs w:val="16"/>
          <w:lang w:val="sr-Cyrl-RS"/>
        </w:rPr>
        <w:t xml:space="preserve"> Дефиниција дуга, према критеријумима из Мастрихта, између осталог, различито третира издате гаранције, у односу на дефиницију јавног дуга према домаћем законодавству. У јавни дуг (дуг опште државе) улазе, према критеријумима из Мастрихта, само активиране гаранције. Домаће законодавство, по овом питању има конзервативнији приступ, и све издате </w:t>
      </w:r>
      <w:r>
        <w:rPr>
          <w:rFonts w:cstheme="minorHAnsi"/>
          <w:sz w:val="16"/>
          <w:szCs w:val="16"/>
          <w:lang w:val="sr-Cyrl-RS"/>
        </w:rPr>
        <w:t>гаранције укључује у јавни дуг.</w:t>
      </w:r>
    </w:p>
  </w:footnote>
  <w:footnote w:id="14">
    <w:p w14:paraId="4EDBD95E" w14:textId="77777777" w:rsidR="00E07FF8" w:rsidRPr="00C336AD" w:rsidRDefault="00E07FF8" w:rsidP="00E4657F">
      <w:pPr>
        <w:pStyle w:val="FootnoteText"/>
        <w:spacing w:after="40"/>
        <w:rPr>
          <w:rFonts w:cstheme="minorHAnsi"/>
          <w:sz w:val="16"/>
          <w:szCs w:val="16"/>
          <w:lang w:val="sr-Cyrl-RS"/>
        </w:rPr>
      </w:pPr>
      <w:r w:rsidRPr="00C336AD">
        <w:rPr>
          <w:rStyle w:val="FootnoteReference"/>
          <w:rFonts w:cstheme="minorHAnsi"/>
          <w:sz w:val="16"/>
          <w:szCs w:val="16"/>
          <w:lang w:val="sr-Cyrl-RS"/>
        </w:rPr>
        <w:footnoteRef/>
      </w:r>
      <w:r w:rsidRPr="00C336AD">
        <w:rPr>
          <w:rFonts w:cstheme="minorHAnsi"/>
          <w:sz w:val="16"/>
          <w:szCs w:val="16"/>
          <w:lang w:val="sr-Cyrl-RS"/>
        </w:rPr>
        <w:t xml:space="preserve"> Отплата по основу гаранција из републичког буџета је у расходе укључена по готовинској основи. Међународни стандарди, који се заснивају на обрачунској основи, у расходе укључују цео износ преосталог дуга, у моменту активирања гаранције, док се сама отплата дуга по том основу трети</w:t>
      </w:r>
      <w:r>
        <w:rPr>
          <w:rFonts w:cstheme="minorHAnsi"/>
          <w:sz w:val="16"/>
          <w:szCs w:val="16"/>
          <w:lang w:val="sr-Cyrl-RS"/>
        </w:rPr>
        <w:t>ра као финансијска трансакција.</w:t>
      </w:r>
    </w:p>
  </w:footnote>
  <w:footnote w:id="15">
    <w:p w14:paraId="632ECF2D" w14:textId="77777777" w:rsidR="00E07FF8" w:rsidRPr="00C336AD" w:rsidRDefault="00E07FF8" w:rsidP="00E4657F">
      <w:pPr>
        <w:pStyle w:val="FootnoteText"/>
        <w:rPr>
          <w:rFonts w:cstheme="minorHAnsi"/>
          <w:sz w:val="16"/>
          <w:szCs w:val="16"/>
          <w:lang w:val="sr-Cyrl-RS"/>
        </w:rPr>
      </w:pPr>
      <w:r w:rsidRPr="00C336AD">
        <w:rPr>
          <w:rStyle w:val="FootnoteReference"/>
          <w:rFonts w:cstheme="minorHAnsi"/>
          <w:sz w:val="16"/>
          <w:szCs w:val="16"/>
          <w:lang w:val="sr-Cyrl-RS"/>
        </w:rPr>
        <w:footnoteRef/>
      </w:r>
      <w:r w:rsidRPr="00C336AD">
        <w:rPr>
          <w:rFonts w:cstheme="minorHAnsi"/>
          <w:sz w:val="16"/>
          <w:szCs w:val="16"/>
          <w:lang w:val="sr-Cyrl-RS"/>
        </w:rPr>
        <w:t xml:space="preserve"> Део расхода по основу отплате по гаранцијама за ЈП „Путеви Србије</w:t>
      </w:r>
      <w:r w:rsidRPr="00956C60">
        <w:rPr>
          <w:rFonts w:cstheme="minorHAnsi"/>
          <w:sz w:val="16"/>
          <w:szCs w:val="16"/>
          <w:lang w:val="sr-Cyrl-RS"/>
        </w:rPr>
        <w:t>ˮ</w:t>
      </w:r>
      <w:r>
        <w:rPr>
          <w:rFonts w:cstheme="minorHAnsi"/>
          <w:sz w:val="16"/>
          <w:szCs w:val="16"/>
          <w:lang w:val="sr-Cyrl-RS"/>
        </w:rPr>
        <w:t xml:space="preserve"> </w:t>
      </w:r>
      <w:r w:rsidRPr="00C336AD">
        <w:rPr>
          <w:rFonts w:cstheme="minorHAnsi"/>
          <w:sz w:val="16"/>
          <w:szCs w:val="16"/>
          <w:lang w:val="sr-Cyrl-RS"/>
        </w:rPr>
        <w:t>не укључује се у расходе буџета, јер је ово предузеће део сектора опште државе, те су расходи који су финансирани гарантованим кредитима били део расхода опште државе у моменту трошења средстава, док се сама отплата третира као финансиј</w:t>
      </w:r>
      <w:r>
        <w:rPr>
          <w:rFonts w:cstheme="minorHAnsi"/>
          <w:sz w:val="16"/>
          <w:szCs w:val="16"/>
          <w:lang w:val="sr-Cyrl-RS"/>
        </w:rPr>
        <w:t>ска трансакција („испод црте</w:t>
      </w:r>
      <w:r w:rsidRPr="00956C60">
        <w:rPr>
          <w:rFonts w:cstheme="minorHAnsi"/>
          <w:sz w:val="16"/>
          <w:szCs w:val="16"/>
          <w:lang w:val="sr-Cyrl-RS"/>
        </w:rPr>
        <w:t>ˮ</w:t>
      </w:r>
      <w:r>
        <w:rPr>
          <w:rFonts w:cstheme="minorHAnsi"/>
          <w:sz w:val="16"/>
          <w:szCs w:val="16"/>
          <w:lang w:val="sr-Cyrl-RS"/>
        </w:rPr>
        <w:t>).</w:t>
      </w:r>
    </w:p>
  </w:footnote>
  <w:footnote w:id="16">
    <w:p w14:paraId="15CEDDFF" w14:textId="77777777" w:rsidR="00E07FF8" w:rsidRPr="00C336AD" w:rsidRDefault="00E07FF8" w:rsidP="00E4657F">
      <w:pPr>
        <w:pStyle w:val="FootnoteText"/>
        <w:rPr>
          <w:rFonts w:cstheme="minorHAnsi"/>
          <w:sz w:val="16"/>
          <w:szCs w:val="16"/>
          <w:lang w:val="sr-Cyrl-RS"/>
        </w:rPr>
      </w:pPr>
      <w:r w:rsidRPr="00C336AD">
        <w:rPr>
          <w:rStyle w:val="FootnoteReference"/>
          <w:rFonts w:cstheme="minorHAnsi"/>
          <w:sz w:val="16"/>
          <w:szCs w:val="16"/>
          <w:lang w:val="sr-Cyrl-RS"/>
        </w:rPr>
        <w:footnoteRef/>
      </w:r>
      <w:r w:rsidRPr="00C336AD">
        <w:rPr>
          <w:rFonts w:cstheme="minorHAnsi"/>
          <w:sz w:val="16"/>
          <w:szCs w:val="16"/>
          <w:lang w:val="sr-Cyrl-RS"/>
        </w:rPr>
        <w:t xml:space="preserve"> Народна скупштина усвојила је измене и допуне Закона о Народној банци Србије и Закона о банкама, као и нови Закон о Агенцији за осигурање депозита, Закон о осигурању депозита, Закон о стечају и ликвидацији банака и друштава за осигурање. Са изменом сета финансијских закона, наметнуло се и усвајање допуне Закона о министарствима.</w:t>
      </w:r>
    </w:p>
  </w:footnote>
  <w:footnote w:id="17">
    <w:p w14:paraId="3C2741A6" w14:textId="77777777" w:rsidR="00E07FF8" w:rsidRPr="00C336AD" w:rsidRDefault="00E07FF8" w:rsidP="00E4657F">
      <w:pPr>
        <w:pStyle w:val="FootnoteText"/>
        <w:rPr>
          <w:rFonts w:cstheme="minorHAnsi"/>
          <w:sz w:val="16"/>
          <w:szCs w:val="16"/>
          <w:lang w:val="sr-Cyrl-RS"/>
        </w:rPr>
      </w:pPr>
      <w:r w:rsidRPr="00C336AD">
        <w:rPr>
          <w:rStyle w:val="FootnoteReference"/>
          <w:rFonts w:cstheme="minorHAnsi"/>
          <w:sz w:val="16"/>
          <w:szCs w:val="16"/>
          <w:lang w:val="sr-Cyrl-RS"/>
        </w:rPr>
        <w:footnoteRef/>
      </w:r>
      <w:r w:rsidRPr="00C336AD">
        <w:rPr>
          <w:rFonts w:cstheme="minorHAnsi"/>
          <w:sz w:val="16"/>
          <w:szCs w:val="16"/>
          <w:lang w:val="sr-Cyrl-RS"/>
        </w:rPr>
        <w:t xml:space="preserve"> Заштићени депоненти су: физичка лица, предузетници, микро, мала и </w:t>
      </w:r>
      <w:r>
        <w:rPr>
          <w:rFonts w:cstheme="minorHAnsi"/>
          <w:sz w:val="16"/>
          <w:szCs w:val="16"/>
          <w:lang w:val="sr-Cyrl-RS"/>
        </w:rPr>
        <w:t>средња правна лица, након искључења предвиђеним Законом о осигурању депозита.</w:t>
      </w:r>
    </w:p>
  </w:footnote>
  <w:footnote w:id="18">
    <w:p w14:paraId="490E581E" w14:textId="77777777" w:rsidR="00E07FF8" w:rsidRPr="00C336AD" w:rsidRDefault="00E07FF8" w:rsidP="00E4657F">
      <w:pPr>
        <w:pStyle w:val="FootnoteText"/>
        <w:spacing w:after="40"/>
        <w:rPr>
          <w:rFonts w:cstheme="minorHAnsi"/>
          <w:sz w:val="16"/>
          <w:szCs w:val="16"/>
          <w:lang w:val="sr-Cyrl-RS"/>
        </w:rPr>
      </w:pPr>
      <w:r w:rsidRPr="00C336AD">
        <w:rPr>
          <w:rStyle w:val="FootnoteReference"/>
          <w:rFonts w:cstheme="minorHAnsi"/>
          <w:sz w:val="16"/>
          <w:szCs w:val="16"/>
          <w:lang w:val="sr-Cyrl-RS"/>
        </w:rPr>
        <w:footnoteRef/>
      </w:r>
      <w:r w:rsidRPr="00C336AD">
        <w:rPr>
          <w:rFonts w:cstheme="minorHAnsi"/>
          <w:sz w:val="16"/>
          <w:szCs w:val="16"/>
          <w:lang w:val="sr-Cyrl-RS"/>
        </w:rPr>
        <w:t xml:space="preserve"> Обухваћени су расходи на контима: новчане казне и пенали по решењу судова и судских тела и накнада штете за повреде или штету на</w:t>
      </w:r>
      <w:r>
        <w:rPr>
          <w:rFonts w:cstheme="minorHAnsi"/>
          <w:sz w:val="16"/>
          <w:szCs w:val="16"/>
          <w:lang w:val="sr-Cyrl-RS"/>
        </w:rPr>
        <w:t>нету од стране државних органа.</w:t>
      </w:r>
    </w:p>
  </w:footnote>
  <w:footnote w:id="19">
    <w:p w14:paraId="4657566F" w14:textId="77777777" w:rsidR="00E07FF8" w:rsidRPr="00C336AD" w:rsidRDefault="00E07FF8" w:rsidP="00E4657F">
      <w:pPr>
        <w:pStyle w:val="FootnoteText"/>
        <w:rPr>
          <w:rFonts w:cstheme="minorHAnsi"/>
          <w:sz w:val="16"/>
          <w:szCs w:val="16"/>
          <w:lang w:val="sr-Cyrl-RS"/>
        </w:rPr>
      </w:pPr>
      <w:r w:rsidRPr="00C336AD">
        <w:rPr>
          <w:rStyle w:val="FootnoteReference"/>
          <w:rFonts w:cstheme="minorHAnsi"/>
          <w:sz w:val="16"/>
          <w:szCs w:val="16"/>
          <w:lang w:val="sr-Cyrl-RS"/>
        </w:rPr>
        <w:footnoteRef/>
      </w:r>
      <w:r w:rsidRPr="002E51AD">
        <w:rPr>
          <w:rStyle w:val="Hyperlink"/>
          <w:rFonts w:cstheme="minorHAnsi"/>
          <w:color w:val="44546A" w:themeColor="text2"/>
          <w:sz w:val="16"/>
          <w:szCs w:val="16"/>
          <w:u w:val="none"/>
          <w:lang w:val="sr-Latn-RS"/>
        </w:rPr>
        <w:t xml:space="preserve"> </w:t>
      </w:r>
      <w:hyperlink r:id="rId2" w:history="1">
        <w:r w:rsidRPr="003050C6">
          <w:rPr>
            <w:rStyle w:val="Hyperlink"/>
            <w:rFonts w:cstheme="minorHAnsi"/>
            <w:color w:val="44546A" w:themeColor="text2"/>
            <w:sz w:val="16"/>
            <w:szCs w:val="16"/>
            <w:u w:val="none"/>
            <w:lang w:val="sr-Cyrl-RS"/>
          </w:rPr>
          <w:t>http://www.obnova.gov.rs/uploads/useruploads/Documents/Kancelarija-za-pomoc-poplavljenih-podrucja-infograf-15-04-2016-srb.pdf</w:t>
        </w:r>
      </w:hyperlink>
    </w:p>
  </w:footnote>
  <w:footnote w:id="20">
    <w:p w14:paraId="36BFC512" w14:textId="77777777" w:rsidR="00E07FF8" w:rsidRPr="003050C6" w:rsidRDefault="00E07FF8" w:rsidP="00C130D2">
      <w:pPr>
        <w:rPr>
          <w:rFonts w:cstheme="minorHAnsi"/>
          <w:sz w:val="16"/>
          <w:szCs w:val="16"/>
          <w:lang w:val="sr-Latn-RS"/>
        </w:rPr>
      </w:pPr>
      <w:r w:rsidRPr="00C336AD">
        <w:rPr>
          <w:rStyle w:val="FootnoteReference"/>
          <w:rFonts w:cstheme="minorHAnsi"/>
          <w:sz w:val="16"/>
          <w:szCs w:val="16"/>
        </w:rPr>
        <w:footnoteRef/>
      </w:r>
      <w:r w:rsidRPr="00C336AD">
        <w:rPr>
          <w:rFonts w:cstheme="minorHAnsi"/>
          <w:sz w:val="16"/>
          <w:szCs w:val="16"/>
        </w:rPr>
        <w:t xml:space="preserve"> </w:t>
      </w:r>
      <w:r w:rsidRPr="00C336AD">
        <w:rPr>
          <w:rFonts w:eastAsia="Times New Roman" w:cstheme="minorHAnsi"/>
          <w:bCs/>
          <w:sz w:val="16"/>
          <w:szCs w:val="16"/>
          <w:lang w:val="sr-Cyrl-CS"/>
        </w:rPr>
        <w:t>Детаљнији опис коришћене методологије и резултата могу се пронаћи у Фискалној стратегији за 2013. годину са пројекцијама за 2014. и 2015. годину или путем линка</w:t>
      </w:r>
      <w:r w:rsidRPr="00C336AD">
        <w:rPr>
          <w:rFonts w:cstheme="minorHAnsi"/>
          <w:sz w:val="16"/>
          <w:szCs w:val="16"/>
          <w:lang w:val="sr-Cyrl-CS"/>
        </w:rPr>
        <w:t xml:space="preserve"> </w:t>
      </w:r>
      <w:hyperlink r:id="rId3" w:history="1">
        <w:r w:rsidRPr="003050C6">
          <w:rPr>
            <w:rStyle w:val="Hyperlink"/>
            <w:rFonts w:eastAsia="Times New Roman" w:cstheme="minorHAnsi"/>
            <w:bCs/>
            <w:color w:val="44546A" w:themeColor="text2"/>
            <w:sz w:val="16"/>
            <w:szCs w:val="16"/>
            <w:u w:val="none"/>
            <w:lang w:val="sr-Cyrl-CS"/>
          </w:rPr>
          <w:t>http://www.mfin.gov.rs/pages/article.php?id=8626</w:t>
        </w:r>
      </w:hyperlink>
    </w:p>
  </w:footnote>
  <w:footnote w:id="21">
    <w:p w14:paraId="75F81A01" w14:textId="77777777" w:rsidR="00E07FF8" w:rsidRPr="00C336AD" w:rsidRDefault="00E07FF8" w:rsidP="00132FA9">
      <w:pPr>
        <w:pStyle w:val="FootnoteText"/>
        <w:rPr>
          <w:rFonts w:cstheme="minorHAnsi"/>
          <w:sz w:val="16"/>
          <w:szCs w:val="16"/>
          <w:lang w:val="sr-Cyrl-RS"/>
        </w:rPr>
      </w:pPr>
      <w:r w:rsidRPr="00C336AD">
        <w:rPr>
          <w:rStyle w:val="FootnoteReference"/>
          <w:rFonts w:cstheme="minorHAnsi"/>
          <w:sz w:val="16"/>
          <w:szCs w:val="16"/>
          <w:lang w:val="sr-Cyrl-RS"/>
        </w:rPr>
        <w:footnoteRef/>
      </w:r>
      <w:r w:rsidRPr="00C336AD">
        <w:rPr>
          <w:rFonts w:cstheme="minorHAnsi"/>
          <w:sz w:val="16"/>
          <w:szCs w:val="16"/>
          <w:lang w:val="sr-Cyrl-RS"/>
        </w:rPr>
        <w:t xml:space="preserve"> Јавни дуг у овом документу не обухвата дуг по основу реституције у складу са дефиницијом дуга</w:t>
      </w:r>
      <w:r>
        <w:rPr>
          <w:rFonts w:cstheme="minorHAnsi"/>
          <w:sz w:val="16"/>
          <w:szCs w:val="16"/>
          <w:lang w:val="sr-Cyrl-RS"/>
        </w:rPr>
        <w:t xml:space="preserve"> из Закона о буџетском систему.</w:t>
      </w:r>
    </w:p>
  </w:footnote>
  <w:footnote w:id="22">
    <w:p w14:paraId="4A0A89BB" w14:textId="77777777" w:rsidR="00E07FF8" w:rsidRPr="00B4009D" w:rsidRDefault="00E07FF8" w:rsidP="00E4657F">
      <w:pPr>
        <w:pStyle w:val="FootnoteText"/>
        <w:rPr>
          <w:rStyle w:val="FootnoteReference"/>
          <w:sz w:val="16"/>
          <w:szCs w:val="16"/>
          <w:vertAlign w:val="baseline"/>
          <w:lang w:val="sr-Cyrl-RS"/>
        </w:rPr>
      </w:pPr>
      <w:r w:rsidRPr="00B4009D">
        <w:rPr>
          <w:rStyle w:val="FootnoteReference"/>
          <w:sz w:val="16"/>
          <w:szCs w:val="16"/>
          <w:lang w:val="sr-Cyrl-RS"/>
        </w:rPr>
        <w:footnoteRef/>
      </w:r>
      <w:r w:rsidRPr="00B4009D">
        <w:rPr>
          <w:rStyle w:val="FootnoteReference"/>
          <w:sz w:val="16"/>
          <w:szCs w:val="16"/>
          <w:lang w:val="sr-Cyrl-RS"/>
        </w:rPr>
        <w:t xml:space="preserve"> </w:t>
      </w:r>
      <w:r w:rsidRPr="00B4009D">
        <w:rPr>
          <w:rStyle w:val="FootnoteReference"/>
          <w:sz w:val="16"/>
          <w:szCs w:val="16"/>
          <w:vertAlign w:val="baseline"/>
          <w:lang w:val="sr-Cyrl-RS"/>
        </w:rPr>
        <w:t>АТМ (</w:t>
      </w:r>
      <w:r w:rsidRPr="00FF289A">
        <w:rPr>
          <w:rStyle w:val="FootnoteReference"/>
          <w:i/>
          <w:sz w:val="16"/>
          <w:szCs w:val="16"/>
          <w:vertAlign w:val="baseline"/>
          <w:lang w:val="sr-Cyrl-RS"/>
        </w:rPr>
        <w:t>Average Time to Maturity</w:t>
      </w:r>
      <w:r w:rsidRPr="00B4009D">
        <w:rPr>
          <w:rStyle w:val="FootnoteReference"/>
          <w:sz w:val="16"/>
          <w:szCs w:val="16"/>
          <w:vertAlign w:val="baseline"/>
          <w:lang w:val="sr-Cyrl-RS"/>
        </w:rPr>
        <w:t>) – енглеска скраћеница за просечно време до доспећа.</w:t>
      </w:r>
    </w:p>
  </w:footnote>
  <w:footnote w:id="23">
    <w:p w14:paraId="11529E08" w14:textId="77777777" w:rsidR="00E07FF8" w:rsidRPr="00B4009D" w:rsidRDefault="00E07FF8" w:rsidP="00E4657F">
      <w:pPr>
        <w:pStyle w:val="FootnoteText"/>
        <w:rPr>
          <w:sz w:val="16"/>
          <w:szCs w:val="16"/>
        </w:rPr>
      </w:pPr>
      <w:r w:rsidRPr="00B4009D">
        <w:rPr>
          <w:rStyle w:val="FootnoteReference"/>
          <w:sz w:val="16"/>
          <w:szCs w:val="16"/>
          <w:lang w:val="sr-Cyrl-RS"/>
        </w:rPr>
        <w:footnoteRef/>
      </w:r>
      <w:r w:rsidRPr="00B4009D">
        <w:rPr>
          <w:rStyle w:val="FootnoteReference"/>
          <w:sz w:val="16"/>
          <w:szCs w:val="16"/>
          <w:lang w:val="sr-Cyrl-RS"/>
        </w:rPr>
        <w:t xml:space="preserve"> </w:t>
      </w:r>
      <w:r w:rsidRPr="00B4009D">
        <w:rPr>
          <w:rStyle w:val="FootnoteReference"/>
          <w:sz w:val="16"/>
          <w:szCs w:val="16"/>
          <w:vertAlign w:val="baseline"/>
          <w:lang w:val="sr-Cyrl-RS"/>
        </w:rPr>
        <w:t>АТR (</w:t>
      </w:r>
      <w:r w:rsidRPr="00FF289A">
        <w:rPr>
          <w:rStyle w:val="FootnoteReference"/>
          <w:i/>
          <w:sz w:val="16"/>
          <w:szCs w:val="16"/>
          <w:vertAlign w:val="baseline"/>
          <w:lang w:val="sr-Cyrl-RS"/>
        </w:rPr>
        <w:t>Average Time to Refixing</w:t>
      </w:r>
      <w:r w:rsidRPr="00B4009D">
        <w:rPr>
          <w:rStyle w:val="FootnoteReference"/>
          <w:sz w:val="16"/>
          <w:szCs w:val="16"/>
          <w:vertAlign w:val="baseline"/>
          <w:lang w:val="sr-Cyrl-RS"/>
        </w:rPr>
        <w:t>) – енглеска скраћеница за просечно време до промене каматних стопа.</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0D5579" w14:textId="4903ACCF" w:rsidR="00E07FF8" w:rsidRDefault="00E07FF8" w:rsidP="00B14FC0">
    <w:pPr>
      <w:pStyle w:val="Header"/>
      <w:jc w:val="center"/>
    </w:pPr>
    <w:r w:rsidRPr="006C57DB">
      <w:rPr>
        <w:lang w:val="sr-Cyrl-RS"/>
      </w:rPr>
      <w:t xml:space="preserve">Фискална </w:t>
    </w:r>
    <w:r>
      <w:rPr>
        <w:lang w:val="sr-Cyrl-RS"/>
      </w:rPr>
      <w:t>стратегија за 20</w:t>
    </w:r>
    <w:r>
      <w:rPr>
        <w:lang w:val="sr-Latn-RS"/>
      </w:rPr>
      <w:t>20</w:t>
    </w:r>
    <w:r>
      <w:rPr>
        <w:lang w:val="sr-Cyrl-RS"/>
      </w:rPr>
      <w:t>. годину са пројекцијама за 202</w:t>
    </w:r>
    <w:r>
      <w:rPr>
        <w:lang w:val="sr-Latn-RS"/>
      </w:rPr>
      <w:t>1</w:t>
    </w:r>
    <w:r>
      <w:rPr>
        <w:lang w:val="sr-Cyrl-RS"/>
      </w:rPr>
      <w:t>. и 202</w:t>
    </w:r>
    <w:r>
      <w:rPr>
        <w:lang w:val="sr-Latn-RS"/>
      </w:rPr>
      <w:t>2</w:t>
    </w:r>
    <w:r>
      <w:rPr>
        <w:lang w:val="sr-Cyrl-RS"/>
      </w:rPr>
      <w:t>. годину</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43F9AF" w14:textId="0A1F365F" w:rsidR="00E07FF8" w:rsidRPr="00BF7F6A" w:rsidRDefault="00E07FF8" w:rsidP="00BF7F6A">
    <w:pPr>
      <w:pStyle w:val="Header"/>
      <w:jc w:val="center"/>
      <w:rPr>
        <w:lang w:val="sr-Cyrl-RS"/>
      </w:rPr>
    </w:pPr>
    <w:r>
      <w:rPr>
        <w:lang w:val="sr-Cyrl-RS"/>
      </w:rPr>
      <w:t xml:space="preserve">Ревидирана </w:t>
    </w:r>
    <w:r w:rsidRPr="006C57DB">
      <w:rPr>
        <w:lang w:val="sr-Cyrl-RS"/>
      </w:rPr>
      <w:t xml:space="preserve">Фискална </w:t>
    </w:r>
    <w:r>
      <w:rPr>
        <w:lang w:val="sr-Cyrl-RS"/>
      </w:rPr>
      <w:t>стратегија за 20</w:t>
    </w:r>
    <w:r>
      <w:rPr>
        <w:lang w:val="sr-Latn-RS"/>
      </w:rPr>
      <w:t>20</w:t>
    </w:r>
    <w:r>
      <w:rPr>
        <w:lang w:val="sr-Cyrl-RS"/>
      </w:rPr>
      <w:t>. годину са пројекцијама за 202</w:t>
    </w:r>
    <w:r>
      <w:rPr>
        <w:lang w:val="sr-Latn-RS"/>
      </w:rPr>
      <w:t>1</w:t>
    </w:r>
    <w:r>
      <w:rPr>
        <w:lang w:val="sr-Cyrl-RS"/>
      </w:rPr>
      <w:t>. и 202</w:t>
    </w:r>
    <w:r>
      <w:rPr>
        <w:lang w:val="sr-Latn-RS"/>
      </w:rPr>
      <w:t>2</w:t>
    </w:r>
    <w:r>
      <w:rPr>
        <w:lang w:val="sr-Cyrl-RS"/>
      </w:rPr>
      <w:t>. годину</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151AA8" w14:textId="25DCCBCD" w:rsidR="00E07FF8" w:rsidRPr="00361C29" w:rsidRDefault="00E07FF8" w:rsidP="00BD7EB6">
    <w:pPr>
      <w:pStyle w:val="Header"/>
      <w:jc w:val="center"/>
      <w:rPr>
        <w:lang w:val="sr-Cyrl-RS"/>
      </w:rPr>
    </w:pPr>
    <w:r>
      <w:rPr>
        <w:lang w:val="sr-Cyrl-RS"/>
      </w:rPr>
      <w:t xml:space="preserve">Ревидирана </w:t>
    </w:r>
    <w:r w:rsidRPr="00361C29">
      <w:rPr>
        <w:lang w:val="sr-Cyrl-RS"/>
      </w:rPr>
      <w:t>Фискална стратегија за 20</w:t>
    </w:r>
    <w:r>
      <w:t>20</w:t>
    </w:r>
    <w:r w:rsidRPr="00361C29">
      <w:rPr>
        <w:lang w:val="sr-Cyrl-RS"/>
      </w:rPr>
      <w:t>. годину са пројекцијама за 202</w:t>
    </w:r>
    <w:r>
      <w:t>1</w:t>
    </w:r>
    <w:r w:rsidRPr="00361C29">
      <w:rPr>
        <w:lang w:val="sr-Cyrl-RS"/>
      </w:rPr>
      <w:t>. и 202</w:t>
    </w:r>
    <w:r>
      <w:t>2</w:t>
    </w:r>
    <w:r w:rsidRPr="00361C29">
      <w:rPr>
        <w:lang w:val="sr-Cyrl-RS"/>
      </w:rPr>
      <w:t>. годину</w:t>
    </w:r>
  </w:p>
  <w:p w14:paraId="39AC8742" w14:textId="77777777" w:rsidR="00E07FF8" w:rsidRPr="00361C29" w:rsidRDefault="00E07FF8">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1A9F4D" w14:textId="24C82F92" w:rsidR="00E07FF8" w:rsidRPr="00BF7F6A" w:rsidRDefault="00E07FF8" w:rsidP="00BF7F6A">
    <w:pPr>
      <w:pStyle w:val="Header"/>
      <w:jc w:val="center"/>
      <w:rPr>
        <w:lang w:val="sr-Cyrl-RS"/>
      </w:rPr>
    </w:pPr>
    <w:r>
      <w:rPr>
        <w:lang w:val="sr-Cyrl-RS"/>
      </w:rPr>
      <w:t xml:space="preserve">Ревидирана </w:t>
    </w:r>
    <w:r w:rsidRPr="006C57DB">
      <w:rPr>
        <w:lang w:val="sr-Cyrl-RS"/>
      </w:rPr>
      <w:t xml:space="preserve">Фискална </w:t>
    </w:r>
    <w:r>
      <w:rPr>
        <w:lang w:val="sr-Cyrl-RS"/>
      </w:rPr>
      <w:t>стратегија за 2020. годину са пројекцијама за 2021. и 2022. годину</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74533D" w14:textId="77777777" w:rsidR="00E07FF8" w:rsidRPr="00361C29" w:rsidRDefault="00E07FF8" w:rsidP="00BD7EB6">
    <w:pPr>
      <w:pStyle w:val="Header"/>
      <w:jc w:val="center"/>
      <w:rPr>
        <w:lang w:val="sr-Cyrl-RS"/>
      </w:rPr>
    </w:pPr>
    <w:r w:rsidRPr="00361C29">
      <w:rPr>
        <w:lang w:val="sr-Cyrl-RS"/>
      </w:rPr>
      <w:t>Фискална стратегија за 2019. годину са пројекцијама за 2020. и 2021. годину</w:t>
    </w:r>
  </w:p>
  <w:p w14:paraId="66AA03BB" w14:textId="77777777" w:rsidR="00E07FF8" w:rsidRPr="00361C29" w:rsidRDefault="00E07FF8">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9CFDE2" w14:textId="0801DE85" w:rsidR="00E07FF8" w:rsidRPr="00521A99" w:rsidRDefault="00E07FF8" w:rsidP="00521A99">
    <w:pPr>
      <w:pStyle w:val="Header"/>
      <w:jc w:val="center"/>
      <w:rPr>
        <w:lang w:val="sr-Cyrl-RS"/>
      </w:rPr>
    </w:pPr>
    <w:r w:rsidRPr="006C57DB">
      <w:rPr>
        <w:lang w:val="sr-Cyrl-RS"/>
      </w:rPr>
      <w:t xml:space="preserve">Фискална </w:t>
    </w:r>
    <w:r w:rsidRPr="000C433F">
      <w:rPr>
        <w:lang w:val="sr-Cyrl-RS"/>
      </w:rPr>
      <w:t>стратегија за 2020. годину са пројекцијама за 2021. и 2022. годину</w: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3F4522" w14:textId="565A1E2F" w:rsidR="00E07FF8" w:rsidRPr="00BF7F6A" w:rsidRDefault="00E07FF8" w:rsidP="000C433F">
    <w:pPr>
      <w:pStyle w:val="Header"/>
      <w:jc w:val="center"/>
      <w:rPr>
        <w:lang w:val="sr-Cyrl-RS"/>
      </w:rPr>
    </w:pPr>
    <w:r>
      <w:rPr>
        <w:lang w:val="sr-Cyrl-RS"/>
      </w:rPr>
      <w:t xml:space="preserve">Ревидирана </w:t>
    </w:r>
    <w:r w:rsidRPr="006C57DB">
      <w:rPr>
        <w:lang w:val="sr-Cyrl-RS"/>
      </w:rPr>
      <w:t xml:space="preserve">Фискална </w:t>
    </w:r>
    <w:r w:rsidRPr="000C433F">
      <w:rPr>
        <w:lang w:val="sr-Cyrl-RS"/>
      </w:rPr>
      <w:t>стратегија за 2020. годину са пројекцијама за 2021. и 2022. годину</w: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D80F96" w14:textId="3238C666" w:rsidR="00E07FF8" w:rsidRPr="00287EFB" w:rsidRDefault="00E07FF8" w:rsidP="00C130D2">
    <w:pPr>
      <w:pStyle w:val="Header"/>
      <w:jc w:val="center"/>
    </w:pPr>
    <w:r>
      <w:rPr>
        <w:lang w:val="sr-Cyrl-RS"/>
      </w:rPr>
      <w:t xml:space="preserve">Ревидирана </w:t>
    </w:r>
    <w:r w:rsidRPr="006C57DB">
      <w:rPr>
        <w:lang w:val="sr-Cyrl-RS"/>
      </w:rPr>
      <w:t xml:space="preserve">Фискална </w:t>
    </w:r>
    <w:r>
      <w:rPr>
        <w:lang w:val="sr-Cyrl-RS"/>
      </w:rPr>
      <w:t>стратегија за 2020. годину са пројекцијама за 2021. и 2022</w:t>
    </w:r>
    <w:r w:rsidRPr="00361C29">
      <w:rPr>
        <w:lang w:val="sr-Cyrl-RS"/>
      </w:rPr>
      <w:t>. годину</w:t>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BF2377" w14:textId="7CA16ED6" w:rsidR="00E07FF8" w:rsidRPr="00521A99" w:rsidRDefault="00E07FF8" w:rsidP="00521A99">
    <w:pPr>
      <w:pStyle w:val="Header"/>
      <w:jc w:val="center"/>
      <w:rPr>
        <w:lang w:val="sr-Cyrl-RS"/>
      </w:rPr>
    </w:pPr>
    <w:r w:rsidRPr="006C57DB">
      <w:rPr>
        <w:lang w:val="sr-Cyrl-RS"/>
      </w:rPr>
      <w:t xml:space="preserve">Фискална </w:t>
    </w:r>
    <w:r w:rsidRPr="000C433F">
      <w:rPr>
        <w:lang w:val="sr-Cyrl-RS"/>
      </w:rPr>
      <w:t>стратегија за 2020. годину са пројекцијама за 2021. и 2022. годину</w:t>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DA0319" w14:textId="66C0C2F9" w:rsidR="00E07FF8" w:rsidRPr="00BF7F6A" w:rsidRDefault="00E07FF8" w:rsidP="000C433F">
    <w:pPr>
      <w:pStyle w:val="Header"/>
      <w:jc w:val="center"/>
      <w:rPr>
        <w:lang w:val="sr-Cyrl-RS"/>
      </w:rPr>
    </w:pPr>
    <w:r>
      <w:rPr>
        <w:lang w:val="sr-Cyrl-RS"/>
      </w:rPr>
      <w:t xml:space="preserve">Ревидирана </w:t>
    </w:r>
    <w:r w:rsidRPr="006C57DB">
      <w:rPr>
        <w:lang w:val="sr-Cyrl-RS"/>
      </w:rPr>
      <w:t xml:space="preserve">Фискална </w:t>
    </w:r>
    <w:r w:rsidRPr="000C433F">
      <w:rPr>
        <w:lang w:val="sr-Cyrl-RS"/>
      </w:rPr>
      <w:t>стратегија за 2020. годину са пројекцијама за 2021. и 2022. годину</w:t>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F219BA" w14:textId="36135242" w:rsidR="00E07FF8" w:rsidRPr="000C433F" w:rsidRDefault="00E07FF8" w:rsidP="00B14FC0">
    <w:pPr>
      <w:pStyle w:val="Header"/>
      <w:jc w:val="center"/>
      <w:rPr>
        <w:lang w:val="sr-Cyrl-RS"/>
      </w:rPr>
    </w:pPr>
    <w:r w:rsidRPr="006C57DB">
      <w:rPr>
        <w:lang w:val="sr-Cyrl-RS"/>
      </w:rPr>
      <w:t xml:space="preserve">Фискална </w:t>
    </w:r>
    <w:r w:rsidRPr="000C433F">
      <w:rPr>
        <w:lang w:val="sr-Cyrl-RS"/>
      </w:rPr>
      <w:t>стратегија за 2020. годину са пројекцијама за 2021. и 2022. годину</w:t>
    </w:r>
  </w:p>
  <w:p w14:paraId="71D1EAA8" w14:textId="77777777" w:rsidR="00E07FF8" w:rsidRDefault="00E07FF8">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FC132C" w14:textId="5C06A77D" w:rsidR="00E07FF8" w:rsidRPr="000C433F" w:rsidRDefault="00E07FF8" w:rsidP="00BF7F6A">
    <w:pPr>
      <w:pStyle w:val="Header"/>
      <w:jc w:val="center"/>
      <w:rPr>
        <w:lang w:val="sr-Cyrl-RS"/>
      </w:rPr>
    </w:pPr>
    <w:r>
      <w:rPr>
        <w:lang w:val="sr-Cyrl-RS"/>
      </w:rPr>
      <w:t xml:space="preserve">Ревидирана </w:t>
    </w:r>
    <w:r w:rsidRPr="006C57DB">
      <w:rPr>
        <w:lang w:val="sr-Cyrl-RS"/>
      </w:rPr>
      <w:t xml:space="preserve">Фискална </w:t>
    </w:r>
    <w:r w:rsidRPr="000C433F">
      <w:rPr>
        <w:lang w:val="sr-Cyrl-RS"/>
      </w:rPr>
      <w:t>стратегија за 2020. годину са пројекцијама за 2021. и 2022. годину</w:t>
    </w: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D3F0EF" w14:textId="77777777" w:rsidR="00E07FF8" w:rsidRPr="00BF7F6A" w:rsidRDefault="00E07FF8" w:rsidP="00BD7EB6">
    <w:pPr>
      <w:pStyle w:val="Header"/>
      <w:jc w:val="center"/>
      <w:rPr>
        <w:lang w:val="sr-Cyrl-RS"/>
      </w:rPr>
    </w:pPr>
    <w:r>
      <w:rPr>
        <w:lang w:val="sr-Cyrl-RS"/>
      </w:rPr>
      <w:t>Фискална стратегија за 2019. годину са пројекцијама за 2020. и 2021. годину</w:t>
    </w:r>
  </w:p>
  <w:p w14:paraId="22CEB846" w14:textId="77777777" w:rsidR="00E07FF8" w:rsidRDefault="00E07FF8">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65C60E" w14:textId="30A15411" w:rsidR="00E07FF8" w:rsidRPr="00177077" w:rsidRDefault="00E07FF8" w:rsidP="00B435B3">
    <w:pPr>
      <w:pStyle w:val="Header"/>
      <w:jc w:val="center"/>
      <w:rPr>
        <w:lang w:val="sr-Cyrl-RS"/>
      </w:rPr>
    </w:pPr>
    <w:r w:rsidRPr="006C57DB">
      <w:rPr>
        <w:lang w:val="sr-Cyrl-RS"/>
      </w:rPr>
      <w:t xml:space="preserve">Фискална </w:t>
    </w:r>
    <w:r>
      <w:rPr>
        <w:lang w:val="sr-Cyrl-RS"/>
      </w:rPr>
      <w:t>стратегија за 2020. годину са пројекцијама за 2021. и 2022. годину</w:t>
    </w: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DF7066" w14:textId="4EE9F836" w:rsidR="00E07FF8" w:rsidRPr="00BF7F6A" w:rsidRDefault="00E07FF8" w:rsidP="00BF7F6A">
    <w:pPr>
      <w:pStyle w:val="Header"/>
      <w:jc w:val="center"/>
      <w:rPr>
        <w:lang w:val="sr-Cyrl-RS"/>
      </w:rPr>
    </w:pPr>
    <w:r>
      <w:rPr>
        <w:lang w:val="sr-Cyrl-RS"/>
      </w:rPr>
      <w:t xml:space="preserve">Ревидирана </w:t>
    </w:r>
    <w:r w:rsidRPr="006C57DB">
      <w:rPr>
        <w:lang w:val="sr-Cyrl-RS"/>
      </w:rPr>
      <w:t xml:space="preserve">Фискална </w:t>
    </w:r>
    <w:r>
      <w:rPr>
        <w:lang w:val="sr-Cyrl-RS"/>
      </w:rPr>
      <w:t>стратегија за 2020. годину са пројекцијама за 2021. и 2022. годину</w:t>
    </w: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7862B6" w14:textId="77777777" w:rsidR="00E07FF8" w:rsidRPr="00BF7F6A" w:rsidRDefault="00E07FF8" w:rsidP="00BD7EB6">
    <w:pPr>
      <w:pStyle w:val="Header"/>
      <w:jc w:val="center"/>
      <w:rPr>
        <w:lang w:val="sr-Cyrl-RS"/>
      </w:rPr>
    </w:pPr>
    <w:r>
      <w:rPr>
        <w:lang w:val="sr-Cyrl-RS"/>
      </w:rPr>
      <w:t>Фискална стратегија за 2019. годину са пројекцијама за 2020. и 2021. годину</w:t>
    </w:r>
  </w:p>
  <w:p w14:paraId="6B6FE39D" w14:textId="77777777" w:rsidR="00E07FF8" w:rsidRDefault="00E07FF8">
    <w:pPr>
      <w:pStyle w:val="Header"/>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5B5ECD" w14:textId="3CBC323A" w:rsidR="00E07FF8" w:rsidRPr="000C433F" w:rsidRDefault="00E07FF8" w:rsidP="00B14FC0">
    <w:pPr>
      <w:pStyle w:val="Header"/>
      <w:jc w:val="center"/>
      <w:rPr>
        <w:lang w:val="sr-Cyrl-RS"/>
      </w:rPr>
    </w:pPr>
    <w:r w:rsidRPr="006C57DB">
      <w:rPr>
        <w:lang w:val="sr-Cyrl-RS"/>
      </w:rPr>
      <w:t xml:space="preserve">Фискална </w:t>
    </w:r>
    <w:r w:rsidRPr="000C433F">
      <w:rPr>
        <w:lang w:val="sr-Cyrl-RS"/>
      </w:rPr>
      <w:t>стратегија за 2020. годину са пројекцијама за 2021. и 2022. годину</w:t>
    </w:r>
  </w:p>
  <w:p w14:paraId="0050B385" w14:textId="77777777" w:rsidR="00E07FF8" w:rsidRDefault="00E07FF8">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5DDAB0" w14:textId="7D109984" w:rsidR="00E07FF8" w:rsidRPr="000C433F" w:rsidRDefault="00E07FF8" w:rsidP="00B14FC0">
    <w:pPr>
      <w:pStyle w:val="Header"/>
      <w:jc w:val="center"/>
      <w:rPr>
        <w:lang w:val="sr-Cyrl-RS"/>
      </w:rPr>
    </w:pPr>
    <w:r>
      <w:rPr>
        <w:lang w:val="sr-Cyrl-RS"/>
      </w:rPr>
      <w:t xml:space="preserve">Ревидирана </w:t>
    </w:r>
    <w:r w:rsidRPr="000C433F">
      <w:rPr>
        <w:lang w:val="sr-Cyrl-RS"/>
      </w:rPr>
      <w:t>Фискална стратегија за 2020. годину са пројекцијама за 2021. и 2022. годину</w:t>
    </w:r>
  </w:p>
  <w:p w14:paraId="3E9B5692" w14:textId="77777777" w:rsidR="00E07FF8" w:rsidRPr="00B14FC0" w:rsidRDefault="00E07FF8" w:rsidP="00B14FC0">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7CD5B0" w14:textId="77777777" w:rsidR="00E07FF8" w:rsidRPr="00BF7F6A" w:rsidRDefault="00E07FF8" w:rsidP="00BD7EB6">
    <w:pPr>
      <w:pStyle w:val="Header"/>
      <w:jc w:val="center"/>
      <w:rPr>
        <w:lang w:val="sr-Cyrl-RS"/>
      </w:rPr>
    </w:pPr>
    <w:r>
      <w:rPr>
        <w:lang w:val="sr-Cyrl-RS"/>
      </w:rPr>
      <w:t>Фискална стратегија за 2019. годину са пројекцијама за 2020. и 2021. годину</w:t>
    </w:r>
  </w:p>
  <w:p w14:paraId="2D1E6282" w14:textId="77777777" w:rsidR="00E07FF8" w:rsidRDefault="00E07FF8">
    <w:pPr>
      <w:pStyle w:val="Header"/>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0965BC" w14:textId="0FEB49C0" w:rsidR="00E07FF8" w:rsidRPr="001B7E15" w:rsidRDefault="00E07FF8" w:rsidP="00BD7EB6">
    <w:pPr>
      <w:pStyle w:val="Header"/>
      <w:jc w:val="center"/>
      <w:rPr>
        <w:lang w:val="sr-Cyrl-RS"/>
      </w:rPr>
    </w:pPr>
    <w:r w:rsidRPr="004044DC">
      <w:rPr>
        <w:lang w:val="sr-Cyrl-RS"/>
      </w:rPr>
      <w:t xml:space="preserve">Ревидирана фискална </w:t>
    </w:r>
    <w:r>
      <w:rPr>
        <w:lang w:val="sr-Cyrl-RS"/>
      </w:rPr>
      <w:t>стратегија за 2020. годину са пројекцијама за 2021. и 2022</w:t>
    </w:r>
    <w:r w:rsidRPr="001B7E15">
      <w:rPr>
        <w:lang w:val="sr-Cyrl-RS"/>
      </w:rPr>
      <w:t>. годину</w:t>
    </w:r>
  </w:p>
  <w:p w14:paraId="5B90AD5C" w14:textId="77777777" w:rsidR="00E07FF8" w:rsidRDefault="00E07FF8">
    <w:pPr>
      <w:pStyle w:val="Header"/>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523BFC" w14:textId="63609B29" w:rsidR="00E07FF8" w:rsidRPr="009F4789" w:rsidRDefault="00E07FF8" w:rsidP="00C130D2">
    <w:pPr>
      <w:pStyle w:val="Header"/>
      <w:jc w:val="center"/>
    </w:pPr>
    <w:r>
      <w:rPr>
        <w:lang w:val="sr-Cyrl-RS"/>
      </w:rPr>
      <w:t xml:space="preserve">Ревидирана </w:t>
    </w:r>
    <w:r w:rsidRPr="006C57DB">
      <w:rPr>
        <w:lang w:val="sr-Cyrl-RS"/>
      </w:rPr>
      <w:t xml:space="preserve">Фискална </w:t>
    </w:r>
    <w:r w:rsidRPr="00361C29">
      <w:rPr>
        <w:lang w:val="sr-Cyrl-RS"/>
      </w:rPr>
      <w:t>стратегија за 20</w:t>
    </w:r>
    <w:r>
      <w:rPr>
        <w:lang w:val="sr-Cyrl-RS"/>
      </w:rPr>
      <w:t>20</w:t>
    </w:r>
    <w:r w:rsidRPr="00361C29">
      <w:rPr>
        <w:lang w:val="sr-Cyrl-RS"/>
      </w:rPr>
      <w:t>. годину са пројекцијама за 202</w:t>
    </w:r>
    <w:r>
      <w:rPr>
        <w:lang w:val="sr-Cyrl-RS"/>
      </w:rPr>
      <w:t>1</w:t>
    </w:r>
    <w:r w:rsidRPr="00361C29">
      <w:rPr>
        <w:lang w:val="sr-Cyrl-RS"/>
      </w:rPr>
      <w:t>. и 202</w:t>
    </w:r>
    <w:r>
      <w:rPr>
        <w:lang w:val="sr-Cyrl-RS"/>
      </w:rPr>
      <w:t>2</w:t>
    </w:r>
    <w:r w:rsidRPr="00361C29">
      <w:rPr>
        <w:lang w:val="sr-Cyrl-RS"/>
      </w:rPr>
      <w:t>. годину</w:t>
    </w: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98119B" w14:textId="77777777" w:rsidR="00E07FF8" w:rsidRPr="00BF7F6A" w:rsidRDefault="00E07FF8" w:rsidP="00BD7EB6">
    <w:pPr>
      <w:pStyle w:val="Header"/>
      <w:jc w:val="center"/>
      <w:rPr>
        <w:lang w:val="sr-Cyrl-RS"/>
      </w:rPr>
    </w:pPr>
    <w:r>
      <w:rPr>
        <w:lang w:val="sr-Cyrl-RS"/>
      </w:rPr>
      <w:t>Фискална стратегија за 2019. годину са пројекцијама за 2020. и 2021. годину</w:t>
    </w:r>
  </w:p>
  <w:p w14:paraId="0DE830F7" w14:textId="77777777" w:rsidR="00E07FF8" w:rsidRDefault="00E07FF8">
    <w:pPr>
      <w:pStyle w:val="Header"/>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277CA7" w14:textId="63CC5E99" w:rsidR="00E07FF8" w:rsidRPr="001B7E15" w:rsidRDefault="00E07FF8" w:rsidP="00BD7EB6">
    <w:pPr>
      <w:pStyle w:val="Header"/>
      <w:jc w:val="center"/>
      <w:rPr>
        <w:lang w:val="sr-Cyrl-RS"/>
      </w:rPr>
    </w:pPr>
    <w:r w:rsidRPr="006C57DB">
      <w:rPr>
        <w:lang w:val="sr-Cyrl-RS"/>
      </w:rPr>
      <w:t xml:space="preserve">Фискална </w:t>
    </w:r>
    <w:r>
      <w:rPr>
        <w:lang w:val="sr-Cyrl-RS"/>
      </w:rPr>
      <w:t>стратегија за 2020. годину са пројекцијама за 2021. и 2022</w:t>
    </w:r>
    <w:r w:rsidRPr="001B7E15">
      <w:rPr>
        <w:lang w:val="sr-Cyrl-RS"/>
      </w:rPr>
      <w:t>. годину</w:t>
    </w:r>
  </w:p>
  <w:p w14:paraId="07E60FCD" w14:textId="77777777" w:rsidR="00E07FF8" w:rsidRDefault="00E07FF8">
    <w:pPr>
      <w:pStyle w:val="Header"/>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820B73" w14:textId="77777777" w:rsidR="00E07FF8" w:rsidRPr="009F4789" w:rsidRDefault="00E07FF8" w:rsidP="00C130D2">
    <w:pPr>
      <w:pStyle w:val="Header"/>
      <w:jc w:val="center"/>
    </w:pPr>
    <w:r>
      <w:rPr>
        <w:lang w:val="sr-Cyrl-RS"/>
      </w:rPr>
      <w:t>Ревидирана ф</w:t>
    </w:r>
    <w:r w:rsidRPr="00361C29">
      <w:rPr>
        <w:lang w:val="sr-Cyrl-RS"/>
      </w:rPr>
      <w:t>искална стратегија за 20</w:t>
    </w:r>
    <w:r>
      <w:rPr>
        <w:lang w:val="sr-Cyrl-RS"/>
      </w:rPr>
      <w:t>20</w:t>
    </w:r>
    <w:r w:rsidRPr="00361C29">
      <w:rPr>
        <w:lang w:val="sr-Cyrl-RS"/>
      </w:rPr>
      <w:t>. годину са пројекцијама за 202</w:t>
    </w:r>
    <w:r>
      <w:rPr>
        <w:lang w:val="sr-Cyrl-RS"/>
      </w:rPr>
      <w:t>1</w:t>
    </w:r>
    <w:r w:rsidRPr="00361C29">
      <w:rPr>
        <w:lang w:val="sr-Cyrl-RS"/>
      </w:rPr>
      <w:t>. и 202</w:t>
    </w:r>
    <w:r>
      <w:rPr>
        <w:lang w:val="sr-Cyrl-RS"/>
      </w:rPr>
      <w:t>2</w:t>
    </w:r>
    <w:r w:rsidRPr="00361C29">
      <w:rPr>
        <w:lang w:val="sr-Cyrl-RS"/>
      </w:rPr>
      <w:t>. годину</w:t>
    </w: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19740C" w14:textId="77777777" w:rsidR="00E07FF8" w:rsidRPr="00BF7F6A" w:rsidRDefault="00E07FF8" w:rsidP="00BD7EB6">
    <w:pPr>
      <w:pStyle w:val="Header"/>
      <w:jc w:val="center"/>
      <w:rPr>
        <w:lang w:val="sr-Cyrl-RS"/>
      </w:rPr>
    </w:pPr>
    <w:r>
      <w:rPr>
        <w:lang w:val="sr-Cyrl-RS"/>
      </w:rPr>
      <w:t>Фискална стратегија за 2019. годину са пројекцијама за 2020. и 2021. годину</w:t>
    </w:r>
  </w:p>
  <w:p w14:paraId="6F85E492" w14:textId="77777777" w:rsidR="00E07FF8" w:rsidRDefault="00E07FF8">
    <w:pPr>
      <w:pStyle w:val="Header"/>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068F95" w14:textId="11FF87CE" w:rsidR="00E07FF8" w:rsidRPr="00F061F2" w:rsidRDefault="00E07FF8" w:rsidP="00C130D2">
    <w:pPr>
      <w:pStyle w:val="Header"/>
      <w:jc w:val="center"/>
    </w:pPr>
    <w:r w:rsidRPr="006C57DB">
      <w:rPr>
        <w:lang w:val="sr-Cyrl-RS"/>
      </w:rPr>
      <w:t xml:space="preserve">Фискална </w:t>
    </w:r>
    <w:r>
      <w:rPr>
        <w:lang w:val="sr-Cyrl-RS"/>
      </w:rPr>
      <w:t>стратегија за 2020. годину са пројекцијама за 2021. и 2022</w:t>
    </w:r>
    <w:r w:rsidRPr="00F061F2">
      <w:rPr>
        <w:lang w:val="sr-Cyrl-RS"/>
      </w:rPr>
      <w:t>. годину</w:t>
    </w:r>
  </w:p>
  <w:p w14:paraId="1EBF0DCA" w14:textId="77777777" w:rsidR="00E07FF8" w:rsidRPr="004F72C4" w:rsidRDefault="00E07FF8" w:rsidP="004F72C4">
    <w:pPr>
      <w:pStyle w:val="Header"/>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DAA395" w14:textId="27EC11E2" w:rsidR="00E07FF8" w:rsidRPr="00F061F2" w:rsidRDefault="00E07FF8" w:rsidP="00C130D2">
    <w:pPr>
      <w:pStyle w:val="Header"/>
      <w:jc w:val="center"/>
    </w:pPr>
    <w:r>
      <w:rPr>
        <w:lang w:val="sr-Cyrl-RS"/>
      </w:rPr>
      <w:t xml:space="preserve">Ревидирана </w:t>
    </w:r>
    <w:r w:rsidRPr="006C57DB">
      <w:rPr>
        <w:lang w:val="sr-Cyrl-RS"/>
      </w:rPr>
      <w:t xml:space="preserve">Фискална </w:t>
    </w:r>
    <w:r>
      <w:rPr>
        <w:lang w:val="sr-Cyrl-RS"/>
      </w:rPr>
      <w:t>стратегија за 2020. годину са пројекцијама за 2021. и 2022</w:t>
    </w:r>
    <w:r w:rsidRPr="00F061F2">
      <w:rPr>
        <w:lang w:val="sr-Cyrl-RS"/>
      </w:rPr>
      <w:t>. годину</w:t>
    </w: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3D16DB" w14:textId="77777777" w:rsidR="00E07FF8" w:rsidRPr="00BF7F6A" w:rsidRDefault="00E07FF8" w:rsidP="00BD7EB6">
    <w:pPr>
      <w:pStyle w:val="Header"/>
      <w:jc w:val="center"/>
      <w:rPr>
        <w:lang w:val="sr-Cyrl-RS"/>
      </w:rPr>
    </w:pPr>
    <w:r>
      <w:rPr>
        <w:lang w:val="sr-Cyrl-RS"/>
      </w:rPr>
      <w:t>Фискална стратегија за 2019. годину са пројекцијама за 2020. и 2021. годину</w:t>
    </w:r>
  </w:p>
  <w:p w14:paraId="7BA297DC" w14:textId="77777777" w:rsidR="00E07FF8" w:rsidRDefault="00E07FF8">
    <w:pPr>
      <w:pStyle w:val="Header"/>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59118C" w14:textId="31AEC1E3" w:rsidR="00E07FF8" w:rsidRPr="00F061F2" w:rsidRDefault="00E07FF8" w:rsidP="00C130D2">
    <w:pPr>
      <w:pStyle w:val="Header"/>
      <w:jc w:val="center"/>
    </w:pPr>
    <w:r w:rsidRPr="006C57DB">
      <w:rPr>
        <w:lang w:val="sr-Cyrl-RS"/>
      </w:rPr>
      <w:t xml:space="preserve">Фискална </w:t>
    </w:r>
    <w:r>
      <w:rPr>
        <w:lang w:val="sr-Cyrl-RS"/>
      </w:rPr>
      <w:t>стратегија за 2020. годину са пројекцијама за 2021. и 2022</w:t>
    </w:r>
    <w:r w:rsidRPr="00F061F2">
      <w:rPr>
        <w:lang w:val="sr-Cyrl-RS"/>
      </w:rPr>
      <w:t>. годину</w:t>
    </w:r>
  </w:p>
  <w:p w14:paraId="3802EB25" w14:textId="77777777" w:rsidR="00E07FF8" w:rsidRDefault="00E07FF8">
    <w:pPr>
      <w:pStyle w:val="Header"/>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348854" w14:textId="1B7416EA" w:rsidR="00E07FF8" w:rsidRPr="00956C60" w:rsidRDefault="00E07FF8" w:rsidP="00C130D2">
    <w:pPr>
      <w:pStyle w:val="Header"/>
      <w:jc w:val="center"/>
    </w:pPr>
    <w:r>
      <w:rPr>
        <w:lang w:val="sr-Cyrl-RS"/>
      </w:rPr>
      <w:t xml:space="preserve">Ревидирана </w:t>
    </w:r>
    <w:r w:rsidRPr="006C57DB">
      <w:rPr>
        <w:lang w:val="sr-Cyrl-RS"/>
      </w:rPr>
      <w:t xml:space="preserve">Фискална </w:t>
    </w:r>
    <w:r>
      <w:rPr>
        <w:lang w:val="sr-Cyrl-RS"/>
      </w:rPr>
      <w:t>стратегија за 20</w:t>
    </w:r>
    <w:r>
      <w:t>20</w:t>
    </w:r>
    <w:r>
      <w:rPr>
        <w:lang w:val="sr-Cyrl-RS"/>
      </w:rPr>
      <w:t>. годину са пројекцијама за 202</w:t>
    </w:r>
    <w:r>
      <w:t>1</w:t>
    </w:r>
    <w:r>
      <w:rPr>
        <w:lang w:val="sr-Cyrl-RS"/>
      </w:rPr>
      <w:t>. и 2022</w:t>
    </w:r>
    <w:r w:rsidRPr="00361C29">
      <w:rPr>
        <w:lang w:val="sr-Cyrl-RS"/>
      </w:rPr>
      <w:t>. годину</w:t>
    </w: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643F69" w14:textId="77777777" w:rsidR="00E07FF8" w:rsidRPr="00BF7F6A" w:rsidRDefault="00E07FF8" w:rsidP="00BD7EB6">
    <w:pPr>
      <w:pStyle w:val="Header"/>
      <w:jc w:val="center"/>
      <w:rPr>
        <w:lang w:val="sr-Cyrl-RS"/>
      </w:rPr>
    </w:pPr>
    <w:r>
      <w:rPr>
        <w:lang w:val="sr-Cyrl-RS"/>
      </w:rPr>
      <w:t>Фискална стратегија за 2019. годину са пројекцијама за 2020. и 2021. годину</w:t>
    </w:r>
  </w:p>
  <w:p w14:paraId="70E14EB9" w14:textId="77777777" w:rsidR="00E07FF8" w:rsidRDefault="00E07FF8">
    <w:pPr>
      <w:pStyle w:val="Header"/>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1716FC" w14:textId="77777777" w:rsidR="00E07FF8" w:rsidRPr="003B6D80" w:rsidRDefault="00E07FF8" w:rsidP="00E4657F">
    <w:pPr>
      <w:pStyle w:val="Header"/>
      <w:jc w:val="center"/>
    </w:pPr>
    <w:r w:rsidRPr="006C57DB">
      <w:rPr>
        <w:lang w:val="sr-Cyrl-RS"/>
      </w:rPr>
      <w:t xml:space="preserve">Фискална </w:t>
    </w:r>
    <w:r w:rsidRPr="00724C89">
      <w:t>стратегија за 2020. годину са пројекцијама за 2021. и 2022. годину</w:t>
    </w: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DDB126" w14:textId="4B22B7AD" w:rsidR="00E07FF8" w:rsidRPr="00956C60" w:rsidRDefault="00E07FF8" w:rsidP="00C130D2">
    <w:pPr>
      <w:pStyle w:val="Header"/>
      <w:jc w:val="center"/>
    </w:pPr>
    <w:r>
      <w:rPr>
        <w:lang w:val="sr-Cyrl-RS"/>
      </w:rPr>
      <w:t xml:space="preserve">Ревидирана </w:t>
    </w:r>
    <w:r w:rsidRPr="006C57DB">
      <w:rPr>
        <w:lang w:val="sr-Cyrl-RS"/>
      </w:rPr>
      <w:t xml:space="preserve">Фискална </w:t>
    </w:r>
    <w:r>
      <w:rPr>
        <w:lang w:val="sr-Cyrl-RS"/>
      </w:rPr>
      <w:t>стратегија за 2020. годину са пројекцијама за 2021. и 2022</w:t>
    </w:r>
    <w:r w:rsidRPr="00361C29">
      <w:rPr>
        <w:lang w:val="sr-Cyrl-RS"/>
      </w:rPr>
      <w:t>. годину</w:t>
    </w: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203E8E" w14:textId="77777777" w:rsidR="00E07FF8" w:rsidRPr="00BF7F6A" w:rsidRDefault="00E07FF8" w:rsidP="00BD7EB6">
    <w:pPr>
      <w:pStyle w:val="Header"/>
      <w:jc w:val="center"/>
      <w:rPr>
        <w:lang w:val="sr-Cyrl-RS"/>
      </w:rPr>
    </w:pPr>
    <w:r>
      <w:rPr>
        <w:lang w:val="sr-Cyrl-RS"/>
      </w:rPr>
      <w:t>Фискална стратегија за 2019. годину са пројекцијама за 2020. и 2021. годину</w:t>
    </w:r>
  </w:p>
  <w:p w14:paraId="590CC4CC" w14:textId="77777777" w:rsidR="00E07FF8" w:rsidRDefault="00E07FF8">
    <w:pPr>
      <w:pStyle w:val="Header"/>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877F77" w14:textId="77777777" w:rsidR="00E07FF8" w:rsidRDefault="00E07FF8" w:rsidP="00815831">
    <w:pPr>
      <w:pStyle w:val="Header"/>
      <w:jc w:val="center"/>
    </w:pPr>
    <w:r w:rsidRPr="006C57DB">
      <w:rPr>
        <w:lang w:val="sr-Cyrl-RS"/>
      </w:rPr>
      <w:t xml:space="preserve">Фискална </w:t>
    </w:r>
    <w:r>
      <w:rPr>
        <w:lang w:val="sr-Cyrl-RS"/>
      </w:rPr>
      <w:t>стратегија за 20</w:t>
    </w:r>
    <w:r>
      <w:t>20</w:t>
    </w:r>
    <w:r>
      <w:rPr>
        <w:lang w:val="sr-Cyrl-RS"/>
      </w:rPr>
      <w:t>. годину са пројекцијама за 2021. и 2022</w:t>
    </w:r>
    <w:r w:rsidRPr="00F061F2">
      <w:rPr>
        <w:lang w:val="sr-Cyrl-RS"/>
      </w:rPr>
      <w:t>. годину</w:t>
    </w: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BBF29C" w14:textId="7BD54798" w:rsidR="00E07FF8" w:rsidRPr="00956C60" w:rsidRDefault="00E07FF8" w:rsidP="00C130D2">
    <w:pPr>
      <w:pStyle w:val="Header"/>
      <w:jc w:val="center"/>
    </w:pPr>
    <w:r>
      <w:rPr>
        <w:lang w:val="sr-Cyrl-RS"/>
      </w:rPr>
      <w:t xml:space="preserve">Ревидирана </w:t>
    </w:r>
    <w:r w:rsidRPr="006C57DB">
      <w:rPr>
        <w:lang w:val="sr-Cyrl-RS"/>
      </w:rPr>
      <w:t xml:space="preserve">Фискална </w:t>
    </w:r>
    <w:r>
      <w:rPr>
        <w:lang w:val="sr-Cyrl-RS"/>
      </w:rPr>
      <w:t>стратегија за 2020. годину са пројекцијама за 2021. и 2022</w:t>
    </w:r>
    <w:r w:rsidRPr="00361C29">
      <w:rPr>
        <w:lang w:val="sr-Cyrl-RS"/>
      </w:rPr>
      <w:t>. годину</w:t>
    </w:r>
  </w:p>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F2ADE9" w14:textId="77777777" w:rsidR="00E07FF8" w:rsidRPr="00BF7F6A" w:rsidRDefault="00E07FF8" w:rsidP="00BD7EB6">
    <w:pPr>
      <w:pStyle w:val="Header"/>
      <w:jc w:val="center"/>
      <w:rPr>
        <w:lang w:val="sr-Cyrl-RS"/>
      </w:rPr>
    </w:pPr>
    <w:r>
      <w:rPr>
        <w:lang w:val="sr-Cyrl-RS"/>
      </w:rPr>
      <w:t>Фискална стратегија за 2019. годину са пројекцијама за 2020. и 2021. годину</w:t>
    </w:r>
  </w:p>
  <w:p w14:paraId="24067E2A" w14:textId="77777777" w:rsidR="00E07FF8" w:rsidRDefault="00E07FF8">
    <w:pPr>
      <w:pStyle w:val="Header"/>
    </w:pPr>
  </w:p>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8CD3AC" w14:textId="63FF77B2" w:rsidR="00E07FF8" w:rsidRDefault="00E07FF8" w:rsidP="00815831">
    <w:pPr>
      <w:pStyle w:val="Header"/>
      <w:jc w:val="center"/>
    </w:pPr>
    <w:r w:rsidRPr="006C57DB">
      <w:rPr>
        <w:lang w:val="sr-Cyrl-RS"/>
      </w:rPr>
      <w:t xml:space="preserve">Фискална </w:t>
    </w:r>
    <w:r>
      <w:rPr>
        <w:lang w:val="sr-Cyrl-RS"/>
      </w:rPr>
      <w:t>стратегија за 20</w:t>
    </w:r>
    <w:r>
      <w:t>20</w:t>
    </w:r>
    <w:r>
      <w:rPr>
        <w:lang w:val="sr-Cyrl-RS"/>
      </w:rPr>
      <w:t>. годину са пројекцијама за 2021. и 2022</w:t>
    </w:r>
    <w:r w:rsidRPr="00F061F2">
      <w:rPr>
        <w:lang w:val="sr-Cyrl-RS"/>
      </w:rPr>
      <w:t>. годину</w:t>
    </w:r>
  </w:p>
</w:hdr>
</file>

<file path=word/header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40FD23" w14:textId="621AC189" w:rsidR="00E07FF8" w:rsidRPr="00956C60" w:rsidRDefault="00E07FF8" w:rsidP="00C130D2">
    <w:pPr>
      <w:pStyle w:val="Header"/>
      <w:jc w:val="center"/>
    </w:pPr>
    <w:r>
      <w:rPr>
        <w:lang w:val="sr-Cyrl-RS"/>
      </w:rPr>
      <w:t xml:space="preserve">Ревидирана </w:t>
    </w:r>
    <w:r w:rsidRPr="006C57DB">
      <w:rPr>
        <w:lang w:val="sr-Cyrl-RS"/>
      </w:rPr>
      <w:t xml:space="preserve">Фискална </w:t>
    </w:r>
    <w:r>
      <w:rPr>
        <w:lang w:val="sr-Cyrl-RS"/>
      </w:rPr>
      <w:t>стратегија за 2020. годину са пројекцијама за 2021. и 2022</w:t>
    </w:r>
    <w:r w:rsidRPr="00361C29">
      <w:rPr>
        <w:lang w:val="sr-Cyrl-RS"/>
      </w:rPr>
      <w:t>. годину</w:t>
    </w:r>
  </w:p>
</w:hdr>
</file>

<file path=word/header4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A5D207" w14:textId="77777777" w:rsidR="00E07FF8" w:rsidRPr="00BF7F6A" w:rsidRDefault="00E07FF8" w:rsidP="00BD7EB6">
    <w:pPr>
      <w:pStyle w:val="Header"/>
      <w:jc w:val="center"/>
      <w:rPr>
        <w:lang w:val="sr-Cyrl-RS"/>
      </w:rPr>
    </w:pPr>
    <w:r>
      <w:rPr>
        <w:lang w:val="sr-Cyrl-RS"/>
      </w:rPr>
      <w:t>Фискална стратегија за 2019. годину са пројекцијама за 2020. и 2021. годину</w:t>
    </w:r>
  </w:p>
  <w:p w14:paraId="6D773F37" w14:textId="77777777" w:rsidR="00E07FF8" w:rsidRDefault="00E07FF8">
    <w:pPr>
      <w:pStyle w:val="Header"/>
    </w:pPr>
  </w:p>
</w:hdr>
</file>

<file path=word/header4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19C5AA" w14:textId="4D5198A0" w:rsidR="00E07FF8" w:rsidRDefault="00E07FF8" w:rsidP="005158F5">
    <w:pPr>
      <w:pStyle w:val="Header"/>
      <w:jc w:val="center"/>
    </w:pPr>
    <w:r w:rsidRPr="006C57DB">
      <w:rPr>
        <w:lang w:val="sr-Cyrl-RS"/>
      </w:rPr>
      <w:t xml:space="preserve">Фискална </w:t>
    </w:r>
    <w:r>
      <w:rPr>
        <w:lang w:val="sr-Cyrl-RS"/>
      </w:rPr>
      <w:t>стратегија за 2020. годину са пројекцијама за 2021. и 2022</w:t>
    </w:r>
    <w:r w:rsidRPr="00361C29">
      <w:rPr>
        <w:lang w:val="sr-Cyrl-RS"/>
      </w:rPr>
      <w:t>. годину</w:t>
    </w:r>
  </w:p>
</w:hdr>
</file>

<file path=word/header4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EF7734" w14:textId="17A68FC1" w:rsidR="00E07FF8" w:rsidRPr="000312CC" w:rsidRDefault="00E07FF8" w:rsidP="00C130D2">
    <w:pPr>
      <w:pStyle w:val="Header"/>
      <w:jc w:val="center"/>
    </w:pPr>
    <w:r>
      <w:rPr>
        <w:lang w:val="sr-Cyrl-RS"/>
      </w:rPr>
      <w:t xml:space="preserve">Ревидирана </w:t>
    </w:r>
    <w:r w:rsidRPr="006C57DB">
      <w:rPr>
        <w:lang w:val="sr-Cyrl-RS"/>
      </w:rPr>
      <w:t xml:space="preserve">Фискална </w:t>
    </w:r>
    <w:r>
      <w:rPr>
        <w:lang w:val="sr-Cyrl-RS"/>
      </w:rPr>
      <w:t>стратегија за 2020. годину са пројекцијама за 2021. и 2022</w:t>
    </w:r>
    <w:r w:rsidRPr="00361C29">
      <w:rPr>
        <w:lang w:val="sr-Cyrl-RS"/>
      </w:rPr>
      <w:t>. годину</w:t>
    </w:r>
  </w:p>
  <w:p w14:paraId="20BD0067" w14:textId="77777777" w:rsidR="00E07FF8" w:rsidRDefault="00E07FF8"/>
</w:hdr>
</file>

<file path=word/header4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97BDDB" w14:textId="77777777" w:rsidR="00E07FF8" w:rsidRPr="00BF7F6A" w:rsidRDefault="00E07FF8" w:rsidP="00BD7EB6">
    <w:pPr>
      <w:pStyle w:val="Header"/>
      <w:jc w:val="center"/>
      <w:rPr>
        <w:lang w:val="sr-Cyrl-RS"/>
      </w:rPr>
    </w:pPr>
    <w:r>
      <w:rPr>
        <w:lang w:val="sr-Cyrl-RS"/>
      </w:rPr>
      <w:t>Фискална стратегија за 2019. годину са пројекцијама за 2020. и 2021. годину</w:t>
    </w:r>
  </w:p>
  <w:p w14:paraId="315B4D35" w14:textId="77777777" w:rsidR="00E07FF8" w:rsidRDefault="00E07FF8">
    <w:pPr>
      <w:pStyle w:val="Header"/>
    </w:pPr>
  </w:p>
  <w:p w14:paraId="16ADAB25" w14:textId="77777777" w:rsidR="00E07FF8" w:rsidRDefault="00E07FF8"/>
</w:hdr>
</file>

<file path=word/header4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54196A" w14:textId="7EE60C62" w:rsidR="00E07FF8" w:rsidRPr="00F2558D" w:rsidRDefault="00E07FF8" w:rsidP="00944DC6">
    <w:pPr>
      <w:pStyle w:val="Header"/>
      <w:jc w:val="center"/>
    </w:pPr>
    <w:r>
      <w:rPr>
        <w:lang w:val="sr-Cyrl-RS"/>
      </w:rPr>
      <w:t xml:space="preserve">Ревидирана </w:t>
    </w:r>
    <w:r w:rsidRPr="006C57DB">
      <w:rPr>
        <w:lang w:val="sr-Cyrl-RS"/>
      </w:rPr>
      <w:t xml:space="preserve">Фискална </w:t>
    </w:r>
    <w:r>
      <w:rPr>
        <w:lang w:val="sr-Cyrl-RS"/>
      </w:rPr>
      <w:t>стратегија за 2020. годину са пројекцијама за 2021. и 2022</w:t>
    </w:r>
    <w:r w:rsidRPr="00361C29">
      <w:rPr>
        <w:lang w:val="sr-Cyrl-RS"/>
      </w:rPr>
      <w:t>. годину</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FB2519C"/>
    <w:multiLevelType w:val="hybridMultilevel"/>
    <w:tmpl w:val="14EC1DC0"/>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57E3294"/>
    <w:multiLevelType w:val="hybridMultilevel"/>
    <w:tmpl w:val="1354E35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6196F9C"/>
    <w:multiLevelType w:val="hybridMultilevel"/>
    <w:tmpl w:val="03588D7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360" w:hanging="360"/>
      </w:pPr>
      <w:rPr>
        <w:rFonts w:ascii="Courier New" w:hAnsi="Courier New" w:cs="Courier New" w:hint="default"/>
      </w:rPr>
    </w:lvl>
    <w:lvl w:ilvl="2" w:tplc="04090005" w:tentative="1">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cs="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cs="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3" w15:restartNumberingAfterBreak="0">
    <w:nsid w:val="1AA27DE4"/>
    <w:multiLevelType w:val="hybridMultilevel"/>
    <w:tmpl w:val="FA80B2E8"/>
    <w:lvl w:ilvl="0" w:tplc="71B0D9DA">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F077B37"/>
    <w:multiLevelType w:val="hybridMultilevel"/>
    <w:tmpl w:val="81503CA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0BA37CC"/>
    <w:multiLevelType w:val="hybridMultilevel"/>
    <w:tmpl w:val="BA2A7E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6640D2D"/>
    <w:multiLevelType w:val="hybridMultilevel"/>
    <w:tmpl w:val="B7501ECE"/>
    <w:lvl w:ilvl="0" w:tplc="06960124">
      <w:start w:val="1"/>
      <w:numFmt w:val="decimal"/>
      <w:lvlText w:val="%1)"/>
      <w:lvlJc w:val="left"/>
      <w:pPr>
        <w:ind w:left="2160" w:hanging="360"/>
      </w:pPr>
      <w:rPr>
        <w:rFonts w:ascii="Cambria" w:eastAsia="Times New Roman" w:hAnsi="Cambria" w:cs="Tahoma" w:hint="default"/>
      </w:rPr>
    </w:lvl>
    <w:lvl w:ilvl="1" w:tplc="04090019">
      <w:start w:val="1"/>
      <w:numFmt w:val="lowerLetter"/>
      <w:lvlText w:val="%2."/>
      <w:lvlJc w:val="left"/>
      <w:pPr>
        <w:ind w:left="2880" w:hanging="360"/>
      </w:pPr>
    </w:lvl>
    <w:lvl w:ilvl="2" w:tplc="0409001B">
      <w:start w:val="1"/>
      <w:numFmt w:val="lowerRoman"/>
      <w:lvlText w:val="%3."/>
      <w:lvlJc w:val="right"/>
      <w:pPr>
        <w:ind w:left="3600" w:hanging="180"/>
      </w:pPr>
    </w:lvl>
    <w:lvl w:ilvl="3" w:tplc="0409000F">
      <w:start w:val="1"/>
      <w:numFmt w:val="decimal"/>
      <w:lvlText w:val="%4."/>
      <w:lvlJc w:val="left"/>
      <w:pPr>
        <w:ind w:left="4320" w:hanging="360"/>
      </w:pPr>
    </w:lvl>
    <w:lvl w:ilvl="4" w:tplc="04090019">
      <w:start w:val="1"/>
      <w:numFmt w:val="lowerLetter"/>
      <w:lvlText w:val="%5."/>
      <w:lvlJc w:val="left"/>
      <w:pPr>
        <w:ind w:left="5040" w:hanging="360"/>
      </w:pPr>
    </w:lvl>
    <w:lvl w:ilvl="5" w:tplc="0409001B">
      <w:start w:val="1"/>
      <w:numFmt w:val="lowerRoman"/>
      <w:lvlText w:val="%6."/>
      <w:lvlJc w:val="right"/>
      <w:pPr>
        <w:ind w:left="5760" w:hanging="180"/>
      </w:pPr>
    </w:lvl>
    <w:lvl w:ilvl="6" w:tplc="0409000F">
      <w:start w:val="1"/>
      <w:numFmt w:val="decimal"/>
      <w:lvlText w:val="%7."/>
      <w:lvlJc w:val="left"/>
      <w:pPr>
        <w:ind w:left="6480" w:hanging="360"/>
      </w:pPr>
    </w:lvl>
    <w:lvl w:ilvl="7" w:tplc="04090019">
      <w:start w:val="1"/>
      <w:numFmt w:val="lowerLetter"/>
      <w:lvlText w:val="%8."/>
      <w:lvlJc w:val="left"/>
      <w:pPr>
        <w:ind w:left="7200" w:hanging="360"/>
      </w:pPr>
    </w:lvl>
    <w:lvl w:ilvl="8" w:tplc="0409001B">
      <w:start w:val="1"/>
      <w:numFmt w:val="lowerRoman"/>
      <w:lvlText w:val="%9."/>
      <w:lvlJc w:val="right"/>
      <w:pPr>
        <w:ind w:left="7920" w:hanging="180"/>
      </w:pPr>
    </w:lvl>
  </w:abstractNum>
  <w:abstractNum w:abstractNumId="7" w15:restartNumberingAfterBreak="0">
    <w:nsid w:val="287E3366"/>
    <w:multiLevelType w:val="hybridMultilevel"/>
    <w:tmpl w:val="4434073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 w15:restartNumberingAfterBreak="0">
    <w:nsid w:val="29E336EA"/>
    <w:multiLevelType w:val="hybridMultilevel"/>
    <w:tmpl w:val="F5A8EA88"/>
    <w:lvl w:ilvl="0" w:tplc="52528046">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311B23A4"/>
    <w:multiLevelType w:val="hybridMultilevel"/>
    <w:tmpl w:val="0F4E72EE"/>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15:restartNumberingAfterBreak="0">
    <w:nsid w:val="357B7631"/>
    <w:multiLevelType w:val="hybridMultilevel"/>
    <w:tmpl w:val="68EE0AFC"/>
    <w:lvl w:ilvl="0" w:tplc="A278813C">
      <w:numFmt w:val="bullet"/>
      <w:lvlText w:val=""/>
      <w:lvlJc w:val="left"/>
      <w:pPr>
        <w:ind w:left="720" w:hanging="360"/>
      </w:pPr>
      <w:rPr>
        <w:rFonts w:ascii="Symbol" w:eastAsiaTheme="minorHAnsi" w:hAnsi="Symbol" w:cstheme="minorHAnsi"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11" w15:restartNumberingAfterBreak="0">
    <w:nsid w:val="364818FA"/>
    <w:multiLevelType w:val="hybridMultilevel"/>
    <w:tmpl w:val="B3DEF552"/>
    <w:lvl w:ilvl="0" w:tplc="F05C964E">
      <w:start w:val="6"/>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B5F6A1A"/>
    <w:multiLevelType w:val="hybridMultilevel"/>
    <w:tmpl w:val="6358C0B2"/>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F974621"/>
    <w:multiLevelType w:val="hybridMultilevel"/>
    <w:tmpl w:val="3D1E1176"/>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3817CF4"/>
    <w:multiLevelType w:val="hybridMultilevel"/>
    <w:tmpl w:val="BBAC369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9E10CE8"/>
    <w:multiLevelType w:val="hybridMultilevel"/>
    <w:tmpl w:val="2EA86312"/>
    <w:lvl w:ilvl="0" w:tplc="3C18CB6A">
      <w:start w:val="6"/>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D6972A3"/>
    <w:multiLevelType w:val="hybridMultilevel"/>
    <w:tmpl w:val="3750566E"/>
    <w:lvl w:ilvl="0" w:tplc="04090005">
      <w:start w:val="1"/>
      <w:numFmt w:val="bullet"/>
      <w:lvlText w:val=""/>
      <w:lvlJc w:val="left"/>
      <w:pPr>
        <w:ind w:left="1077" w:hanging="360"/>
      </w:pPr>
      <w:rPr>
        <w:rFonts w:ascii="Wingdings" w:hAnsi="Wingdings" w:hint="default"/>
      </w:rPr>
    </w:lvl>
    <w:lvl w:ilvl="1" w:tplc="04090003">
      <w:start w:val="1"/>
      <w:numFmt w:val="bullet"/>
      <w:lvlText w:val="o"/>
      <w:lvlJc w:val="left"/>
      <w:pPr>
        <w:ind w:left="1797" w:hanging="360"/>
      </w:pPr>
      <w:rPr>
        <w:rFonts w:ascii="Courier New" w:hAnsi="Courier New" w:cs="Courier New" w:hint="default"/>
      </w:rPr>
    </w:lvl>
    <w:lvl w:ilvl="2" w:tplc="04090005">
      <w:start w:val="1"/>
      <w:numFmt w:val="bullet"/>
      <w:lvlText w:val=""/>
      <w:lvlJc w:val="left"/>
      <w:pPr>
        <w:ind w:left="2517" w:hanging="360"/>
      </w:pPr>
      <w:rPr>
        <w:rFonts w:ascii="Wingdings" w:hAnsi="Wingdings" w:hint="default"/>
      </w:rPr>
    </w:lvl>
    <w:lvl w:ilvl="3" w:tplc="04090001">
      <w:start w:val="1"/>
      <w:numFmt w:val="bullet"/>
      <w:lvlText w:val=""/>
      <w:lvlJc w:val="left"/>
      <w:pPr>
        <w:ind w:left="3237" w:hanging="360"/>
      </w:pPr>
      <w:rPr>
        <w:rFonts w:ascii="Symbol" w:hAnsi="Symbol" w:hint="default"/>
      </w:rPr>
    </w:lvl>
    <w:lvl w:ilvl="4" w:tplc="04090003">
      <w:start w:val="1"/>
      <w:numFmt w:val="bullet"/>
      <w:lvlText w:val="o"/>
      <w:lvlJc w:val="left"/>
      <w:pPr>
        <w:ind w:left="3957" w:hanging="360"/>
      </w:pPr>
      <w:rPr>
        <w:rFonts w:ascii="Courier New" w:hAnsi="Courier New" w:cs="Courier New" w:hint="default"/>
      </w:rPr>
    </w:lvl>
    <w:lvl w:ilvl="5" w:tplc="04090005">
      <w:start w:val="1"/>
      <w:numFmt w:val="bullet"/>
      <w:lvlText w:val=""/>
      <w:lvlJc w:val="left"/>
      <w:pPr>
        <w:ind w:left="4677" w:hanging="360"/>
      </w:pPr>
      <w:rPr>
        <w:rFonts w:ascii="Wingdings" w:hAnsi="Wingdings" w:hint="default"/>
      </w:rPr>
    </w:lvl>
    <w:lvl w:ilvl="6" w:tplc="04090001">
      <w:start w:val="1"/>
      <w:numFmt w:val="bullet"/>
      <w:lvlText w:val=""/>
      <w:lvlJc w:val="left"/>
      <w:pPr>
        <w:ind w:left="5397" w:hanging="360"/>
      </w:pPr>
      <w:rPr>
        <w:rFonts w:ascii="Symbol" w:hAnsi="Symbol" w:hint="default"/>
      </w:rPr>
    </w:lvl>
    <w:lvl w:ilvl="7" w:tplc="04090003">
      <w:start w:val="1"/>
      <w:numFmt w:val="bullet"/>
      <w:lvlText w:val="o"/>
      <w:lvlJc w:val="left"/>
      <w:pPr>
        <w:ind w:left="6117" w:hanging="360"/>
      </w:pPr>
      <w:rPr>
        <w:rFonts w:ascii="Courier New" w:hAnsi="Courier New" w:cs="Courier New" w:hint="default"/>
      </w:rPr>
    </w:lvl>
    <w:lvl w:ilvl="8" w:tplc="04090005">
      <w:start w:val="1"/>
      <w:numFmt w:val="bullet"/>
      <w:lvlText w:val=""/>
      <w:lvlJc w:val="left"/>
      <w:pPr>
        <w:ind w:left="6837" w:hanging="360"/>
      </w:pPr>
      <w:rPr>
        <w:rFonts w:ascii="Wingdings" w:hAnsi="Wingdings" w:hint="default"/>
      </w:rPr>
    </w:lvl>
  </w:abstractNum>
  <w:abstractNum w:abstractNumId="17" w15:restartNumberingAfterBreak="0">
    <w:nsid w:val="4E321928"/>
    <w:multiLevelType w:val="hybridMultilevel"/>
    <w:tmpl w:val="7D3273FE"/>
    <w:lvl w:ilvl="0" w:tplc="04090005">
      <w:start w:val="1"/>
      <w:numFmt w:val="bullet"/>
      <w:lvlText w:val=""/>
      <w:lvlJc w:val="left"/>
      <w:pPr>
        <w:ind w:left="1797" w:hanging="360"/>
      </w:pPr>
      <w:rPr>
        <w:rFonts w:ascii="Wingdings" w:hAnsi="Wingdings" w:hint="default"/>
      </w:rPr>
    </w:lvl>
    <w:lvl w:ilvl="1" w:tplc="04090003">
      <w:start w:val="1"/>
      <w:numFmt w:val="bullet"/>
      <w:lvlText w:val="o"/>
      <w:lvlJc w:val="left"/>
      <w:pPr>
        <w:ind w:left="2517" w:hanging="360"/>
      </w:pPr>
      <w:rPr>
        <w:rFonts w:ascii="Courier New" w:hAnsi="Courier New" w:cs="Courier New" w:hint="default"/>
      </w:rPr>
    </w:lvl>
    <w:lvl w:ilvl="2" w:tplc="04090005">
      <w:start w:val="1"/>
      <w:numFmt w:val="bullet"/>
      <w:lvlText w:val=""/>
      <w:lvlJc w:val="left"/>
      <w:pPr>
        <w:ind w:left="3237" w:hanging="360"/>
      </w:pPr>
      <w:rPr>
        <w:rFonts w:ascii="Wingdings" w:hAnsi="Wingdings" w:hint="default"/>
      </w:rPr>
    </w:lvl>
    <w:lvl w:ilvl="3" w:tplc="04090001">
      <w:start w:val="1"/>
      <w:numFmt w:val="bullet"/>
      <w:lvlText w:val=""/>
      <w:lvlJc w:val="left"/>
      <w:pPr>
        <w:ind w:left="3957" w:hanging="360"/>
      </w:pPr>
      <w:rPr>
        <w:rFonts w:ascii="Symbol" w:hAnsi="Symbol" w:hint="default"/>
      </w:rPr>
    </w:lvl>
    <w:lvl w:ilvl="4" w:tplc="04090003">
      <w:start w:val="1"/>
      <w:numFmt w:val="bullet"/>
      <w:lvlText w:val="o"/>
      <w:lvlJc w:val="left"/>
      <w:pPr>
        <w:ind w:left="4677" w:hanging="360"/>
      </w:pPr>
      <w:rPr>
        <w:rFonts w:ascii="Courier New" w:hAnsi="Courier New" w:cs="Courier New" w:hint="default"/>
      </w:rPr>
    </w:lvl>
    <w:lvl w:ilvl="5" w:tplc="04090005">
      <w:start w:val="1"/>
      <w:numFmt w:val="bullet"/>
      <w:lvlText w:val=""/>
      <w:lvlJc w:val="left"/>
      <w:pPr>
        <w:ind w:left="5397" w:hanging="360"/>
      </w:pPr>
      <w:rPr>
        <w:rFonts w:ascii="Wingdings" w:hAnsi="Wingdings" w:hint="default"/>
      </w:rPr>
    </w:lvl>
    <w:lvl w:ilvl="6" w:tplc="04090001">
      <w:start w:val="1"/>
      <w:numFmt w:val="bullet"/>
      <w:lvlText w:val=""/>
      <w:lvlJc w:val="left"/>
      <w:pPr>
        <w:ind w:left="6117" w:hanging="360"/>
      </w:pPr>
      <w:rPr>
        <w:rFonts w:ascii="Symbol" w:hAnsi="Symbol" w:hint="default"/>
      </w:rPr>
    </w:lvl>
    <w:lvl w:ilvl="7" w:tplc="04090003">
      <w:start w:val="1"/>
      <w:numFmt w:val="bullet"/>
      <w:lvlText w:val="o"/>
      <w:lvlJc w:val="left"/>
      <w:pPr>
        <w:ind w:left="6837" w:hanging="360"/>
      </w:pPr>
      <w:rPr>
        <w:rFonts w:ascii="Courier New" w:hAnsi="Courier New" w:cs="Courier New" w:hint="default"/>
      </w:rPr>
    </w:lvl>
    <w:lvl w:ilvl="8" w:tplc="04090005">
      <w:start w:val="1"/>
      <w:numFmt w:val="bullet"/>
      <w:lvlText w:val=""/>
      <w:lvlJc w:val="left"/>
      <w:pPr>
        <w:ind w:left="7557" w:hanging="360"/>
      </w:pPr>
      <w:rPr>
        <w:rFonts w:ascii="Wingdings" w:hAnsi="Wingdings" w:hint="default"/>
      </w:rPr>
    </w:lvl>
  </w:abstractNum>
  <w:abstractNum w:abstractNumId="18" w15:restartNumberingAfterBreak="0">
    <w:nsid w:val="510620D3"/>
    <w:multiLevelType w:val="hybridMultilevel"/>
    <w:tmpl w:val="0D62EB36"/>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4592C15"/>
    <w:multiLevelType w:val="hybridMultilevel"/>
    <w:tmpl w:val="CC3CD6FE"/>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C003055"/>
    <w:multiLevelType w:val="hybridMultilevel"/>
    <w:tmpl w:val="DB8ACF72"/>
    <w:lvl w:ilvl="0" w:tplc="04090005">
      <w:start w:val="1"/>
      <w:numFmt w:val="bullet"/>
      <w:lvlText w:val=""/>
      <w:lvlJc w:val="left"/>
      <w:pPr>
        <w:ind w:left="720" w:hanging="360"/>
      </w:pPr>
      <w:rPr>
        <w:rFonts w:ascii="Wingdings" w:hAnsi="Wingdings" w:hint="default"/>
      </w:rPr>
    </w:lvl>
    <w:lvl w:ilvl="1" w:tplc="CE94C130">
      <w:start w:val="6"/>
      <w:numFmt w:val="bullet"/>
      <w:lvlText w:val="•"/>
      <w:lvlJc w:val="left"/>
      <w:pPr>
        <w:ind w:left="1440" w:hanging="360"/>
      </w:pPr>
      <w:rPr>
        <w:rFonts w:ascii="Calibri" w:eastAsiaTheme="minorHAns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D88702A"/>
    <w:multiLevelType w:val="hybridMultilevel"/>
    <w:tmpl w:val="A712D11E"/>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2" w15:restartNumberingAfterBreak="0">
    <w:nsid w:val="61597092"/>
    <w:multiLevelType w:val="hybridMultilevel"/>
    <w:tmpl w:val="DD583D30"/>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BD6519D"/>
    <w:multiLevelType w:val="hybridMultilevel"/>
    <w:tmpl w:val="885EE6C6"/>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F667808"/>
    <w:multiLevelType w:val="hybridMultilevel"/>
    <w:tmpl w:val="38E0640C"/>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4430566"/>
    <w:multiLevelType w:val="hybridMultilevel"/>
    <w:tmpl w:val="8BBC2DA0"/>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744B4078"/>
    <w:multiLevelType w:val="hybridMultilevel"/>
    <w:tmpl w:val="E1122C1A"/>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4B74E8F"/>
    <w:multiLevelType w:val="hybridMultilevel"/>
    <w:tmpl w:val="335221A4"/>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78869C2"/>
    <w:multiLevelType w:val="hybridMultilevel"/>
    <w:tmpl w:val="F64093A4"/>
    <w:lvl w:ilvl="0" w:tplc="04090005">
      <w:start w:val="1"/>
      <w:numFmt w:val="bullet"/>
      <w:lvlText w:val=""/>
      <w:lvlJc w:val="left"/>
      <w:pPr>
        <w:ind w:left="720" w:hanging="360"/>
      </w:pPr>
      <w:rPr>
        <w:rFonts w:ascii="Wingdings" w:hAnsi="Wingdings" w:hint="default"/>
      </w:rPr>
    </w:lvl>
    <w:lvl w:ilvl="1" w:tplc="8828E634">
      <w:start w:val="6"/>
      <w:numFmt w:val="bullet"/>
      <w:lvlText w:val="•"/>
      <w:lvlJc w:val="left"/>
      <w:pPr>
        <w:ind w:left="1440" w:hanging="360"/>
      </w:pPr>
      <w:rPr>
        <w:rFonts w:ascii="Calibri" w:eastAsiaTheme="minorHAns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A9879F0"/>
    <w:multiLevelType w:val="hybridMultilevel"/>
    <w:tmpl w:val="0E260B54"/>
    <w:lvl w:ilvl="0" w:tplc="4210E704">
      <w:start w:val="6"/>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9"/>
  </w:num>
  <w:num w:numId="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8"/>
  </w:num>
  <w:num w:numId="7">
    <w:abstractNumId w:val="7"/>
  </w:num>
  <w:num w:numId="8">
    <w:abstractNumId w:val="6"/>
  </w:num>
  <w:num w:numId="9">
    <w:abstractNumId w:val="21"/>
  </w:num>
  <w:num w:numId="10">
    <w:abstractNumId w:val="16"/>
  </w:num>
  <w:num w:numId="11">
    <w:abstractNumId w:val="17"/>
  </w:num>
  <w:num w:numId="12">
    <w:abstractNumId w:val="10"/>
  </w:num>
  <w:num w:numId="13">
    <w:abstractNumId w:val="25"/>
  </w:num>
  <w:num w:numId="14">
    <w:abstractNumId w:val="3"/>
  </w:num>
  <w:num w:numId="15">
    <w:abstractNumId w:val="1"/>
  </w:num>
  <w:num w:numId="16">
    <w:abstractNumId w:val="11"/>
  </w:num>
  <w:num w:numId="17">
    <w:abstractNumId w:val="14"/>
  </w:num>
  <w:num w:numId="18">
    <w:abstractNumId w:val="28"/>
  </w:num>
  <w:num w:numId="19">
    <w:abstractNumId w:val="15"/>
  </w:num>
  <w:num w:numId="20">
    <w:abstractNumId w:val="18"/>
  </w:num>
  <w:num w:numId="21">
    <w:abstractNumId w:val="13"/>
  </w:num>
  <w:num w:numId="22">
    <w:abstractNumId w:val="20"/>
  </w:num>
  <w:num w:numId="23">
    <w:abstractNumId w:val="29"/>
  </w:num>
  <w:num w:numId="24">
    <w:abstractNumId w:val="23"/>
  </w:num>
  <w:num w:numId="25">
    <w:abstractNumId w:val="27"/>
  </w:num>
  <w:num w:numId="26">
    <w:abstractNumId w:val="4"/>
  </w:num>
  <w:num w:numId="27">
    <w:abstractNumId w:val="19"/>
  </w:num>
  <w:num w:numId="28">
    <w:abstractNumId w:val="0"/>
  </w:num>
  <w:num w:numId="29">
    <w:abstractNumId w:val="24"/>
  </w:num>
  <w:num w:numId="30">
    <w:abstractNumId w:val="22"/>
  </w:num>
  <w:num w:numId="31">
    <w:abstractNumId w:val="26"/>
  </w:num>
  <w:num w:numId="3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hideSpellingErrors/>
  <w:hideGrammaticalErrors/>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70694"/>
    <w:rsid w:val="00000738"/>
    <w:rsid w:val="00005A98"/>
    <w:rsid w:val="00005B4B"/>
    <w:rsid w:val="00007450"/>
    <w:rsid w:val="00007DCD"/>
    <w:rsid w:val="0001068B"/>
    <w:rsid w:val="00010C73"/>
    <w:rsid w:val="00011F40"/>
    <w:rsid w:val="0001456F"/>
    <w:rsid w:val="000146BD"/>
    <w:rsid w:val="0001479F"/>
    <w:rsid w:val="00016599"/>
    <w:rsid w:val="00017CE7"/>
    <w:rsid w:val="00017FEA"/>
    <w:rsid w:val="00020F32"/>
    <w:rsid w:val="0002394D"/>
    <w:rsid w:val="00023CAD"/>
    <w:rsid w:val="00024B73"/>
    <w:rsid w:val="00025DEA"/>
    <w:rsid w:val="00030428"/>
    <w:rsid w:val="00030ED7"/>
    <w:rsid w:val="00031215"/>
    <w:rsid w:val="000312CC"/>
    <w:rsid w:val="0003151D"/>
    <w:rsid w:val="0003267D"/>
    <w:rsid w:val="00032ABE"/>
    <w:rsid w:val="00036174"/>
    <w:rsid w:val="000378CD"/>
    <w:rsid w:val="00040A56"/>
    <w:rsid w:val="00040FBC"/>
    <w:rsid w:val="00043D88"/>
    <w:rsid w:val="0004446C"/>
    <w:rsid w:val="00047F55"/>
    <w:rsid w:val="00050D40"/>
    <w:rsid w:val="00050E4C"/>
    <w:rsid w:val="00051446"/>
    <w:rsid w:val="00051E16"/>
    <w:rsid w:val="000520C7"/>
    <w:rsid w:val="0005265C"/>
    <w:rsid w:val="000526AB"/>
    <w:rsid w:val="00053E30"/>
    <w:rsid w:val="00053E87"/>
    <w:rsid w:val="00054089"/>
    <w:rsid w:val="000544FF"/>
    <w:rsid w:val="00054623"/>
    <w:rsid w:val="00054A7A"/>
    <w:rsid w:val="00055075"/>
    <w:rsid w:val="00055FE2"/>
    <w:rsid w:val="000623F6"/>
    <w:rsid w:val="000628F2"/>
    <w:rsid w:val="00063E59"/>
    <w:rsid w:val="0006488B"/>
    <w:rsid w:val="000676C7"/>
    <w:rsid w:val="00067B90"/>
    <w:rsid w:val="000718C2"/>
    <w:rsid w:val="000727B2"/>
    <w:rsid w:val="00073179"/>
    <w:rsid w:val="00073336"/>
    <w:rsid w:val="00077711"/>
    <w:rsid w:val="000814C2"/>
    <w:rsid w:val="00081C1E"/>
    <w:rsid w:val="00082B03"/>
    <w:rsid w:val="000836F4"/>
    <w:rsid w:val="00085D4A"/>
    <w:rsid w:val="00085ECE"/>
    <w:rsid w:val="0008731A"/>
    <w:rsid w:val="00087CD9"/>
    <w:rsid w:val="000919A1"/>
    <w:rsid w:val="00092123"/>
    <w:rsid w:val="000931AB"/>
    <w:rsid w:val="000964C9"/>
    <w:rsid w:val="000A3BA4"/>
    <w:rsid w:val="000A55CF"/>
    <w:rsid w:val="000A5C49"/>
    <w:rsid w:val="000A72D6"/>
    <w:rsid w:val="000A772F"/>
    <w:rsid w:val="000A7CCE"/>
    <w:rsid w:val="000B062E"/>
    <w:rsid w:val="000B282B"/>
    <w:rsid w:val="000B2BAB"/>
    <w:rsid w:val="000B44BA"/>
    <w:rsid w:val="000C255B"/>
    <w:rsid w:val="000C2568"/>
    <w:rsid w:val="000C433F"/>
    <w:rsid w:val="000C7D6F"/>
    <w:rsid w:val="000D0A45"/>
    <w:rsid w:val="000D2FC6"/>
    <w:rsid w:val="000D35C5"/>
    <w:rsid w:val="000D3B88"/>
    <w:rsid w:val="000D408C"/>
    <w:rsid w:val="000D5A02"/>
    <w:rsid w:val="000D63DF"/>
    <w:rsid w:val="000E1901"/>
    <w:rsid w:val="000E1A99"/>
    <w:rsid w:val="000E2AEF"/>
    <w:rsid w:val="000E343C"/>
    <w:rsid w:val="000E376B"/>
    <w:rsid w:val="000E608D"/>
    <w:rsid w:val="000E61F4"/>
    <w:rsid w:val="000E651E"/>
    <w:rsid w:val="000E72F0"/>
    <w:rsid w:val="000F1EB4"/>
    <w:rsid w:val="000F33F8"/>
    <w:rsid w:val="000F4BFA"/>
    <w:rsid w:val="000F4F17"/>
    <w:rsid w:val="000F58B5"/>
    <w:rsid w:val="000F6048"/>
    <w:rsid w:val="00100B11"/>
    <w:rsid w:val="00101649"/>
    <w:rsid w:val="00105FA7"/>
    <w:rsid w:val="00107CFA"/>
    <w:rsid w:val="00107E08"/>
    <w:rsid w:val="00111810"/>
    <w:rsid w:val="00111833"/>
    <w:rsid w:val="00111DAF"/>
    <w:rsid w:val="0011303A"/>
    <w:rsid w:val="001140A4"/>
    <w:rsid w:val="0011480F"/>
    <w:rsid w:val="00116920"/>
    <w:rsid w:val="00117192"/>
    <w:rsid w:val="00117933"/>
    <w:rsid w:val="00120DA0"/>
    <w:rsid w:val="00122265"/>
    <w:rsid w:val="0012307B"/>
    <w:rsid w:val="001259A9"/>
    <w:rsid w:val="001275CF"/>
    <w:rsid w:val="001315A6"/>
    <w:rsid w:val="00131C9F"/>
    <w:rsid w:val="00132FA9"/>
    <w:rsid w:val="00133CD9"/>
    <w:rsid w:val="00133D9B"/>
    <w:rsid w:val="00135A8B"/>
    <w:rsid w:val="001367C0"/>
    <w:rsid w:val="00140F69"/>
    <w:rsid w:val="00142BB2"/>
    <w:rsid w:val="001441C8"/>
    <w:rsid w:val="00144472"/>
    <w:rsid w:val="00144545"/>
    <w:rsid w:val="00144917"/>
    <w:rsid w:val="00144C44"/>
    <w:rsid w:val="00146101"/>
    <w:rsid w:val="00146506"/>
    <w:rsid w:val="001476C8"/>
    <w:rsid w:val="00147C55"/>
    <w:rsid w:val="0015014A"/>
    <w:rsid w:val="00150351"/>
    <w:rsid w:val="00150B26"/>
    <w:rsid w:val="00151DA1"/>
    <w:rsid w:val="001527EE"/>
    <w:rsid w:val="0015290B"/>
    <w:rsid w:val="00152FE9"/>
    <w:rsid w:val="0015484A"/>
    <w:rsid w:val="00155570"/>
    <w:rsid w:val="00156BFA"/>
    <w:rsid w:val="001604B9"/>
    <w:rsid w:val="00162A08"/>
    <w:rsid w:val="00163ABC"/>
    <w:rsid w:val="00164283"/>
    <w:rsid w:val="0016494D"/>
    <w:rsid w:val="001658DB"/>
    <w:rsid w:val="0017035F"/>
    <w:rsid w:val="0017154C"/>
    <w:rsid w:val="00171E52"/>
    <w:rsid w:val="00172947"/>
    <w:rsid w:val="001748A7"/>
    <w:rsid w:val="00175A72"/>
    <w:rsid w:val="001773CD"/>
    <w:rsid w:val="00180DF6"/>
    <w:rsid w:val="00182173"/>
    <w:rsid w:val="001829CE"/>
    <w:rsid w:val="00183C60"/>
    <w:rsid w:val="00187838"/>
    <w:rsid w:val="00190661"/>
    <w:rsid w:val="00191645"/>
    <w:rsid w:val="00195054"/>
    <w:rsid w:val="00195D34"/>
    <w:rsid w:val="00195EED"/>
    <w:rsid w:val="0019659D"/>
    <w:rsid w:val="00196FF3"/>
    <w:rsid w:val="00197D5B"/>
    <w:rsid w:val="001A06AE"/>
    <w:rsid w:val="001A108B"/>
    <w:rsid w:val="001A25EA"/>
    <w:rsid w:val="001A342B"/>
    <w:rsid w:val="001A35AD"/>
    <w:rsid w:val="001A4391"/>
    <w:rsid w:val="001B0D1E"/>
    <w:rsid w:val="001B200E"/>
    <w:rsid w:val="001B2B9F"/>
    <w:rsid w:val="001B3294"/>
    <w:rsid w:val="001B39B1"/>
    <w:rsid w:val="001B3F5A"/>
    <w:rsid w:val="001B4899"/>
    <w:rsid w:val="001B7B6D"/>
    <w:rsid w:val="001C37C3"/>
    <w:rsid w:val="001C3EB8"/>
    <w:rsid w:val="001C5C26"/>
    <w:rsid w:val="001C5E46"/>
    <w:rsid w:val="001C624A"/>
    <w:rsid w:val="001C7486"/>
    <w:rsid w:val="001C7944"/>
    <w:rsid w:val="001D12AA"/>
    <w:rsid w:val="001D254C"/>
    <w:rsid w:val="001D2764"/>
    <w:rsid w:val="001D3262"/>
    <w:rsid w:val="001D3316"/>
    <w:rsid w:val="001D3A04"/>
    <w:rsid w:val="001D52A6"/>
    <w:rsid w:val="001D5B59"/>
    <w:rsid w:val="001D6890"/>
    <w:rsid w:val="001D6BAB"/>
    <w:rsid w:val="001D6C6B"/>
    <w:rsid w:val="001E0313"/>
    <w:rsid w:val="001E3C08"/>
    <w:rsid w:val="001E43C2"/>
    <w:rsid w:val="001E499B"/>
    <w:rsid w:val="001E5B42"/>
    <w:rsid w:val="001E71AB"/>
    <w:rsid w:val="001F4FBB"/>
    <w:rsid w:val="001F52FB"/>
    <w:rsid w:val="001F5D30"/>
    <w:rsid w:val="001F6AEA"/>
    <w:rsid w:val="001F72DE"/>
    <w:rsid w:val="00201099"/>
    <w:rsid w:val="00201586"/>
    <w:rsid w:val="0020165D"/>
    <w:rsid w:val="00201771"/>
    <w:rsid w:val="00203391"/>
    <w:rsid w:val="0020373B"/>
    <w:rsid w:val="002048DF"/>
    <w:rsid w:val="00204F22"/>
    <w:rsid w:val="00205098"/>
    <w:rsid w:val="00205636"/>
    <w:rsid w:val="00206FBA"/>
    <w:rsid w:val="0020757D"/>
    <w:rsid w:val="0020784A"/>
    <w:rsid w:val="0021016A"/>
    <w:rsid w:val="00213C53"/>
    <w:rsid w:val="002152C6"/>
    <w:rsid w:val="002166F8"/>
    <w:rsid w:val="00220291"/>
    <w:rsid w:val="00220B7B"/>
    <w:rsid w:val="00222C42"/>
    <w:rsid w:val="00224E76"/>
    <w:rsid w:val="00225A4E"/>
    <w:rsid w:val="0022672A"/>
    <w:rsid w:val="00227CB2"/>
    <w:rsid w:val="0023004A"/>
    <w:rsid w:val="00230F86"/>
    <w:rsid w:val="00231623"/>
    <w:rsid w:val="00231D59"/>
    <w:rsid w:val="0023268B"/>
    <w:rsid w:val="00232965"/>
    <w:rsid w:val="00236619"/>
    <w:rsid w:val="0023793B"/>
    <w:rsid w:val="0024018B"/>
    <w:rsid w:val="002408F9"/>
    <w:rsid w:val="00240E2E"/>
    <w:rsid w:val="00242716"/>
    <w:rsid w:val="00242C1B"/>
    <w:rsid w:val="00244274"/>
    <w:rsid w:val="002478B5"/>
    <w:rsid w:val="00250469"/>
    <w:rsid w:val="002514DB"/>
    <w:rsid w:val="00252092"/>
    <w:rsid w:val="002520F2"/>
    <w:rsid w:val="002545C4"/>
    <w:rsid w:val="00255D7F"/>
    <w:rsid w:val="002567C7"/>
    <w:rsid w:val="00256C5B"/>
    <w:rsid w:val="002607ED"/>
    <w:rsid w:val="002608D1"/>
    <w:rsid w:val="00261423"/>
    <w:rsid w:val="0026168D"/>
    <w:rsid w:val="0026272F"/>
    <w:rsid w:val="00264858"/>
    <w:rsid w:val="00265394"/>
    <w:rsid w:val="00266355"/>
    <w:rsid w:val="00270566"/>
    <w:rsid w:val="00273E35"/>
    <w:rsid w:val="0027402D"/>
    <w:rsid w:val="002745EB"/>
    <w:rsid w:val="002754E6"/>
    <w:rsid w:val="00276FCA"/>
    <w:rsid w:val="00277E7D"/>
    <w:rsid w:val="00282BAA"/>
    <w:rsid w:val="00285087"/>
    <w:rsid w:val="00285CFC"/>
    <w:rsid w:val="002864D9"/>
    <w:rsid w:val="00291A64"/>
    <w:rsid w:val="00291ED0"/>
    <w:rsid w:val="00292465"/>
    <w:rsid w:val="00292A4F"/>
    <w:rsid w:val="002944BB"/>
    <w:rsid w:val="002976D7"/>
    <w:rsid w:val="002A0D22"/>
    <w:rsid w:val="002A11EE"/>
    <w:rsid w:val="002A2849"/>
    <w:rsid w:val="002A4AC6"/>
    <w:rsid w:val="002A5D8B"/>
    <w:rsid w:val="002A65F6"/>
    <w:rsid w:val="002B0D7A"/>
    <w:rsid w:val="002B1A52"/>
    <w:rsid w:val="002B373F"/>
    <w:rsid w:val="002B644D"/>
    <w:rsid w:val="002B7144"/>
    <w:rsid w:val="002C0021"/>
    <w:rsid w:val="002C1D90"/>
    <w:rsid w:val="002C1FBC"/>
    <w:rsid w:val="002C3568"/>
    <w:rsid w:val="002C5CC6"/>
    <w:rsid w:val="002D0A04"/>
    <w:rsid w:val="002D0E7B"/>
    <w:rsid w:val="002D29FF"/>
    <w:rsid w:val="002D37F1"/>
    <w:rsid w:val="002D6257"/>
    <w:rsid w:val="002D6307"/>
    <w:rsid w:val="002D65A5"/>
    <w:rsid w:val="002D7900"/>
    <w:rsid w:val="002D7C40"/>
    <w:rsid w:val="002E1402"/>
    <w:rsid w:val="002E15A1"/>
    <w:rsid w:val="002E1612"/>
    <w:rsid w:val="002E320D"/>
    <w:rsid w:val="002E3A44"/>
    <w:rsid w:val="002E4487"/>
    <w:rsid w:val="002E47F1"/>
    <w:rsid w:val="002E4A8C"/>
    <w:rsid w:val="002E51AD"/>
    <w:rsid w:val="002E527B"/>
    <w:rsid w:val="002E52CA"/>
    <w:rsid w:val="002E5BAB"/>
    <w:rsid w:val="002E6657"/>
    <w:rsid w:val="002E7C10"/>
    <w:rsid w:val="002E7E1E"/>
    <w:rsid w:val="002F02EE"/>
    <w:rsid w:val="002F0472"/>
    <w:rsid w:val="002F3901"/>
    <w:rsid w:val="002F3CE6"/>
    <w:rsid w:val="002F451B"/>
    <w:rsid w:val="002F558D"/>
    <w:rsid w:val="002F5833"/>
    <w:rsid w:val="002F7235"/>
    <w:rsid w:val="00300901"/>
    <w:rsid w:val="00302ADE"/>
    <w:rsid w:val="00302B46"/>
    <w:rsid w:val="00302E90"/>
    <w:rsid w:val="00303B83"/>
    <w:rsid w:val="00303C2E"/>
    <w:rsid w:val="00303D95"/>
    <w:rsid w:val="00304ECA"/>
    <w:rsid w:val="003050C6"/>
    <w:rsid w:val="00305241"/>
    <w:rsid w:val="003058D5"/>
    <w:rsid w:val="00306BE8"/>
    <w:rsid w:val="00307F73"/>
    <w:rsid w:val="00310B9F"/>
    <w:rsid w:val="00312646"/>
    <w:rsid w:val="003126F7"/>
    <w:rsid w:val="003128B5"/>
    <w:rsid w:val="00314629"/>
    <w:rsid w:val="00315856"/>
    <w:rsid w:val="00315D1D"/>
    <w:rsid w:val="003170C0"/>
    <w:rsid w:val="003171D3"/>
    <w:rsid w:val="00320855"/>
    <w:rsid w:val="003214DF"/>
    <w:rsid w:val="00323A26"/>
    <w:rsid w:val="00324DF0"/>
    <w:rsid w:val="00326508"/>
    <w:rsid w:val="00326551"/>
    <w:rsid w:val="00327FC8"/>
    <w:rsid w:val="00330B52"/>
    <w:rsid w:val="003313B5"/>
    <w:rsid w:val="0033359D"/>
    <w:rsid w:val="00333942"/>
    <w:rsid w:val="00335B68"/>
    <w:rsid w:val="00336934"/>
    <w:rsid w:val="00341069"/>
    <w:rsid w:val="00342910"/>
    <w:rsid w:val="00342D1C"/>
    <w:rsid w:val="00343872"/>
    <w:rsid w:val="003438A0"/>
    <w:rsid w:val="00345423"/>
    <w:rsid w:val="003472D1"/>
    <w:rsid w:val="00350002"/>
    <w:rsid w:val="00350B37"/>
    <w:rsid w:val="0035103D"/>
    <w:rsid w:val="003524B2"/>
    <w:rsid w:val="003528CF"/>
    <w:rsid w:val="00352961"/>
    <w:rsid w:val="00354DC3"/>
    <w:rsid w:val="00356647"/>
    <w:rsid w:val="003567E9"/>
    <w:rsid w:val="00357300"/>
    <w:rsid w:val="003609A6"/>
    <w:rsid w:val="00361C29"/>
    <w:rsid w:val="00361F64"/>
    <w:rsid w:val="00363ACB"/>
    <w:rsid w:val="00363FDA"/>
    <w:rsid w:val="00363FE4"/>
    <w:rsid w:val="00365A06"/>
    <w:rsid w:val="00365A0C"/>
    <w:rsid w:val="00367B4C"/>
    <w:rsid w:val="00370F51"/>
    <w:rsid w:val="00372639"/>
    <w:rsid w:val="0037429D"/>
    <w:rsid w:val="003755DE"/>
    <w:rsid w:val="0037637C"/>
    <w:rsid w:val="003763EB"/>
    <w:rsid w:val="003811C4"/>
    <w:rsid w:val="003825BA"/>
    <w:rsid w:val="0038330F"/>
    <w:rsid w:val="003848B5"/>
    <w:rsid w:val="00384EC9"/>
    <w:rsid w:val="003851DF"/>
    <w:rsid w:val="0038706A"/>
    <w:rsid w:val="0039057A"/>
    <w:rsid w:val="003906A5"/>
    <w:rsid w:val="0039113B"/>
    <w:rsid w:val="00395F56"/>
    <w:rsid w:val="003A1553"/>
    <w:rsid w:val="003A1B75"/>
    <w:rsid w:val="003A3F7F"/>
    <w:rsid w:val="003A4087"/>
    <w:rsid w:val="003A4697"/>
    <w:rsid w:val="003A4FB0"/>
    <w:rsid w:val="003A5A50"/>
    <w:rsid w:val="003A5BB2"/>
    <w:rsid w:val="003B0E3D"/>
    <w:rsid w:val="003B1963"/>
    <w:rsid w:val="003B2341"/>
    <w:rsid w:val="003B31C0"/>
    <w:rsid w:val="003B46C2"/>
    <w:rsid w:val="003B4C3D"/>
    <w:rsid w:val="003C1760"/>
    <w:rsid w:val="003C6192"/>
    <w:rsid w:val="003C6B14"/>
    <w:rsid w:val="003D2059"/>
    <w:rsid w:val="003D21F5"/>
    <w:rsid w:val="003D2901"/>
    <w:rsid w:val="003D3667"/>
    <w:rsid w:val="003D402A"/>
    <w:rsid w:val="003D4203"/>
    <w:rsid w:val="003D6EFD"/>
    <w:rsid w:val="003D7413"/>
    <w:rsid w:val="003E09E6"/>
    <w:rsid w:val="003E166B"/>
    <w:rsid w:val="003E2525"/>
    <w:rsid w:val="003E7579"/>
    <w:rsid w:val="003E7703"/>
    <w:rsid w:val="003F04D6"/>
    <w:rsid w:val="003F128E"/>
    <w:rsid w:val="003F1AC5"/>
    <w:rsid w:val="003F1D6A"/>
    <w:rsid w:val="003F3BF5"/>
    <w:rsid w:val="003F3CA3"/>
    <w:rsid w:val="003F5542"/>
    <w:rsid w:val="003F5F46"/>
    <w:rsid w:val="003F7B20"/>
    <w:rsid w:val="00400E19"/>
    <w:rsid w:val="00402E3B"/>
    <w:rsid w:val="004044DC"/>
    <w:rsid w:val="0040477D"/>
    <w:rsid w:val="00404B0E"/>
    <w:rsid w:val="00405B9F"/>
    <w:rsid w:val="00406314"/>
    <w:rsid w:val="0040647C"/>
    <w:rsid w:val="00407313"/>
    <w:rsid w:val="004127CC"/>
    <w:rsid w:val="00412E79"/>
    <w:rsid w:val="004138CA"/>
    <w:rsid w:val="00416B5D"/>
    <w:rsid w:val="004200F6"/>
    <w:rsid w:val="004201B0"/>
    <w:rsid w:val="00422B7E"/>
    <w:rsid w:val="00422D28"/>
    <w:rsid w:val="0042379E"/>
    <w:rsid w:val="004243B9"/>
    <w:rsid w:val="0042607B"/>
    <w:rsid w:val="00427276"/>
    <w:rsid w:val="004273B8"/>
    <w:rsid w:val="004275BE"/>
    <w:rsid w:val="00427829"/>
    <w:rsid w:val="00430AB5"/>
    <w:rsid w:val="00434194"/>
    <w:rsid w:val="00434D42"/>
    <w:rsid w:val="00435184"/>
    <w:rsid w:val="00436726"/>
    <w:rsid w:val="00436A9B"/>
    <w:rsid w:val="00437576"/>
    <w:rsid w:val="00437E7E"/>
    <w:rsid w:val="00440F0C"/>
    <w:rsid w:val="00441C39"/>
    <w:rsid w:val="00443C0C"/>
    <w:rsid w:val="00446736"/>
    <w:rsid w:val="00446FCF"/>
    <w:rsid w:val="00447A83"/>
    <w:rsid w:val="00447C3A"/>
    <w:rsid w:val="00451DCA"/>
    <w:rsid w:val="0045264B"/>
    <w:rsid w:val="0045496D"/>
    <w:rsid w:val="00454B55"/>
    <w:rsid w:val="0045597B"/>
    <w:rsid w:val="004562C1"/>
    <w:rsid w:val="0045670B"/>
    <w:rsid w:val="00457864"/>
    <w:rsid w:val="004614F8"/>
    <w:rsid w:val="00462CF3"/>
    <w:rsid w:val="00463868"/>
    <w:rsid w:val="00464617"/>
    <w:rsid w:val="00465410"/>
    <w:rsid w:val="00465F14"/>
    <w:rsid w:val="00465FE6"/>
    <w:rsid w:val="004662E0"/>
    <w:rsid w:val="004671E9"/>
    <w:rsid w:val="0047251C"/>
    <w:rsid w:val="00472FF1"/>
    <w:rsid w:val="00474B98"/>
    <w:rsid w:val="004773C3"/>
    <w:rsid w:val="00480402"/>
    <w:rsid w:val="00481258"/>
    <w:rsid w:val="00481D90"/>
    <w:rsid w:val="0048215F"/>
    <w:rsid w:val="00483CA8"/>
    <w:rsid w:val="00485382"/>
    <w:rsid w:val="00485CEA"/>
    <w:rsid w:val="00486102"/>
    <w:rsid w:val="00486812"/>
    <w:rsid w:val="00486A4A"/>
    <w:rsid w:val="00486C6D"/>
    <w:rsid w:val="00487177"/>
    <w:rsid w:val="004877B6"/>
    <w:rsid w:val="00487A72"/>
    <w:rsid w:val="00487F67"/>
    <w:rsid w:val="00490293"/>
    <w:rsid w:val="00490411"/>
    <w:rsid w:val="004905BA"/>
    <w:rsid w:val="00490D10"/>
    <w:rsid w:val="004920E0"/>
    <w:rsid w:val="00492511"/>
    <w:rsid w:val="004931BE"/>
    <w:rsid w:val="00494D28"/>
    <w:rsid w:val="00495C4D"/>
    <w:rsid w:val="00496AB9"/>
    <w:rsid w:val="00497252"/>
    <w:rsid w:val="004A0011"/>
    <w:rsid w:val="004A0B95"/>
    <w:rsid w:val="004A3F6C"/>
    <w:rsid w:val="004A66E3"/>
    <w:rsid w:val="004A6826"/>
    <w:rsid w:val="004A715B"/>
    <w:rsid w:val="004A74E7"/>
    <w:rsid w:val="004B175D"/>
    <w:rsid w:val="004B192B"/>
    <w:rsid w:val="004B197B"/>
    <w:rsid w:val="004B28B5"/>
    <w:rsid w:val="004B3FB4"/>
    <w:rsid w:val="004B49D5"/>
    <w:rsid w:val="004B69DB"/>
    <w:rsid w:val="004C0ACF"/>
    <w:rsid w:val="004C206D"/>
    <w:rsid w:val="004C4667"/>
    <w:rsid w:val="004C58CF"/>
    <w:rsid w:val="004C77F5"/>
    <w:rsid w:val="004D0C9A"/>
    <w:rsid w:val="004D25B1"/>
    <w:rsid w:val="004D26BF"/>
    <w:rsid w:val="004D4B24"/>
    <w:rsid w:val="004D51A8"/>
    <w:rsid w:val="004D52F8"/>
    <w:rsid w:val="004D5CF1"/>
    <w:rsid w:val="004D694B"/>
    <w:rsid w:val="004D72FF"/>
    <w:rsid w:val="004E3106"/>
    <w:rsid w:val="004E3225"/>
    <w:rsid w:val="004E3C3C"/>
    <w:rsid w:val="004E4676"/>
    <w:rsid w:val="004E46D6"/>
    <w:rsid w:val="004E4EE4"/>
    <w:rsid w:val="004E58FD"/>
    <w:rsid w:val="004E661B"/>
    <w:rsid w:val="004E66CD"/>
    <w:rsid w:val="004E76C7"/>
    <w:rsid w:val="004E7959"/>
    <w:rsid w:val="004F073A"/>
    <w:rsid w:val="004F0E01"/>
    <w:rsid w:val="004F2238"/>
    <w:rsid w:val="004F4E32"/>
    <w:rsid w:val="004F4F5A"/>
    <w:rsid w:val="004F5279"/>
    <w:rsid w:val="004F7089"/>
    <w:rsid w:val="004F72C4"/>
    <w:rsid w:val="0050096A"/>
    <w:rsid w:val="00502DA2"/>
    <w:rsid w:val="00503015"/>
    <w:rsid w:val="00503173"/>
    <w:rsid w:val="00504364"/>
    <w:rsid w:val="00504B69"/>
    <w:rsid w:val="00504BBD"/>
    <w:rsid w:val="00506397"/>
    <w:rsid w:val="005106B7"/>
    <w:rsid w:val="00510D82"/>
    <w:rsid w:val="00511A74"/>
    <w:rsid w:val="0051301A"/>
    <w:rsid w:val="005158F5"/>
    <w:rsid w:val="0051621D"/>
    <w:rsid w:val="005162BA"/>
    <w:rsid w:val="0051790E"/>
    <w:rsid w:val="00517C76"/>
    <w:rsid w:val="00520856"/>
    <w:rsid w:val="00521A99"/>
    <w:rsid w:val="0052313D"/>
    <w:rsid w:val="00523867"/>
    <w:rsid w:val="005238EC"/>
    <w:rsid w:val="00523F2B"/>
    <w:rsid w:val="00530698"/>
    <w:rsid w:val="005311D2"/>
    <w:rsid w:val="005340DC"/>
    <w:rsid w:val="00534E19"/>
    <w:rsid w:val="00535489"/>
    <w:rsid w:val="0053608E"/>
    <w:rsid w:val="005368CB"/>
    <w:rsid w:val="00540213"/>
    <w:rsid w:val="005403FC"/>
    <w:rsid w:val="00542CA2"/>
    <w:rsid w:val="00543BEB"/>
    <w:rsid w:val="00544704"/>
    <w:rsid w:val="005469A1"/>
    <w:rsid w:val="00550482"/>
    <w:rsid w:val="005518F3"/>
    <w:rsid w:val="00551C37"/>
    <w:rsid w:val="0055482B"/>
    <w:rsid w:val="005556DC"/>
    <w:rsid w:val="00560132"/>
    <w:rsid w:val="00560817"/>
    <w:rsid w:val="00561164"/>
    <w:rsid w:val="00561D71"/>
    <w:rsid w:val="00562159"/>
    <w:rsid w:val="00562F03"/>
    <w:rsid w:val="00565F27"/>
    <w:rsid w:val="0056605A"/>
    <w:rsid w:val="005671BE"/>
    <w:rsid w:val="00567BB6"/>
    <w:rsid w:val="00570694"/>
    <w:rsid w:val="00570B3E"/>
    <w:rsid w:val="00571A05"/>
    <w:rsid w:val="00573995"/>
    <w:rsid w:val="00574B64"/>
    <w:rsid w:val="0057670C"/>
    <w:rsid w:val="00577A3B"/>
    <w:rsid w:val="0058317B"/>
    <w:rsid w:val="005833E6"/>
    <w:rsid w:val="005845FD"/>
    <w:rsid w:val="00585281"/>
    <w:rsid w:val="00585AB5"/>
    <w:rsid w:val="00586765"/>
    <w:rsid w:val="00587B1C"/>
    <w:rsid w:val="00591A00"/>
    <w:rsid w:val="00592092"/>
    <w:rsid w:val="00594BCB"/>
    <w:rsid w:val="00595E68"/>
    <w:rsid w:val="005965A5"/>
    <w:rsid w:val="005A0A68"/>
    <w:rsid w:val="005A20B3"/>
    <w:rsid w:val="005A3CA5"/>
    <w:rsid w:val="005A4A41"/>
    <w:rsid w:val="005A4AFC"/>
    <w:rsid w:val="005A5D3D"/>
    <w:rsid w:val="005B00AD"/>
    <w:rsid w:val="005B01D9"/>
    <w:rsid w:val="005B04E0"/>
    <w:rsid w:val="005B1B23"/>
    <w:rsid w:val="005B5934"/>
    <w:rsid w:val="005B6DB4"/>
    <w:rsid w:val="005B7B61"/>
    <w:rsid w:val="005C051A"/>
    <w:rsid w:val="005C0A05"/>
    <w:rsid w:val="005C17AD"/>
    <w:rsid w:val="005C1814"/>
    <w:rsid w:val="005C34A0"/>
    <w:rsid w:val="005C3A15"/>
    <w:rsid w:val="005C421C"/>
    <w:rsid w:val="005C475C"/>
    <w:rsid w:val="005C67D4"/>
    <w:rsid w:val="005D135B"/>
    <w:rsid w:val="005D1410"/>
    <w:rsid w:val="005D3372"/>
    <w:rsid w:val="005D3E3F"/>
    <w:rsid w:val="005D4150"/>
    <w:rsid w:val="005D471C"/>
    <w:rsid w:val="005D635E"/>
    <w:rsid w:val="005D70C3"/>
    <w:rsid w:val="005D7980"/>
    <w:rsid w:val="005E01E3"/>
    <w:rsid w:val="005E0E99"/>
    <w:rsid w:val="005E1AB4"/>
    <w:rsid w:val="005E209A"/>
    <w:rsid w:val="005E3C9F"/>
    <w:rsid w:val="005E5FBA"/>
    <w:rsid w:val="005E663F"/>
    <w:rsid w:val="005F572E"/>
    <w:rsid w:val="005F5F71"/>
    <w:rsid w:val="005F5FB2"/>
    <w:rsid w:val="005F6FCC"/>
    <w:rsid w:val="0060082B"/>
    <w:rsid w:val="00601314"/>
    <w:rsid w:val="00601E97"/>
    <w:rsid w:val="006047AC"/>
    <w:rsid w:val="00606F2B"/>
    <w:rsid w:val="00607233"/>
    <w:rsid w:val="00607829"/>
    <w:rsid w:val="006115E3"/>
    <w:rsid w:val="0061294E"/>
    <w:rsid w:val="00612ABB"/>
    <w:rsid w:val="00614D23"/>
    <w:rsid w:val="006159C6"/>
    <w:rsid w:val="006163D6"/>
    <w:rsid w:val="0062189A"/>
    <w:rsid w:val="006223AC"/>
    <w:rsid w:val="00622743"/>
    <w:rsid w:val="006238CA"/>
    <w:rsid w:val="006239F9"/>
    <w:rsid w:val="00623D63"/>
    <w:rsid w:val="00624634"/>
    <w:rsid w:val="00626E7B"/>
    <w:rsid w:val="00630A81"/>
    <w:rsid w:val="006323F3"/>
    <w:rsid w:val="00632DDC"/>
    <w:rsid w:val="00633E59"/>
    <w:rsid w:val="00635D55"/>
    <w:rsid w:val="00635FB8"/>
    <w:rsid w:val="00637897"/>
    <w:rsid w:val="0064006B"/>
    <w:rsid w:val="00641D83"/>
    <w:rsid w:val="00642D38"/>
    <w:rsid w:val="00642DA6"/>
    <w:rsid w:val="00643204"/>
    <w:rsid w:val="0064418F"/>
    <w:rsid w:val="00644B03"/>
    <w:rsid w:val="006451A0"/>
    <w:rsid w:val="006459B9"/>
    <w:rsid w:val="00646358"/>
    <w:rsid w:val="0065080C"/>
    <w:rsid w:val="006539A1"/>
    <w:rsid w:val="00653A8B"/>
    <w:rsid w:val="00653CBF"/>
    <w:rsid w:val="00654D69"/>
    <w:rsid w:val="00655402"/>
    <w:rsid w:val="0065552D"/>
    <w:rsid w:val="00655667"/>
    <w:rsid w:val="00656716"/>
    <w:rsid w:val="00657F55"/>
    <w:rsid w:val="00661CA0"/>
    <w:rsid w:val="00663DB0"/>
    <w:rsid w:val="00664623"/>
    <w:rsid w:val="0066483F"/>
    <w:rsid w:val="00664EEB"/>
    <w:rsid w:val="00665AE5"/>
    <w:rsid w:val="00667DE7"/>
    <w:rsid w:val="00670AA4"/>
    <w:rsid w:val="00671A44"/>
    <w:rsid w:val="00671CEB"/>
    <w:rsid w:val="00671DF9"/>
    <w:rsid w:val="0067261A"/>
    <w:rsid w:val="006731F0"/>
    <w:rsid w:val="00676EF0"/>
    <w:rsid w:val="00683313"/>
    <w:rsid w:val="0068345D"/>
    <w:rsid w:val="00684083"/>
    <w:rsid w:val="00684329"/>
    <w:rsid w:val="006845F5"/>
    <w:rsid w:val="0068496E"/>
    <w:rsid w:val="006854A8"/>
    <w:rsid w:val="006858DE"/>
    <w:rsid w:val="00687377"/>
    <w:rsid w:val="0069037E"/>
    <w:rsid w:val="00690953"/>
    <w:rsid w:val="00691521"/>
    <w:rsid w:val="00692290"/>
    <w:rsid w:val="00692557"/>
    <w:rsid w:val="00693B83"/>
    <w:rsid w:val="00694B47"/>
    <w:rsid w:val="00695460"/>
    <w:rsid w:val="006959FA"/>
    <w:rsid w:val="00695D98"/>
    <w:rsid w:val="00696B61"/>
    <w:rsid w:val="0069782B"/>
    <w:rsid w:val="006A090A"/>
    <w:rsid w:val="006A2834"/>
    <w:rsid w:val="006A3282"/>
    <w:rsid w:val="006A3E66"/>
    <w:rsid w:val="006A4FE4"/>
    <w:rsid w:val="006A5680"/>
    <w:rsid w:val="006A5824"/>
    <w:rsid w:val="006A6230"/>
    <w:rsid w:val="006A6AE5"/>
    <w:rsid w:val="006B09DC"/>
    <w:rsid w:val="006B1CF8"/>
    <w:rsid w:val="006B230B"/>
    <w:rsid w:val="006B4AB1"/>
    <w:rsid w:val="006B5D72"/>
    <w:rsid w:val="006B6229"/>
    <w:rsid w:val="006B68DD"/>
    <w:rsid w:val="006B7258"/>
    <w:rsid w:val="006C0018"/>
    <w:rsid w:val="006C0D02"/>
    <w:rsid w:val="006C1A3D"/>
    <w:rsid w:val="006C48AD"/>
    <w:rsid w:val="006C57DB"/>
    <w:rsid w:val="006C6F5F"/>
    <w:rsid w:val="006D045B"/>
    <w:rsid w:val="006D2F2E"/>
    <w:rsid w:val="006D322D"/>
    <w:rsid w:val="006D361A"/>
    <w:rsid w:val="006D3788"/>
    <w:rsid w:val="006D4A78"/>
    <w:rsid w:val="006D7F9D"/>
    <w:rsid w:val="006E037B"/>
    <w:rsid w:val="006E22C0"/>
    <w:rsid w:val="006E3102"/>
    <w:rsid w:val="006E3720"/>
    <w:rsid w:val="006E3D4E"/>
    <w:rsid w:val="006E480E"/>
    <w:rsid w:val="006E5591"/>
    <w:rsid w:val="006E5C68"/>
    <w:rsid w:val="006E5F7A"/>
    <w:rsid w:val="006F09FD"/>
    <w:rsid w:val="006F0C50"/>
    <w:rsid w:val="006F331C"/>
    <w:rsid w:val="00701330"/>
    <w:rsid w:val="00701A80"/>
    <w:rsid w:val="00702E9C"/>
    <w:rsid w:val="00706142"/>
    <w:rsid w:val="00706CBD"/>
    <w:rsid w:val="0070727F"/>
    <w:rsid w:val="007103B3"/>
    <w:rsid w:val="00710858"/>
    <w:rsid w:val="0071314A"/>
    <w:rsid w:val="00713FFE"/>
    <w:rsid w:val="0071446C"/>
    <w:rsid w:val="007154E3"/>
    <w:rsid w:val="00717295"/>
    <w:rsid w:val="00717FCD"/>
    <w:rsid w:val="0072011A"/>
    <w:rsid w:val="00721BBE"/>
    <w:rsid w:val="007221D9"/>
    <w:rsid w:val="00724228"/>
    <w:rsid w:val="00724BF6"/>
    <w:rsid w:val="00725470"/>
    <w:rsid w:val="00725FF8"/>
    <w:rsid w:val="007270EC"/>
    <w:rsid w:val="00727646"/>
    <w:rsid w:val="00730FF2"/>
    <w:rsid w:val="00731BA1"/>
    <w:rsid w:val="00731D79"/>
    <w:rsid w:val="00732E8C"/>
    <w:rsid w:val="00735A07"/>
    <w:rsid w:val="00737168"/>
    <w:rsid w:val="00737E1F"/>
    <w:rsid w:val="00740460"/>
    <w:rsid w:val="0074062C"/>
    <w:rsid w:val="00743774"/>
    <w:rsid w:val="007437EA"/>
    <w:rsid w:val="00744077"/>
    <w:rsid w:val="0074685C"/>
    <w:rsid w:val="00747061"/>
    <w:rsid w:val="007470C3"/>
    <w:rsid w:val="007474FE"/>
    <w:rsid w:val="007568A5"/>
    <w:rsid w:val="007603D5"/>
    <w:rsid w:val="0076040A"/>
    <w:rsid w:val="007607C7"/>
    <w:rsid w:val="007611EF"/>
    <w:rsid w:val="00762304"/>
    <w:rsid w:val="0076301D"/>
    <w:rsid w:val="0076376F"/>
    <w:rsid w:val="00765266"/>
    <w:rsid w:val="00766984"/>
    <w:rsid w:val="00767483"/>
    <w:rsid w:val="00767491"/>
    <w:rsid w:val="00767598"/>
    <w:rsid w:val="00773C84"/>
    <w:rsid w:val="00776442"/>
    <w:rsid w:val="00776AA7"/>
    <w:rsid w:val="00777619"/>
    <w:rsid w:val="00783759"/>
    <w:rsid w:val="00783F09"/>
    <w:rsid w:val="00784D33"/>
    <w:rsid w:val="0078544E"/>
    <w:rsid w:val="00785BB0"/>
    <w:rsid w:val="00785ED4"/>
    <w:rsid w:val="00786E90"/>
    <w:rsid w:val="00791D58"/>
    <w:rsid w:val="00793EB9"/>
    <w:rsid w:val="007A09DE"/>
    <w:rsid w:val="007A1C93"/>
    <w:rsid w:val="007A273A"/>
    <w:rsid w:val="007A323B"/>
    <w:rsid w:val="007A3DAD"/>
    <w:rsid w:val="007A4CE6"/>
    <w:rsid w:val="007A4CEB"/>
    <w:rsid w:val="007A583B"/>
    <w:rsid w:val="007A5B91"/>
    <w:rsid w:val="007A6302"/>
    <w:rsid w:val="007A67B0"/>
    <w:rsid w:val="007A68D3"/>
    <w:rsid w:val="007A77AC"/>
    <w:rsid w:val="007A7960"/>
    <w:rsid w:val="007B54B7"/>
    <w:rsid w:val="007B6265"/>
    <w:rsid w:val="007B6EAB"/>
    <w:rsid w:val="007B7D06"/>
    <w:rsid w:val="007C1DF7"/>
    <w:rsid w:val="007C3499"/>
    <w:rsid w:val="007C73FF"/>
    <w:rsid w:val="007D0989"/>
    <w:rsid w:val="007D2189"/>
    <w:rsid w:val="007D2CAE"/>
    <w:rsid w:val="007D3E9D"/>
    <w:rsid w:val="007D4CA5"/>
    <w:rsid w:val="007D6891"/>
    <w:rsid w:val="007D6F8E"/>
    <w:rsid w:val="007D7182"/>
    <w:rsid w:val="007D723C"/>
    <w:rsid w:val="007E0255"/>
    <w:rsid w:val="007E1689"/>
    <w:rsid w:val="007E1AAF"/>
    <w:rsid w:val="007E1ACF"/>
    <w:rsid w:val="007E66F5"/>
    <w:rsid w:val="007E701F"/>
    <w:rsid w:val="007E753D"/>
    <w:rsid w:val="007E770D"/>
    <w:rsid w:val="007F031C"/>
    <w:rsid w:val="007F1E4F"/>
    <w:rsid w:val="007F6DAC"/>
    <w:rsid w:val="007F785E"/>
    <w:rsid w:val="007F7B66"/>
    <w:rsid w:val="008003FB"/>
    <w:rsid w:val="008023DB"/>
    <w:rsid w:val="0080289C"/>
    <w:rsid w:val="00804269"/>
    <w:rsid w:val="008066BE"/>
    <w:rsid w:val="008069CF"/>
    <w:rsid w:val="00807B2F"/>
    <w:rsid w:val="008110F6"/>
    <w:rsid w:val="00811807"/>
    <w:rsid w:val="00812637"/>
    <w:rsid w:val="00813312"/>
    <w:rsid w:val="008133E9"/>
    <w:rsid w:val="00815831"/>
    <w:rsid w:val="00815C8F"/>
    <w:rsid w:val="008217BC"/>
    <w:rsid w:val="008221D2"/>
    <w:rsid w:val="00822BB3"/>
    <w:rsid w:val="008237F3"/>
    <w:rsid w:val="0082585E"/>
    <w:rsid w:val="00826B52"/>
    <w:rsid w:val="00827961"/>
    <w:rsid w:val="0083046B"/>
    <w:rsid w:val="00832A91"/>
    <w:rsid w:val="008333A1"/>
    <w:rsid w:val="00833E90"/>
    <w:rsid w:val="008347B0"/>
    <w:rsid w:val="008351E2"/>
    <w:rsid w:val="00835C79"/>
    <w:rsid w:val="00836657"/>
    <w:rsid w:val="008366FA"/>
    <w:rsid w:val="00836DC9"/>
    <w:rsid w:val="00837020"/>
    <w:rsid w:val="00840D9B"/>
    <w:rsid w:val="008420D4"/>
    <w:rsid w:val="00842EE5"/>
    <w:rsid w:val="00842F07"/>
    <w:rsid w:val="0084671D"/>
    <w:rsid w:val="0084792D"/>
    <w:rsid w:val="00847F35"/>
    <w:rsid w:val="008519F8"/>
    <w:rsid w:val="00852767"/>
    <w:rsid w:val="00852B88"/>
    <w:rsid w:val="00852FA3"/>
    <w:rsid w:val="008542E1"/>
    <w:rsid w:val="0085433B"/>
    <w:rsid w:val="00854A37"/>
    <w:rsid w:val="00854F1F"/>
    <w:rsid w:val="00855D6C"/>
    <w:rsid w:val="00855EC9"/>
    <w:rsid w:val="00856998"/>
    <w:rsid w:val="00860124"/>
    <w:rsid w:val="00862B04"/>
    <w:rsid w:val="00863E55"/>
    <w:rsid w:val="00867B49"/>
    <w:rsid w:val="00867C77"/>
    <w:rsid w:val="00871445"/>
    <w:rsid w:val="00872EFD"/>
    <w:rsid w:val="00873228"/>
    <w:rsid w:val="00875AD1"/>
    <w:rsid w:val="00876CF0"/>
    <w:rsid w:val="008816A0"/>
    <w:rsid w:val="0088477E"/>
    <w:rsid w:val="008848FE"/>
    <w:rsid w:val="00884956"/>
    <w:rsid w:val="0088756B"/>
    <w:rsid w:val="00887C06"/>
    <w:rsid w:val="00887F8A"/>
    <w:rsid w:val="008914B1"/>
    <w:rsid w:val="008946CE"/>
    <w:rsid w:val="008947B2"/>
    <w:rsid w:val="00895C1B"/>
    <w:rsid w:val="008966FE"/>
    <w:rsid w:val="008A48AA"/>
    <w:rsid w:val="008A58C5"/>
    <w:rsid w:val="008A6F70"/>
    <w:rsid w:val="008B0271"/>
    <w:rsid w:val="008B1F84"/>
    <w:rsid w:val="008B3904"/>
    <w:rsid w:val="008B3B5E"/>
    <w:rsid w:val="008B4CB5"/>
    <w:rsid w:val="008B605A"/>
    <w:rsid w:val="008B7BCC"/>
    <w:rsid w:val="008B7C88"/>
    <w:rsid w:val="008C2C80"/>
    <w:rsid w:val="008C5626"/>
    <w:rsid w:val="008C57F6"/>
    <w:rsid w:val="008C5CF2"/>
    <w:rsid w:val="008C74AD"/>
    <w:rsid w:val="008D0230"/>
    <w:rsid w:val="008D05F1"/>
    <w:rsid w:val="008D1425"/>
    <w:rsid w:val="008D1D33"/>
    <w:rsid w:val="008D2DC7"/>
    <w:rsid w:val="008D3291"/>
    <w:rsid w:val="008D3DBC"/>
    <w:rsid w:val="008D436F"/>
    <w:rsid w:val="008D55A9"/>
    <w:rsid w:val="008D6ABE"/>
    <w:rsid w:val="008D6C4D"/>
    <w:rsid w:val="008D7A2E"/>
    <w:rsid w:val="008E1883"/>
    <w:rsid w:val="008E22B5"/>
    <w:rsid w:val="008E368C"/>
    <w:rsid w:val="008E6192"/>
    <w:rsid w:val="008E61D1"/>
    <w:rsid w:val="008E65D2"/>
    <w:rsid w:val="008E6892"/>
    <w:rsid w:val="008E7C20"/>
    <w:rsid w:val="008F0290"/>
    <w:rsid w:val="008F1546"/>
    <w:rsid w:val="008F3399"/>
    <w:rsid w:val="008F33BB"/>
    <w:rsid w:val="008F34BD"/>
    <w:rsid w:val="008F3628"/>
    <w:rsid w:val="008F3DD7"/>
    <w:rsid w:val="008F57E9"/>
    <w:rsid w:val="008F713F"/>
    <w:rsid w:val="008F72D8"/>
    <w:rsid w:val="008F73A2"/>
    <w:rsid w:val="008F7E2A"/>
    <w:rsid w:val="00900799"/>
    <w:rsid w:val="00900D05"/>
    <w:rsid w:val="00902091"/>
    <w:rsid w:val="00904AAE"/>
    <w:rsid w:val="00907E3F"/>
    <w:rsid w:val="00910058"/>
    <w:rsid w:val="0091179A"/>
    <w:rsid w:val="00912C72"/>
    <w:rsid w:val="009131FD"/>
    <w:rsid w:val="00913AAF"/>
    <w:rsid w:val="00913D4E"/>
    <w:rsid w:val="0091487A"/>
    <w:rsid w:val="009162E2"/>
    <w:rsid w:val="009201A2"/>
    <w:rsid w:val="00920496"/>
    <w:rsid w:val="00920524"/>
    <w:rsid w:val="00920720"/>
    <w:rsid w:val="00922B97"/>
    <w:rsid w:val="00923503"/>
    <w:rsid w:val="00926217"/>
    <w:rsid w:val="0092764D"/>
    <w:rsid w:val="00927CB1"/>
    <w:rsid w:val="0093197D"/>
    <w:rsid w:val="00931E50"/>
    <w:rsid w:val="00932185"/>
    <w:rsid w:val="00932E21"/>
    <w:rsid w:val="009360D0"/>
    <w:rsid w:val="00936480"/>
    <w:rsid w:val="009365E3"/>
    <w:rsid w:val="0094136A"/>
    <w:rsid w:val="00943C8F"/>
    <w:rsid w:val="00944DC6"/>
    <w:rsid w:val="00945653"/>
    <w:rsid w:val="00945CF8"/>
    <w:rsid w:val="009469E5"/>
    <w:rsid w:val="009505B3"/>
    <w:rsid w:val="00952193"/>
    <w:rsid w:val="00952B58"/>
    <w:rsid w:val="0095323F"/>
    <w:rsid w:val="009540E2"/>
    <w:rsid w:val="00954105"/>
    <w:rsid w:val="00954D55"/>
    <w:rsid w:val="0095673A"/>
    <w:rsid w:val="00956BB3"/>
    <w:rsid w:val="00956C60"/>
    <w:rsid w:val="00956D43"/>
    <w:rsid w:val="009602A3"/>
    <w:rsid w:val="009617DC"/>
    <w:rsid w:val="00964F8A"/>
    <w:rsid w:val="00966211"/>
    <w:rsid w:val="00970CA4"/>
    <w:rsid w:val="00970CE7"/>
    <w:rsid w:val="0097203A"/>
    <w:rsid w:val="00972218"/>
    <w:rsid w:val="00972B18"/>
    <w:rsid w:val="00972DF4"/>
    <w:rsid w:val="00973929"/>
    <w:rsid w:val="00973E12"/>
    <w:rsid w:val="009803F8"/>
    <w:rsid w:val="00981195"/>
    <w:rsid w:val="00982156"/>
    <w:rsid w:val="0098403A"/>
    <w:rsid w:val="0098426E"/>
    <w:rsid w:val="00984686"/>
    <w:rsid w:val="00985E62"/>
    <w:rsid w:val="009877EB"/>
    <w:rsid w:val="00987DE9"/>
    <w:rsid w:val="00990EF6"/>
    <w:rsid w:val="009910DA"/>
    <w:rsid w:val="0099348C"/>
    <w:rsid w:val="00993B30"/>
    <w:rsid w:val="00994909"/>
    <w:rsid w:val="00994ADD"/>
    <w:rsid w:val="00995B7D"/>
    <w:rsid w:val="00996939"/>
    <w:rsid w:val="00997D8D"/>
    <w:rsid w:val="009A090E"/>
    <w:rsid w:val="009A0A99"/>
    <w:rsid w:val="009A192D"/>
    <w:rsid w:val="009A206D"/>
    <w:rsid w:val="009A3B60"/>
    <w:rsid w:val="009A3F7A"/>
    <w:rsid w:val="009A4AA4"/>
    <w:rsid w:val="009A65C8"/>
    <w:rsid w:val="009A6C9A"/>
    <w:rsid w:val="009A6F5E"/>
    <w:rsid w:val="009B1086"/>
    <w:rsid w:val="009B204E"/>
    <w:rsid w:val="009B22D2"/>
    <w:rsid w:val="009B39AA"/>
    <w:rsid w:val="009B45EF"/>
    <w:rsid w:val="009B647D"/>
    <w:rsid w:val="009C1683"/>
    <w:rsid w:val="009C2D22"/>
    <w:rsid w:val="009C40DA"/>
    <w:rsid w:val="009C77E9"/>
    <w:rsid w:val="009C7C9B"/>
    <w:rsid w:val="009D147F"/>
    <w:rsid w:val="009D3478"/>
    <w:rsid w:val="009D3A37"/>
    <w:rsid w:val="009D3C98"/>
    <w:rsid w:val="009D41B7"/>
    <w:rsid w:val="009D465B"/>
    <w:rsid w:val="009D4D6D"/>
    <w:rsid w:val="009D52B2"/>
    <w:rsid w:val="009D547D"/>
    <w:rsid w:val="009D5857"/>
    <w:rsid w:val="009D593B"/>
    <w:rsid w:val="009E22A8"/>
    <w:rsid w:val="009E35F4"/>
    <w:rsid w:val="009E3D35"/>
    <w:rsid w:val="009E44FD"/>
    <w:rsid w:val="009E4B86"/>
    <w:rsid w:val="009E600C"/>
    <w:rsid w:val="009E765D"/>
    <w:rsid w:val="009E7D75"/>
    <w:rsid w:val="009E7F52"/>
    <w:rsid w:val="009F13C7"/>
    <w:rsid w:val="009F1BA1"/>
    <w:rsid w:val="009F206A"/>
    <w:rsid w:val="009F3697"/>
    <w:rsid w:val="009F4652"/>
    <w:rsid w:val="009F4789"/>
    <w:rsid w:val="009F5EDD"/>
    <w:rsid w:val="009F6514"/>
    <w:rsid w:val="00A008E1"/>
    <w:rsid w:val="00A02EFC"/>
    <w:rsid w:val="00A03BD3"/>
    <w:rsid w:val="00A05517"/>
    <w:rsid w:val="00A05730"/>
    <w:rsid w:val="00A12984"/>
    <w:rsid w:val="00A13517"/>
    <w:rsid w:val="00A14E12"/>
    <w:rsid w:val="00A153B6"/>
    <w:rsid w:val="00A16649"/>
    <w:rsid w:val="00A17140"/>
    <w:rsid w:val="00A17907"/>
    <w:rsid w:val="00A236FE"/>
    <w:rsid w:val="00A241C0"/>
    <w:rsid w:val="00A24DCE"/>
    <w:rsid w:val="00A251B9"/>
    <w:rsid w:val="00A270A5"/>
    <w:rsid w:val="00A2781D"/>
    <w:rsid w:val="00A31540"/>
    <w:rsid w:val="00A320E3"/>
    <w:rsid w:val="00A33525"/>
    <w:rsid w:val="00A33573"/>
    <w:rsid w:val="00A33807"/>
    <w:rsid w:val="00A34710"/>
    <w:rsid w:val="00A34AB0"/>
    <w:rsid w:val="00A378A8"/>
    <w:rsid w:val="00A37BCE"/>
    <w:rsid w:val="00A37C16"/>
    <w:rsid w:val="00A40744"/>
    <w:rsid w:val="00A40811"/>
    <w:rsid w:val="00A42944"/>
    <w:rsid w:val="00A473B0"/>
    <w:rsid w:val="00A50A5E"/>
    <w:rsid w:val="00A52C17"/>
    <w:rsid w:val="00A53E5E"/>
    <w:rsid w:val="00A5591C"/>
    <w:rsid w:val="00A60628"/>
    <w:rsid w:val="00A619D1"/>
    <w:rsid w:val="00A635CC"/>
    <w:rsid w:val="00A63FD1"/>
    <w:rsid w:val="00A6479F"/>
    <w:rsid w:val="00A64BCA"/>
    <w:rsid w:val="00A64EDF"/>
    <w:rsid w:val="00A65D7B"/>
    <w:rsid w:val="00A66FEC"/>
    <w:rsid w:val="00A67B04"/>
    <w:rsid w:val="00A70B7A"/>
    <w:rsid w:val="00A70E96"/>
    <w:rsid w:val="00A70EA3"/>
    <w:rsid w:val="00A70F3C"/>
    <w:rsid w:val="00A72FBB"/>
    <w:rsid w:val="00A77B61"/>
    <w:rsid w:val="00A81BE5"/>
    <w:rsid w:val="00A8223D"/>
    <w:rsid w:val="00A85589"/>
    <w:rsid w:val="00A8574E"/>
    <w:rsid w:val="00A87248"/>
    <w:rsid w:val="00A930E5"/>
    <w:rsid w:val="00A940CE"/>
    <w:rsid w:val="00A963A9"/>
    <w:rsid w:val="00A9779E"/>
    <w:rsid w:val="00AA01E6"/>
    <w:rsid w:val="00AA09DD"/>
    <w:rsid w:val="00AA0D20"/>
    <w:rsid w:val="00AA16B3"/>
    <w:rsid w:val="00AA20D5"/>
    <w:rsid w:val="00AA2483"/>
    <w:rsid w:val="00AA2A85"/>
    <w:rsid w:val="00AA31B1"/>
    <w:rsid w:val="00AA41EA"/>
    <w:rsid w:val="00AA49D0"/>
    <w:rsid w:val="00AA6AA2"/>
    <w:rsid w:val="00AA6CD0"/>
    <w:rsid w:val="00AB0E2B"/>
    <w:rsid w:val="00AB121A"/>
    <w:rsid w:val="00AB22E0"/>
    <w:rsid w:val="00AB40B6"/>
    <w:rsid w:val="00AB56C1"/>
    <w:rsid w:val="00AB5D49"/>
    <w:rsid w:val="00AB67D0"/>
    <w:rsid w:val="00AC0C4C"/>
    <w:rsid w:val="00AC0CDE"/>
    <w:rsid w:val="00AC0D52"/>
    <w:rsid w:val="00AC132D"/>
    <w:rsid w:val="00AC146A"/>
    <w:rsid w:val="00AC1733"/>
    <w:rsid w:val="00AC55D2"/>
    <w:rsid w:val="00AD039C"/>
    <w:rsid w:val="00AD1F20"/>
    <w:rsid w:val="00AD3F52"/>
    <w:rsid w:val="00AD67C7"/>
    <w:rsid w:val="00AD6DF6"/>
    <w:rsid w:val="00AD7E5B"/>
    <w:rsid w:val="00AE1420"/>
    <w:rsid w:val="00AE15F8"/>
    <w:rsid w:val="00AE36BD"/>
    <w:rsid w:val="00AE54A9"/>
    <w:rsid w:val="00AE606D"/>
    <w:rsid w:val="00AE7163"/>
    <w:rsid w:val="00AE73D8"/>
    <w:rsid w:val="00AE74B3"/>
    <w:rsid w:val="00AF04C2"/>
    <w:rsid w:val="00AF1122"/>
    <w:rsid w:val="00AF2359"/>
    <w:rsid w:val="00AF2675"/>
    <w:rsid w:val="00AF308D"/>
    <w:rsid w:val="00AF78EE"/>
    <w:rsid w:val="00B0046D"/>
    <w:rsid w:val="00B0099C"/>
    <w:rsid w:val="00B00EDC"/>
    <w:rsid w:val="00B01111"/>
    <w:rsid w:val="00B011E6"/>
    <w:rsid w:val="00B02B0F"/>
    <w:rsid w:val="00B0714F"/>
    <w:rsid w:val="00B0755E"/>
    <w:rsid w:val="00B077CC"/>
    <w:rsid w:val="00B11BCB"/>
    <w:rsid w:val="00B11D45"/>
    <w:rsid w:val="00B13181"/>
    <w:rsid w:val="00B1439F"/>
    <w:rsid w:val="00B1479C"/>
    <w:rsid w:val="00B14FC0"/>
    <w:rsid w:val="00B1524D"/>
    <w:rsid w:val="00B152F3"/>
    <w:rsid w:val="00B15566"/>
    <w:rsid w:val="00B2422D"/>
    <w:rsid w:val="00B24E69"/>
    <w:rsid w:val="00B27036"/>
    <w:rsid w:val="00B278FE"/>
    <w:rsid w:val="00B279C9"/>
    <w:rsid w:val="00B27DF3"/>
    <w:rsid w:val="00B27E30"/>
    <w:rsid w:val="00B30199"/>
    <w:rsid w:val="00B30851"/>
    <w:rsid w:val="00B33189"/>
    <w:rsid w:val="00B331AE"/>
    <w:rsid w:val="00B33A92"/>
    <w:rsid w:val="00B3546C"/>
    <w:rsid w:val="00B35610"/>
    <w:rsid w:val="00B36623"/>
    <w:rsid w:val="00B37FDB"/>
    <w:rsid w:val="00B4009D"/>
    <w:rsid w:val="00B4026E"/>
    <w:rsid w:val="00B435B3"/>
    <w:rsid w:val="00B43A2E"/>
    <w:rsid w:val="00B442C0"/>
    <w:rsid w:val="00B45B3E"/>
    <w:rsid w:val="00B45E32"/>
    <w:rsid w:val="00B46CA9"/>
    <w:rsid w:val="00B470F9"/>
    <w:rsid w:val="00B51F2D"/>
    <w:rsid w:val="00B529E6"/>
    <w:rsid w:val="00B53CDE"/>
    <w:rsid w:val="00B54C6C"/>
    <w:rsid w:val="00B57A13"/>
    <w:rsid w:val="00B6053B"/>
    <w:rsid w:val="00B632B1"/>
    <w:rsid w:val="00B64F63"/>
    <w:rsid w:val="00B653E2"/>
    <w:rsid w:val="00B65F4B"/>
    <w:rsid w:val="00B66238"/>
    <w:rsid w:val="00B66C4B"/>
    <w:rsid w:val="00B71C13"/>
    <w:rsid w:val="00B73646"/>
    <w:rsid w:val="00B73D17"/>
    <w:rsid w:val="00B7401C"/>
    <w:rsid w:val="00B74952"/>
    <w:rsid w:val="00B756F5"/>
    <w:rsid w:val="00B77299"/>
    <w:rsid w:val="00B77CBA"/>
    <w:rsid w:val="00B80E26"/>
    <w:rsid w:val="00B81A62"/>
    <w:rsid w:val="00B81DC6"/>
    <w:rsid w:val="00B82DD3"/>
    <w:rsid w:val="00B83321"/>
    <w:rsid w:val="00B84377"/>
    <w:rsid w:val="00B846C6"/>
    <w:rsid w:val="00B8517C"/>
    <w:rsid w:val="00B85C6C"/>
    <w:rsid w:val="00B9124A"/>
    <w:rsid w:val="00B93132"/>
    <w:rsid w:val="00B956C4"/>
    <w:rsid w:val="00B95B0A"/>
    <w:rsid w:val="00B96271"/>
    <w:rsid w:val="00B97167"/>
    <w:rsid w:val="00BA17A6"/>
    <w:rsid w:val="00BA2D2B"/>
    <w:rsid w:val="00BA36F0"/>
    <w:rsid w:val="00BA3D6D"/>
    <w:rsid w:val="00BA4876"/>
    <w:rsid w:val="00BA5C82"/>
    <w:rsid w:val="00BA64E6"/>
    <w:rsid w:val="00BA6EB3"/>
    <w:rsid w:val="00BA7E4B"/>
    <w:rsid w:val="00BB1858"/>
    <w:rsid w:val="00BB1E30"/>
    <w:rsid w:val="00BB2349"/>
    <w:rsid w:val="00BB2735"/>
    <w:rsid w:val="00BB4715"/>
    <w:rsid w:val="00BB590E"/>
    <w:rsid w:val="00BB65B2"/>
    <w:rsid w:val="00BC09A4"/>
    <w:rsid w:val="00BC1466"/>
    <w:rsid w:val="00BC1484"/>
    <w:rsid w:val="00BC1CFA"/>
    <w:rsid w:val="00BC240C"/>
    <w:rsid w:val="00BC2B30"/>
    <w:rsid w:val="00BC3094"/>
    <w:rsid w:val="00BC321E"/>
    <w:rsid w:val="00BC3903"/>
    <w:rsid w:val="00BC4990"/>
    <w:rsid w:val="00BC4B2A"/>
    <w:rsid w:val="00BC5031"/>
    <w:rsid w:val="00BD2004"/>
    <w:rsid w:val="00BD265C"/>
    <w:rsid w:val="00BD3524"/>
    <w:rsid w:val="00BD39DE"/>
    <w:rsid w:val="00BD40A4"/>
    <w:rsid w:val="00BD45D8"/>
    <w:rsid w:val="00BD46B9"/>
    <w:rsid w:val="00BD47AD"/>
    <w:rsid w:val="00BD4D7E"/>
    <w:rsid w:val="00BD5BBC"/>
    <w:rsid w:val="00BD5E18"/>
    <w:rsid w:val="00BD5E95"/>
    <w:rsid w:val="00BD7EB6"/>
    <w:rsid w:val="00BE1556"/>
    <w:rsid w:val="00BE2995"/>
    <w:rsid w:val="00BE35CA"/>
    <w:rsid w:val="00BE75BF"/>
    <w:rsid w:val="00BF0517"/>
    <w:rsid w:val="00BF1392"/>
    <w:rsid w:val="00BF2027"/>
    <w:rsid w:val="00BF2053"/>
    <w:rsid w:val="00BF218E"/>
    <w:rsid w:val="00BF2E2E"/>
    <w:rsid w:val="00BF3B45"/>
    <w:rsid w:val="00BF42E7"/>
    <w:rsid w:val="00BF6F8B"/>
    <w:rsid w:val="00BF7F6A"/>
    <w:rsid w:val="00C0023B"/>
    <w:rsid w:val="00C00783"/>
    <w:rsid w:val="00C008C1"/>
    <w:rsid w:val="00C01844"/>
    <w:rsid w:val="00C0288F"/>
    <w:rsid w:val="00C029A2"/>
    <w:rsid w:val="00C030A9"/>
    <w:rsid w:val="00C03134"/>
    <w:rsid w:val="00C034AB"/>
    <w:rsid w:val="00C047C1"/>
    <w:rsid w:val="00C04A4A"/>
    <w:rsid w:val="00C0540C"/>
    <w:rsid w:val="00C0619C"/>
    <w:rsid w:val="00C0668A"/>
    <w:rsid w:val="00C066A9"/>
    <w:rsid w:val="00C07D7A"/>
    <w:rsid w:val="00C130D2"/>
    <w:rsid w:val="00C137CE"/>
    <w:rsid w:val="00C13936"/>
    <w:rsid w:val="00C14421"/>
    <w:rsid w:val="00C17567"/>
    <w:rsid w:val="00C17601"/>
    <w:rsid w:val="00C201E0"/>
    <w:rsid w:val="00C23DE3"/>
    <w:rsid w:val="00C23F5B"/>
    <w:rsid w:val="00C24A3E"/>
    <w:rsid w:val="00C2662C"/>
    <w:rsid w:val="00C2704A"/>
    <w:rsid w:val="00C31201"/>
    <w:rsid w:val="00C31377"/>
    <w:rsid w:val="00C32435"/>
    <w:rsid w:val="00C32CA0"/>
    <w:rsid w:val="00C336AD"/>
    <w:rsid w:val="00C33A91"/>
    <w:rsid w:val="00C33F97"/>
    <w:rsid w:val="00C42357"/>
    <w:rsid w:val="00C429A1"/>
    <w:rsid w:val="00C42D47"/>
    <w:rsid w:val="00C43D75"/>
    <w:rsid w:val="00C44C7D"/>
    <w:rsid w:val="00C45BBF"/>
    <w:rsid w:val="00C46A53"/>
    <w:rsid w:val="00C47897"/>
    <w:rsid w:val="00C50FB0"/>
    <w:rsid w:val="00C52C45"/>
    <w:rsid w:val="00C54307"/>
    <w:rsid w:val="00C55095"/>
    <w:rsid w:val="00C55154"/>
    <w:rsid w:val="00C56AD0"/>
    <w:rsid w:val="00C57AFE"/>
    <w:rsid w:val="00C57D99"/>
    <w:rsid w:val="00C601A3"/>
    <w:rsid w:val="00C6059C"/>
    <w:rsid w:val="00C60BFB"/>
    <w:rsid w:val="00C60E5A"/>
    <w:rsid w:val="00C6115D"/>
    <w:rsid w:val="00C6140D"/>
    <w:rsid w:val="00C62BAB"/>
    <w:rsid w:val="00C640A5"/>
    <w:rsid w:val="00C64A61"/>
    <w:rsid w:val="00C64ED7"/>
    <w:rsid w:val="00C66BA8"/>
    <w:rsid w:val="00C674F2"/>
    <w:rsid w:val="00C712E3"/>
    <w:rsid w:val="00C72230"/>
    <w:rsid w:val="00C73719"/>
    <w:rsid w:val="00C738D2"/>
    <w:rsid w:val="00C73DEE"/>
    <w:rsid w:val="00C759CE"/>
    <w:rsid w:val="00C75B41"/>
    <w:rsid w:val="00C75D50"/>
    <w:rsid w:val="00C75F7E"/>
    <w:rsid w:val="00C76578"/>
    <w:rsid w:val="00C76EA5"/>
    <w:rsid w:val="00C76EEB"/>
    <w:rsid w:val="00C77659"/>
    <w:rsid w:val="00C82842"/>
    <w:rsid w:val="00C85FD2"/>
    <w:rsid w:val="00C86F14"/>
    <w:rsid w:val="00C911A1"/>
    <w:rsid w:val="00C92056"/>
    <w:rsid w:val="00C95098"/>
    <w:rsid w:val="00C952A7"/>
    <w:rsid w:val="00C96220"/>
    <w:rsid w:val="00C96935"/>
    <w:rsid w:val="00C9706C"/>
    <w:rsid w:val="00C97445"/>
    <w:rsid w:val="00CA022E"/>
    <w:rsid w:val="00CA4461"/>
    <w:rsid w:val="00CA50BB"/>
    <w:rsid w:val="00CA57D4"/>
    <w:rsid w:val="00CA5E4B"/>
    <w:rsid w:val="00CB0452"/>
    <w:rsid w:val="00CB04E0"/>
    <w:rsid w:val="00CB0D3F"/>
    <w:rsid w:val="00CB513F"/>
    <w:rsid w:val="00CB61B6"/>
    <w:rsid w:val="00CB75DF"/>
    <w:rsid w:val="00CC08C9"/>
    <w:rsid w:val="00CC09B6"/>
    <w:rsid w:val="00CC108C"/>
    <w:rsid w:val="00CC1323"/>
    <w:rsid w:val="00CC2DCA"/>
    <w:rsid w:val="00CC3B2C"/>
    <w:rsid w:val="00CC3B31"/>
    <w:rsid w:val="00CC4725"/>
    <w:rsid w:val="00CC4796"/>
    <w:rsid w:val="00CC55E7"/>
    <w:rsid w:val="00CD0020"/>
    <w:rsid w:val="00CD0079"/>
    <w:rsid w:val="00CD148A"/>
    <w:rsid w:val="00CD2A79"/>
    <w:rsid w:val="00CD2DB6"/>
    <w:rsid w:val="00CD2E2C"/>
    <w:rsid w:val="00CD2FBD"/>
    <w:rsid w:val="00CD4F5E"/>
    <w:rsid w:val="00CD625C"/>
    <w:rsid w:val="00CE02A2"/>
    <w:rsid w:val="00CE0486"/>
    <w:rsid w:val="00CE1358"/>
    <w:rsid w:val="00CE3659"/>
    <w:rsid w:val="00CE368A"/>
    <w:rsid w:val="00CE52F1"/>
    <w:rsid w:val="00CE5657"/>
    <w:rsid w:val="00CE5E55"/>
    <w:rsid w:val="00CE63BA"/>
    <w:rsid w:val="00CE7C14"/>
    <w:rsid w:val="00CE7D89"/>
    <w:rsid w:val="00CF1AF1"/>
    <w:rsid w:val="00CF1B28"/>
    <w:rsid w:val="00CF32B2"/>
    <w:rsid w:val="00CF3A3A"/>
    <w:rsid w:val="00CF3FE4"/>
    <w:rsid w:val="00CF5F95"/>
    <w:rsid w:val="00D01AB2"/>
    <w:rsid w:val="00D0369C"/>
    <w:rsid w:val="00D0416A"/>
    <w:rsid w:val="00D05C6A"/>
    <w:rsid w:val="00D10FE2"/>
    <w:rsid w:val="00D17055"/>
    <w:rsid w:val="00D209DE"/>
    <w:rsid w:val="00D20C27"/>
    <w:rsid w:val="00D22C87"/>
    <w:rsid w:val="00D23514"/>
    <w:rsid w:val="00D239FA"/>
    <w:rsid w:val="00D23AD9"/>
    <w:rsid w:val="00D23BBE"/>
    <w:rsid w:val="00D24C9F"/>
    <w:rsid w:val="00D24F09"/>
    <w:rsid w:val="00D263DF"/>
    <w:rsid w:val="00D26ACF"/>
    <w:rsid w:val="00D3250D"/>
    <w:rsid w:val="00D33E5B"/>
    <w:rsid w:val="00D3554D"/>
    <w:rsid w:val="00D37C77"/>
    <w:rsid w:val="00D41FCA"/>
    <w:rsid w:val="00D42131"/>
    <w:rsid w:val="00D441CD"/>
    <w:rsid w:val="00D467D5"/>
    <w:rsid w:val="00D46B2B"/>
    <w:rsid w:val="00D50147"/>
    <w:rsid w:val="00D50E63"/>
    <w:rsid w:val="00D525D5"/>
    <w:rsid w:val="00D527AC"/>
    <w:rsid w:val="00D5356D"/>
    <w:rsid w:val="00D53ACB"/>
    <w:rsid w:val="00D54EE4"/>
    <w:rsid w:val="00D55391"/>
    <w:rsid w:val="00D558B2"/>
    <w:rsid w:val="00D577F2"/>
    <w:rsid w:val="00D57C14"/>
    <w:rsid w:val="00D60787"/>
    <w:rsid w:val="00D642C4"/>
    <w:rsid w:val="00D64586"/>
    <w:rsid w:val="00D66705"/>
    <w:rsid w:val="00D66E1B"/>
    <w:rsid w:val="00D67037"/>
    <w:rsid w:val="00D670D2"/>
    <w:rsid w:val="00D67102"/>
    <w:rsid w:val="00D67794"/>
    <w:rsid w:val="00D71653"/>
    <w:rsid w:val="00D727F5"/>
    <w:rsid w:val="00D73D3A"/>
    <w:rsid w:val="00D7592C"/>
    <w:rsid w:val="00D80BE9"/>
    <w:rsid w:val="00D81397"/>
    <w:rsid w:val="00D81866"/>
    <w:rsid w:val="00D820AD"/>
    <w:rsid w:val="00D82375"/>
    <w:rsid w:val="00D82D2A"/>
    <w:rsid w:val="00D83AD5"/>
    <w:rsid w:val="00D843C2"/>
    <w:rsid w:val="00D852EC"/>
    <w:rsid w:val="00D86352"/>
    <w:rsid w:val="00D8706A"/>
    <w:rsid w:val="00D906C8"/>
    <w:rsid w:val="00D91A27"/>
    <w:rsid w:val="00D9391F"/>
    <w:rsid w:val="00D93B01"/>
    <w:rsid w:val="00D93BF4"/>
    <w:rsid w:val="00D93F19"/>
    <w:rsid w:val="00D9550A"/>
    <w:rsid w:val="00D9743C"/>
    <w:rsid w:val="00DA02AB"/>
    <w:rsid w:val="00DA31B7"/>
    <w:rsid w:val="00DA383F"/>
    <w:rsid w:val="00DA3CD4"/>
    <w:rsid w:val="00DA51C2"/>
    <w:rsid w:val="00DA6459"/>
    <w:rsid w:val="00DA6AEB"/>
    <w:rsid w:val="00DB0B29"/>
    <w:rsid w:val="00DB1200"/>
    <w:rsid w:val="00DB17B8"/>
    <w:rsid w:val="00DB1952"/>
    <w:rsid w:val="00DB229D"/>
    <w:rsid w:val="00DB2CF1"/>
    <w:rsid w:val="00DB3D79"/>
    <w:rsid w:val="00DB4B7A"/>
    <w:rsid w:val="00DB5AF3"/>
    <w:rsid w:val="00DB60FD"/>
    <w:rsid w:val="00DB77D7"/>
    <w:rsid w:val="00DC365B"/>
    <w:rsid w:val="00DC4BA2"/>
    <w:rsid w:val="00DC4FF0"/>
    <w:rsid w:val="00DC5118"/>
    <w:rsid w:val="00DC566C"/>
    <w:rsid w:val="00DC597F"/>
    <w:rsid w:val="00DD09A9"/>
    <w:rsid w:val="00DD1DA0"/>
    <w:rsid w:val="00DD235F"/>
    <w:rsid w:val="00DD507F"/>
    <w:rsid w:val="00DD5C06"/>
    <w:rsid w:val="00DD74EA"/>
    <w:rsid w:val="00DE0202"/>
    <w:rsid w:val="00DE1CB6"/>
    <w:rsid w:val="00DE3BF8"/>
    <w:rsid w:val="00DE5999"/>
    <w:rsid w:val="00DE5A4C"/>
    <w:rsid w:val="00DE6D95"/>
    <w:rsid w:val="00DE7487"/>
    <w:rsid w:val="00DE7A6C"/>
    <w:rsid w:val="00DF15A3"/>
    <w:rsid w:val="00DF1FDA"/>
    <w:rsid w:val="00DF232B"/>
    <w:rsid w:val="00DF3AEC"/>
    <w:rsid w:val="00DF484C"/>
    <w:rsid w:val="00DF792A"/>
    <w:rsid w:val="00E000CF"/>
    <w:rsid w:val="00E00D36"/>
    <w:rsid w:val="00E014C9"/>
    <w:rsid w:val="00E01654"/>
    <w:rsid w:val="00E028C9"/>
    <w:rsid w:val="00E02BB9"/>
    <w:rsid w:val="00E04E29"/>
    <w:rsid w:val="00E07FF8"/>
    <w:rsid w:val="00E108BA"/>
    <w:rsid w:val="00E11391"/>
    <w:rsid w:val="00E12690"/>
    <w:rsid w:val="00E13C52"/>
    <w:rsid w:val="00E148D3"/>
    <w:rsid w:val="00E1507C"/>
    <w:rsid w:val="00E17809"/>
    <w:rsid w:val="00E21672"/>
    <w:rsid w:val="00E22479"/>
    <w:rsid w:val="00E22C5F"/>
    <w:rsid w:val="00E23BD1"/>
    <w:rsid w:val="00E23D3E"/>
    <w:rsid w:val="00E24A82"/>
    <w:rsid w:val="00E26389"/>
    <w:rsid w:val="00E2768F"/>
    <w:rsid w:val="00E276B2"/>
    <w:rsid w:val="00E2787D"/>
    <w:rsid w:val="00E30000"/>
    <w:rsid w:val="00E30197"/>
    <w:rsid w:val="00E3073F"/>
    <w:rsid w:val="00E3151F"/>
    <w:rsid w:val="00E319BF"/>
    <w:rsid w:val="00E31C39"/>
    <w:rsid w:val="00E32DDD"/>
    <w:rsid w:val="00E3353B"/>
    <w:rsid w:val="00E33ACA"/>
    <w:rsid w:val="00E34EEC"/>
    <w:rsid w:val="00E35775"/>
    <w:rsid w:val="00E362BF"/>
    <w:rsid w:val="00E41734"/>
    <w:rsid w:val="00E41D6A"/>
    <w:rsid w:val="00E4350D"/>
    <w:rsid w:val="00E4396B"/>
    <w:rsid w:val="00E44599"/>
    <w:rsid w:val="00E452E8"/>
    <w:rsid w:val="00E4595A"/>
    <w:rsid w:val="00E4657F"/>
    <w:rsid w:val="00E47398"/>
    <w:rsid w:val="00E47606"/>
    <w:rsid w:val="00E516CD"/>
    <w:rsid w:val="00E519D4"/>
    <w:rsid w:val="00E51C06"/>
    <w:rsid w:val="00E51E4C"/>
    <w:rsid w:val="00E53AD7"/>
    <w:rsid w:val="00E54BF3"/>
    <w:rsid w:val="00E60CC1"/>
    <w:rsid w:val="00E62766"/>
    <w:rsid w:val="00E62D8D"/>
    <w:rsid w:val="00E631AF"/>
    <w:rsid w:val="00E643E2"/>
    <w:rsid w:val="00E6728A"/>
    <w:rsid w:val="00E707D1"/>
    <w:rsid w:val="00E72919"/>
    <w:rsid w:val="00E72936"/>
    <w:rsid w:val="00E72D5F"/>
    <w:rsid w:val="00E73114"/>
    <w:rsid w:val="00E73771"/>
    <w:rsid w:val="00E74834"/>
    <w:rsid w:val="00E7543E"/>
    <w:rsid w:val="00E75F0B"/>
    <w:rsid w:val="00E7608A"/>
    <w:rsid w:val="00E76426"/>
    <w:rsid w:val="00E76D57"/>
    <w:rsid w:val="00E803CD"/>
    <w:rsid w:val="00E8093F"/>
    <w:rsid w:val="00E81F81"/>
    <w:rsid w:val="00E84B40"/>
    <w:rsid w:val="00E8602E"/>
    <w:rsid w:val="00E86608"/>
    <w:rsid w:val="00E87C10"/>
    <w:rsid w:val="00E90149"/>
    <w:rsid w:val="00E909ED"/>
    <w:rsid w:val="00E933E7"/>
    <w:rsid w:val="00E94D44"/>
    <w:rsid w:val="00E979D3"/>
    <w:rsid w:val="00EA01D7"/>
    <w:rsid w:val="00EA0D40"/>
    <w:rsid w:val="00EA4D3C"/>
    <w:rsid w:val="00EA4DDC"/>
    <w:rsid w:val="00EA5643"/>
    <w:rsid w:val="00EB0EE8"/>
    <w:rsid w:val="00EB2095"/>
    <w:rsid w:val="00EB248B"/>
    <w:rsid w:val="00EB38C7"/>
    <w:rsid w:val="00EB69FF"/>
    <w:rsid w:val="00EB7922"/>
    <w:rsid w:val="00EC2645"/>
    <w:rsid w:val="00EC2C1F"/>
    <w:rsid w:val="00EC773A"/>
    <w:rsid w:val="00ED2F0A"/>
    <w:rsid w:val="00ED375E"/>
    <w:rsid w:val="00ED375F"/>
    <w:rsid w:val="00ED4EF1"/>
    <w:rsid w:val="00ED4F56"/>
    <w:rsid w:val="00ED6702"/>
    <w:rsid w:val="00ED72C2"/>
    <w:rsid w:val="00ED7D2D"/>
    <w:rsid w:val="00EE04EB"/>
    <w:rsid w:val="00EE0E40"/>
    <w:rsid w:val="00EE1C2C"/>
    <w:rsid w:val="00EE2866"/>
    <w:rsid w:val="00EE3744"/>
    <w:rsid w:val="00EE38ED"/>
    <w:rsid w:val="00EE3DDF"/>
    <w:rsid w:val="00EE6C26"/>
    <w:rsid w:val="00EF1C87"/>
    <w:rsid w:val="00EF221B"/>
    <w:rsid w:val="00EF4564"/>
    <w:rsid w:val="00EF4A13"/>
    <w:rsid w:val="00EF4AB0"/>
    <w:rsid w:val="00EF4D52"/>
    <w:rsid w:val="00EF5E2D"/>
    <w:rsid w:val="00EF61DC"/>
    <w:rsid w:val="00EF71A6"/>
    <w:rsid w:val="00F00D3B"/>
    <w:rsid w:val="00F010DE"/>
    <w:rsid w:val="00F018EC"/>
    <w:rsid w:val="00F01D65"/>
    <w:rsid w:val="00F0394A"/>
    <w:rsid w:val="00F03C70"/>
    <w:rsid w:val="00F041B4"/>
    <w:rsid w:val="00F04469"/>
    <w:rsid w:val="00F0453E"/>
    <w:rsid w:val="00F066E1"/>
    <w:rsid w:val="00F07EA2"/>
    <w:rsid w:val="00F11336"/>
    <w:rsid w:val="00F11600"/>
    <w:rsid w:val="00F1181B"/>
    <w:rsid w:val="00F128EE"/>
    <w:rsid w:val="00F12E24"/>
    <w:rsid w:val="00F169CC"/>
    <w:rsid w:val="00F204BD"/>
    <w:rsid w:val="00F20588"/>
    <w:rsid w:val="00F25290"/>
    <w:rsid w:val="00F25390"/>
    <w:rsid w:val="00F2558D"/>
    <w:rsid w:val="00F25CBE"/>
    <w:rsid w:val="00F2633C"/>
    <w:rsid w:val="00F30775"/>
    <w:rsid w:val="00F315B9"/>
    <w:rsid w:val="00F31747"/>
    <w:rsid w:val="00F321C4"/>
    <w:rsid w:val="00F337C4"/>
    <w:rsid w:val="00F34A4E"/>
    <w:rsid w:val="00F355AE"/>
    <w:rsid w:val="00F35602"/>
    <w:rsid w:val="00F35B57"/>
    <w:rsid w:val="00F41E5C"/>
    <w:rsid w:val="00F43C62"/>
    <w:rsid w:val="00F44A95"/>
    <w:rsid w:val="00F44DE0"/>
    <w:rsid w:val="00F44EDB"/>
    <w:rsid w:val="00F45B3B"/>
    <w:rsid w:val="00F53B85"/>
    <w:rsid w:val="00F54B92"/>
    <w:rsid w:val="00F564A2"/>
    <w:rsid w:val="00F56C18"/>
    <w:rsid w:val="00F56DD2"/>
    <w:rsid w:val="00F57BF1"/>
    <w:rsid w:val="00F57FC3"/>
    <w:rsid w:val="00F61E02"/>
    <w:rsid w:val="00F6479E"/>
    <w:rsid w:val="00F6575E"/>
    <w:rsid w:val="00F72984"/>
    <w:rsid w:val="00F7377B"/>
    <w:rsid w:val="00F73B9F"/>
    <w:rsid w:val="00F74091"/>
    <w:rsid w:val="00F757A5"/>
    <w:rsid w:val="00F81495"/>
    <w:rsid w:val="00F82BA9"/>
    <w:rsid w:val="00F859CB"/>
    <w:rsid w:val="00F86A8B"/>
    <w:rsid w:val="00F86B87"/>
    <w:rsid w:val="00F87025"/>
    <w:rsid w:val="00F92A0F"/>
    <w:rsid w:val="00F962DA"/>
    <w:rsid w:val="00F9683A"/>
    <w:rsid w:val="00F96DF2"/>
    <w:rsid w:val="00F96E64"/>
    <w:rsid w:val="00F9711F"/>
    <w:rsid w:val="00F97319"/>
    <w:rsid w:val="00F97457"/>
    <w:rsid w:val="00FA1F2E"/>
    <w:rsid w:val="00FA2005"/>
    <w:rsid w:val="00FA47F2"/>
    <w:rsid w:val="00FA616C"/>
    <w:rsid w:val="00FA6506"/>
    <w:rsid w:val="00FA6649"/>
    <w:rsid w:val="00FA6C2A"/>
    <w:rsid w:val="00FB0103"/>
    <w:rsid w:val="00FB0595"/>
    <w:rsid w:val="00FB0E61"/>
    <w:rsid w:val="00FB1119"/>
    <w:rsid w:val="00FB1ACD"/>
    <w:rsid w:val="00FB2B42"/>
    <w:rsid w:val="00FB348B"/>
    <w:rsid w:val="00FB3615"/>
    <w:rsid w:val="00FB47C0"/>
    <w:rsid w:val="00FB5FEF"/>
    <w:rsid w:val="00FB6489"/>
    <w:rsid w:val="00FB6B61"/>
    <w:rsid w:val="00FB713A"/>
    <w:rsid w:val="00FB7907"/>
    <w:rsid w:val="00FC0BE0"/>
    <w:rsid w:val="00FC1057"/>
    <w:rsid w:val="00FC1C01"/>
    <w:rsid w:val="00FC2B71"/>
    <w:rsid w:val="00FC35A0"/>
    <w:rsid w:val="00FC421E"/>
    <w:rsid w:val="00FC54A1"/>
    <w:rsid w:val="00FC57F2"/>
    <w:rsid w:val="00FC60FA"/>
    <w:rsid w:val="00FC692C"/>
    <w:rsid w:val="00FD0A8B"/>
    <w:rsid w:val="00FD102F"/>
    <w:rsid w:val="00FD171C"/>
    <w:rsid w:val="00FD1F33"/>
    <w:rsid w:val="00FD22BC"/>
    <w:rsid w:val="00FD3206"/>
    <w:rsid w:val="00FD372B"/>
    <w:rsid w:val="00FD39E7"/>
    <w:rsid w:val="00FD3AB9"/>
    <w:rsid w:val="00FD5678"/>
    <w:rsid w:val="00FD5735"/>
    <w:rsid w:val="00FD64D6"/>
    <w:rsid w:val="00FD6986"/>
    <w:rsid w:val="00FE01AE"/>
    <w:rsid w:val="00FE07A7"/>
    <w:rsid w:val="00FE1B77"/>
    <w:rsid w:val="00FE4DDC"/>
    <w:rsid w:val="00FE5A39"/>
    <w:rsid w:val="00FE6ADE"/>
    <w:rsid w:val="00FE6CC1"/>
    <w:rsid w:val="00FE723B"/>
    <w:rsid w:val="00FF0B4F"/>
    <w:rsid w:val="00FF289A"/>
    <w:rsid w:val="00FF3B7E"/>
    <w:rsid w:val="00FF4ACF"/>
    <w:rsid w:val="00FF5668"/>
    <w:rsid w:val="00FF634E"/>
    <w:rsid w:val="00FF68AE"/>
    <w:rsid w:val="00FF708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E8B0CF1"/>
  <w15:chartTrackingRefBased/>
  <w15:docId w15:val="{31A1024E-4C19-44DE-9551-AA5B7DDC4C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0046D"/>
    <w:pPr>
      <w:jc w:val="both"/>
    </w:pPr>
    <w:rPr>
      <w:color w:val="44546A" w:themeColor="text2"/>
      <w:sz w:val="20"/>
    </w:rPr>
  </w:style>
  <w:style w:type="paragraph" w:styleId="Heading1">
    <w:name w:val="heading 1"/>
    <w:basedOn w:val="Normal"/>
    <w:next w:val="Normal"/>
    <w:link w:val="Heading1Char"/>
    <w:uiPriority w:val="9"/>
    <w:qFormat/>
    <w:rsid w:val="00AF235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aliases w:val="Podnaslov 2"/>
    <w:basedOn w:val="Normal"/>
    <w:next w:val="Normal"/>
    <w:link w:val="Heading2Char"/>
    <w:uiPriority w:val="9"/>
    <w:unhideWhenUsed/>
    <w:qFormat/>
    <w:rsid w:val="00AF2359"/>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570694"/>
    <w:pPr>
      <w:autoSpaceDE w:val="0"/>
      <w:autoSpaceDN w:val="0"/>
      <w:adjustRightInd w:val="0"/>
      <w:spacing w:after="0" w:line="240" w:lineRule="auto"/>
    </w:pPr>
    <w:rPr>
      <w:rFonts w:ascii="Cambria" w:hAnsi="Cambria" w:cs="Cambria"/>
      <w:color w:val="000000"/>
      <w:sz w:val="24"/>
      <w:szCs w:val="24"/>
    </w:rPr>
  </w:style>
  <w:style w:type="paragraph" w:styleId="Header">
    <w:name w:val="header"/>
    <w:basedOn w:val="Normal"/>
    <w:link w:val="HeaderChar"/>
    <w:uiPriority w:val="99"/>
    <w:unhideWhenUsed/>
    <w:rsid w:val="00BF7F6A"/>
    <w:pPr>
      <w:tabs>
        <w:tab w:val="center" w:pos="4680"/>
        <w:tab w:val="right" w:pos="9360"/>
      </w:tabs>
      <w:spacing w:after="0" w:line="240" w:lineRule="auto"/>
    </w:pPr>
  </w:style>
  <w:style w:type="character" w:customStyle="1" w:styleId="HeaderChar">
    <w:name w:val="Header Char"/>
    <w:basedOn w:val="DefaultParagraphFont"/>
    <w:link w:val="Header"/>
    <w:uiPriority w:val="99"/>
    <w:rsid w:val="00BF7F6A"/>
  </w:style>
  <w:style w:type="paragraph" w:styleId="Footer">
    <w:name w:val="footer"/>
    <w:basedOn w:val="Normal"/>
    <w:link w:val="FooterChar"/>
    <w:uiPriority w:val="99"/>
    <w:unhideWhenUsed/>
    <w:rsid w:val="00BF7F6A"/>
    <w:pPr>
      <w:tabs>
        <w:tab w:val="center" w:pos="4680"/>
        <w:tab w:val="right" w:pos="9360"/>
      </w:tabs>
      <w:spacing w:after="0" w:line="240" w:lineRule="auto"/>
    </w:pPr>
  </w:style>
  <w:style w:type="character" w:customStyle="1" w:styleId="FooterChar">
    <w:name w:val="Footer Char"/>
    <w:basedOn w:val="DefaultParagraphFont"/>
    <w:link w:val="Footer"/>
    <w:uiPriority w:val="99"/>
    <w:rsid w:val="00BF7F6A"/>
  </w:style>
  <w:style w:type="character" w:customStyle="1" w:styleId="Heading1Char">
    <w:name w:val="Heading 1 Char"/>
    <w:basedOn w:val="DefaultParagraphFont"/>
    <w:link w:val="Heading1"/>
    <w:uiPriority w:val="9"/>
    <w:rsid w:val="00AF2359"/>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AF2359"/>
    <w:pPr>
      <w:outlineLvl w:val="9"/>
    </w:pPr>
  </w:style>
  <w:style w:type="paragraph" w:styleId="TOC1">
    <w:name w:val="toc 1"/>
    <w:basedOn w:val="Normal"/>
    <w:next w:val="Normal"/>
    <w:autoRedefine/>
    <w:uiPriority w:val="39"/>
    <w:unhideWhenUsed/>
    <w:rsid w:val="005311D2"/>
    <w:pPr>
      <w:tabs>
        <w:tab w:val="left" w:pos="270"/>
        <w:tab w:val="right" w:leader="dot" w:pos="9350"/>
      </w:tabs>
      <w:spacing w:after="100"/>
      <w:ind w:firstLine="180"/>
    </w:pPr>
    <w:rPr>
      <w:rFonts w:cstheme="minorHAnsi"/>
      <w:b/>
      <w:bCs/>
      <w:noProof/>
      <w:szCs w:val="20"/>
      <w:lang w:val="sr-Cyrl-RS"/>
    </w:rPr>
  </w:style>
  <w:style w:type="character" w:styleId="Hyperlink">
    <w:name w:val="Hyperlink"/>
    <w:basedOn w:val="DefaultParagraphFont"/>
    <w:uiPriority w:val="99"/>
    <w:unhideWhenUsed/>
    <w:rsid w:val="00AF2359"/>
    <w:rPr>
      <w:color w:val="0563C1" w:themeColor="hyperlink"/>
      <w:u w:val="single"/>
    </w:rPr>
  </w:style>
  <w:style w:type="character" w:customStyle="1" w:styleId="Heading2Char">
    <w:name w:val="Heading 2 Char"/>
    <w:aliases w:val="Podnaslov 2 Char"/>
    <w:basedOn w:val="DefaultParagraphFont"/>
    <w:link w:val="Heading2"/>
    <w:uiPriority w:val="9"/>
    <w:rsid w:val="00AF2359"/>
    <w:rPr>
      <w:rFonts w:asciiTheme="majorHAnsi" w:eastAsiaTheme="majorEastAsia" w:hAnsiTheme="majorHAnsi" w:cstheme="majorBidi"/>
      <w:color w:val="2F5496" w:themeColor="accent1" w:themeShade="BF"/>
      <w:sz w:val="26"/>
      <w:szCs w:val="26"/>
    </w:rPr>
  </w:style>
  <w:style w:type="table" w:styleId="TableGrid">
    <w:name w:val="Table Grid"/>
    <w:basedOn w:val="TableNormal"/>
    <w:uiPriority w:val="39"/>
    <w:rsid w:val="00AF78E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D20C27"/>
    <w:pPr>
      <w:spacing w:after="100"/>
      <w:ind w:left="220"/>
    </w:pPr>
  </w:style>
  <w:style w:type="paragraph" w:styleId="FootnoteText">
    <w:name w:val="footnote text"/>
    <w:aliases w:val="Footnote Text Char Char Char,Footnote Text Char Char"/>
    <w:basedOn w:val="Normal"/>
    <w:link w:val="FootnoteTextChar"/>
    <w:uiPriority w:val="99"/>
    <w:unhideWhenUsed/>
    <w:rsid w:val="005556DC"/>
    <w:pPr>
      <w:spacing w:after="0" w:line="240" w:lineRule="auto"/>
    </w:pPr>
    <w:rPr>
      <w:szCs w:val="20"/>
    </w:rPr>
  </w:style>
  <w:style w:type="character" w:customStyle="1" w:styleId="FootnoteTextChar">
    <w:name w:val="Footnote Text Char"/>
    <w:aliases w:val="Footnote Text Char Char Char Char,Footnote Text Char Char Char1"/>
    <w:basedOn w:val="DefaultParagraphFont"/>
    <w:link w:val="FootnoteText"/>
    <w:uiPriority w:val="99"/>
    <w:rsid w:val="005556DC"/>
    <w:rPr>
      <w:sz w:val="20"/>
      <w:szCs w:val="20"/>
    </w:rPr>
  </w:style>
  <w:style w:type="character" w:styleId="FootnoteReference">
    <w:name w:val="footnote reference"/>
    <w:basedOn w:val="DefaultParagraphFont"/>
    <w:uiPriority w:val="99"/>
    <w:unhideWhenUsed/>
    <w:rsid w:val="005556DC"/>
    <w:rPr>
      <w:vertAlign w:val="superscript"/>
    </w:rPr>
  </w:style>
  <w:style w:type="character" w:customStyle="1" w:styleId="Hyperlink1">
    <w:name w:val="Hyperlink1"/>
    <w:basedOn w:val="DefaultParagraphFont"/>
    <w:uiPriority w:val="99"/>
    <w:unhideWhenUsed/>
    <w:rsid w:val="005556DC"/>
    <w:rPr>
      <w:color w:val="0563C1"/>
      <w:u w:val="single"/>
    </w:rPr>
  </w:style>
  <w:style w:type="paragraph" w:styleId="Caption">
    <w:name w:val="caption"/>
    <w:basedOn w:val="Normal"/>
    <w:next w:val="Normal"/>
    <w:uiPriority w:val="35"/>
    <w:unhideWhenUsed/>
    <w:qFormat/>
    <w:rsid w:val="004B197B"/>
    <w:pPr>
      <w:jc w:val="center"/>
    </w:pPr>
    <w:rPr>
      <w:b/>
      <w:iCs/>
      <w:color w:val="002060"/>
      <w:szCs w:val="18"/>
    </w:rPr>
  </w:style>
  <w:style w:type="table" w:styleId="GridTable5Dark-Accent5">
    <w:name w:val="Grid Table 5 Dark Accent 5"/>
    <w:basedOn w:val="TableNormal"/>
    <w:uiPriority w:val="50"/>
    <w:rsid w:val="0043518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
    <w:name w:val="Light Shading - Accent 333"/>
    <w:basedOn w:val="TableNormal"/>
    <w:next w:val="LightShading-Accent3"/>
    <w:uiPriority w:val="60"/>
    <w:rsid w:val="00CB0452"/>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styleId="LightShading-Accent3">
    <w:name w:val="Light Shading Accent 3"/>
    <w:basedOn w:val="TableNormal"/>
    <w:uiPriority w:val="60"/>
    <w:semiHidden/>
    <w:unhideWhenUsed/>
    <w:rsid w:val="00CB0452"/>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character" w:styleId="CommentReference">
    <w:name w:val="annotation reference"/>
    <w:basedOn w:val="DefaultParagraphFont"/>
    <w:uiPriority w:val="99"/>
    <w:semiHidden/>
    <w:unhideWhenUsed/>
    <w:rsid w:val="00CB0452"/>
    <w:rPr>
      <w:sz w:val="16"/>
      <w:szCs w:val="16"/>
    </w:rPr>
  </w:style>
  <w:style w:type="paragraph" w:styleId="CommentText">
    <w:name w:val="annotation text"/>
    <w:basedOn w:val="Normal"/>
    <w:link w:val="CommentTextChar"/>
    <w:uiPriority w:val="99"/>
    <w:unhideWhenUsed/>
    <w:rsid w:val="00CB0452"/>
    <w:pPr>
      <w:spacing w:line="240" w:lineRule="auto"/>
    </w:pPr>
    <w:rPr>
      <w:szCs w:val="20"/>
    </w:rPr>
  </w:style>
  <w:style w:type="character" w:customStyle="1" w:styleId="CommentTextChar">
    <w:name w:val="Comment Text Char"/>
    <w:basedOn w:val="DefaultParagraphFont"/>
    <w:link w:val="CommentText"/>
    <w:uiPriority w:val="99"/>
    <w:rsid w:val="00CB0452"/>
    <w:rPr>
      <w:sz w:val="20"/>
      <w:szCs w:val="20"/>
    </w:rPr>
  </w:style>
  <w:style w:type="paragraph" w:styleId="CommentSubject">
    <w:name w:val="annotation subject"/>
    <w:basedOn w:val="CommentText"/>
    <w:next w:val="CommentText"/>
    <w:link w:val="CommentSubjectChar"/>
    <w:uiPriority w:val="99"/>
    <w:semiHidden/>
    <w:unhideWhenUsed/>
    <w:rsid w:val="00CB0452"/>
    <w:rPr>
      <w:b/>
      <w:bCs/>
    </w:rPr>
  </w:style>
  <w:style w:type="character" w:customStyle="1" w:styleId="CommentSubjectChar">
    <w:name w:val="Comment Subject Char"/>
    <w:basedOn w:val="CommentTextChar"/>
    <w:link w:val="CommentSubject"/>
    <w:uiPriority w:val="99"/>
    <w:semiHidden/>
    <w:rsid w:val="00CB0452"/>
    <w:rPr>
      <w:b/>
      <w:bCs/>
      <w:sz w:val="20"/>
      <w:szCs w:val="20"/>
    </w:rPr>
  </w:style>
  <w:style w:type="paragraph" w:styleId="BalloonText">
    <w:name w:val="Balloon Text"/>
    <w:basedOn w:val="Normal"/>
    <w:link w:val="BalloonTextChar"/>
    <w:uiPriority w:val="99"/>
    <w:semiHidden/>
    <w:unhideWhenUsed/>
    <w:rsid w:val="00CB045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B0452"/>
    <w:rPr>
      <w:rFonts w:ascii="Segoe UI" w:hAnsi="Segoe UI" w:cs="Segoe UI"/>
      <w:sz w:val="18"/>
      <w:szCs w:val="18"/>
    </w:rPr>
  </w:style>
  <w:style w:type="table" w:customStyle="1" w:styleId="TableGrid2">
    <w:name w:val="Table Grid2"/>
    <w:basedOn w:val="TableNormal"/>
    <w:next w:val="TableGrid"/>
    <w:uiPriority w:val="39"/>
    <w:rsid w:val="008E6892"/>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paragraph" w:styleId="ListParagraph">
    <w:name w:val="List Paragraph"/>
    <w:basedOn w:val="Normal"/>
    <w:link w:val="ListParagraphChar"/>
    <w:uiPriority w:val="34"/>
    <w:qFormat/>
    <w:rsid w:val="0001456F"/>
    <w:pPr>
      <w:ind w:left="720"/>
      <w:contextualSpacing/>
    </w:pPr>
  </w:style>
  <w:style w:type="character" w:customStyle="1" w:styleId="UnresolvedMention1">
    <w:name w:val="Unresolved Mention1"/>
    <w:basedOn w:val="DefaultParagraphFont"/>
    <w:uiPriority w:val="99"/>
    <w:semiHidden/>
    <w:unhideWhenUsed/>
    <w:rsid w:val="002C1D90"/>
    <w:rPr>
      <w:color w:val="605E5C"/>
      <w:shd w:val="clear" w:color="auto" w:fill="E1DFDD"/>
    </w:rPr>
  </w:style>
  <w:style w:type="table" w:customStyle="1" w:styleId="LightShading-Accent335">
    <w:name w:val="Light Shading - Accent 335"/>
    <w:basedOn w:val="TableNormal"/>
    <w:next w:val="LightShading-Accent3"/>
    <w:uiPriority w:val="60"/>
    <w:rsid w:val="009877E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1">
    <w:name w:val="No List1"/>
    <w:next w:val="NoList"/>
    <w:uiPriority w:val="99"/>
    <w:semiHidden/>
    <w:unhideWhenUsed/>
    <w:rsid w:val="00BA4876"/>
  </w:style>
  <w:style w:type="table" w:customStyle="1" w:styleId="TableGrid1">
    <w:name w:val="Table Grid1"/>
    <w:basedOn w:val="TableNormal"/>
    <w:next w:val="TableGrid"/>
    <w:uiPriority w:val="59"/>
    <w:rsid w:val="00BA48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
    <w:name w:val="Grid Table 5 Dark - Accent 51"/>
    <w:basedOn w:val="TableNormal"/>
    <w:next w:val="GridTable5Dark-Accent5"/>
    <w:uiPriority w:val="50"/>
    <w:rsid w:val="00BA487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1">
    <w:name w:val="Light Shading - Accent 3331"/>
    <w:basedOn w:val="TableNormal"/>
    <w:next w:val="LightShading-Accent3"/>
    <w:uiPriority w:val="60"/>
    <w:rsid w:val="00BA4876"/>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1">
    <w:name w:val="Light Shading - Accent 31"/>
    <w:basedOn w:val="TableNormal"/>
    <w:next w:val="LightShading-Accent3"/>
    <w:uiPriority w:val="60"/>
    <w:semiHidden/>
    <w:unhideWhenUsed/>
    <w:rsid w:val="00BA4876"/>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1">
    <w:name w:val="Table Grid21"/>
    <w:basedOn w:val="TableNormal"/>
    <w:next w:val="TableGrid"/>
    <w:uiPriority w:val="39"/>
    <w:rsid w:val="00BA4876"/>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1">
    <w:name w:val="Light Shading - Accent 121"/>
    <w:basedOn w:val="TableNormal"/>
    <w:uiPriority w:val="60"/>
    <w:rsid w:val="00BA4876"/>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
    <w:name w:val="Light Shading - Accent 12"/>
    <w:basedOn w:val="TableNormal"/>
    <w:uiPriority w:val="60"/>
    <w:rsid w:val="00BA4876"/>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paragraph" w:styleId="NoSpacing">
    <w:name w:val="No Spacing"/>
    <w:aliases w:val="Uvodna rečenica"/>
    <w:uiPriority w:val="1"/>
    <w:qFormat/>
    <w:rsid w:val="00BA4876"/>
    <w:pPr>
      <w:spacing w:after="0" w:line="240" w:lineRule="auto"/>
      <w:jc w:val="both"/>
    </w:pPr>
    <w:rPr>
      <w:b/>
      <w:color w:val="2F5496" w:themeColor="accent1" w:themeShade="BF"/>
      <w:sz w:val="20"/>
    </w:rPr>
  </w:style>
  <w:style w:type="table" w:customStyle="1" w:styleId="LightShading-Accent3351">
    <w:name w:val="Light Shading - Accent 3351"/>
    <w:basedOn w:val="TableNormal"/>
    <w:next w:val="LightShading-Accent3"/>
    <w:uiPriority w:val="60"/>
    <w:rsid w:val="00BA4876"/>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21">
    <w:name w:val="Light Shading - Accent 1221"/>
    <w:basedOn w:val="TableNormal"/>
    <w:uiPriority w:val="60"/>
    <w:rsid w:val="00BA4876"/>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paragraph" w:styleId="NormalWeb">
    <w:name w:val="Normal (Web)"/>
    <w:basedOn w:val="Normal"/>
    <w:uiPriority w:val="99"/>
    <w:semiHidden/>
    <w:unhideWhenUsed/>
    <w:rsid w:val="00BA487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ListParagraphChar">
    <w:name w:val="List Paragraph Char"/>
    <w:link w:val="ListParagraph"/>
    <w:uiPriority w:val="34"/>
    <w:locked/>
    <w:rsid w:val="00BA4876"/>
  </w:style>
  <w:style w:type="table" w:customStyle="1" w:styleId="LightShading-Accent1211">
    <w:name w:val="Light Shading - Accent 1211"/>
    <w:basedOn w:val="TableNormal"/>
    <w:uiPriority w:val="60"/>
    <w:rsid w:val="00BA4876"/>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styleId="ListTable6Colorful-Accent6">
    <w:name w:val="List Table 6 Colorful Accent 6"/>
    <w:basedOn w:val="TableNormal"/>
    <w:uiPriority w:val="51"/>
    <w:rsid w:val="00BA4876"/>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customStyle="1" w:styleId="Hyperlink2">
    <w:name w:val="Hyperlink2"/>
    <w:basedOn w:val="DefaultParagraphFont"/>
    <w:uiPriority w:val="99"/>
    <w:rsid w:val="00BA4876"/>
    <w:rPr>
      <w:color w:val="0563C1"/>
      <w:u w:val="single"/>
    </w:rPr>
  </w:style>
  <w:style w:type="table" w:customStyle="1" w:styleId="ListTable1Light-Accent61">
    <w:name w:val="List Table 1 Light - Accent 61"/>
    <w:basedOn w:val="TableNormal"/>
    <w:uiPriority w:val="46"/>
    <w:rsid w:val="00BA4876"/>
    <w:pPr>
      <w:spacing w:after="0" w:line="240" w:lineRule="auto"/>
    </w:p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ghtShading-Accent336">
    <w:name w:val="Light Shading - Accent 336"/>
    <w:basedOn w:val="TableNormal"/>
    <w:uiPriority w:val="60"/>
    <w:rsid w:val="00BA4876"/>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character" w:customStyle="1" w:styleId="UnresolvedMention2">
    <w:name w:val="Unresolved Mention2"/>
    <w:basedOn w:val="DefaultParagraphFont"/>
    <w:uiPriority w:val="99"/>
    <w:semiHidden/>
    <w:unhideWhenUsed/>
    <w:rsid w:val="00BA4876"/>
    <w:rPr>
      <w:color w:val="605E5C"/>
      <w:shd w:val="clear" w:color="auto" w:fill="E1DFDD"/>
    </w:rPr>
  </w:style>
  <w:style w:type="table" w:customStyle="1" w:styleId="LightShading-Accent337">
    <w:name w:val="Light Shading - Accent 337"/>
    <w:basedOn w:val="TableNormal"/>
    <w:uiPriority w:val="60"/>
    <w:rsid w:val="001E3C08"/>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8">
    <w:name w:val="Light Shading - Accent 338"/>
    <w:basedOn w:val="TableNormal"/>
    <w:uiPriority w:val="60"/>
    <w:rsid w:val="001E3C08"/>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character" w:customStyle="1" w:styleId="UnresolvedMention3">
    <w:name w:val="Unresolved Mention3"/>
    <w:basedOn w:val="DefaultParagraphFont"/>
    <w:uiPriority w:val="99"/>
    <w:semiHidden/>
    <w:unhideWhenUsed/>
    <w:rsid w:val="001E3C08"/>
    <w:rPr>
      <w:color w:val="605E5C"/>
      <w:shd w:val="clear" w:color="auto" w:fill="E1DFDD"/>
    </w:rPr>
  </w:style>
  <w:style w:type="table" w:customStyle="1" w:styleId="LightShading-Accent3371">
    <w:name w:val="Light Shading - Accent 3371"/>
    <w:basedOn w:val="TableNormal"/>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2">
    <w:name w:val="No List2"/>
    <w:next w:val="NoList"/>
    <w:uiPriority w:val="99"/>
    <w:semiHidden/>
    <w:unhideWhenUsed/>
    <w:rsid w:val="005C34A0"/>
  </w:style>
  <w:style w:type="table" w:customStyle="1" w:styleId="TableGrid3">
    <w:name w:val="Table Grid3"/>
    <w:basedOn w:val="TableNormal"/>
    <w:next w:val="TableGrid"/>
    <w:uiPriority w:val="39"/>
    <w:rsid w:val="005C34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2">
    <w:name w:val="Grid Table 5 Dark - Accent 52"/>
    <w:basedOn w:val="TableNormal"/>
    <w:next w:val="GridTable5Dark-Accent5"/>
    <w:uiPriority w:val="50"/>
    <w:rsid w:val="005C34A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2">
    <w:name w:val="Light Shading - Accent 3332"/>
    <w:basedOn w:val="TableNormal"/>
    <w:next w:val="LightShading-Accent3"/>
    <w:uiPriority w:val="60"/>
    <w:rsid w:val="005C34A0"/>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2">
    <w:name w:val="Light Shading - Accent 32"/>
    <w:basedOn w:val="TableNormal"/>
    <w:next w:val="LightShading-Accent3"/>
    <w:uiPriority w:val="60"/>
    <w:semiHidden/>
    <w:unhideWhenUsed/>
    <w:rsid w:val="005C34A0"/>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2">
    <w:name w:val="Table Grid22"/>
    <w:basedOn w:val="TableNormal"/>
    <w:next w:val="TableGrid"/>
    <w:uiPriority w:val="39"/>
    <w:rsid w:val="005C34A0"/>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3352">
    <w:name w:val="Light Shading - Accent 3352"/>
    <w:basedOn w:val="TableNormal"/>
    <w:next w:val="LightShading-Accent3"/>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11">
    <w:name w:val="No List11"/>
    <w:next w:val="NoList"/>
    <w:uiPriority w:val="99"/>
    <w:semiHidden/>
    <w:unhideWhenUsed/>
    <w:rsid w:val="005C34A0"/>
  </w:style>
  <w:style w:type="table" w:customStyle="1" w:styleId="TableGrid11">
    <w:name w:val="Table Grid11"/>
    <w:basedOn w:val="TableNormal"/>
    <w:next w:val="TableGrid"/>
    <w:uiPriority w:val="59"/>
    <w:rsid w:val="005C34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1">
    <w:name w:val="Grid Table 5 Dark - Accent 511"/>
    <w:basedOn w:val="TableNormal"/>
    <w:next w:val="GridTable5Dark-Accent5"/>
    <w:uiPriority w:val="50"/>
    <w:rsid w:val="005C34A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11">
    <w:name w:val="Light Shading - Accent 33311"/>
    <w:basedOn w:val="TableNormal"/>
    <w:next w:val="LightShading-Accent3"/>
    <w:uiPriority w:val="60"/>
    <w:rsid w:val="005C34A0"/>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11">
    <w:name w:val="Light Shading - Accent 311"/>
    <w:basedOn w:val="TableNormal"/>
    <w:next w:val="LightShading-Accent3"/>
    <w:uiPriority w:val="60"/>
    <w:semiHidden/>
    <w:unhideWhenUsed/>
    <w:rsid w:val="005C34A0"/>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11">
    <w:name w:val="Table Grid211"/>
    <w:basedOn w:val="TableNormal"/>
    <w:next w:val="TableGrid"/>
    <w:uiPriority w:val="39"/>
    <w:rsid w:val="005C34A0"/>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12">
    <w:name w:val="Light Shading - Accent 1212"/>
    <w:basedOn w:val="TableNormal"/>
    <w:uiPriority w:val="60"/>
    <w:rsid w:val="005C34A0"/>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2">
    <w:name w:val="Light Shading - Accent 122"/>
    <w:basedOn w:val="TableNormal"/>
    <w:uiPriority w:val="60"/>
    <w:rsid w:val="005C34A0"/>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33511">
    <w:name w:val="Light Shading - Accent 33511"/>
    <w:basedOn w:val="TableNormal"/>
    <w:next w:val="LightShading-Accent3"/>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211">
    <w:name w:val="Light Shading - Accent 12211"/>
    <w:basedOn w:val="TableNormal"/>
    <w:uiPriority w:val="60"/>
    <w:rsid w:val="005C34A0"/>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111">
    <w:name w:val="Light Shading - Accent 12111"/>
    <w:basedOn w:val="TableNormal"/>
    <w:uiPriority w:val="60"/>
    <w:rsid w:val="005C34A0"/>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stTable6Colorful-Accent61">
    <w:name w:val="List Table 6 Colorful - Accent 61"/>
    <w:basedOn w:val="TableNormal"/>
    <w:next w:val="ListTable6Colorful-Accent6"/>
    <w:uiPriority w:val="51"/>
    <w:rsid w:val="005C34A0"/>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611">
    <w:name w:val="List Table 1 Light - Accent 611"/>
    <w:basedOn w:val="TableNormal"/>
    <w:uiPriority w:val="46"/>
    <w:rsid w:val="005C34A0"/>
    <w:pPr>
      <w:spacing w:after="0" w:line="240" w:lineRule="auto"/>
    </w:p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ghtShading-Accent3361">
    <w:name w:val="Light Shading - Accent 3361"/>
    <w:basedOn w:val="TableNormal"/>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2">
    <w:name w:val="Light Shading - Accent 3372"/>
    <w:basedOn w:val="TableNormal"/>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81">
    <w:name w:val="Light Shading - Accent 3381"/>
    <w:basedOn w:val="TableNormal"/>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TableGrid4">
    <w:name w:val="Table Grid4"/>
    <w:basedOn w:val="TableNormal"/>
    <w:next w:val="TableGrid"/>
    <w:uiPriority w:val="39"/>
    <w:rsid w:val="005C34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uiPriority w:val="59"/>
    <w:rsid w:val="005C34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6873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39"/>
    <w:rsid w:val="006873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22"/>
    <w:qFormat/>
    <w:rsid w:val="0051301A"/>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162937">
      <w:bodyDiv w:val="1"/>
      <w:marLeft w:val="0"/>
      <w:marRight w:val="0"/>
      <w:marTop w:val="0"/>
      <w:marBottom w:val="0"/>
      <w:divBdr>
        <w:top w:val="none" w:sz="0" w:space="0" w:color="auto"/>
        <w:left w:val="none" w:sz="0" w:space="0" w:color="auto"/>
        <w:bottom w:val="none" w:sz="0" w:space="0" w:color="auto"/>
        <w:right w:val="none" w:sz="0" w:space="0" w:color="auto"/>
      </w:divBdr>
    </w:div>
    <w:div w:id="405343483">
      <w:bodyDiv w:val="1"/>
      <w:marLeft w:val="0"/>
      <w:marRight w:val="0"/>
      <w:marTop w:val="0"/>
      <w:marBottom w:val="0"/>
      <w:divBdr>
        <w:top w:val="none" w:sz="0" w:space="0" w:color="auto"/>
        <w:left w:val="none" w:sz="0" w:space="0" w:color="auto"/>
        <w:bottom w:val="none" w:sz="0" w:space="0" w:color="auto"/>
        <w:right w:val="none" w:sz="0" w:space="0" w:color="auto"/>
      </w:divBdr>
    </w:div>
    <w:div w:id="496309330">
      <w:bodyDiv w:val="1"/>
      <w:marLeft w:val="0"/>
      <w:marRight w:val="0"/>
      <w:marTop w:val="0"/>
      <w:marBottom w:val="0"/>
      <w:divBdr>
        <w:top w:val="none" w:sz="0" w:space="0" w:color="auto"/>
        <w:left w:val="none" w:sz="0" w:space="0" w:color="auto"/>
        <w:bottom w:val="none" w:sz="0" w:space="0" w:color="auto"/>
        <w:right w:val="none" w:sz="0" w:space="0" w:color="auto"/>
      </w:divBdr>
    </w:div>
    <w:div w:id="758334793">
      <w:bodyDiv w:val="1"/>
      <w:marLeft w:val="0"/>
      <w:marRight w:val="0"/>
      <w:marTop w:val="0"/>
      <w:marBottom w:val="0"/>
      <w:divBdr>
        <w:top w:val="none" w:sz="0" w:space="0" w:color="auto"/>
        <w:left w:val="none" w:sz="0" w:space="0" w:color="auto"/>
        <w:bottom w:val="none" w:sz="0" w:space="0" w:color="auto"/>
        <w:right w:val="none" w:sz="0" w:space="0" w:color="auto"/>
      </w:divBdr>
    </w:div>
    <w:div w:id="815489490">
      <w:bodyDiv w:val="1"/>
      <w:marLeft w:val="0"/>
      <w:marRight w:val="0"/>
      <w:marTop w:val="0"/>
      <w:marBottom w:val="0"/>
      <w:divBdr>
        <w:top w:val="none" w:sz="0" w:space="0" w:color="auto"/>
        <w:left w:val="none" w:sz="0" w:space="0" w:color="auto"/>
        <w:bottom w:val="none" w:sz="0" w:space="0" w:color="auto"/>
        <w:right w:val="none" w:sz="0" w:space="0" w:color="auto"/>
      </w:divBdr>
    </w:div>
    <w:div w:id="988559316">
      <w:bodyDiv w:val="1"/>
      <w:marLeft w:val="0"/>
      <w:marRight w:val="0"/>
      <w:marTop w:val="0"/>
      <w:marBottom w:val="0"/>
      <w:divBdr>
        <w:top w:val="none" w:sz="0" w:space="0" w:color="auto"/>
        <w:left w:val="none" w:sz="0" w:space="0" w:color="auto"/>
        <w:bottom w:val="none" w:sz="0" w:space="0" w:color="auto"/>
        <w:right w:val="none" w:sz="0" w:space="0" w:color="auto"/>
      </w:divBdr>
    </w:div>
    <w:div w:id="1221474541">
      <w:bodyDiv w:val="1"/>
      <w:marLeft w:val="0"/>
      <w:marRight w:val="0"/>
      <w:marTop w:val="0"/>
      <w:marBottom w:val="0"/>
      <w:divBdr>
        <w:top w:val="none" w:sz="0" w:space="0" w:color="auto"/>
        <w:left w:val="none" w:sz="0" w:space="0" w:color="auto"/>
        <w:bottom w:val="none" w:sz="0" w:space="0" w:color="auto"/>
        <w:right w:val="none" w:sz="0" w:space="0" w:color="auto"/>
      </w:divBdr>
    </w:div>
    <w:div w:id="1241981220">
      <w:bodyDiv w:val="1"/>
      <w:marLeft w:val="0"/>
      <w:marRight w:val="0"/>
      <w:marTop w:val="0"/>
      <w:marBottom w:val="0"/>
      <w:divBdr>
        <w:top w:val="none" w:sz="0" w:space="0" w:color="auto"/>
        <w:left w:val="none" w:sz="0" w:space="0" w:color="auto"/>
        <w:bottom w:val="none" w:sz="0" w:space="0" w:color="auto"/>
        <w:right w:val="none" w:sz="0" w:space="0" w:color="auto"/>
      </w:divBdr>
    </w:div>
    <w:div w:id="1285890058">
      <w:bodyDiv w:val="1"/>
      <w:marLeft w:val="0"/>
      <w:marRight w:val="0"/>
      <w:marTop w:val="0"/>
      <w:marBottom w:val="0"/>
      <w:divBdr>
        <w:top w:val="none" w:sz="0" w:space="0" w:color="auto"/>
        <w:left w:val="none" w:sz="0" w:space="0" w:color="auto"/>
        <w:bottom w:val="none" w:sz="0" w:space="0" w:color="auto"/>
        <w:right w:val="none" w:sz="0" w:space="0" w:color="auto"/>
      </w:divBdr>
    </w:div>
    <w:div w:id="1579943587">
      <w:bodyDiv w:val="1"/>
      <w:marLeft w:val="0"/>
      <w:marRight w:val="0"/>
      <w:marTop w:val="0"/>
      <w:marBottom w:val="0"/>
      <w:divBdr>
        <w:top w:val="none" w:sz="0" w:space="0" w:color="auto"/>
        <w:left w:val="none" w:sz="0" w:space="0" w:color="auto"/>
        <w:bottom w:val="none" w:sz="0" w:space="0" w:color="auto"/>
        <w:right w:val="none" w:sz="0" w:space="0" w:color="auto"/>
      </w:divBdr>
    </w:div>
    <w:div w:id="1678337853">
      <w:bodyDiv w:val="1"/>
      <w:marLeft w:val="0"/>
      <w:marRight w:val="0"/>
      <w:marTop w:val="0"/>
      <w:marBottom w:val="0"/>
      <w:divBdr>
        <w:top w:val="none" w:sz="0" w:space="0" w:color="auto"/>
        <w:left w:val="none" w:sz="0" w:space="0" w:color="auto"/>
        <w:bottom w:val="none" w:sz="0" w:space="0" w:color="auto"/>
        <w:right w:val="none" w:sz="0" w:space="0" w:color="auto"/>
      </w:divBdr>
    </w:div>
    <w:div w:id="1697268533">
      <w:bodyDiv w:val="1"/>
      <w:marLeft w:val="0"/>
      <w:marRight w:val="0"/>
      <w:marTop w:val="0"/>
      <w:marBottom w:val="0"/>
      <w:divBdr>
        <w:top w:val="none" w:sz="0" w:space="0" w:color="auto"/>
        <w:left w:val="none" w:sz="0" w:space="0" w:color="auto"/>
        <w:bottom w:val="none" w:sz="0" w:space="0" w:color="auto"/>
        <w:right w:val="none" w:sz="0" w:space="0" w:color="auto"/>
      </w:divBdr>
    </w:div>
    <w:div w:id="1741367302">
      <w:bodyDiv w:val="1"/>
      <w:marLeft w:val="0"/>
      <w:marRight w:val="0"/>
      <w:marTop w:val="0"/>
      <w:marBottom w:val="0"/>
      <w:divBdr>
        <w:top w:val="none" w:sz="0" w:space="0" w:color="auto"/>
        <w:left w:val="none" w:sz="0" w:space="0" w:color="auto"/>
        <w:bottom w:val="none" w:sz="0" w:space="0" w:color="auto"/>
        <w:right w:val="none" w:sz="0" w:space="0" w:color="auto"/>
      </w:divBdr>
    </w:div>
    <w:div w:id="20788177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eader" Target="header27.xml"/><Relationship Id="rId42" Type="http://schemas.openxmlformats.org/officeDocument/2006/relationships/image" Target="media/image3.gif"/><Relationship Id="rId63" Type="http://schemas.openxmlformats.org/officeDocument/2006/relationships/image" Target="media/image2.png"/><Relationship Id="rId84" Type="http://schemas.openxmlformats.org/officeDocument/2006/relationships/image" Target="media/image5.emf"/><Relationship Id="rId138" Type="http://schemas.openxmlformats.org/officeDocument/2006/relationships/header" Target="header34.xml"/><Relationship Id="rId159" Type="http://schemas.openxmlformats.org/officeDocument/2006/relationships/footer" Target="footer33.xml"/><Relationship Id="rId170" Type="http://schemas.openxmlformats.org/officeDocument/2006/relationships/chart" Target="charts/chart58.xml"/><Relationship Id="rId107" Type="http://schemas.openxmlformats.org/officeDocument/2006/relationships/header" Target="header21.xml"/><Relationship Id="rId11" Type="http://schemas.openxmlformats.org/officeDocument/2006/relationships/footer" Target="footer2.xml"/><Relationship Id="rId32" Type="http://schemas.openxmlformats.org/officeDocument/2006/relationships/chart" Target="charts/chart3.xml"/><Relationship Id="rId53" Type="http://schemas.openxmlformats.org/officeDocument/2006/relationships/chart" Target="charts/chart11.xml"/><Relationship Id="rId74" Type="http://schemas.openxmlformats.org/officeDocument/2006/relationships/footer" Target="footer11.xml"/><Relationship Id="rId128" Type="http://schemas.openxmlformats.org/officeDocument/2006/relationships/header" Target="header31.xml"/><Relationship Id="rId149" Type="http://schemas.openxmlformats.org/officeDocument/2006/relationships/footer" Target="footer31.xml"/><Relationship Id="rId5" Type="http://schemas.openxmlformats.org/officeDocument/2006/relationships/webSettings" Target="webSettings.xml"/><Relationship Id="rId95" Type="http://schemas.openxmlformats.org/officeDocument/2006/relationships/header" Target="header14.xml"/><Relationship Id="rId160" Type="http://schemas.openxmlformats.org/officeDocument/2006/relationships/header" Target="header43.xml"/><Relationship Id="rId43" Type="http://schemas.openxmlformats.org/officeDocument/2006/relationships/header" Target="header9.xml"/><Relationship Id="rId64" Type="http://schemas.openxmlformats.org/officeDocument/2006/relationships/chart" Target="charts/chart21.xml"/><Relationship Id="rId118" Type="http://schemas.openxmlformats.org/officeDocument/2006/relationships/footer" Target="footer22.xml"/><Relationship Id="rId139" Type="http://schemas.openxmlformats.org/officeDocument/2006/relationships/image" Target="media/image7.png"/><Relationship Id="rId85" Type="http://schemas.openxmlformats.org/officeDocument/2006/relationships/chart" Target="charts/chart31.xml"/><Relationship Id="rId150" Type="http://schemas.openxmlformats.org/officeDocument/2006/relationships/header" Target="header40.xml"/><Relationship Id="rId171" Type="http://schemas.openxmlformats.org/officeDocument/2006/relationships/chart" Target="charts/chart59.xml"/><Relationship Id="rId12" Type="http://schemas.openxmlformats.org/officeDocument/2006/relationships/header" Target="header3.xml"/><Relationship Id="rId33" Type="http://schemas.openxmlformats.org/officeDocument/2006/relationships/chart" Target="charts/chart4.xml"/><Relationship Id="rId38" Type="http://schemas.openxmlformats.org/officeDocument/2006/relationships/header" Target="header8.xml"/><Relationship Id="rId59" Type="http://schemas.openxmlformats.org/officeDocument/2006/relationships/chart" Target="charts/chart17.xml"/><Relationship Id="rId103" Type="http://schemas.openxmlformats.org/officeDocument/2006/relationships/footer" Target="footer17.xml"/><Relationship Id="rId108" Type="http://schemas.openxmlformats.org/officeDocument/2006/relationships/footer" Target="footer18.xml"/><Relationship Id="rId124" Type="http://schemas.openxmlformats.org/officeDocument/2006/relationships/header" Target="header29.xml"/><Relationship Id="rId129" Type="http://schemas.openxmlformats.org/officeDocument/2006/relationships/chart" Target="charts/chart43.xml"/><Relationship Id="rId54" Type="http://schemas.openxmlformats.org/officeDocument/2006/relationships/chart" Target="charts/chart12.xml"/><Relationship Id="rId70" Type="http://schemas.openxmlformats.org/officeDocument/2006/relationships/chart" Target="charts/chart27.xml"/><Relationship Id="rId75" Type="http://schemas.openxmlformats.org/officeDocument/2006/relationships/header" Target="header13.xml"/><Relationship Id="rId91" Type="http://schemas.openxmlformats.org/officeDocument/2006/relationships/chart" Target="charts/chart37.xml"/><Relationship Id="rId96" Type="http://schemas.openxmlformats.org/officeDocument/2006/relationships/header" Target="header15.xml"/><Relationship Id="rId140" Type="http://schemas.openxmlformats.org/officeDocument/2006/relationships/image" Target="media/image8.png"/><Relationship Id="rId145" Type="http://schemas.openxmlformats.org/officeDocument/2006/relationships/header" Target="header37.xml"/><Relationship Id="rId161" Type="http://schemas.openxmlformats.org/officeDocument/2006/relationships/chart" Target="charts/chart51.xml"/><Relationship Id="rId166"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28" Type="http://schemas.openxmlformats.org/officeDocument/2006/relationships/image" Target="media/image2.gif"/><Relationship Id="rId49" Type="http://schemas.openxmlformats.org/officeDocument/2006/relationships/chart" Target="charts/chart7.xml"/><Relationship Id="rId114" Type="http://schemas.openxmlformats.org/officeDocument/2006/relationships/footer" Target="footer21.xml"/><Relationship Id="rId119" Type="http://schemas.openxmlformats.org/officeDocument/2006/relationships/footer" Target="footer23.xml"/><Relationship Id="rId44" Type="http://schemas.openxmlformats.org/officeDocument/2006/relationships/header" Target="header10.xml"/><Relationship Id="rId60" Type="http://schemas.openxmlformats.org/officeDocument/2006/relationships/chart" Target="charts/chart18.xml"/><Relationship Id="rId65" Type="http://schemas.openxmlformats.org/officeDocument/2006/relationships/chart" Target="charts/chart22.xml"/><Relationship Id="rId81" Type="http://schemas.openxmlformats.org/officeDocument/2006/relationships/footer" Target="footer13.xml"/><Relationship Id="rId86" Type="http://schemas.openxmlformats.org/officeDocument/2006/relationships/chart" Target="charts/chart32.xml"/><Relationship Id="rId130" Type="http://schemas.openxmlformats.org/officeDocument/2006/relationships/image" Target="media/image7.gif"/><Relationship Id="rId135" Type="http://schemas.openxmlformats.org/officeDocument/2006/relationships/header" Target="header33.xml"/><Relationship Id="rId151" Type="http://schemas.openxmlformats.org/officeDocument/2006/relationships/chart" Target="charts/chart46.xml"/><Relationship Id="rId156" Type="http://schemas.openxmlformats.org/officeDocument/2006/relationships/header" Target="header41.xml"/><Relationship Id="rId172" Type="http://schemas.openxmlformats.org/officeDocument/2006/relationships/chart" Target="charts/chart60.xml"/><Relationship Id="rId13" Type="http://schemas.openxmlformats.org/officeDocument/2006/relationships/header" Target="header4.xml"/><Relationship Id="rId39" Type="http://schemas.openxmlformats.org/officeDocument/2006/relationships/footer" Target="footer7.xml"/><Relationship Id="rId109" Type="http://schemas.openxmlformats.org/officeDocument/2006/relationships/footer" Target="footer19.xml"/><Relationship Id="rId34" Type="http://schemas.openxmlformats.org/officeDocument/2006/relationships/header" Target="header6.xml"/><Relationship Id="rId50" Type="http://schemas.openxmlformats.org/officeDocument/2006/relationships/chart" Target="charts/chart8.xml"/><Relationship Id="rId55" Type="http://schemas.openxmlformats.org/officeDocument/2006/relationships/chart" Target="charts/chart13.xml"/><Relationship Id="rId76" Type="http://schemas.openxmlformats.org/officeDocument/2006/relationships/chart" Target="charts/chart28.xml"/><Relationship Id="rId97" Type="http://schemas.openxmlformats.org/officeDocument/2006/relationships/footer" Target="footer14.xml"/><Relationship Id="rId104" Type="http://schemas.openxmlformats.org/officeDocument/2006/relationships/header" Target="header19.xml"/><Relationship Id="rId120" Type="http://schemas.openxmlformats.org/officeDocument/2006/relationships/header" Target="header28.xml"/><Relationship Id="rId125" Type="http://schemas.openxmlformats.org/officeDocument/2006/relationships/header" Target="header30.xml"/><Relationship Id="rId141" Type="http://schemas.openxmlformats.org/officeDocument/2006/relationships/header" Target="header35.xml"/><Relationship Id="rId146" Type="http://schemas.openxmlformats.org/officeDocument/2006/relationships/header" Target="header38.xml"/><Relationship Id="rId167" Type="http://schemas.openxmlformats.org/officeDocument/2006/relationships/image" Target="media/image10.png"/><Relationship Id="rId7" Type="http://schemas.openxmlformats.org/officeDocument/2006/relationships/endnotes" Target="endnotes.xml"/><Relationship Id="rId71" Type="http://schemas.openxmlformats.org/officeDocument/2006/relationships/header" Target="header11.xml"/><Relationship Id="rId92" Type="http://schemas.openxmlformats.org/officeDocument/2006/relationships/chart" Target="charts/chart38.xml"/><Relationship Id="rId162" Type="http://schemas.openxmlformats.org/officeDocument/2006/relationships/chart" Target="charts/chart52.xml"/><Relationship Id="rId2" Type="http://schemas.openxmlformats.org/officeDocument/2006/relationships/numbering" Target="numbering.xml"/><Relationship Id="rId29" Type="http://schemas.openxmlformats.org/officeDocument/2006/relationships/chart" Target="charts/chart1.xml"/><Relationship Id="rId45" Type="http://schemas.openxmlformats.org/officeDocument/2006/relationships/footer" Target="footer8.xml"/><Relationship Id="rId66" Type="http://schemas.openxmlformats.org/officeDocument/2006/relationships/chart" Target="charts/chart23.xml"/><Relationship Id="rId87" Type="http://schemas.openxmlformats.org/officeDocument/2006/relationships/chart" Target="charts/chart33.xml"/><Relationship Id="rId110" Type="http://schemas.openxmlformats.org/officeDocument/2006/relationships/header" Target="header22.xml"/><Relationship Id="rId115" Type="http://schemas.openxmlformats.org/officeDocument/2006/relationships/header" Target="header25.xml"/><Relationship Id="rId131" Type="http://schemas.openxmlformats.org/officeDocument/2006/relationships/chart" Target="charts/chart44.xml"/><Relationship Id="rId136" Type="http://schemas.openxmlformats.org/officeDocument/2006/relationships/footer" Target="footer26.xml"/><Relationship Id="rId157" Type="http://schemas.openxmlformats.org/officeDocument/2006/relationships/header" Target="header42.xml"/><Relationship Id="rId61" Type="http://schemas.openxmlformats.org/officeDocument/2006/relationships/chart" Target="charts/chart19.xml"/><Relationship Id="rId82" Type="http://schemas.openxmlformats.org/officeDocument/2006/relationships/image" Target="media/image3.png"/><Relationship Id="rId152" Type="http://schemas.openxmlformats.org/officeDocument/2006/relationships/chart" Target="charts/chart47.xml"/><Relationship Id="rId173" Type="http://schemas.openxmlformats.org/officeDocument/2006/relationships/header" Target="header44.xml"/><Relationship Id="rId14" Type="http://schemas.openxmlformats.org/officeDocument/2006/relationships/footer" Target="footer3.xml"/><Relationship Id="rId30" Type="http://schemas.openxmlformats.org/officeDocument/2006/relationships/image" Target="media/image1.png"/><Relationship Id="rId35" Type="http://schemas.openxmlformats.org/officeDocument/2006/relationships/header" Target="header7.xml"/><Relationship Id="rId56" Type="http://schemas.openxmlformats.org/officeDocument/2006/relationships/chart" Target="charts/chart14.xml"/><Relationship Id="rId77" Type="http://schemas.openxmlformats.org/officeDocument/2006/relationships/chart" Target="charts/chart29.xml"/><Relationship Id="rId100" Type="http://schemas.openxmlformats.org/officeDocument/2006/relationships/header" Target="header17.xml"/><Relationship Id="rId105" Type="http://schemas.openxmlformats.org/officeDocument/2006/relationships/chart" Target="charts/chart41.xml"/><Relationship Id="rId126" Type="http://schemas.openxmlformats.org/officeDocument/2006/relationships/footer" Target="footer24.xml"/><Relationship Id="rId147" Type="http://schemas.openxmlformats.org/officeDocument/2006/relationships/header" Target="header39.xml"/><Relationship Id="rId168" Type="http://schemas.openxmlformats.org/officeDocument/2006/relationships/chart" Target="charts/chart56.xml"/><Relationship Id="rId8" Type="http://schemas.openxmlformats.org/officeDocument/2006/relationships/header" Target="header1.xml"/><Relationship Id="rId51" Type="http://schemas.openxmlformats.org/officeDocument/2006/relationships/chart" Target="charts/chart9.xml"/><Relationship Id="rId72" Type="http://schemas.openxmlformats.org/officeDocument/2006/relationships/header" Target="header12.xml"/><Relationship Id="rId93" Type="http://schemas.openxmlformats.org/officeDocument/2006/relationships/chart" Target="charts/chart39.xml"/><Relationship Id="rId98" Type="http://schemas.openxmlformats.org/officeDocument/2006/relationships/footer" Target="footer15.xml"/><Relationship Id="rId121" Type="http://schemas.openxmlformats.org/officeDocument/2006/relationships/chart" Target="charts/chart42.xml"/><Relationship Id="rId142" Type="http://schemas.openxmlformats.org/officeDocument/2006/relationships/header" Target="header36.xml"/><Relationship Id="rId163" Type="http://schemas.openxmlformats.org/officeDocument/2006/relationships/chart" Target="charts/chart53.xml"/><Relationship Id="rId3" Type="http://schemas.openxmlformats.org/officeDocument/2006/relationships/styles" Target="styles.xml"/><Relationship Id="rId46" Type="http://schemas.openxmlformats.org/officeDocument/2006/relationships/footer" Target="footer9.xml"/><Relationship Id="rId67" Type="http://schemas.openxmlformats.org/officeDocument/2006/relationships/chart" Target="charts/chart24.xml"/><Relationship Id="rId116" Type="http://schemas.openxmlformats.org/officeDocument/2006/relationships/header" Target="header26.xml"/><Relationship Id="rId137" Type="http://schemas.openxmlformats.org/officeDocument/2006/relationships/footer" Target="footer27.xml"/><Relationship Id="rId158" Type="http://schemas.openxmlformats.org/officeDocument/2006/relationships/footer" Target="footer32.xml"/><Relationship Id="rId62" Type="http://schemas.openxmlformats.org/officeDocument/2006/relationships/chart" Target="charts/chart20.xml"/><Relationship Id="rId83" Type="http://schemas.openxmlformats.org/officeDocument/2006/relationships/image" Target="media/image4.emf"/><Relationship Id="rId88" Type="http://schemas.openxmlformats.org/officeDocument/2006/relationships/chart" Target="charts/chart34.xml"/><Relationship Id="rId111" Type="http://schemas.openxmlformats.org/officeDocument/2006/relationships/header" Target="header23.xml"/><Relationship Id="rId132" Type="http://schemas.openxmlformats.org/officeDocument/2006/relationships/chart" Target="charts/chart440.xml"/><Relationship Id="rId153" Type="http://schemas.openxmlformats.org/officeDocument/2006/relationships/chart" Target="charts/chart48.xml"/><Relationship Id="rId174" Type="http://schemas.openxmlformats.org/officeDocument/2006/relationships/footer" Target="footer34.xml"/><Relationship Id="rId15" Type="http://schemas.openxmlformats.org/officeDocument/2006/relationships/footer" Target="footer4.xml"/><Relationship Id="rId36" Type="http://schemas.openxmlformats.org/officeDocument/2006/relationships/footer" Target="footer5.xml"/><Relationship Id="rId57" Type="http://schemas.openxmlformats.org/officeDocument/2006/relationships/chart" Target="charts/chart15.xml"/><Relationship Id="rId106" Type="http://schemas.openxmlformats.org/officeDocument/2006/relationships/header" Target="header20.xml"/><Relationship Id="rId127" Type="http://schemas.openxmlformats.org/officeDocument/2006/relationships/footer" Target="footer25.xml"/><Relationship Id="rId10" Type="http://schemas.openxmlformats.org/officeDocument/2006/relationships/footer" Target="footer1.xml"/><Relationship Id="rId31" Type="http://schemas.openxmlformats.org/officeDocument/2006/relationships/chart" Target="charts/chart2.xml"/><Relationship Id="rId52" Type="http://schemas.openxmlformats.org/officeDocument/2006/relationships/chart" Target="charts/chart10.xml"/><Relationship Id="rId73" Type="http://schemas.openxmlformats.org/officeDocument/2006/relationships/footer" Target="footer10.xml"/><Relationship Id="rId78" Type="http://schemas.openxmlformats.org/officeDocument/2006/relationships/chart" Target="charts/chart30.xml"/><Relationship Id="rId94" Type="http://schemas.openxmlformats.org/officeDocument/2006/relationships/chart" Target="charts/chart40.xml"/><Relationship Id="rId99" Type="http://schemas.openxmlformats.org/officeDocument/2006/relationships/header" Target="header16.xml"/><Relationship Id="rId101" Type="http://schemas.openxmlformats.org/officeDocument/2006/relationships/header" Target="header18.xml"/><Relationship Id="rId122" Type="http://schemas.openxmlformats.org/officeDocument/2006/relationships/image" Target="media/image6.png"/><Relationship Id="rId143" Type="http://schemas.openxmlformats.org/officeDocument/2006/relationships/footer" Target="footer28.xml"/><Relationship Id="rId148" Type="http://schemas.openxmlformats.org/officeDocument/2006/relationships/footer" Target="footer30.xml"/><Relationship Id="rId164" Type="http://schemas.openxmlformats.org/officeDocument/2006/relationships/chart" Target="charts/chart54.xml"/><Relationship Id="rId169" Type="http://schemas.openxmlformats.org/officeDocument/2006/relationships/chart" Target="charts/chart57.xml"/><Relationship Id="rId4" Type="http://schemas.openxmlformats.org/officeDocument/2006/relationships/settings" Target="settings.xml"/><Relationship Id="rId9" Type="http://schemas.openxmlformats.org/officeDocument/2006/relationships/header" Target="header2.xml"/><Relationship Id="rId47" Type="http://schemas.openxmlformats.org/officeDocument/2006/relationships/chart" Target="charts/chart5.xml"/><Relationship Id="rId68" Type="http://schemas.openxmlformats.org/officeDocument/2006/relationships/chart" Target="charts/chart25.xml"/><Relationship Id="rId89" Type="http://schemas.openxmlformats.org/officeDocument/2006/relationships/chart" Target="charts/chart35.xml"/><Relationship Id="rId112" Type="http://schemas.openxmlformats.org/officeDocument/2006/relationships/header" Target="header24.xml"/><Relationship Id="rId133" Type="http://schemas.openxmlformats.org/officeDocument/2006/relationships/chart" Target="charts/chart45.xml"/><Relationship Id="rId154" Type="http://schemas.openxmlformats.org/officeDocument/2006/relationships/chart" Target="charts/chart49.xml"/><Relationship Id="rId175" Type="http://schemas.openxmlformats.org/officeDocument/2006/relationships/fontTable" Target="fontTable.xml"/><Relationship Id="rId16" Type="http://schemas.openxmlformats.org/officeDocument/2006/relationships/header" Target="header5.xml"/><Relationship Id="rId37" Type="http://schemas.openxmlformats.org/officeDocument/2006/relationships/footer" Target="footer6.xml"/><Relationship Id="rId58" Type="http://schemas.openxmlformats.org/officeDocument/2006/relationships/chart" Target="charts/chart16.xml"/><Relationship Id="rId79" Type="http://schemas.openxmlformats.org/officeDocument/2006/relationships/image" Target="media/image4.gif"/><Relationship Id="rId102" Type="http://schemas.openxmlformats.org/officeDocument/2006/relationships/footer" Target="footer16.xml"/><Relationship Id="rId123" Type="http://schemas.openxmlformats.org/officeDocument/2006/relationships/image" Target="media/image8.gif"/><Relationship Id="rId144" Type="http://schemas.openxmlformats.org/officeDocument/2006/relationships/footer" Target="footer29.xml"/><Relationship Id="rId90" Type="http://schemas.openxmlformats.org/officeDocument/2006/relationships/chart" Target="charts/chart36.xml"/><Relationship Id="rId165" Type="http://schemas.openxmlformats.org/officeDocument/2006/relationships/chart" Target="charts/chart55.xml"/><Relationship Id="rId48" Type="http://schemas.openxmlformats.org/officeDocument/2006/relationships/chart" Target="charts/chart6.xml"/><Relationship Id="rId69" Type="http://schemas.openxmlformats.org/officeDocument/2006/relationships/chart" Target="charts/chart26.xml"/><Relationship Id="rId113" Type="http://schemas.openxmlformats.org/officeDocument/2006/relationships/footer" Target="footer20.xml"/><Relationship Id="rId134" Type="http://schemas.openxmlformats.org/officeDocument/2006/relationships/header" Target="header32.xml"/><Relationship Id="rId80" Type="http://schemas.openxmlformats.org/officeDocument/2006/relationships/footer" Target="footer12.xml"/><Relationship Id="rId155" Type="http://schemas.openxmlformats.org/officeDocument/2006/relationships/chart" Target="charts/chart50.xml"/><Relationship Id="rId176"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www.mfin.gov.rs/pages/article.php?id=8626" TargetMode="External"/><Relationship Id="rId2" Type="http://schemas.openxmlformats.org/officeDocument/2006/relationships/hyperlink" Target="http://www.obnova.gov.rs/uploads/useruploads/Documents/Kancelarija-za-pomoc-poplavljenih-podrucja-infograf-15-04-2016-srb.pdf" TargetMode="External"/><Relationship Id="rId1" Type="http://schemas.openxmlformats.org/officeDocument/2006/relationships/hyperlink" Target="http://www.mfin.gov.rs/pages/article.php?id=13281"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C:\Users\jovana.djeric\Dropbox\Makro%20sektor\FISKALNA%20STRATEGIJA%202020-2022%20oktobar\Makro%20radni%20fajlovi\GRAFIKONI_MAKRO_okt19.xlsx" TargetMode="Externa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file:///C:\Users\jovana.djeric\Dropbox\Makro%20sektor\FISKALNA%20STRATEGIJA%202020-2022%20oktobar\Makro%20radni%20fajlovi\GRAFIKONI_MAKRO_okt19.xlsx" TargetMode="Externa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file:///C:\Users\jovana.djeric\Dropbox\Makro%20sektor\FISKALNA%20STRATEGIJA%202020-2022%20oktobar\Makro%20radni%20fajlovi\GRAFIKONI_MAKRO_okt19.xlsx" TargetMode="External"/></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oleObject" Target="file:///C:\Users\jovana.djeric\Dropbox\Makro%20sektor\FISKALNA%20STRATEGIJA%202020-2022%20oktobar\Makro%20radni%20fajlovi\GRAFIKONI_MAKRO_okt19.xlsx" TargetMode="External"/></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5.xml"/><Relationship Id="rId1" Type="http://schemas.microsoft.com/office/2011/relationships/chartStyle" Target="style5.xml"/><Relationship Id="rId5" Type="http://schemas.openxmlformats.org/officeDocument/2006/relationships/chartUserShapes" Target="../drawings/drawing1.xml"/><Relationship Id="rId4" Type="http://schemas.openxmlformats.org/officeDocument/2006/relationships/oleObject" Target="file:///C:\Users\jovana.djeric\Dropbox\Makro%20sektor\FISKALNA%20STRATEGIJA%202020-2022%20oktobar\Makro%20radni%20fajlovi\GRAFIKONI_MAKRO_okt19.xlsx" TargetMode="External"/></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6.xml"/><Relationship Id="rId1" Type="http://schemas.microsoft.com/office/2011/relationships/chartStyle" Target="style6.xml"/><Relationship Id="rId5" Type="http://schemas.openxmlformats.org/officeDocument/2006/relationships/chartUserShapes" Target="../drawings/drawing2.xml"/><Relationship Id="rId4" Type="http://schemas.openxmlformats.org/officeDocument/2006/relationships/oleObject" Target="file:///C:\Users\jovana.djeric\Dropbox\Makro%20sektor\FISKALNA%20STRATEGIJA%202020-2022%20oktobar\Makro%20radni%20fajlovi\GRAFIKONI_MAKRO_okt19.xlsx" TargetMode="External"/></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7.xml"/><Relationship Id="rId1" Type="http://schemas.microsoft.com/office/2011/relationships/chartStyle" Target="style7.xml"/><Relationship Id="rId5" Type="http://schemas.openxmlformats.org/officeDocument/2006/relationships/chartUserShapes" Target="../drawings/drawing3.xml"/><Relationship Id="rId4" Type="http://schemas.openxmlformats.org/officeDocument/2006/relationships/oleObject" Target="file:///C:\Users\jovana.djeric\Dropbox\Makro%20sektor\FISKALNA%20STRATEGIJA%202020-2022%20oktobar\Makro%20radni%20fajlovi\GRAFIKONI_MAKRO_okt19.xlsx" TargetMode="External"/></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8.xml"/><Relationship Id="rId2" Type="http://schemas.microsoft.com/office/2011/relationships/chartColorStyle" Target="colors8.xml"/><Relationship Id="rId1" Type="http://schemas.microsoft.com/office/2011/relationships/chartStyle" Target="style8.xml"/><Relationship Id="rId5" Type="http://schemas.openxmlformats.org/officeDocument/2006/relationships/chartUserShapes" Target="../drawings/drawing4.xml"/><Relationship Id="rId4" Type="http://schemas.openxmlformats.org/officeDocument/2006/relationships/oleObject" Target="file:///C:\Users\jovana.djeric\Dropbox\Makro%20sektor\FISKALNA%20STRATEGIJA%202020-2022%20oktobar\Makro%20radni%20fajlovi\GRAFIKONI_MAKRO_okt19.xlsx" TargetMode="External"/></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9.xml"/><Relationship Id="rId2" Type="http://schemas.microsoft.com/office/2011/relationships/chartColorStyle" Target="colors9.xml"/><Relationship Id="rId1" Type="http://schemas.microsoft.com/office/2011/relationships/chartStyle" Target="style9.xml"/><Relationship Id="rId5" Type="http://schemas.openxmlformats.org/officeDocument/2006/relationships/chartUserShapes" Target="../drawings/drawing5.xml"/><Relationship Id="rId4" Type="http://schemas.openxmlformats.org/officeDocument/2006/relationships/oleObject" Target="file:///C:\Users\jovana.djeric\Dropbox\Makro%20sektor\FISKALNA%20STRATEGIJA%202020-2022%20oktobar\Makro%20radni%20fajlovi\GRAFIKONI_MAKRO_okt19.xlsx" TargetMode="External"/></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10.xml"/><Relationship Id="rId2" Type="http://schemas.microsoft.com/office/2011/relationships/chartColorStyle" Target="colors10.xml"/><Relationship Id="rId1" Type="http://schemas.microsoft.com/office/2011/relationships/chartStyle" Target="style10.xml"/><Relationship Id="rId5" Type="http://schemas.openxmlformats.org/officeDocument/2006/relationships/chartUserShapes" Target="../drawings/drawing6.xml"/><Relationship Id="rId4" Type="http://schemas.openxmlformats.org/officeDocument/2006/relationships/oleObject" Target="file:///C:\Users\jovana.djeric\Dropbox\Makro%20sektor\FISKALNA%20STRATEGIJA%202020-2022%20oktobar\Makro%20radni%20fajlovi\GRAFIKONI_MAKRO_okt19.xlsx" TargetMode="External"/></Relationships>
</file>

<file path=word/charts/_rels/chart11.xml.rels><?xml version="1.0" encoding="UTF-8" standalone="yes"?>
<Relationships xmlns="http://schemas.openxmlformats.org/package/2006/relationships"><Relationship Id="rId3" Type="http://schemas.openxmlformats.org/officeDocument/2006/relationships/themeOverride" Target="../theme/themeOverride11.xml"/><Relationship Id="rId2" Type="http://schemas.microsoft.com/office/2011/relationships/chartColorStyle" Target="colors11.xml"/><Relationship Id="rId1" Type="http://schemas.microsoft.com/office/2011/relationships/chartStyle" Target="style11.xml"/><Relationship Id="rId5" Type="http://schemas.openxmlformats.org/officeDocument/2006/relationships/chartUserShapes" Target="../drawings/drawing7.xml"/><Relationship Id="rId4" Type="http://schemas.openxmlformats.org/officeDocument/2006/relationships/oleObject" Target="file:///C:\Users\jovana.djeric\Dropbox\Makro%20sektor\FISKALNA%20STRATEGIJA%202020-2022%20oktobar\Makro%20radni%20fajlovi\GRAFIKONI_MAKRO_okt19.xlsx" TargetMode="External"/></Relationships>
</file>

<file path=word/charts/_rels/chart12.xml.rels><?xml version="1.0" encoding="UTF-8" standalone="yes"?>
<Relationships xmlns="http://schemas.openxmlformats.org/package/2006/relationships"><Relationship Id="rId3" Type="http://schemas.openxmlformats.org/officeDocument/2006/relationships/themeOverride" Target="../theme/themeOverride12.xml"/><Relationship Id="rId2" Type="http://schemas.microsoft.com/office/2011/relationships/chartColorStyle" Target="colors12.xml"/><Relationship Id="rId1" Type="http://schemas.microsoft.com/office/2011/relationships/chartStyle" Target="style12.xml"/><Relationship Id="rId5" Type="http://schemas.openxmlformats.org/officeDocument/2006/relationships/chartUserShapes" Target="../drawings/drawing8.xml"/><Relationship Id="rId4" Type="http://schemas.openxmlformats.org/officeDocument/2006/relationships/oleObject" Target="file:///C:\Users\jovana.djeric\Dropbox\Makro%20sektor\FISKALNA%20STRATEGIJA%202020-2022%20oktobar\Makro%20radni%20fajlovi\GRAFIKONI_MAKRO_okt19.xlsx" TargetMode="External"/></Relationships>
</file>

<file path=word/charts/_rels/chart13.xml.rels><?xml version="1.0" encoding="UTF-8" standalone="yes"?>
<Relationships xmlns="http://schemas.openxmlformats.org/package/2006/relationships"><Relationship Id="rId3" Type="http://schemas.openxmlformats.org/officeDocument/2006/relationships/themeOverride" Target="../theme/themeOverride13.xml"/><Relationship Id="rId2" Type="http://schemas.microsoft.com/office/2011/relationships/chartColorStyle" Target="colors13.xml"/><Relationship Id="rId1" Type="http://schemas.microsoft.com/office/2011/relationships/chartStyle" Target="style13.xml"/><Relationship Id="rId5" Type="http://schemas.openxmlformats.org/officeDocument/2006/relationships/chartUserShapes" Target="../drawings/drawing9.xml"/><Relationship Id="rId4" Type="http://schemas.openxmlformats.org/officeDocument/2006/relationships/oleObject" Target="file:///C:\Users\jovana.djeric\Dropbox\Makro%20sektor\FISKALNA%20STRATEGIJA%202020-2022%20oktobar\Makro%20radni%20fajlovi\GRAFIKONI_MAKRO_okt19.xlsx" TargetMode="External"/></Relationships>
</file>

<file path=word/charts/_rels/chart14.xml.rels><?xml version="1.0" encoding="UTF-8" standalone="yes"?>
<Relationships xmlns="http://schemas.openxmlformats.org/package/2006/relationships"><Relationship Id="rId3" Type="http://schemas.openxmlformats.org/officeDocument/2006/relationships/themeOverride" Target="../theme/themeOverride14.xml"/><Relationship Id="rId2" Type="http://schemas.microsoft.com/office/2011/relationships/chartColorStyle" Target="colors14.xml"/><Relationship Id="rId1" Type="http://schemas.microsoft.com/office/2011/relationships/chartStyle" Target="style14.xml"/><Relationship Id="rId5" Type="http://schemas.openxmlformats.org/officeDocument/2006/relationships/chartUserShapes" Target="../drawings/drawing10.xml"/><Relationship Id="rId4" Type="http://schemas.openxmlformats.org/officeDocument/2006/relationships/oleObject" Target="file:///C:\Users\jovana.djeric\Dropbox\Makro%20sektor\FISKALNA%20STRATEGIJA%202020-2022%20oktobar\Makro%20radni%20fajlovi\GRAFIKONI_MAKRO_okt19.xlsx" TargetMode="External"/></Relationships>
</file>

<file path=word/charts/_rels/chart15.xml.rels><?xml version="1.0" encoding="UTF-8" standalone="yes"?>
<Relationships xmlns="http://schemas.openxmlformats.org/package/2006/relationships"><Relationship Id="rId3" Type="http://schemas.openxmlformats.org/officeDocument/2006/relationships/themeOverride" Target="../theme/themeOverride15.xml"/><Relationship Id="rId2" Type="http://schemas.microsoft.com/office/2011/relationships/chartColorStyle" Target="colors15.xml"/><Relationship Id="rId1" Type="http://schemas.microsoft.com/office/2011/relationships/chartStyle" Target="style15.xml"/><Relationship Id="rId4" Type="http://schemas.openxmlformats.org/officeDocument/2006/relationships/oleObject" Target="file:///C:\Users\jovana.djeric\Dropbox\Makro%20sektor\FISKALNA%20STRATEGIJA%202020-2022%20oktobar\Makro%20radni%20fajlovi\GRAFIKONI_MAKRO_okt19.xlsx" TargetMode="External"/></Relationships>
</file>

<file path=word/charts/_rels/chart16.xml.rels><?xml version="1.0" encoding="UTF-8" standalone="yes"?>
<Relationships xmlns="http://schemas.openxmlformats.org/package/2006/relationships"><Relationship Id="rId3" Type="http://schemas.openxmlformats.org/officeDocument/2006/relationships/themeOverride" Target="../theme/themeOverride16.xml"/><Relationship Id="rId2" Type="http://schemas.microsoft.com/office/2011/relationships/chartColorStyle" Target="colors16.xml"/><Relationship Id="rId1" Type="http://schemas.microsoft.com/office/2011/relationships/chartStyle" Target="style16.xml"/><Relationship Id="rId4" Type="http://schemas.openxmlformats.org/officeDocument/2006/relationships/oleObject" Target="file:///C:\Users\jovana.djeric\Dropbox\Makro%20sektor\FISKALNA%20STRATEGIJA%202020-2022%20oktobar\Makro%20radni%20fajlovi\GRAFIKONI_MAKRO_okt19.xlsx" TargetMode="External"/></Relationships>
</file>

<file path=word/charts/_rels/chart17.xml.rels><?xml version="1.0" encoding="UTF-8" standalone="yes"?>
<Relationships xmlns="http://schemas.openxmlformats.org/package/2006/relationships"><Relationship Id="rId3" Type="http://schemas.openxmlformats.org/officeDocument/2006/relationships/themeOverride" Target="../theme/themeOverride17.xml"/><Relationship Id="rId2" Type="http://schemas.microsoft.com/office/2011/relationships/chartColorStyle" Target="colors17.xml"/><Relationship Id="rId1" Type="http://schemas.microsoft.com/office/2011/relationships/chartStyle" Target="style17.xml"/><Relationship Id="rId4" Type="http://schemas.openxmlformats.org/officeDocument/2006/relationships/oleObject" Target="file:///C:\Users\jovana.djeric\Dropbox\Makro%20sektor\FISKALNA%20STRATEGIJA%202020-2022%20oktobar\Makro%20radni%20fajlovi\GRAFIKONI_MAKRO_okt19.xlsx" TargetMode="External"/></Relationships>
</file>

<file path=word/charts/_rels/chart18.xml.rels><?xml version="1.0" encoding="UTF-8" standalone="yes"?>
<Relationships xmlns="http://schemas.openxmlformats.org/package/2006/relationships"><Relationship Id="rId3" Type="http://schemas.openxmlformats.org/officeDocument/2006/relationships/themeOverride" Target="../theme/themeOverride18.xml"/><Relationship Id="rId2" Type="http://schemas.microsoft.com/office/2011/relationships/chartColorStyle" Target="colors18.xml"/><Relationship Id="rId1" Type="http://schemas.microsoft.com/office/2011/relationships/chartStyle" Target="style18.xml"/><Relationship Id="rId4" Type="http://schemas.openxmlformats.org/officeDocument/2006/relationships/oleObject" Target="file:///C:\Users\jovana.djeric\Dropbox\Makro%20sektor\FISKALNA%20STRATEGIJA%202020-2022%20oktobar\Makro%20radni%20fajlovi\GRAFIKONI_MAKRO_okt19.xlsx" TargetMode="External"/></Relationships>
</file>

<file path=word/charts/_rels/chart19.xml.rels><?xml version="1.0" encoding="UTF-8" standalone="yes"?>
<Relationships xmlns="http://schemas.openxmlformats.org/package/2006/relationships"><Relationship Id="rId3" Type="http://schemas.openxmlformats.org/officeDocument/2006/relationships/themeOverride" Target="../theme/themeOverride19.xml"/><Relationship Id="rId2" Type="http://schemas.microsoft.com/office/2011/relationships/chartColorStyle" Target="colors19.xml"/><Relationship Id="rId1" Type="http://schemas.microsoft.com/office/2011/relationships/chartStyle" Target="style19.xml"/><Relationship Id="rId4" Type="http://schemas.openxmlformats.org/officeDocument/2006/relationships/oleObject" Target="file:///C:\Users\jovana.djeric\Dropbox\Makro%20sektor\FISKALNA%20STRATEGIJA%202020-2022%20oktobar\Makro%20radni%20fajlovi\GRAFIKONI_MAKRO_okt19.xlsx" TargetMode="External"/></Relationships>
</file>

<file path=word/charts/_rels/chart20.xml.rels><?xml version="1.0" encoding="UTF-8" standalone="yes"?>
<Relationships xmlns="http://schemas.openxmlformats.org/package/2006/relationships"><Relationship Id="rId3" Type="http://schemas.openxmlformats.org/officeDocument/2006/relationships/themeOverride" Target="../theme/themeOverride20.xml"/><Relationship Id="rId2" Type="http://schemas.microsoft.com/office/2011/relationships/chartColorStyle" Target="colors20.xml"/><Relationship Id="rId1" Type="http://schemas.microsoft.com/office/2011/relationships/chartStyle" Target="style20.xml"/><Relationship Id="rId4" Type="http://schemas.openxmlformats.org/officeDocument/2006/relationships/oleObject" Target="file:///C:\Users\jovana.djeric\Dropbox\Makro%20sektor\FISKALNA%20STRATEGIJA%202020-2022%20oktobar\Makro%20radni%20fajlovi\GRAFIKONI_MAKRO_okt19.xlsx" TargetMode="External"/></Relationships>
</file>

<file path=word/charts/_rels/chart21.xml.rels><?xml version="1.0" encoding="UTF-8" standalone="yes"?>
<Relationships xmlns="http://schemas.openxmlformats.org/package/2006/relationships"><Relationship Id="rId3" Type="http://schemas.openxmlformats.org/officeDocument/2006/relationships/themeOverride" Target="../theme/themeOverride21.xml"/><Relationship Id="rId2" Type="http://schemas.microsoft.com/office/2011/relationships/chartColorStyle" Target="colors21.xml"/><Relationship Id="rId1" Type="http://schemas.microsoft.com/office/2011/relationships/chartStyle" Target="style21.xml"/><Relationship Id="rId4" Type="http://schemas.openxmlformats.org/officeDocument/2006/relationships/oleObject" Target="file:///C:\Users\jovana.djeric\Dropbox\Makro%20sektor\FISKALNA%20STRATEGIJA%202020-2022%20oktobar\Makro%20radni%20fajlovi\GRAFIKONI_MAKRO_okt19.xlsx" TargetMode="External"/></Relationships>
</file>

<file path=word/charts/_rels/chart22.xml.rels><?xml version="1.0" encoding="UTF-8" standalone="yes"?>
<Relationships xmlns="http://schemas.openxmlformats.org/package/2006/relationships"><Relationship Id="rId3" Type="http://schemas.openxmlformats.org/officeDocument/2006/relationships/themeOverride" Target="../theme/themeOverride22.xml"/><Relationship Id="rId2" Type="http://schemas.microsoft.com/office/2011/relationships/chartColorStyle" Target="colors22.xml"/><Relationship Id="rId1" Type="http://schemas.microsoft.com/office/2011/relationships/chartStyle" Target="style22.xml"/><Relationship Id="rId4" Type="http://schemas.openxmlformats.org/officeDocument/2006/relationships/oleObject" Target="file:///C:\Users\jovana.djeric\Dropbox\Makro%20sektor\FISKALNA%20STRATEGIJA%202020-2022%20oktobar\Makro%20radni%20fajlovi\GRAFIKONI_MAKRO_okt19.xlsx" TargetMode="External"/></Relationships>
</file>

<file path=word/charts/_rels/chart23.xml.rels><?xml version="1.0" encoding="UTF-8" standalone="yes"?>
<Relationships xmlns="http://schemas.openxmlformats.org/package/2006/relationships"><Relationship Id="rId3" Type="http://schemas.openxmlformats.org/officeDocument/2006/relationships/themeOverride" Target="../theme/themeOverride23.xml"/><Relationship Id="rId2" Type="http://schemas.microsoft.com/office/2011/relationships/chartColorStyle" Target="colors23.xml"/><Relationship Id="rId1" Type="http://schemas.microsoft.com/office/2011/relationships/chartStyle" Target="style23.xml"/><Relationship Id="rId4" Type="http://schemas.openxmlformats.org/officeDocument/2006/relationships/oleObject" Target="file:///C:\Users\jovana.djeric\Dropbox\Makro%20sektor\FISKALNA%20STRATEGIJA%202020-2022%20oktobar\Makro%20radni%20fajlovi\GRAFIKONI_MAKRO_okt19.xlsx" TargetMode="External"/></Relationships>
</file>

<file path=word/charts/_rels/chart24.xml.rels><?xml version="1.0" encoding="UTF-8" standalone="yes"?>
<Relationships xmlns="http://schemas.openxmlformats.org/package/2006/relationships"><Relationship Id="rId3" Type="http://schemas.openxmlformats.org/officeDocument/2006/relationships/themeOverride" Target="../theme/themeOverride24.xml"/><Relationship Id="rId2" Type="http://schemas.microsoft.com/office/2011/relationships/chartColorStyle" Target="colors24.xml"/><Relationship Id="rId1" Type="http://schemas.microsoft.com/office/2011/relationships/chartStyle" Target="style24.xml"/><Relationship Id="rId4" Type="http://schemas.openxmlformats.org/officeDocument/2006/relationships/oleObject" Target="file:///C:\Users\jovana.djeric\Dropbox\Makro%20sektor\FISKALNA%20STRATEGIJA%202020-2022%20oktobar\Makro%20radni%20fajlovi\GRAFIKONI_MAKRO_okt19.xlsx" TargetMode="External"/></Relationships>
</file>

<file path=word/charts/_rels/chart25.xml.rels><?xml version="1.0" encoding="UTF-8" standalone="yes"?>
<Relationships xmlns="http://schemas.openxmlformats.org/package/2006/relationships"><Relationship Id="rId3" Type="http://schemas.openxmlformats.org/officeDocument/2006/relationships/themeOverride" Target="../theme/themeOverride25.xml"/><Relationship Id="rId2" Type="http://schemas.microsoft.com/office/2011/relationships/chartColorStyle" Target="colors25.xml"/><Relationship Id="rId1" Type="http://schemas.microsoft.com/office/2011/relationships/chartStyle" Target="style25.xml"/><Relationship Id="rId4" Type="http://schemas.openxmlformats.org/officeDocument/2006/relationships/oleObject" Target="file:///C:\Users\jovana.djeric\Dropbox\Makro%20sektor\FISKALNA%20STRATEGIJA%202020-2022%20oktobar\Makro%20radni%20fajlovi\GRAFIKONI_MAKRO_okt19.xlsx" TargetMode="External"/></Relationships>
</file>

<file path=word/charts/_rels/chart26.xml.rels><?xml version="1.0" encoding="UTF-8" standalone="yes"?>
<Relationships xmlns="http://schemas.openxmlformats.org/package/2006/relationships"><Relationship Id="rId3" Type="http://schemas.openxmlformats.org/officeDocument/2006/relationships/themeOverride" Target="../theme/themeOverride26.xml"/><Relationship Id="rId2" Type="http://schemas.microsoft.com/office/2011/relationships/chartColorStyle" Target="colors26.xml"/><Relationship Id="rId1" Type="http://schemas.microsoft.com/office/2011/relationships/chartStyle" Target="style26.xml"/><Relationship Id="rId4" Type="http://schemas.openxmlformats.org/officeDocument/2006/relationships/oleObject" Target="file:///C:\Users\jovana.djeric\Dropbox\Makro%20sektor\FISKALNA%20STRATEGIJA%202020-2022%20oktobar\Makro%20radni%20fajlovi\GRAFIKONI_MAKRO_okt19.xlsx" TargetMode="External"/></Relationships>
</file>

<file path=word/charts/_rels/chart27.xml.rels><?xml version="1.0" encoding="UTF-8" standalone="yes"?>
<Relationships xmlns="http://schemas.openxmlformats.org/package/2006/relationships"><Relationship Id="rId3" Type="http://schemas.openxmlformats.org/officeDocument/2006/relationships/themeOverride" Target="../theme/themeOverride27.xml"/><Relationship Id="rId2" Type="http://schemas.microsoft.com/office/2011/relationships/chartColorStyle" Target="colors27.xml"/><Relationship Id="rId1" Type="http://schemas.microsoft.com/office/2011/relationships/chartStyle" Target="style27.xml"/><Relationship Id="rId4" Type="http://schemas.openxmlformats.org/officeDocument/2006/relationships/oleObject" Target="file:///C:\Users\jovana.djeric\Dropbox\Makro%20sektor\FISKALNA%20STRATEGIJA%202020-2022%20oktobar\Makro%20radni%20fajlovi\GRAFIKONI_MAKRO_okt19.xlsx" TargetMode="External"/></Relationships>
</file>

<file path=word/charts/_rels/chart28.xml.rels><?xml version="1.0" encoding="UTF-8" standalone="yes"?>
<Relationships xmlns="http://schemas.openxmlformats.org/package/2006/relationships"><Relationship Id="rId3" Type="http://schemas.openxmlformats.org/officeDocument/2006/relationships/themeOverride" Target="../theme/themeOverride28.xml"/><Relationship Id="rId2" Type="http://schemas.microsoft.com/office/2011/relationships/chartColorStyle" Target="colors28.xml"/><Relationship Id="rId1" Type="http://schemas.microsoft.com/office/2011/relationships/chartStyle" Target="style28.xml"/><Relationship Id="rId5" Type="http://schemas.openxmlformats.org/officeDocument/2006/relationships/chartUserShapes" Target="../drawings/drawing11.xml"/><Relationship Id="rId4" Type="http://schemas.openxmlformats.org/officeDocument/2006/relationships/oleObject" Target="file:///C:\Users\rade.ciric\Dropbox\Makro%20sektor\FISKALNA%20STRATEGIJA%202020-2022%20oktobar\Makro%20radni%20fajlovi\GRAFIKONI_MAKRO_okt19%20.xlsx" TargetMode="External"/></Relationships>
</file>

<file path=word/charts/_rels/chart29.xml.rels><?xml version="1.0" encoding="UTF-8" standalone="yes"?>
<Relationships xmlns="http://schemas.openxmlformats.org/package/2006/relationships"><Relationship Id="rId3" Type="http://schemas.openxmlformats.org/officeDocument/2006/relationships/themeOverride" Target="../theme/themeOverride29.xml"/><Relationship Id="rId2" Type="http://schemas.microsoft.com/office/2011/relationships/chartColorStyle" Target="colors29.xml"/><Relationship Id="rId1" Type="http://schemas.microsoft.com/office/2011/relationships/chartStyle" Target="style29.xml"/><Relationship Id="rId5" Type="http://schemas.openxmlformats.org/officeDocument/2006/relationships/chartUserShapes" Target="../drawings/drawing12.xml"/><Relationship Id="rId4" Type="http://schemas.openxmlformats.org/officeDocument/2006/relationships/oleObject" Target="file:///C:\Users\rade.ciric\Dropbox\Makro%20sektor\FISKALNA%20STRATEGIJA%202020-2022%20oktobar\Makro%20radni%20fajlovi\GRAFIKONI_MAKRO_okt19%20.xlsx" TargetMode="External"/></Relationships>
</file>

<file path=word/charts/_rels/chart30.xml.rels><?xml version="1.0" encoding="UTF-8" standalone="yes"?>
<Relationships xmlns="http://schemas.openxmlformats.org/package/2006/relationships"><Relationship Id="rId3" Type="http://schemas.openxmlformats.org/officeDocument/2006/relationships/themeOverride" Target="../theme/themeOverride30.xml"/><Relationship Id="rId2" Type="http://schemas.microsoft.com/office/2011/relationships/chartColorStyle" Target="colors30.xml"/><Relationship Id="rId1" Type="http://schemas.microsoft.com/office/2011/relationships/chartStyle" Target="style30.xml"/><Relationship Id="rId5" Type="http://schemas.openxmlformats.org/officeDocument/2006/relationships/chartUserShapes" Target="../drawings/drawing13.xml"/><Relationship Id="rId4" Type="http://schemas.openxmlformats.org/officeDocument/2006/relationships/oleObject" Target="file:///C:\Users\jovana.djeric\Dropbox\Makro%20sektor\FISKALNA%20STRATEGIJA%202020-2022%20maj\Makro%20radni%20fajlovi\GRAFIKONI_MAKRO_maj19.xlsx" TargetMode="External"/></Relationships>
</file>

<file path=word/charts/_rels/chart31.xml.rels><?xml version="1.0" encoding="UTF-8" standalone="yes"?>
<Relationships xmlns="http://schemas.openxmlformats.org/package/2006/relationships"><Relationship Id="rId3" Type="http://schemas.openxmlformats.org/officeDocument/2006/relationships/themeOverride" Target="../theme/themeOverride31.xml"/><Relationship Id="rId2" Type="http://schemas.microsoft.com/office/2011/relationships/chartColorStyle" Target="colors31.xml"/><Relationship Id="rId1" Type="http://schemas.microsoft.com/office/2011/relationships/chartStyle" Target="style31.xml"/><Relationship Id="rId5" Type="http://schemas.openxmlformats.org/officeDocument/2006/relationships/chartUserShapes" Target="../drawings/drawing14.xml"/><Relationship Id="rId4" Type="http://schemas.openxmlformats.org/officeDocument/2006/relationships/oleObject" Target="file:///C:\Users\jovana.djeric\Dropbox\Makro%20sektor\FISKALNA%20STRATEGIJA%202020-2022%20oktobar\Makro%20radni%20fajlovi\GRAFIKONI_MAKRO_okt19.xlsx" TargetMode="External"/></Relationships>
</file>

<file path=word/charts/_rels/chart32.xml.rels><?xml version="1.0" encoding="UTF-8" standalone="yes"?>
<Relationships xmlns="http://schemas.openxmlformats.org/package/2006/relationships"><Relationship Id="rId3" Type="http://schemas.openxmlformats.org/officeDocument/2006/relationships/themeOverride" Target="../theme/themeOverride32.xml"/><Relationship Id="rId2" Type="http://schemas.microsoft.com/office/2011/relationships/chartColorStyle" Target="colors32.xml"/><Relationship Id="rId1" Type="http://schemas.microsoft.com/office/2011/relationships/chartStyle" Target="style32.xml"/><Relationship Id="rId4" Type="http://schemas.openxmlformats.org/officeDocument/2006/relationships/oleObject" Target="file:///C:\Users\marko.lisica\Dropbox\Makro%20sektor\FISKALNA%20STRATEGIJA%202020-2022%20oktobar\Makro%20radni%20fajlovi\GRAFIKONI_MAKRO_okt19.xlsx" TargetMode="External"/></Relationships>
</file>

<file path=word/charts/_rels/chart33.xml.rels><?xml version="1.0" encoding="UTF-8" standalone="yes"?>
<Relationships xmlns="http://schemas.openxmlformats.org/package/2006/relationships"><Relationship Id="rId3" Type="http://schemas.openxmlformats.org/officeDocument/2006/relationships/themeOverride" Target="../theme/themeOverride33.xml"/><Relationship Id="rId2" Type="http://schemas.microsoft.com/office/2011/relationships/chartColorStyle" Target="colors33.xml"/><Relationship Id="rId1" Type="http://schemas.microsoft.com/office/2011/relationships/chartStyle" Target="style33.xml"/><Relationship Id="rId4" Type="http://schemas.openxmlformats.org/officeDocument/2006/relationships/oleObject" Target="file:///C:\Users\marko.lisica\Dropbox\Makro%20sektor\FISKALNA%20STRATEGIJA%202020-2022%20oktobar\Makro%20radni%20fajlovi\GRAFIKONI_MAKRO_okt19.xlsx" TargetMode="External"/></Relationships>
</file>

<file path=word/charts/_rels/chart34.xml.rels><?xml version="1.0" encoding="UTF-8" standalone="yes"?>
<Relationships xmlns="http://schemas.openxmlformats.org/package/2006/relationships"><Relationship Id="rId3" Type="http://schemas.openxmlformats.org/officeDocument/2006/relationships/themeOverride" Target="../theme/themeOverride34.xml"/><Relationship Id="rId2" Type="http://schemas.microsoft.com/office/2011/relationships/chartColorStyle" Target="colors34.xml"/><Relationship Id="rId1" Type="http://schemas.microsoft.com/office/2011/relationships/chartStyle" Target="style34.xml"/><Relationship Id="rId5" Type="http://schemas.openxmlformats.org/officeDocument/2006/relationships/chartUserShapes" Target="../drawings/drawing15.xml"/><Relationship Id="rId4" Type="http://schemas.openxmlformats.org/officeDocument/2006/relationships/oleObject" Target="file:///C:\Users\marko.lisica\Dropbox\Makro%20sektor\FISKALNA%20STRATEGIJA%202020-2022%20oktobar\Makro%20radni%20fajlovi\GRAFIKONI_MAKRO_okt19.xlsx" TargetMode="External"/></Relationships>
</file>

<file path=word/charts/_rels/chart35.xml.rels><?xml version="1.0" encoding="UTF-8" standalone="yes"?>
<Relationships xmlns="http://schemas.openxmlformats.org/package/2006/relationships"><Relationship Id="rId3" Type="http://schemas.openxmlformats.org/officeDocument/2006/relationships/themeOverride" Target="../theme/themeOverride35.xml"/><Relationship Id="rId2" Type="http://schemas.microsoft.com/office/2011/relationships/chartColorStyle" Target="colors35.xml"/><Relationship Id="rId1" Type="http://schemas.microsoft.com/office/2011/relationships/chartStyle" Target="style35.xml"/><Relationship Id="rId4" Type="http://schemas.openxmlformats.org/officeDocument/2006/relationships/oleObject" Target="file:///C:\Users\jovana.djeric\Dropbox\Makro%20sektor\FISKALNA%20STRATEGIJA%202020-2022%20oktobar\Makro%20radni%20fajlovi\GRAFIKONI_MAKRO_okt19.xlsx" TargetMode="External"/></Relationships>
</file>

<file path=word/charts/_rels/chart36.xml.rels><?xml version="1.0" encoding="UTF-8" standalone="yes"?>
<Relationships xmlns="http://schemas.openxmlformats.org/package/2006/relationships"><Relationship Id="rId3" Type="http://schemas.openxmlformats.org/officeDocument/2006/relationships/themeOverride" Target="../theme/themeOverride36.xml"/><Relationship Id="rId2" Type="http://schemas.microsoft.com/office/2011/relationships/chartColorStyle" Target="colors36.xml"/><Relationship Id="rId1" Type="http://schemas.microsoft.com/office/2011/relationships/chartStyle" Target="style36.xml"/><Relationship Id="rId5" Type="http://schemas.openxmlformats.org/officeDocument/2006/relationships/chartUserShapes" Target="../drawings/drawing16.xml"/><Relationship Id="rId4" Type="http://schemas.openxmlformats.org/officeDocument/2006/relationships/oleObject" Target="file:///C:\Users\jovana.djeric\Dropbox\Makro%20sektor\FISKALNA%20STRATEGIJA%202020-2022%20oktobar\Makro%20radni%20fajlovi\GRAFIKONI_MAKRO_okt19.xlsx" TargetMode="External"/></Relationships>
</file>

<file path=word/charts/_rels/chart37.xml.rels><?xml version="1.0" encoding="UTF-8" standalone="yes"?>
<Relationships xmlns="http://schemas.openxmlformats.org/package/2006/relationships"><Relationship Id="rId3" Type="http://schemas.openxmlformats.org/officeDocument/2006/relationships/themeOverride" Target="../theme/themeOverride37.xml"/><Relationship Id="rId2" Type="http://schemas.microsoft.com/office/2011/relationships/chartColorStyle" Target="colors37.xml"/><Relationship Id="rId1" Type="http://schemas.microsoft.com/office/2011/relationships/chartStyle" Target="style37.xml"/><Relationship Id="rId4" Type="http://schemas.openxmlformats.org/officeDocument/2006/relationships/oleObject" Target="file:///C:\Users\jovana.djeric\Dropbox\Makro%20sektor\FISKALNA%20STRATEGIJA%202020-2022%20oktobar\Makro%20radni%20fajlovi\GRAFIKONI_MAKRO_okt19.xlsx" TargetMode="External"/></Relationships>
</file>

<file path=word/charts/_rels/chart38.xml.rels><?xml version="1.0" encoding="UTF-8" standalone="yes"?>
<Relationships xmlns="http://schemas.openxmlformats.org/package/2006/relationships"><Relationship Id="rId3" Type="http://schemas.openxmlformats.org/officeDocument/2006/relationships/themeOverride" Target="../theme/themeOverride38.xml"/><Relationship Id="rId2" Type="http://schemas.microsoft.com/office/2011/relationships/chartColorStyle" Target="colors38.xml"/><Relationship Id="rId1" Type="http://schemas.microsoft.com/office/2011/relationships/chartStyle" Target="style38.xml"/><Relationship Id="rId4" Type="http://schemas.openxmlformats.org/officeDocument/2006/relationships/oleObject" Target="file:///C:\Users\jovana.djeric\Dropbox\Makro%20sektor\FISKALNA%20STRATEGIJA%202020-2022%20oktobar\Makro%20radni%20fajlovi\GRAFIKONI_MAKRO_okt19.xlsx" TargetMode="External"/></Relationships>
</file>

<file path=word/charts/_rels/chart39.xml.rels><?xml version="1.0" encoding="UTF-8" standalone="yes"?>
<Relationships xmlns="http://schemas.openxmlformats.org/package/2006/relationships"><Relationship Id="rId3" Type="http://schemas.openxmlformats.org/officeDocument/2006/relationships/themeOverride" Target="../theme/themeOverride39.xml"/><Relationship Id="rId2" Type="http://schemas.microsoft.com/office/2011/relationships/chartColorStyle" Target="colors39.xml"/><Relationship Id="rId1" Type="http://schemas.microsoft.com/office/2011/relationships/chartStyle" Target="style39.xml"/><Relationship Id="rId5" Type="http://schemas.openxmlformats.org/officeDocument/2006/relationships/chartUserShapes" Target="../drawings/drawing17.xml"/><Relationship Id="rId4" Type="http://schemas.openxmlformats.org/officeDocument/2006/relationships/oleObject" Target="file:///C:\Users\jovana.djeric\Dropbox\Makro%20sektor\FISKALNA%20STRATEGIJA%202020-2022%20oktobar\Makro%20radni%20fajlovi\GRAFIKONI_MAKRO_okt19.xlsx" TargetMode="External"/></Relationships>
</file>

<file path=word/charts/_rels/chart40.xml.rels><?xml version="1.0" encoding="UTF-8" standalone="yes"?>
<Relationships xmlns="http://schemas.openxmlformats.org/package/2006/relationships"><Relationship Id="rId3" Type="http://schemas.openxmlformats.org/officeDocument/2006/relationships/themeOverride" Target="../theme/themeOverride40.xml"/><Relationship Id="rId2" Type="http://schemas.microsoft.com/office/2011/relationships/chartColorStyle" Target="colors40.xml"/><Relationship Id="rId1" Type="http://schemas.microsoft.com/office/2011/relationships/chartStyle" Target="style40.xml"/><Relationship Id="rId5" Type="http://schemas.openxmlformats.org/officeDocument/2006/relationships/chartUserShapes" Target="../drawings/drawing18.xml"/><Relationship Id="rId4" Type="http://schemas.openxmlformats.org/officeDocument/2006/relationships/oleObject" Target="file:///C:\Users\jovana.djeric\Dropbox\Makro%20sektor\FISKALNA%20STRATEGIJA%202020-2022%20oktobar\Makro%20radni%20fajlovi\GRAFIKONI_MAKRO_okt19.xlsx" TargetMode="External"/></Relationships>
</file>

<file path=word/charts/_rels/chart41.xml.rels><?xml version="1.0" encoding="UTF-8" standalone="yes"?>
<Relationships xmlns="http://schemas.openxmlformats.org/package/2006/relationships"><Relationship Id="rId2" Type="http://schemas.openxmlformats.org/officeDocument/2006/relationships/oleObject" Target="file:///C:\Users\rade.ciric\Dropbox\Makro%20sektor\FISKALNA%20STRATEGIJA%202020-2022%20oktobar\Makro%20radni%20fajlovi\GRAFIKONI_MAKRO_okt19.xlsx" TargetMode="External"/><Relationship Id="rId1" Type="http://schemas.openxmlformats.org/officeDocument/2006/relationships/themeOverride" Target="../theme/themeOverride41.xml"/></Relationships>
</file>

<file path=word/charts/_rels/chart42.xml.rels><?xml version="1.0" encoding="UTF-8" standalone="yes"?>
<Relationships xmlns="http://schemas.openxmlformats.org/package/2006/relationships"><Relationship Id="rId3" Type="http://schemas.openxmlformats.org/officeDocument/2006/relationships/oleObject" Target="file:///C:\Users\vladimir.malbasic\Desktop\Za%20bazu-%20GFS,%20SS%20bs%20,%20MMF%20table\GFS%20CONSOLIDATION_za%20analizu%20radni%20fajl-2080mq1.xlsx" TargetMode="External"/><Relationship Id="rId2" Type="http://schemas.microsoft.com/office/2011/relationships/chartColorStyle" Target="colors41.xml"/><Relationship Id="rId1" Type="http://schemas.microsoft.com/office/2011/relationships/chartStyle" Target="style41.xml"/></Relationships>
</file>

<file path=word/charts/_rels/chart43.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42.xml"/><Relationship Id="rId1" Type="http://schemas.microsoft.com/office/2011/relationships/chartStyle" Target="style42.xml"/></Relationships>
</file>

<file path=word/charts/_rels/chart44.xml.rels><?xml version="1.0" encoding="UTF-8" standalone="yes"?>
<Relationships xmlns="http://schemas.openxmlformats.org/package/2006/relationships"><Relationship Id="rId3" Type="http://schemas.openxmlformats.org/officeDocument/2006/relationships/themeOverride" Target="../theme/themeOverride42.xml"/><Relationship Id="rId2" Type="http://schemas.microsoft.com/office/2011/relationships/chartColorStyle" Target="colors43.xml"/><Relationship Id="rId1" Type="http://schemas.microsoft.com/office/2011/relationships/chartStyle" Target="style43.xml"/><Relationship Id="rId5" Type="http://schemas.openxmlformats.org/officeDocument/2006/relationships/chartUserShapes" Target="../drawings/drawing19.xml"/><Relationship Id="rId4" Type="http://schemas.openxmlformats.org/officeDocument/2006/relationships/package" Target="../embeddings/Microsoft_Excel_Worksheet1.xlsx"/></Relationships>
</file>

<file path=word/charts/_rels/chart45.xml.rels><?xml version="1.0" encoding="UTF-8" standalone="yes"?>
<Relationships xmlns="http://schemas.openxmlformats.org/package/2006/relationships"><Relationship Id="rId3" Type="http://schemas.openxmlformats.org/officeDocument/2006/relationships/themeOverride" Target="../theme/themeOverride43.xml"/><Relationship Id="rId2" Type="http://schemas.microsoft.com/office/2011/relationships/chartColorStyle" Target="colors44.xml"/><Relationship Id="rId1" Type="http://schemas.microsoft.com/office/2011/relationships/chartStyle" Target="style44.xml"/><Relationship Id="rId4" Type="http://schemas.openxmlformats.org/officeDocument/2006/relationships/package" Target="../embeddings/Microsoft_Excel_Worksheet2.xlsx"/></Relationships>
</file>

<file path=word/charts/_rels/chart46.xml.rels><?xml version="1.0" encoding="UTF-8" standalone="yes"?>
<Relationships xmlns="http://schemas.openxmlformats.org/package/2006/relationships"><Relationship Id="rId3" Type="http://schemas.openxmlformats.org/officeDocument/2006/relationships/oleObject" Target="file:///C:\Users\vladimir.malbasic\Dropbox\Makro%20sektor\FISKALNA%20STRATEGIJA%202020-2022%20oktobar\Fiskal%20radni%20fajlovi\Grafikoni%20ciklicnog%20deficita,%20poreske%20elasticnosti%20i%20osetljivost%20balansa%20-%20konacna%202017.xlsx" TargetMode="External"/><Relationship Id="rId2" Type="http://schemas.microsoft.com/office/2011/relationships/chartColorStyle" Target="colors45.xml"/><Relationship Id="rId1" Type="http://schemas.microsoft.com/office/2011/relationships/chartStyle" Target="style45.xml"/><Relationship Id="rId4" Type="http://schemas.openxmlformats.org/officeDocument/2006/relationships/chartUserShapes" Target="../drawings/drawing20.xml"/></Relationships>
</file>

<file path=word/charts/_rels/chart47.xml.rels><?xml version="1.0" encoding="UTF-8" standalone="yes"?>
<Relationships xmlns="http://schemas.openxmlformats.org/package/2006/relationships"><Relationship Id="rId3" Type="http://schemas.openxmlformats.org/officeDocument/2006/relationships/oleObject" Target="file:///C:\Users\vladimir.malbasic\Dropbox\Makro%20sektor\FISKALNA%20STRATEGIJA%202020-2022%20oktobar\Fiskal%20radni%20fajlovi\Grafikoni%20ciklicnog%20deficita,%20poreske%20elasticnosti%20i%20osetljivost%20balansa%20-%20konacna%202017.xlsx" TargetMode="External"/><Relationship Id="rId2" Type="http://schemas.microsoft.com/office/2011/relationships/chartColorStyle" Target="colors46.xml"/><Relationship Id="rId1" Type="http://schemas.microsoft.com/office/2011/relationships/chartStyle" Target="style46.xml"/><Relationship Id="rId4" Type="http://schemas.openxmlformats.org/officeDocument/2006/relationships/chartUserShapes" Target="../drawings/drawing21.xml"/></Relationships>
</file>

<file path=word/charts/_rels/chart48.xml.rels><?xml version="1.0" encoding="UTF-8" standalone="yes"?>
<Relationships xmlns="http://schemas.openxmlformats.org/package/2006/relationships"><Relationship Id="rId3" Type="http://schemas.openxmlformats.org/officeDocument/2006/relationships/themeOverride" Target="../theme/themeOverride44.xml"/><Relationship Id="rId2" Type="http://schemas.microsoft.com/office/2011/relationships/chartColorStyle" Target="colors47.xml"/><Relationship Id="rId1" Type="http://schemas.microsoft.com/office/2011/relationships/chartStyle" Target="style47.xml"/><Relationship Id="rId5" Type="http://schemas.openxmlformats.org/officeDocument/2006/relationships/chartUserShapes" Target="../drawings/drawing22.xml"/><Relationship Id="rId4" Type="http://schemas.openxmlformats.org/officeDocument/2006/relationships/oleObject" Target="file:///C:\Users\vladimir.malbasic\Dropbox\Makro%20sektor\FISKALNA%20STRATEGIJA%202020-2022%20oktobar\Fiskal%20radni%20fajlovi\Grafikoni%20ciklicnog%20deficita,%20poreske%20elasticnosti%20i%20osetljivost%20balansa%20-%20konacna%202017.xlsx" TargetMode="External"/></Relationships>
</file>

<file path=word/charts/_rels/chart49.xml.rels><?xml version="1.0" encoding="UTF-8" standalone="yes"?>
<Relationships xmlns="http://schemas.openxmlformats.org/package/2006/relationships"><Relationship Id="rId3" Type="http://schemas.openxmlformats.org/officeDocument/2006/relationships/oleObject" Target="file:///C:\Users\vladimir.malbasic\Desktop\Za%20bazu-%20GFS,%20SS%20bs%20,%20MMF%20table\GFS%20CONSOLIDATION_za%20analizu%20radni%20fajl-2080mq1.xlsx" TargetMode="External"/><Relationship Id="rId2" Type="http://schemas.microsoft.com/office/2011/relationships/chartColorStyle" Target="colors48.xml"/><Relationship Id="rId1" Type="http://schemas.microsoft.com/office/2011/relationships/chartStyle" Target="style48.xml"/></Relationships>
</file>

<file path=word/charts/_rels/chart50.xml.rels><?xml version="1.0" encoding="UTF-8" standalone="yes"?>
<Relationships xmlns="http://schemas.openxmlformats.org/package/2006/relationships"><Relationship Id="rId3" Type="http://schemas.openxmlformats.org/officeDocument/2006/relationships/oleObject" Target="file:///C:\Users\vladimir.malbasic\Dropbox\Makro%20sektor\FISKALNA%20STRATEGIJA%202020-2022%20maj\Fiskal%20radni%20fajlovi\Scenarija%20javni%20dug%20fiskalno%20prilagodjavanje%20okt%202018.xlsx" TargetMode="External"/><Relationship Id="rId2" Type="http://schemas.microsoft.com/office/2011/relationships/chartColorStyle" Target="colors49.xml"/><Relationship Id="rId1" Type="http://schemas.microsoft.com/office/2011/relationships/chartStyle" Target="style49.xml"/><Relationship Id="rId4" Type="http://schemas.openxmlformats.org/officeDocument/2006/relationships/chartUserShapes" Target="../drawings/drawing23.xml"/></Relationships>
</file>

<file path=word/charts/_rels/chart51.xml.rels><?xml version="1.0" encoding="UTF-8" standalone="yes"?>
<Relationships xmlns="http://schemas.openxmlformats.org/package/2006/relationships"><Relationship Id="rId3" Type="http://schemas.openxmlformats.org/officeDocument/2006/relationships/themeOverride" Target="../theme/themeOverride45.xml"/><Relationship Id="rId2" Type="http://schemas.microsoft.com/office/2011/relationships/chartColorStyle" Target="colors50.xml"/><Relationship Id="rId1" Type="http://schemas.microsoft.com/office/2011/relationships/chartStyle" Target="style50.xml"/><Relationship Id="rId4" Type="http://schemas.openxmlformats.org/officeDocument/2006/relationships/package" Target="../embeddings/Microsoft_Excel_Worksheet3.xlsx"/></Relationships>
</file>

<file path=word/charts/_rels/chart52.xml.rels><?xml version="1.0" encoding="UTF-8" standalone="yes"?>
<Relationships xmlns="http://schemas.openxmlformats.org/package/2006/relationships"><Relationship Id="rId3" Type="http://schemas.openxmlformats.org/officeDocument/2006/relationships/themeOverride" Target="../theme/themeOverride46.xml"/><Relationship Id="rId2" Type="http://schemas.microsoft.com/office/2011/relationships/chartColorStyle" Target="colors51.xml"/><Relationship Id="rId1" Type="http://schemas.microsoft.com/office/2011/relationships/chartStyle" Target="style51.xml"/><Relationship Id="rId4" Type="http://schemas.openxmlformats.org/officeDocument/2006/relationships/package" Target="../embeddings/Microsoft_Excel_Worksheet4.xlsx"/></Relationships>
</file>

<file path=word/charts/_rels/chart53.xml.rels><?xml version="1.0" encoding="UTF-8" standalone="yes"?>
<Relationships xmlns="http://schemas.openxmlformats.org/package/2006/relationships"><Relationship Id="rId3" Type="http://schemas.openxmlformats.org/officeDocument/2006/relationships/themeOverride" Target="../theme/themeOverride47.xml"/><Relationship Id="rId2" Type="http://schemas.microsoft.com/office/2011/relationships/chartColorStyle" Target="colors52.xml"/><Relationship Id="rId1" Type="http://schemas.microsoft.com/office/2011/relationships/chartStyle" Target="style52.xml"/><Relationship Id="rId4" Type="http://schemas.openxmlformats.org/officeDocument/2006/relationships/package" Target="../embeddings/Microsoft_Excel_Worksheet5.xlsx"/></Relationships>
</file>

<file path=word/charts/_rels/chart54.xml.rels><?xml version="1.0" encoding="UTF-8" standalone="yes"?>
<Relationships xmlns="http://schemas.openxmlformats.org/package/2006/relationships"><Relationship Id="rId2" Type="http://schemas.openxmlformats.org/officeDocument/2006/relationships/oleObject" Target="file:///C:\Users\Korisnik\Desktop\GRAFIKONI\Dalibor%20grafikoni\Weighted%20average%20rates%20-%2031%2008%202019.xlsx" TargetMode="External"/><Relationship Id="rId1" Type="http://schemas.openxmlformats.org/officeDocument/2006/relationships/themeOverride" Target="../theme/themeOverride48.xml"/></Relationships>
</file>

<file path=word/charts/_rels/chart55.xml.rels><?xml version="1.0" encoding="UTF-8" standalone="yes"?>
<Relationships xmlns="http://schemas.openxmlformats.org/package/2006/relationships"><Relationship Id="rId2" Type="http://schemas.openxmlformats.org/officeDocument/2006/relationships/oleObject" Target="file:///C:\Users\Korisnik\Desktop\GRAFIKONI\Dalibor%20grafikoni\Weighted%20average%20rates%20-%2031%2008%202019.xlsx" TargetMode="External"/><Relationship Id="rId1" Type="http://schemas.openxmlformats.org/officeDocument/2006/relationships/themeOverride" Target="../theme/themeOverride49.xml"/></Relationships>
</file>

<file path=word/charts/_rels/chart56.xml.rels><?xml version="1.0" encoding="UTF-8" standalone="yes"?>
<Relationships xmlns="http://schemas.openxmlformats.org/package/2006/relationships"><Relationship Id="rId2" Type="http://schemas.openxmlformats.org/officeDocument/2006/relationships/oleObject" Target="Chart%20in%20Microsoft%20Word" TargetMode="External"/><Relationship Id="rId1" Type="http://schemas.openxmlformats.org/officeDocument/2006/relationships/themeOverride" Target="../theme/themeOverride50.xml"/></Relationships>
</file>

<file path=word/charts/_rels/chart57.xml.rels><?xml version="1.0" encoding="UTF-8" standalone="yes"?>
<Relationships xmlns="http://schemas.openxmlformats.org/package/2006/relationships"><Relationship Id="rId2" Type="http://schemas.openxmlformats.org/officeDocument/2006/relationships/oleObject" Target="Chart%20in%20Microsoft%20Word" TargetMode="External"/><Relationship Id="rId1" Type="http://schemas.openxmlformats.org/officeDocument/2006/relationships/themeOverride" Target="../theme/themeOverride51.xml"/></Relationships>
</file>

<file path=word/charts/_rels/chart58.xml.rels><?xml version="1.0" encoding="UTF-8" standalone="yes"?>
<Relationships xmlns="http://schemas.openxmlformats.org/package/2006/relationships"><Relationship Id="rId3" Type="http://schemas.openxmlformats.org/officeDocument/2006/relationships/themeOverride" Target="../theme/themeOverride52.xml"/><Relationship Id="rId2" Type="http://schemas.microsoft.com/office/2011/relationships/chartColorStyle" Target="colors53.xml"/><Relationship Id="rId1" Type="http://schemas.microsoft.com/office/2011/relationships/chartStyle" Target="style53.xml"/><Relationship Id="rId4" Type="http://schemas.openxmlformats.org/officeDocument/2006/relationships/oleObject" Target="file:///C:\Users\Oliver\Desktop\STRATEGIJA%202020-2022\STRAT2020-2022v2.xlsx" TargetMode="External"/></Relationships>
</file>

<file path=word/charts/_rels/chart59.xml.rels><?xml version="1.0" encoding="UTF-8" standalone="yes"?>
<Relationships xmlns="http://schemas.openxmlformats.org/package/2006/relationships"><Relationship Id="rId2" Type="http://schemas.openxmlformats.org/officeDocument/2006/relationships/oleObject" Target="file:///C:\Users\Korisnik\Desktop\GRAFIKONI\dragana%20graf.xlsx" TargetMode="External"/><Relationship Id="rId1" Type="http://schemas.openxmlformats.org/officeDocument/2006/relationships/themeOverride" Target="../theme/themeOverride53.xml"/></Relationships>
</file>

<file path=word/charts/_rels/chart60.xml.rels><?xml version="1.0" encoding="UTF-8" standalone="yes"?>
<Relationships xmlns="http://schemas.openxmlformats.org/package/2006/relationships"><Relationship Id="rId2" Type="http://schemas.openxmlformats.org/officeDocument/2006/relationships/oleObject" Target="file:///C:\Users\Korisnik\Desktop\GRAFIKONI\Copy%20of%20STRAT2020-2022v2.xlsx" TargetMode="External"/><Relationship Id="rId1" Type="http://schemas.openxmlformats.org/officeDocument/2006/relationships/themeOverride" Target="../theme/themeOverride54.xml"/></Relationships>
</file>

<file path=word/charts/_rels/chart440.xml.rels><?xml version="1.0" encoding="UTF-8" standalone="yes"?>
<Relationships xmlns="http://schemas.openxmlformats.org/package/2006/relationships"><Relationship Id="rId3" Type="http://schemas.openxmlformats.org/officeDocument/2006/relationships/themeOverride" Target="../theme/themeOverride420.xml"/><Relationship Id="rId2" Type="http://schemas.microsoft.com/office/2011/relationships/chartColorStyle" Target="colors430.xml"/><Relationship Id="rId1" Type="http://schemas.microsoft.com/office/2011/relationships/chartStyle" Target="style430.xml"/><Relationship Id="rId5" Type="http://schemas.openxmlformats.org/officeDocument/2006/relationships/chartUserShapes" Target="../drawings/drawing190.xml"/><Relationship Id="rId4" Type="http://schemas.openxmlformats.org/officeDocument/2006/relationships/package" Target="../embeddings/Microsoft_Excel_Worksheet10.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5979221347331585E-2"/>
          <c:y val="5.0925925925925923E-2"/>
          <c:w val="0.91179855643044616"/>
          <c:h val="0.55948245614035086"/>
        </c:manualLayout>
      </c:layout>
      <c:barChart>
        <c:barDir val="col"/>
        <c:grouping val="stacked"/>
        <c:varyColors val="0"/>
        <c:ser>
          <c:idx val="0"/>
          <c:order val="0"/>
          <c:tx>
            <c:strRef>
              <c:f>'WEO_ekon. rast'!$B$25</c:f>
              <c:strCache>
                <c:ptCount val="1"/>
                <c:pt idx="0">
                  <c:v>Развијене економије искључујући САД и ЕУ</c:v>
                </c:pt>
              </c:strCache>
            </c:strRef>
          </c:tx>
          <c:spPr>
            <a:solidFill>
              <a:srgbClr val="10103C"/>
            </a:solidFill>
            <a:ln>
              <a:noFill/>
            </a:ln>
            <a:effectLst/>
          </c:spPr>
          <c:invertIfNegative val="0"/>
          <c:cat>
            <c:numRef>
              <c:f>'WEO_ekon. rast'!$E$24:$J$24</c:f>
              <c:numCache>
                <c:formatCode>General</c:formatCode>
                <c:ptCount val="6"/>
                <c:pt idx="0">
                  <c:v>2017</c:v>
                </c:pt>
                <c:pt idx="1">
                  <c:v>2018</c:v>
                </c:pt>
                <c:pt idx="2">
                  <c:v>2019</c:v>
                </c:pt>
                <c:pt idx="3">
                  <c:v>2020</c:v>
                </c:pt>
                <c:pt idx="4">
                  <c:v>2021</c:v>
                </c:pt>
                <c:pt idx="5">
                  <c:v>2022</c:v>
                </c:pt>
              </c:numCache>
            </c:numRef>
          </c:cat>
          <c:val>
            <c:numRef>
              <c:f>'WEO_ekon. rast'!$E$25:$J$25</c:f>
              <c:numCache>
                <c:formatCode>0.00</c:formatCode>
                <c:ptCount val="6"/>
                <c:pt idx="0">
                  <c:v>0.20201950000000019</c:v>
                </c:pt>
                <c:pt idx="1">
                  <c:v>0.12541082000000009</c:v>
                </c:pt>
                <c:pt idx="2">
                  <c:v>7.6076180000000049E-2</c:v>
                </c:pt>
                <c:pt idx="3">
                  <c:v>9.2830320000000022E-2</c:v>
                </c:pt>
                <c:pt idx="4">
                  <c:v>0.11547452000000002</c:v>
                </c:pt>
                <c:pt idx="5">
                  <c:v>0.12574072000000008</c:v>
                </c:pt>
              </c:numCache>
            </c:numRef>
          </c:val>
          <c:extLst>
            <c:ext xmlns:c16="http://schemas.microsoft.com/office/drawing/2014/chart" uri="{C3380CC4-5D6E-409C-BE32-E72D297353CC}">
              <c16:uniqueId val="{00000000-FE81-4E27-8F9E-9D43434964BC}"/>
            </c:ext>
          </c:extLst>
        </c:ser>
        <c:ser>
          <c:idx val="1"/>
          <c:order val="1"/>
          <c:tx>
            <c:strRef>
              <c:f>'WEO_ekon. rast'!$B$26</c:f>
              <c:strCache>
                <c:ptCount val="1"/>
                <c:pt idx="0">
                  <c:v>САД</c:v>
                </c:pt>
              </c:strCache>
            </c:strRef>
          </c:tx>
          <c:spPr>
            <a:solidFill>
              <a:srgbClr val="2A489A"/>
            </a:solidFill>
            <a:ln>
              <a:noFill/>
            </a:ln>
            <a:effectLst/>
          </c:spPr>
          <c:invertIfNegative val="0"/>
          <c:cat>
            <c:numRef>
              <c:f>'WEO_ekon. rast'!$E$24:$J$24</c:f>
              <c:numCache>
                <c:formatCode>General</c:formatCode>
                <c:ptCount val="6"/>
                <c:pt idx="0">
                  <c:v>2017</c:v>
                </c:pt>
                <c:pt idx="1">
                  <c:v>2018</c:v>
                </c:pt>
                <c:pt idx="2">
                  <c:v>2019</c:v>
                </c:pt>
                <c:pt idx="3">
                  <c:v>2020</c:v>
                </c:pt>
                <c:pt idx="4">
                  <c:v>2021</c:v>
                </c:pt>
                <c:pt idx="5">
                  <c:v>2022</c:v>
                </c:pt>
              </c:numCache>
            </c:numRef>
          </c:cat>
          <c:val>
            <c:numRef>
              <c:f>'WEO_ekon. rast'!$E$26:$J$26</c:f>
              <c:numCache>
                <c:formatCode>0.00</c:formatCode>
                <c:ptCount val="6"/>
                <c:pt idx="0">
                  <c:v>0.36225450000000003</c:v>
                </c:pt>
                <c:pt idx="1">
                  <c:v>0.44478692000000003</c:v>
                </c:pt>
                <c:pt idx="2">
                  <c:v>0.35515549999999996</c:v>
                </c:pt>
                <c:pt idx="3">
                  <c:v>0.31184592</c:v>
                </c:pt>
                <c:pt idx="4">
                  <c:v>0.25620803999999997</c:v>
                </c:pt>
                <c:pt idx="5">
                  <c:v>0.22444923</c:v>
                </c:pt>
              </c:numCache>
            </c:numRef>
          </c:val>
          <c:extLst>
            <c:ext xmlns:c16="http://schemas.microsoft.com/office/drawing/2014/chart" uri="{C3380CC4-5D6E-409C-BE32-E72D297353CC}">
              <c16:uniqueId val="{00000001-FE81-4E27-8F9E-9D43434964BC}"/>
            </c:ext>
          </c:extLst>
        </c:ser>
        <c:ser>
          <c:idx val="2"/>
          <c:order val="2"/>
          <c:tx>
            <c:strRef>
              <c:f>'WEO_ekon. rast'!$B$27</c:f>
              <c:strCache>
                <c:ptCount val="1"/>
                <c:pt idx="0">
                  <c:v>ЕУ</c:v>
                </c:pt>
              </c:strCache>
            </c:strRef>
          </c:tx>
          <c:spPr>
            <a:solidFill>
              <a:srgbClr val="2183C4"/>
            </a:solidFill>
            <a:ln>
              <a:noFill/>
            </a:ln>
            <a:effectLst/>
          </c:spPr>
          <c:invertIfNegative val="0"/>
          <c:cat>
            <c:numRef>
              <c:f>'WEO_ekon. rast'!$E$24:$J$24</c:f>
              <c:numCache>
                <c:formatCode>General</c:formatCode>
                <c:ptCount val="6"/>
                <c:pt idx="0">
                  <c:v>2017</c:v>
                </c:pt>
                <c:pt idx="1">
                  <c:v>2018</c:v>
                </c:pt>
                <c:pt idx="2">
                  <c:v>2019</c:v>
                </c:pt>
                <c:pt idx="3">
                  <c:v>2020</c:v>
                </c:pt>
                <c:pt idx="4">
                  <c:v>2021</c:v>
                </c:pt>
                <c:pt idx="5">
                  <c:v>2022</c:v>
                </c:pt>
              </c:numCache>
            </c:numRef>
          </c:cat>
          <c:val>
            <c:numRef>
              <c:f>'WEO_ekon. rast'!$E$27:$J$27</c:f>
              <c:numCache>
                <c:formatCode>0.00</c:formatCode>
                <c:ptCount val="6"/>
                <c:pt idx="0">
                  <c:v>0.45363989999999993</c:v>
                </c:pt>
                <c:pt idx="1">
                  <c:v>0.35804999999999998</c:v>
                </c:pt>
                <c:pt idx="2">
                  <c:v>0.24498403999999996</c:v>
                </c:pt>
                <c:pt idx="3">
                  <c:v>0.25889039999999996</c:v>
                </c:pt>
                <c:pt idx="4">
                  <c:v>0.25752143999999999</c:v>
                </c:pt>
                <c:pt idx="5">
                  <c:v>0.24301549</c:v>
                </c:pt>
              </c:numCache>
            </c:numRef>
          </c:val>
          <c:extLst>
            <c:ext xmlns:c16="http://schemas.microsoft.com/office/drawing/2014/chart" uri="{C3380CC4-5D6E-409C-BE32-E72D297353CC}">
              <c16:uniqueId val="{00000002-FE81-4E27-8F9E-9D43434964BC}"/>
            </c:ext>
          </c:extLst>
        </c:ser>
        <c:ser>
          <c:idx val="3"/>
          <c:order val="3"/>
          <c:tx>
            <c:strRef>
              <c:f>'WEO_ekon. rast'!$B$28</c:f>
              <c:strCache>
                <c:ptCount val="1"/>
                <c:pt idx="0">
                  <c:v>Земље у успону Азијског континента без Кине</c:v>
                </c:pt>
              </c:strCache>
            </c:strRef>
          </c:tx>
          <c:spPr>
            <a:solidFill>
              <a:srgbClr val="51BBE7"/>
            </a:solidFill>
            <a:ln>
              <a:noFill/>
            </a:ln>
            <a:effectLst/>
          </c:spPr>
          <c:invertIfNegative val="0"/>
          <c:cat>
            <c:numRef>
              <c:f>'WEO_ekon. rast'!$E$24:$J$24</c:f>
              <c:numCache>
                <c:formatCode>General</c:formatCode>
                <c:ptCount val="6"/>
                <c:pt idx="0">
                  <c:v>2017</c:v>
                </c:pt>
                <c:pt idx="1">
                  <c:v>2018</c:v>
                </c:pt>
                <c:pt idx="2">
                  <c:v>2019</c:v>
                </c:pt>
                <c:pt idx="3">
                  <c:v>2020</c:v>
                </c:pt>
                <c:pt idx="4">
                  <c:v>2021</c:v>
                </c:pt>
                <c:pt idx="5">
                  <c:v>2022</c:v>
                </c:pt>
              </c:numCache>
            </c:numRef>
          </c:cat>
          <c:val>
            <c:numRef>
              <c:f>'WEO_ekon. rast'!$E$28:$J$28</c:f>
              <c:numCache>
                <c:formatCode>0.00</c:formatCode>
                <c:ptCount val="6"/>
                <c:pt idx="0">
                  <c:v>0.90659974000000032</c:v>
                </c:pt>
                <c:pt idx="1">
                  <c:v>0.89946836999999991</c:v>
                </c:pt>
                <c:pt idx="2">
                  <c:v>0.84412986999999973</c:v>
                </c:pt>
                <c:pt idx="3">
                  <c:v>0.94773716999999991</c:v>
                </c:pt>
                <c:pt idx="4">
                  <c:v>1.0252778000000002</c:v>
                </c:pt>
                <c:pt idx="5">
                  <c:v>1.06200692</c:v>
                </c:pt>
              </c:numCache>
            </c:numRef>
          </c:val>
          <c:extLst>
            <c:ext xmlns:c16="http://schemas.microsoft.com/office/drawing/2014/chart" uri="{C3380CC4-5D6E-409C-BE32-E72D297353CC}">
              <c16:uniqueId val="{00000003-FE81-4E27-8F9E-9D43434964BC}"/>
            </c:ext>
          </c:extLst>
        </c:ser>
        <c:ser>
          <c:idx val="4"/>
          <c:order val="4"/>
          <c:tx>
            <c:strRef>
              <c:f>'WEO_ekon. rast'!$B$29</c:f>
              <c:strCache>
                <c:ptCount val="1"/>
                <c:pt idx="0">
                  <c:v>Кина</c:v>
                </c:pt>
              </c:strCache>
            </c:strRef>
          </c:tx>
          <c:spPr>
            <a:solidFill>
              <a:srgbClr val="90CAE2"/>
            </a:solidFill>
            <a:ln>
              <a:noFill/>
            </a:ln>
            <a:effectLst/>
          </c:spPr>
          <c:invertIfNegative val="0"/>
          <c:cat>
            <c:numRef>
              <c:f>'WEO_ekon. rast'!$E$24:$J$24</c:f>
              <c:numCache>
                <c:formatCode>General</c:formatCode>
                <c:ptCount val="6"/>
                <c:pt idx="0">
                  <c:v>2017</c:v>
                </c:pt>
                <c:pt idx="1">
                  <c:v>2018</c:v>
                </c:pt>
                <c:pt idx="2">
                  <c:v>2019</c:v>
                </c:pt>
                <c:pt idx="3">
                  <c:v>2020</c:v>
                </c:pt>
                <c:pt idx="4">
                  <c:v>2021</c:v>
                </c:pt>
                <c:pt idx="5">
                  <c:v>2022</c:v>
                </c:pt>
              </c:numCache>
            </c:numRef>
          </c:cat>
          <c:val>
            <c:numRef>
              <c:f>'WEO_ekon. rast'!$E$29:$J$29</c:f>
              <c:numCache>
                <c:formatCode>0.00</c:formatCode>
                <c:ptCount val="6"/>
                <c:pt idx="0">
                  <c:v>1.2252468099999998</c:v>
                </c:pt>
                <c:pt idx="1">
                  <c:v>1.22573055</c:v>
                </c:pt>
                <c:pt idx="2">
                  <c:v>1.1818188900000002</c:v>
                </c:pt>
                <c:pt idx="3">
                  <c:v>1.1468667099999998</c:v>
                </c:pt>
                <c:pt idx="4">
                  <c:v>1.189735</c:v>
                </c:pt>
                <c:pt idx="5">
                  <c:v>1.1736870000000001</c:v>
                </c:pt>
              </c:numCache>
            </c:numRef>
          </c:val>
          <c:extLst>
            <c:ext xmlns:c16="http://schemas.microsoft.com/office/drawing/2014/chart" uri="{C3380CC4-5D6E-409C-BE32-E72D297353CC}">
              <c16:uniqueId val="{00000004-FE81-4E27-8F9E-9D43434964BC}"/>
            </c:ext>
          </c:extLst>
        </c:ser>
        <c:ser>
          <c:idx val="5"/>
          <c:order val="5"/>
          <c:tx>
            <c:strRef>
              <c:f>'WEO_ekon. rast'!$B$30</c:f>
              <c:strCache>
                <c:ptCount val="1"/>
                <c:pt idx="0">
                  <c:v>Остале земље у успону</c:v>
                </c:pt>
              </c:strCache>
            </c:strRef>
          </c:tx>
          <c:spPr>
            <a:solidFill>
              <a:srgbClr val="C9E4EB"/>
            </a:solidFill>
            <a:ln>
              <a:noFill/>
            </a:ln>
            <a:effectLst/>
          </c:spPr>
          <c:invertIfNegative val="0"/>
          <c:cat>
            <c:numRef>
              <c:f>'WEO_ekon. rast'!$E$24:$J$24</c:f>
              <c:numCache>
                <c:formatCode>General</c:formatCode>
                <c:ptCount val="6"/>
                <c:pt idx="0">
                  <c:v>2017</c:v>
                </c:pt>
                <c:pt idx="1">
                  <c:v>2018</c:v>
                </c:pt>
                <c:pt idx="2">
                  <c:v>2019</c:v>
                </c:pt>
                <c:pt idx="3">
                  <c:v>2020</c:v>
                </c:pt>
                <c:pt idx="4">
                  <c:v>2021</c:v>
                </c:pt>
                <c:pt idx="5">
                  <c:v>2022</c:v>
                </c:pt>
              </c:numCache>
            </c:numRef>
          </c:cat>
          <c:val>
            <c:numRef>
              <c:f>'WEO_ekon. rast'!$E$30:$J$30</c:f>
              <c:numCache>
                <c:formatCode>0.00</c:formatCode>
                <c:ptCount val="6"/>
                <c:pt idx="0">
                  <c:v>0.66123954999999945</c:v>
                </c:pt>
                <c:pt idx="1">
                  <c:v>0.55155334000000034</c:v>
                </c:pt>
                <c:pt idx="2">
                  <c:v>0.31083551999999992</c:v>
                </c:pt>
                <c:pt idx="3">
                  <c:v>0.65182948000000041</c:v>
                </c:pt>
                <c:pt idx="4">
                  <c:v>0.71078320000000028</c:v>
                </c:pt>
                <c:pt idx="5">
                  <c:v>0.72810063999999963</c:v>
                </c:pt>
              </c:numCache>
            </c:numRef>
          </c:val>
          <c:extLst>
            <c:ext xmlns:c16="http://schemas.microsoft.com/office/drawing/2014/chart" uri="{C3380CC4-5D6E-409C-BE32-E72D297353CC}">
              <c16:uniqueId val="{00000005-FE81-4E27-8F9E-9D43434964BC}"/>
            </c:ext>
          </c:extLst>
        </c:ser>
        <c:dLbls>
          <c:showLegendKey val="0"/>
          <c:showVal val="0"/>
          <c:showCatName val="0"/>
          <c:showSerName val="0"/>
          <c:showPercent val="0"/>
          <c:showBubbleSize val="0"/>
        </c:dLbls>
        <c:gapWidth val="30"/>
        <c:overlap val="100"/>
        <c:axId val="675286816"/>
        <c:axId val="675287376"/>
      </c:barChart>
      <c:lineChart>
        <c:grouping val="standard"/>
        <c:varyColors val="0"/>
        <c:ser>
          <c:idx val="6"/>
          <c:order val="6"/>
          <c:tx>
            <c:strRef>
              <c:f>'WEO_ekon. rast'!$B$31</c:f>
              <c:strCache>
                <c:ptCount val="1"/>
                <c:pt idx="0">
                  <c:v>Светски раст</c:v>
                </c:pt>
              </c:strCache>
            </c:strRef>
          </c:tx>
          <c:spPr>
            <a:ln w="25400" cap="rnd">
              <a:solidFill>
                <a:srgbClr val="FF0000"/>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rgbClr val="FF0000"/>
                    </a:solidFill>
                    <a:latin typeface="+mn-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'WEO_ekon. rast'!$E$24:$J$24</c:f>
              <c:numCache>
                <c:formatCode>General</c:formatCode>
                <c:ptCount val="6"/>
                <c:pt idx="0">
                  <c:v>2017</c:v>
                </c:pt>
                <c:pt idx="1">
                  <c:v>2018</c:v>
                </c:pt>
                <c:pt idx="2">
                  <c:v>2019</c:v>
                </c:pt>
                <c:pt idx="3">
                  <c:v>2020</c:v>
                </c:pt>
                <c:pt idx="4">
                  <c:v>2021</c:v>
                </c:pt>
                <c:pt idx="5">
                  <c:v>2022</c:v>
                </c:pt>
              </c:numCache>
            </c:numRef>
          </c:cat>
          <c:val>
            <c:numRef>
              <c:f>'WEO_ekon. rast'!$E$31:$J$31</c:f>
              <c:numCache>
                <c:formatCode>0.0</c:formatCode>
                <c:ptCount val="6"/>
                <c:pt idx="0">
                  <c:v>3.8109999999999999</c:v>
                </c:pt>
                <c:pt idx="1">
                  <c:v>3.605</c:v>
                </c:pt>
                <c:pt idx="2">
                  <c:v>3.0129999999999999</c:v>
                </c:pt>
                <c:pt idx="3">
                  <c:v>3.41</c:v>
                </c:pt>
                <c:pt idx="4">
                  <c:v>3.5550000000000002</c:v>
                </c:pt>
                <c:pt idx="5">
                  <c:v>3.5569999999999999</c:v>
                </c:pt>
              </c:numCache>
            </c:numRef>
          </c:val>
          <c:smooth val="0"/>
          <c:extLst>
            <c:ext xmlns:c16="http://schemas.microsoft.com/office/drawing/2014/chart" uri="{C3380CC4-5D6E-409C-BE32-E72D297353CC}">
              <c16:uniqueId val="{00000006-FE81-4E27-8F9E-9D43434964BC}"/>
            </c:ext>
          </c:extLst>
        </c:ser>
        <c:dLbls>
          <c:showLegendKey val="0"/>
          <c:showVal val="0"/>
          <c:showCatName val="0"/>
          <c:showSerName val="0"/>
          <c:showPercent val="0"/>
          <c:showBubbleSize val="0"/>
        </c:dLbls>
        <c:marker val="1"/>
        <c:smooth val="0"/>
        <c:axId val="675286816"/>
        <c:axId val="675287376"/>
      </c:lineChart>
      <c:catAx>
        <c:axId val="675286816"/>
        <c:scaling>
          <c:orientation val="minMax"/>
        </c:scaling>
        <c:delete val="0"/>
        <c:axPos val="b"/>
        <c:numFmt formatCode="General" sourceLinked="1"/>
        <c:majorTickMark val="none"/>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675287376"/>
        <c:crosses val="autoZero"/>
        <c:auto val="1"/>
        <c:lblAlgn val="ctr"/>
        <c:lblOffset val="100"/>
        <c:noMultiLvlLbl val="0"/>
      </c:catAx>
      <c:valAx>
        <c:axId val="675287376"/>
        <c:scaling>
          <c:orientation val="minMax"/>
          <c:max val="4"/>
        </c:scaling>
        <c:delete val="0"/>
        <c:axPos val="l"/>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675286816"/>
        <c:crosses val="autoZero"/>
        <c:crossBetween val="between"/>
        <c:majorUnit val="0.5"/>
      </c:valAx>
      <c:spPr>
        <a:noFill/>
        <a:ln>
          <a:noFill/>
        </a:ln>
        <a:effectLst/>
      </c:spPr>
    </c:plotArea>
    <c:legend>
      <c:legendPos val="b"/>
      <c:layout>
        <c:manualLayout>
          <c:xMode val="edge"/>
          <c:yMode val="edge"/>
          <c:x val="0"/>
          <c:y val="0.69790977443609026"/>
          <c:w val="0.9927821522309711"/>
          <c:h val="0.29881119465329992"/>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en-U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1652245513160466E-2"/>
          <c:y val="3.6405005688282137E-2"/>
          <c:w val="0.88883701220765443"/>
          <c:h val="0.79774475289564895"/>
        </c:manualLayout>
      </c:layout>
      <c:lineChart>
        <c:grouping val="standard"/>
        <c:varyColors val="0"/>
        <c:ser>
          <c:idx val="0"/>
          <c:order val="0"/>
          <c:tx>
            <c:strRef>
              <c:f>Commodities!$O$6</c:f>
              <c:strCache>
                <c:ptCount val="1"/>
                <c:pt idx="0">
                  <c:v>Храна</c:v>
                </c:pt>
              </c:strCache>
            </c:strRef>
          </c:tx>
          <c:spPr>
            <a:ln w="22225" cap="rnd">
              <a:solidFill>
                <a:srgbClr val="00A651"/>
              </a:solidFill>
              <a:round/>
            </a:ln>
            <a:effectLst/>
          </c:spPr>
          <c:marker>
            <c:symbol val="none"/>
          </c:marker>
          <c:cat>
            <c:strRef>
              <c:f>Commodities!$S$8:$S$75</c:f>
              <c:strCache>
                <c:ptCount val="61"/>
                <c:pt idx="0">
                  <c:v>2014</c:v>
                </c:pt>
                <c:pt idx="12">
                  <c:v>2015</c:v>
                </c:pt>
                <c:pt idx="24">
                  <c:v>2016</c:v>
                </c:pt>
                <c:pt idx="36">
                  <c:v>2017</c:v>
                </c:pt>
                <c:pt idx="48">
                  <c:v>2018</c:v>
                </c:pt>
                <c:pt idx="60">
                  <c:v>2019</c:v>
                </c:pt>
              </c:strCache>
            </c:strRef>
          </c:cat>
          <c:val>
            <c:numRef>
              <c:f>Commodities!$O$8:$O$75</c:f>
              <c:numCache>
                <c:formatCode>0.00</c:formatCode>
                <c:ptCount val="68"/>
                <c:pt idx="0">
                  <c:v>100.0324851</c:v>
                </c:pt>
                <c:pt idx="1">
                  <c:v>102.4756146</c:v>
                </c:pt>
                <c:pt idx="2">
                  <c:v>108.1315664</c:v>
                </c:pt>
                <c:pt idx="3">
                  <c:v>110.39043580000001</c:v>
                </c:pt>
                <c:pt idx="4">
                  <c:v>105.6856445</c:v>
                </c:pt>
                <c:pt idx="5">
                  <c:v>103.3335113</c:v>
                </c:pt>
                <c:pt idx="6">
                  <c:v>101.22958269999999</c:v>
                </c:pt>
                <c:pt idx="7">
                  <c:v>96.788723110000006</c:v>
                </c:pt>
                <c:pt idx="8">
                  <c:v>94.306000859999997</c:v>
                </c:pt>
                <c:pt idx="9">
                  <c:v>93.626846090000001</c:v>
                </c:pt>
                <c:pt idx="10">
                  <c:v>92.662062730000002</c:v>
                </c:pt>
                <c:pt idx="11">
                  <c:v>91.33752681</c:v>
                </c:pt>
                <c:pt idx="12">
                  <c:v>89.288207369999995</c:v>
                </c:pt>
                <c:pt idx="13">
                  <c:v>86.592484319999997</c:v>
                </c:pt>
                <c:pt idx="14">
                  <c:v>84.254340549999995</c:v>
                </c:pt>
                <c:pt idx="15">
                  <c:v>85.885649970000003</c:v>
                </c:pt>
                <c:pt idx="16">
                  <c:v>85.383040309999998</c:v>
                </c:pt>
                <c:pt idx="17">
                  <c:v>84.936711520000003</c:v>
                </c:pt>
                <c:pt idx="18">
                  <c:v>85.055463709999998</c:v>
                </c:pt>
                <c:pt idx="19">
                  <c:v>82.501331899999997</c:v>
                </c:pt>
                <c:pt idx="20">
                  <c:v>80.977511879999994</c:v>
                </c:pt>
                <c:pt idx="21">
                  <c:v>79.739388439999999</c:v>
                </c:pt>
                <c:pt idx="22">
                  <c:v>76.552219719999997</c:v>
                </c:pt>
                <c:pt idx="23">
                  <c:v>76.158567239999996</c:v>
                </c:pt>
                <c:pt idx="24">
                  <c:v>76.655947240000003</c:v>
                </c:pt>
                <c:pt idx="25">
                  <c:v>77.694387149999997</c:v>
                </c:pt>
                <c:pt idx="26">
                  <c:v>80.448548840000001</c:v>
                </c:pt>
                <c:pt idx="27">
                  <c:v>82.227655279999993</c:v>
                </c:pt>
                <c:pt idx="28">
                  <c:v>83.290437229999995</c:v>
                </c:pt>
                <c:pt idx="29">
                  <c:v>84.745129629999994</c:v>
                </c:pt>
                <c:pt idx="30">
                  <c:v>85.163409920000007</c:v>
                </c:pt>
                <c:pt idx="31">
                  <c:v>83.430044859999995</c:v>
                </c:pt>
                <c:pt idx="32">
                  <c:v>82.996836700000003</c:v>
                </c:pt>
                <c:pt idx="33">
                  <c:v>82.468223050000006</c:v>
                </c:pt>
                <c:pt idx="34">
                  <c:v>82.597514099999998</c:v>
                </c:pt>
                <c:pt idx="35">
                  <c:v>82.767403939999994</c:v>
                </c:pt>
                <c:pt idx="36">
                  <c:v>86.244615179999997</c:v>
                </c:pt>
                <c:pt idx="37">
                  <c:v>86.812190990000005</c:v>
                </c:pt>
                <c:pt idx="38">
                  <c:v>83.943407019999995</c:v>
                </c:pt>
                <c:pt idx="39">
                  <c:v>83.316164850000007</c:v>
                </c:pt>
                <c:pt idx="40">
                  <c:v>85.064399330000001</c:v>
                </c:pt>
                <c:pt idx="41">
                  <c:v>84.379334180000001</c:v>
                </c:pt>
                <c:pt idx="42">
                  <c:v>86.011518629999998</c:v>
                </c:pt>
                <c:pt idx="43">
                  <c:v>81.682910919999998</c:v>
                </c:pt>
                <c:pt idx="44">
                  <c:v>80.520988919999994</c:v>
                </c:pt>
                <c:pt idx="45">
                  <c:v>81.164645160000006</c:v>
                </c:pt>
                <c:pt idx="46">
                  <c:v>81.379191120000002</c:v>
                </c:pt>
                <c:pt idx="47">
                  <c:v>81.155905919999995</c:v>
                </c:pt>
                <c:pt idx="48">
                  <c:v>83.692733419999996</c:v>
                </c:pt>
                <c:pt idx="49">
                  <c:v>84.135780089999997</c:v>
                </c:pt>
                <c:pt idx="50">
                  <c:v>84.985581999999994</c:v>
                </c:pt>
                <c:pt idx="51">
                  <c:v>84.565589689999996</c:v>
                </c:pt>
                <c:pt idx="52">
                  <c:v>85.978320089999997</c:v>
                </c:pt>
                <c:pt idx="53">
                  <c:v>82.336168389999997</c:v>
                </c:pt>
                <c:pt idx="54">
                  <c:v>79.872899009999998</c:v>
                </c:pt>
                <c:pt idx="55">
                  <c:v>76.919269279999995</c:v>
                </c:pt>
                <c:pt idx="56">
                  <c:v>77.831576029999994</c:v>
                </c:pt>
                <c:pt idx="57">
                  <c:v>79.029789280000003</c:v>
                </c:pt>
                <c:pt idx="58">
                  <c:v>75.484898880000003</c:v>
                </c:pt>
                <c:pt idx="59">
                  <c:v>77.674425990000003</c:v>
                </c:pt>
                <c:pt idx="60">
                  <c:v>79.035019419999998</c:v>
                </c:pt>
                <c:pt idx="61">
                  <c:v>77.773115559999994</c:v>
                </c:pt>
                <c:pt idx="62">
                  <c:v>77.00004045</c:v>
                </c:pt>
                <c:pt idx="63">
                  <c:v>79.49864814</c:v>
                </c:pt>
                <c:pt idx="64">
                  <c:v>76.792292860000003</c:v>
                </c:pt>
                <c:pt idx="65">
                  <c:v>78.142859439999995</c:v>
                </c:pt>
                <c:pt idx="66">
                  <c:v>77.967572050000001</c:v>
                </c:pt>
                <c:pt idx="67">
                  <c:v>75.901612189999994</c:v>
                </c:pt>
              </c:numCache>
            </c:numRef>
          </c:val>
          <c:smooth val="0"/>
          <c:extLst>
            <c:ext xmlns:c16="http://schemas.microsoft.com/office/drawing/2014/chart" uri="{C3380CC4-5D6E-409C-BE32-E72D297353CC}">
              <c16:uniqueId val="{00000000-3813-4707-B3F5-F318602621F0}"/>
            </c:ext>
          </c:extLst>
        </c:ser>
        <c:ser>
          <c:idx val="1"/>
          <c:order val="1"/>
          <c:tx>
            <c:strRef>
              <c:f>Commodities!$P$6</c:f>
              <c:strCache>
                <c:ptCount val="1"/>
                <c:pt idx="0">
                  <c:v>Метали</c:v>
                </c:pt>
              </c:strCache>
            </c:strRef>
          </c:tx>
          <c:spPr>
            <a:ln w="22225" cap="rnd">
              <a:solidFill>
                <a:srgbClr val="EC008C"/>
              </a:solidFill>
              <a:round/>
            </a:ln>
            <a:effectLst/>
          </c:spPr>
          <c:marker>
            <c:symbol val="none"/>
          </c:marker>
          <c:cat>
            <c:strRef>
              <c:f>Commodities!$S$8:$S$75</c:f>
              <c:strCache>
                <c:ptCount val="61"/>
                <c:pt idx="0">
                  <c:v>2014</c:v>
                </c:pt>
                <c:pt idx="12">
                  <c:v>2015</c:v>
                </c:pt>
                <c:pt idx="24">
                  <c:v>2016</c:v>
                </c:pt>
                <c:pt idx="36">
                  <c:v>2017</c:v>
                </c:pt>
                <c:pt idx="48">
                  <c:v>2018</c:v>
                </c:pt>
                <c:pt idx="60">
                  <c:v>2019</c:v>
                </c:pt>
              </c:strCache>
            </c:strRef>
          </c:cat>
          <c:val>
            <c:numRef>
              <c:f>Commodities!$P$8:$P$75</c:f>
              <c:numCache>
                <c:formatCode>0.00</c:formatCode>
                <c:ptCount val="68"/>
                <c:pt idx="0">
                  <c:v>110.3991391</c:v>
                </c:pt>
                <c:pt idx="1">
                  <c:v>107.32891739999999</c:v>
                </c:pt>
                <c:pt idx="2">
                  <c:v>102.1521999</c:v>
                </c:pt>
                <c:pt idx="3">
                  <c:v>105.383233</c:v>
                </c:pt>
                <c:pt idx="4">
                  <c:v>102.35371429999999</c:v>
                </c:pt>
                <c:pt idx="5">
                  <c:v>99.827859849999996</c:v>
                </c:pt>
                <c:pt idx="6">
                  <c:v>102.67693370000001</c:v>
                </c:pt>
                <c:pt idx="7">
                  <c:v>102.0420288</c:v>
                </c:pt>
                <c:pt idx="8">
                  <c:v>97.104151470000005</c:v>
                </c:pt>
                <c:pt idx="9">
                  <c:v>92.63300461</c:v>
                </c:pt>
                <c:pt idx="10">
                  <c:v>91.288774290000006</c:v>
                </c:pt>
                <c:pt idx="11">
                  <c:v>86.810043570000005</c:v>
                </c:pt>
                <c:pt idx="12">
                  <c:v>83.484103090000005</c:v>
                </c:pt>
                <c:pt idx="13">
                  <c:v>80.211801629999997</c:v>
                </c:pt>
                <c:pt idx="14">
                  <c:v>78.17041227</c:v>
                </c:pt>
                <c:pt idx="15">
                  <c:v>76.632072829999998</c:v>
                </c:pt>
                <c:pt idx="16">
                  <c:v>80.45389754</c:v>
                </c:pt>
                <c:pt idx="17">
                  <c:v>76.751004570000006</c:v>
                </c:pt>
                <c:pt idx="18">
                  <c:v>69.891849559999997</c:v>
                </c:pt>
                <c:pt idx="19">
                  <c:v>68.923722620000007</c:v>
                </c:pt>
                <c:pt idx="20">
                  <c:v>69.136842049999998</c:v>
                </c:pt>
                <c:pt idx="21">
                  <c:v>67.201642739999997</c:v>
                </c:pt>
                <c:pt idx="22">
                  <c:v>61.754567260000002</c:v>
                </c:pt>
                <c:pt idx="23">
                  <c:v>58.928629669999999</c:v>
                </c:pt>
                <c:pt idx="24">
                  <c:v>58.407688139999998</c:v>
                </c:pt>
                <c:pt idx="25">
                  <c:v>61.284565479999998</c:v>
                </c:pt>
                <c:pt idx="26">
                  <c:v>66.339066849999995</c:v>
                </c:pt>
                <c:pt idx="27">
                  <c:v>67.584352589999995</c:v>
                </c:pt>
                <c:pt idx="28">
                  <c:v>65.201816969999996</c:v>
                </c:pt>
                <c:pt idx="29">
                  <c:v>64.457818880000005</c:v>
                </c:pt>
                <c:pt idx="30">
                  <c:v>68.144362079999993</c:v>
                </c:pt>
                <c:pt idx="31">
                  <c:v>69.235192949999998</c:v>
                </c:pt>
                <c:pt idx="32">
                  <c:v>67.596444719999994</c:v>
                </c:pt>
                <c:pt idx="33">
                  <c:v>68.174326039999997</c:v>
                </c:pt>
                <c:pt idx="34">
                  <c:v>77.575361270000002</c:v>
                </c:pt>
                <c:pt idx="35">
                  <c:v>80.221737099999999</c:v>
                </c:pt>
                <c:pt idx="36">
                  <c:v>81.116419030000003</c:v>
                </c:pt>
                <c:pt idx="37">
                  <c:v>85.968230950000006</c:v>
                </c:pt>
                <c:pt idx="38">
                  <c:v>85.03440105</c:v>
                </c:pt>
                <c:pt idx="39">
                  <c:v>78.038021270000002</c:v>
                </c:pt>
                <c:pt idx="40">
                  <c:v>74.575810829999995</c:v>
                </c:pt>
                <c:pt idx="41">
                  <c:v>73.303977790000005</c:v>
                </c:pt>
                <c:pt idx="42">
                  <c:v>78.12627243</c:v>
                </c:pt>
                <c:pt idx="43">
                  <c:v>84.365782129999999</c:v>
                </c:pt>
                <c:pt idx="44">
                  <c:v>83.378388470000004</c:v>
                </c:pt>
                <c:pt idx="45">
                  <c:v>82.086169150000003</c:v>
                </c:pt>
                <c:pt idx="46">
                  <c:v>82.852973270000007</c:v>
                </c:pt>
                <c:pt idx="47">
                  <c:v>85.591572760000005</c:v>
                </c:pt>
                <c:pt idx="48">
                  <c:v>89.431748670000005</c:v>
                </c:pt>
                <c:pt idx="49">
                  <c:v>89.916119420000001</c:v>
                </c:pt>
                <c:pt idx="50">
                  <c:v>86.504801299999997</c:v>
                </c:pt>
                <c:pt idx="51">
                  <c:v>87.275427089999994</c:v>
                </c:pt>
                <c:pt idx="52">
                  <c:v>87.332558160000005</c:v>
                </c:pt>
                <c:pt idx="53">
                  <c:v>87.789026849999999</c:v>
                </c:pt>
                <c:pt idx="54">
                  <c:v>82.183782269999995</c:v>
                </c:pt>
                <c:pt idx="55">
                  <c:v>80.921732030000001</c:v>
                </c:pt>
                <c:pt idx="56">
                  <c:v>80.507900149999998</c:v>
                </c:pt>
                <c:pt idx="57">
                  <c:v>82.295048550000004</c:v>
                </c:pt>
                <c:pt idx="58">
                  <c:v>81.148240310000006</c:v>
                </c:pt>
                <c:pt idx="59">
                  <c:v>79.355630820000002</c:v>
                </c:pt>
                <c:pt idx="60">
                  <c:v>80.550774599999997</c:v>
                </c:pt>
                <c:pt idx="61">
                  <c:v>86.663607630000001</c:v>
                </c:pt>
                <c:pt idx="62">
                  <c:v>87.402396429999996</c:v>
                </c:pt>
                <c:pt idx="63">
                  <c:v>89.200553229999997</c:v>
                </c:pt>
                <c:pt idx="64">
                  <c:v>88.649101709999997</c:v>
                </c:pt>
                <c:pt idx="65">
                  <c:v>90.19734081</c:v>
                </c:pt>
                <c:pt idx="66">
                  <c:v>93.834357420000003</c:v>
                </c:pt>
                <c:pt idx="67">
                  <c:v>84.780164139999997</c:v>
                </c:pt>
              </c:numCache>
            </c:numRef>
          </c:val>
          <c:smooth val="0"/>
          <c:extLst>
            <c:ext xmlns:c16="http://schemas.microsoft.com/office/drawing/2014/chart" uri="{C3380CC4-5D6E-409C-BE32-E72D297353CC}">
              <c16:uniqueId val="{00000001-3813-4707-B3F5-F318602621F0}"/>
            </c:ext>
          </c:extLst>
        </c:ser>
        <c:ser>
          <c:idx val="2"/>
          <c:order val="2"/>
          <c:tx>
            <c:strRef>
              <c:f>Commodities!$Q$6</c:f>
              <c:strCache>
                <c:ptCount val="1"/>
                <c:pt idx="0">
                  <c:v>Просечна цена нафте</c:v>
                </c:pt>
              </c:strCache>
            </c:strRef>
          </c:tx>
          <c:spPr>
            <a:ln w="22225" cap="rnd">
              <a:solidFill>
                <a:srgbClr val="003891"/>
              </a:solidFill>
              <a:round/>
            </a:ln>
            <a:effectLst/>
          </c:spPr>
          <c:marker>
            <c:symbol val="none"/>
          </c:marker>
          <c:cat>
            <c:strRef>
              <c:f>Commodities!$S$8:$S$75</c:f>
              <c:strCache>
                <c:ptCount val="61"/>
                <c:pt idx="0">
                  <c:v>2014</c:v>
                </c:pt>
                <c:pt idx="12">
                  <c:v>2015</c:v>
                </c:pt>
                <c:pt idx="24">
                  <c:v>2016</c:v>
                </c:pt>
                <c:pt idx="36">
                  <c:v>2017</c:v>
                </c:pt>
                <c:pt idx="48">
                  <c:v>2018</c:v>
                </c:pt>
                <c:pt idx="60">
                  <c:v>2019</c:v>
                </c:pt>
              </c:strCache>
            </c:strRef>
          </c:cat>
          <c:val>
            <c:numRef>
              <c:f>Commodities!$Q$8:$Q$75</c:f>
              <c:numCache>
                <c:formatCode>0.00</c:formatCode>
                <c:ptCount val="68"/>
                <c:pt idx="0">
                  <c:v>106.0558379</c:v>
                </c:pt>
                <c:pt idx="1">
                  <c:v>108.2767944</c:v>
                </c:pt>
                <c:pt idx="2">
                  <c:v>106.7223628</c:v>
                </c:pt>
                <c:pt idx="3">
                  <c:v>107.39834089999999</c:v>
                </c:pt>
                <c:pt idx="4">
                  <c:v>108.0557135</c:v>
                </c:pt>
                <c:pt idx="5">
                  <c:v>111.0489894</c:v>
                </c:pt>
                <c:pt idx="6">
                  <c:v>107.7160847</c:v>
                </c:pt>
                <c:pt idx="7">
                  <c:v>103.4693929</c:v>
                </c:pt>
                <c:pt idx="8">
                  <c:v>100.94311999999999</c:v>
                </c:pt>
                <c:pt idx="9">
                  <c:v>91.459897929999997</c:v>
                </c:pt>
                <c:pt idx="10">
                  <c:v>82.941388720000006</c:v>
                </c:pt>
                <c:pt idx="11">
                  <c:v>65.912076979999995</c:v>
                </c:pt>
                <c:pt idx="12">
                  <c:v>53.297890580000001</c:v>
                </c:pt>
                <c:pt idx="13">
                  <c:v>61.959435759999998</c:v>
                </c:pt>
                <c:pt idx="14">
                  <c:v>60.580086600000001</c:v>
                </c:pt>
                <c:pt idx="15">
                  <c:v>65.847050499999995</c:v>
                </c:pt>
                <c:pt idx="16">
                  <c:v>70.375463580000002</c:v>
                </c:pt>
                <c:pt idx="17">
                  <c:v>68.804694420000004</c:v>
                </c:pt>
                <c:pt idx="18">
                  <c:v>61.400450880000001</c:v>
                </c:pt>
                <c:pt idx="19">
                  <c:v>51.345993309999997</c:v>
                </c:pt>
                <c:pt idx="20">
                  <c:v>51.922250159999997</c:v>
                </c:pt>
                <c:pt idx="21">
                  <c:v>52.61447252</c:v>
                </c:pt>
                <c:pt idx="22">
                  <c:v>49.099621620000001</c:v>
                </c:pt>
                <c:pt idx="23">
                  <c:v>41.528431490000003</c:v>
                </c:pt>
                <c:pt idx="24">
                  <c:v>34.058071439999999</c:v>
                </c:pt>
                <c:pt idx="25">
                  <c:v>35.1374128</c:v>
                </c:pt>
                <c:pt idx="26">
                  <c:v>42.08269336</c:v>
                </c:pt>
                <c:pt idx="27">
                  <c:v>45.34398916</c:v>
                </c:pt>
                <c:pt idx="28">
                  <c:v>50.943128350000002</c:v>
                </c:pt>
                <c:pt idx="29">
                  <c:v>52.818820670000001</c:v>
                </c:pt>
                <c:pt idx="30">
                  <c:v>49.605496889999998</c:v>
                </c:pt>
                <c:pt idx="31">
                  <c:v>49.883111890000002</c:v>
                </c:pt>
                <c:pt idx="32">
                  <c:v>50.036932229999998</c:v>
                </c:pt>
                <c:pt idx="33">
                  <c:v>55.346984659999997</c:v>
                </c:pt>
                <c:pt idx="34">
                  <c:v>51.240986820000003</c:v>
                </c:pt>
                <c:pt idx="35">
                  <c:v>60.261376040000002</c:v>
                </c:pt>
                <c:pt idx="36">
                  <c:v>60.983701259999997</c:v>
                </c:pt>
                <c:pt idx="37">
                  <c:v>61.592186169999998</c:v>
                </c:pt>
                <c:pt idx="38">
                  <c:v>57.763561189999997</c:v>
                </c:pt>
                <c:pt idx="39">
                  <c:v>58.913503589999998</c:v>
                </c:pt>
                <c:pt idx="40">
                  <c:v>55.77121837</c:v>
                </c:pt>
                <c:pt idx="41">
                  <c:v>51.168856060000003</c:v>
                </c:pt>
                <c:pt idx="42">
                  <c:v>52.365498789999997</c:v>
                </c:pt>
                <c:pt idx="43">
                  <c:v>54.063663730000002</c:v>
                </c:pt>
                <c:pt idx="44">
                  <c:v>56.651380979999999</c:v>
                </c:pt>
                <c:pt idx="45">
                  <c:v>59.199990380000003</c:v>
                </c:pt>
                <c:pt idx="46">
                  <c:v>64.497170319999995</c:v>
                </c:pt>
                <c:pt idx="47">
                  <c:v>65.365348929999996</c:v>
                </c:pt>
                <c:pt idx="48">
                  <c:v>69.227618019999994</c:v>
                </c:pt>
                <c:pt idx="49">
                  <c:v>65.660766809999998</c:v>
                </c:pt>
                <c:pt idx="50">
                  <c:v>66.338786479999996</c:v>
                </c:pt>
                <c:pt idx="51">
                  <c:v>71.077400639999993</c:v>
                </c:pt>
                <c:pt idx="52">
                  <c:v>76.968775899999997</c:v>
                </c:pt>
                <c:pt idx="53">
                  <c:v>75.97406986</c:v>
                </c:pt>
                <c:pt idx="54">
                  <c:v>77.063443570000004</c:v>
                </c:pt>
                <c:pt idx="55">
                  <c:v>75.768515070000007</c:v>
                </c:pt>
                <c:pt idx="56">
                  <c:v>80.026179920000004</c:v>
                </c:pt>
                <c:pt idx="57">
                  <c:v>81.786011299999998</c:v>
                </c:pt>
                <c:pt idx="58">
                  <c:v>66.829493690000007</c:v>
                </c:pt>
                <c:pt idx="59">
                  <c:v>57.603174449999997</c:v>
                </c:pt>
                <c:pt idx="60">
                  <c:v>60.057871929999997</c:v>
                </c:pt>
                <c:pt idx="61">
                  <c:v>65.019359989999998</c:v>
                </c:pt>
                <c:pt idx="62">
                  <c:v>67.63127953</c:v>
                </c:pt>
                <c:pt idx="63">
                  <c:v>72.667204150000003</c:v>
                </c:pt>
                <c:pt idx="64">
                  <c:v>71.104253720000003</c:v>
                </c:pt>
                <c:pt idx="65">
                  <c:v>63.28014151</c:v>
                </c:pt>
                <c:pt idx="66">
                  <c:v>65.110460829999994</c:v>
                </c:pt>
                <c:pt idx="67">
                  <c:v>61.34668611</c:v>
                </c:pt>
              </c:numCache>
            </c:numRef>
          </c:val>
          <c:smooth val="0"/>
          <c:extLst>
            <c:ext xmlns:c16="http://schemas.microsoft.com/office/drawing/2014/chart" uri="{C3380CC4-5D6E-409C-BE32-E72D297353CC}">
              <c16:uniqueId val="{00000002-3813-4707-B3F5-F318602621F0}"/>
            </c:ext>
          </c:extLst>
        </c:ser>
        <c:ser>
          <c:idx val="3"/>
          <c:order val="3"/>
          <c:spPr>
            <a:ln w="28575" cap="rnd">
              <a:noFill/>
              <a:round/>
            </a:ln>
            <a:effectLst/>
          </c:spPr>
          <c:marker>
            <c:symbol val="square"/>
            <c:size val="3"/>
            <c:spPr>
              <a:solidFill>
                <a:schemeClr val="bg1"/>
              </a:solidFill>
              <a:ln w="9525">
                <a:noFill/>
              </a:ln>
              <a:effectLst/>
            </c:spPr>
          </c:marker>
          <c:dPt>
            <c:idx val="0"/>
            <c:marker>
              <c:symbol val="square"/>
              <c:size val="4"/>
              <c:spPr>
                <a:solidFill>
                  <a:schemeClr val="bg1"/>
                </a:solidFill>
                <a:ln w="9525">
                  <a:noFill/>
                </a:ln>
                <a:effectLst/>
              </c:spPr>
            </c:marker>
            <c:bubble3D val="0"/>
            <c:extLst>
              <c:ext xmlns:c16="http://schemas.microsoft.com/office/drawing/2014/chart" uri="{C3380CC4-5D6E-409C-BE32-E72D297353CC}">
                <c16:uniqueId val="{00000003-3813-4707-B3F5-F318602621F0}"/>
              </c:ext>
            </c:extLst>
          </c:dPt>
          <c:dPt>
            <c:idx val="12"/>
            <c:marker>
              <c:symbol val="square"/>
              <c:size val="2"/>
              <c:spPr>
                <a:solidFill>
                  <a:schemeClr val="bg1"/>
                </a:solidFill>
                <a:ln w="9525">
                  <a:noFill/>
                </a:ln>
                <a:effectLst/>
              </c:spPr>
            </c:marker>
            <c:bubble3D val="0"/>
            <c:extLst>
              <c:ext xmlns:c16="http://schemas.microsoft.com/office/drawing/2014/chart" uri="{C3380CC4-5D6E-409C-BE32-E72D297353CC}">
                <c16:uniqueId val="{00000004-3813-4707-B3F5-F318602621F0}"/>
              </c:ext>
            </c:extLst>
          </c:dPt>
          <c:dPt>
            <c:idx val="24"/>
            <c:marker>
              <c:symbol val="square"/>
              <c:size val="2"/>
              <c:spPr>
                <a:solidFill>
                  <a:schemeClr val="bg1"/>
                </a:solidFill>
                <a:ln w="9525">
                  <a:noFill/>
                </a:ln>
                <a:effectLst/>
              </c:spPr>
            </c:marker>
            <c:bubble3D val="0"/>
            <c:extLst>
              <c:ext xmlns:c16="http://schemas.microsoft.com/office/drawing/2014/chart" uri="{C3380CC4-5D6E-409C-BE32-E72D297353CC}">
                <c16:uniqueId val="{00000005-3813-4707-B3F5-F318602621F0}"/>
              </c:ext>
            </c:extLst>
          </c:dPt>
          <c:dPt>
            <c:idx val="36"/>
            <c:marker>
              <c:symbol val="square"/>
              <c:size val="2"/>
              <c:spPr>
                <a:solidFill>
                  <a:schemeClr val="bg1"/>
                </a:solidFill>
                <a:ln w="9525">
                  <a:noFill/>
                </a:ln>
                <a:effectLst/>
              </c:spPr>
            </c:marker>
            <c:bubble3D val="0"/>
            <c:extLst>
              <c:ext xmlns:c16="http://schemas.microsoft.com/office/drawing/2014/chart" uri="{C3380CC4-5D6E-409C-BE32-E72D297353CC}">
                <c16:uniqueId val="{00000006-3813-4707-B3F5-F318602621F0}"/>
              </c:ext>
            </c:extLst>
          </c:dPt>
          <c:dPt>
            <c:idx val="48"/>
            <c:marker>
              <c:symbol val="square"/>
              <c:size val="2"/>
              <c:spPr>
                <a:solidFill>
                  <a:schemeClr val="bg1"/>
                </a:solidFill>
                <a:ln w="9525">
                  <a:noFill/>
                </a:ln>
                <a:effectLst/>
              </c:spPr>
            </c:marker>
            <c:bubble3D val="0"/>
            <c:extLst>
              <c:ext xmlns:c16="http://schemas.microsoft.com/office/drawing/2014/chart" uri="{C3380CC4-5D6E-409C-BE32-E72D297353CC}">
                <c16:uniqueId val="{00000007-3813-4707-B3F5-F318602621F0}"/>
              </c:ext>
            </c:extLst>
          </c:dPt>
          <c:dPt>
            <c:idx val="60"/>
            <c:marker>
              <c:symbol val="square"/>
              <c:size val="2"/>
              <c:spPr>
                <a:solidFill>
                  <a:schemeClr val="bg1"/>
                </a:solidFill>
                <a:ln w="9525">
                  <a:noFill/>
                </a:ln>
                <a:effectLst/>
              </c:spPr>
            </c:marker>
            <c:bubble3D val="0"/>
            <c:extLst>
              <c:ext xmlns:c16="http://schemas.microsoft.com/office/drawing/2014/chart" uri="{C3380CC4-5D6E-409C-BE32-E72D297353CC}">
                <c16:uniqueId val="{00000008-3813-4707-B3F5-F318602621F0}"/>
              </c:ext>
            </c:extLst>
          </c:dPt>
          <c:dLbls>
            <c:dLbl>
              <c:idx val="0"/>
              <c:layout>
                <c:manualLayout>
                  <c:x val="1.0320872078251801E-2"/>
                  <c:y val="2.7303803803803688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3813-4707-B3F5-F318602621F0}"/>
                </c:ext>
              </c:extLst>
            </c:dLbl>
            <c:dLbl>
              <c:idx val="12"/>
              <c:layout>
                <c:manualLayout>
                  <c:x val="1.4935913908769919E-2"/>
                  <c:y val="2.7303803803803688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3813-4707-B3F5-F318602621F0}"/>
                </c:ext>
              </c:extLst>
            </c:dLbl>
            <c:dLbl>
              <c:idx val="24"/>
              <c:layout>
                <c:manualLayout>
                  <c:x val="1.0925330971230591E-2"/>
                  <c:y val="2.7303803803803688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3813-4707-B3F5-F318602621F0}"/>
                </c:ext>
              </c:extLst>
            </c:dLbl>
            <c:dLbl>
              <c:idx val="36"/>
              <c:layout>
                <c:manualLayout>
                  <c:x val="1.1505073565518643E-2"/>
                  <c:y val="2.7303803803803688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3813-4707-B3F5-F318602621F0}"/>
                </c:ext>
              </c:extLst>
            </c:dLbl>
            <c:dLbl>
              <c:idx val="48"/>
              <c:layout>
                <c:manualLayout>
                  <c:x val="1.1542148013554625E-2"/>
                  <c:y val="2.7303803803803688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7-3813-4707-B3F5-F318602621F0}"/>
                </c:ext>
              </c:extLst>
            </c:dLbl>
            <c:dLbl>
              <c:idx val="60"/>
              <c:layout>
                <c:manualLayout>
                  <c:x val="-1.7868066578439173E-2"/>
                  <c:y val="2.7303803803803688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8-3813-4707-B3F5-F318602621F0}"/>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Arial" panose="020B0604020202020204" pitchFamily="34" charset="0"/>
                  </a:defRPr>
                </a:pPr>
                <a:endParaRPr lang="en-US"/>
              </a:p>
            </c:txPr>
            <c:dLblPos val="r"/>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strRef>
              <c:f>Commodities!$S$8:$S$75</c:f>
              <c:strCache>
                <c:ptCount val="61"/>
                <c:pt idx="0">
                  <c:v>2014</c:v>
                </c:pt>
                <c:pt idx="12">
                  <c:v>2015</c:v>
                </c:pt>
                <c:pt idx="24">
                  <c:v>2016</c:v>
                </c:pt>
                <c:pt idx="36">
                  <c:v>2017</c:v>
                </c:pt>
                <c:pt idx="48">
                  <c:v>2018</c:v>
                </c:pt>
                <c:pt idx="60">
                  <c:v>2019</c:v>
                </c:pt>
              </c:strCache>
            </c:strRef>
          </c:cat>
          <c:val>
            <c:numRef>
              <c:f>Commodities!$R$8:$R$75</c:f>
              <c:numCache>
                <c:formatCode>General</c:formatCode>
                <c:ptCount val="68"/>
                <c:pt idx="0">
                  <c:v>20</c:v>
                </c:pt>
                <c:pt idx="1">
                  <c:v>0</c:v>
                </c:pt>
                <c:pt idx="2">
                  <c:v>0</c:v>
                </c:pt>
                <c:pt idx="3">
                  <c:v>0</c:v>
                </c:pt>
                <c:pt idx="4">
                  <c:v>0</c:v>
                </c:pt>
                <c:pt idx="5">
                  <c:v>0</c:v>
                </c:pt>
                <c:pt idx="6">
                  <c:v>0</c:v>
                </c:pt>
                <c:pt idx="7">
                  <c:v>0</c:v>
                </c:pt>
                <c:pt idx="8">
                  <c:v>0</c:v>
                </c:pt>
                <c:pt idx="9">
                  <c:v>0</c:v>
                </c:pt>
                <c:pt idx="10">
                  <c:v>0</c:v>
                </c:pt>
                <c:pt idx="11">
                  <c:v>0</c:v>
                </c:pt>
                <c:pt idx="12">
                  <c:v>20</c:v>
                </c:pt>
                <c:pt idx="13">
                  <c:v>0</c:v>
                </c:pt>
                <c:pt idx="14">
                  <c:v>0</c:v>
                </c:pt>
                <c:pt idx="15">
                  <c:v>0</c:v>
                </c:pt>
                <c:pt idx="16">
                  <c:v>0</c:v>
                </c:pt>
                <c:pt idx="17">
                  <c:v>0</c:v>
                </c:pt>
                <c:pt idx="18">
                  <c:v>0</c:v>
                </c:pt>
                <c:pt idx="19">
                  <c:v>0</c:v>
                </c:pt>
                <c:pt idx="20">
                  <c:v>0</c:v>
                </c:pt>
                <c:pt idx="21">
                  <c:v>0</c:v>
                </c:pt>
                <c:pt idx="22">
                  <c:v>0</c:v>
                </c:pt>
                <c:pt idx="23">
                  <c:v>0</c:v>
                </c:pt>
                <c:pt idx="24">
                  <c:v>20</c:v>
                </c:pt>
                <c:pt idx="25">
                  <c:v>0</c:v>
                </c:pt>
                <c:pt idx="26">
                  <c:v>0</c:v>
                </c:pt>
                <c:pt idx="27">
                  <c:v>0</c:v>
                </c:pt>
                <c:pt idx="28">
                  <c:v>0</c:v>
                </c:pt>
                <c:pt idx="29">
                  <c:v>0</c:v>
                </c:pt>
                <c:pt idx="30">
                  <c:v>0</c:v>
                </c:pt>
                <c:pt idx="31">
                  <c:v>0</c:v>
                </c:pt>
                <c:pt idx="32">
                  <c:v>0</c:v>
                </c:pt>
                <c:pt idx="33">
                  <c:v>0</c:v>
                </c:pt>
                <c:pt idx="34">
                  <c:v>0</c:v>
                </c:pt>
                <c:pt idx="35">
                  <c:v>0</c:v>
                </c:pt>
                <c:pt idx="36">
                  <c:v>20</c:v>
                </c:pt>
                <c:pt idx="37">
                  <c:v>0</c:v>
                </c:pt>
                <c:pt idx="38">
                  <c:v>0</c:v>
                </c:pt>
                <c:pt idx="39">
                  <c:v>0</c:v>
                </c:pt>
                <c:pt idx="40">
                  <c:v>0</c:v>
                </c:pt>
                <c:pt idx="41">
                  <c:v>0</c:v>
                </c:pt>
                <c:pt idx="42">
                  <c:v>0</c:v>
                </c:pt>
                <c:pt idx="43">
                  <c:v>0</c:v>
                </c:pt>
                <c:pt idx="44">
                  <c:v>0</c:v>
                </c:pt>
                <c:pt idx="45">
                  <c:v>0</c:v>
                </c:pt>
                <c:pt idx="46">
                  <c:v>0</c:v>
                </c:pt>
                <c:pt idx="47">
                  <c:v>0</c:v>
                </c:pt>
                <c:pt idx="48">
                  <c:v>20</c:v>
                </c:pt>
                <c:pt idx="49">
                  <c:v>0</c:v>
                </c:pt>
                <c:pt idx="50">
                  <c:v>0</c:v>
                </c:pt>
                <c:pt idx="51">
                  <c:v>0</c:v>
                </c:pt>
                <c:pt idx="52">
                  <c:v>0</c:v>
                </c:pt>
                <c:pt idx="53">
                  <c:v>0</c:v>
                </c:pt>
                <c:pt idx="54">
                  <c:v>0</c:v>
                </c:pt>
                <c:pt idx="55">
                  <c:v>0</c:v>
                </c:pt>
                <c:pt idx="56">
                  <c:v>0</c:v>
                </c:pt>
                <c:pt idx="57">
                  <c:v>0</c:v>
                </c:pt>
                <c:pt idx="58">
                  <c:v>0</c:v>
                </c:pt>
                <c:pt idx="59">
                  <c:v>0</c:v>
                </c:pt>
                <c:pt idx="60">
                  <c:v>20</c:v>
                </c:pt>
                <c:pt idx="61">
                  <c:v>0</c:v>
                </c:pt>
                <c:pt idx="62">
                  <c:v>0</c:v>
                </c:pt>
                <c:pt idx="63">
                  <c:v>0</c:v>
                </c:pt>
                <c:pt idx="64">
                  <c:v>0</c:v>
                </c:pt>
                <c:pt idx="65">
                  <c:v>0</c:v>
                </c:pt>
                <c:pt idx="66">
                  <c:v>0</c:v>
                </c:pt>
                <c:pt idx="67">
                  <c:v>0</c:v>
                </c:pt>
              </c:numCache>
            </c:numRef>
          </c:val>
          <c:smooth val="0"/>
          <c:extLst>
            <c:ext xmlns:c16="http://schemas.microsoft.com/office/drawing/2014/chart" uri="{C3380CC4-5D6E-409C-BE32-E72D297353CC}">
              <c16:uniqueId val="{00000009-3813-4707-B3F5-F318602621F0}"/>
            </c:ext>
          </c:extLst>
        </c:ser>
        <c:dLbls>
          <c:showLegendKey val="0"/>
          <c:showVal val="0"/>
          <c:showCatName val="0"/>
          <c:showSerName val="0"/>
          <c:showPercent val="0"/>
          <c:showBubbleSize val="0"/>
        </c:dLbls>
        <c:smooth val="0"/>
        <c:axId val="667014144"/>
        <c:axId val="667014704"/>
      </c:lineChart>
      <c:catAx>
        <c:axId val="667014144"/>
        <c:scaling>
          <c:orientation val="minMax"/>
        </c:scaling>
        <c:delete val="0"/>
        <c:axPos val="b"/>
        <c:numFmt formatCode="yyyy" sourceLinked="0"/>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en-US"/>
          </a:p>
        </c:txPr>
        <c:crossAx val="667014704"/>
        <c:crosses val="autoZero"/>
        <c:auto val="1"/>
        <c:lblAlgn val="ctr"/>
        <c:lblOffset val="100"/>
        <c:tickLblSkip val="12"/>
        <c:tickMarkSkip val="1"/>
        <c:noMultiLvlLbl val="0"/>
      </c:catAx>
      <c:valAx>
        <c:axId val="667014704"/>
        <c:scaling>
          <c:orientation val="minMax"/>
          <c:max val="120"/>
          <c:min val="2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en-US"/>
          </a:p>
        </c:txPr>
        <c:crossAx val="667014144"/>
        <c:crosses val="autoZero"/>
        <c:crossBetween val="between"/>
        <c:majorUnit val="20"/>
      </c:valAx>
      <c:spPr>
        <a:noFill/>
        <a:ln>
          <a:noFill/>
        </a:ln>
        <a:effectLst/>
      </c:spPr>
    </c:plotArea>
    <c:legend>
      <c:legendPos val="b"/>
      <c:legendEntry>
        <c:idx val="3"/>
        <c:delete val="1"/>
      </c:legendEntry>
      <c:layout>
        <c:manualLayout>
          <c:xMode val="edge"/>
          <c:yMode val="edge"/>
          <c:x val="5.9259259259259262E-2"/>
          <c:y val="0.90425125125125116"/>
          <c:w val="0.9"/>
          <c:h val="9.5748748748748752E-2"/>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en-US"/>
        </a:p>
      </c:txPr>
    </c:legend>
    <c:plotVisOnly val="1"/>
    <c:dispBlanksAs val="gap"/>
    <c:showDLblsOverMax val="0"/>
  </c:chart>
  <c:spPr>
    <a:noFill/>
    <a:ln w="9525" cap="flat" cmpd="sng" algn="ctr">
      <a:noFill/>
      <a:round/>
    </a:ln>
    <a:effectLst/>
  </c:spPr>
  <c:txPr>
    <a:bodyPr/>
    <a:lstStyle/>
    <a:p>
      <a:pPr>
        <a:defRPr sz="750">
          <a:solidFill>
            <a:schemeClr val="tx2"/>
          </a:solidFill>
          <a:latin typeface="+mn-lt"/>
          <a:cs typeface="Arial" panose="020B0604020202020204" pitchFamily="34" charset="0"/>
        </a:defRPr>
      </a:pPr>
      <a:endParaRPr lang="en-US"/>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69410569105691"/>
          <c:y val="5.8005314731772131E-2"/>
          <c:w val="0.83454945799457991"/>
          <c:h val="0.75134444444444448"/>
        </c:manualLayout>
      </c:layout>
      <c:lineChart>
        <c:grouping val="standard"/>
        <c:varyColors val="0"/>
        <c:ser>
          <c:idx val="0"/>
          <c:order val="0"/>
          <c:tx>
            <c:strRef>
              <c:f>'Commodities 2'!$K$7</c:f>
              <c:strCache>
                <c:ptCount val="1"/>
                <c:pt idx="0">
                  <c:v>Храна</c:v>
                </c:pt>
              </c:strCache>
            </c:strRef>
          </c:tx>
          <c:spPr>
            <a:ln w="22225" cap="rnd">
              <a:solidFill>
                <a:srgbClr val="00A651"/>
              </a:solidFill>
              <a:round/>
            </a:ln>
            <a:effectLst/>
          </c:spPr>
          <c:marker>
            <c:symbol val="none"/>
          </c:marker>
          <c:cat>
            <c:numRef>
              <c:f>'Commodities 2'!$J$9:$J$13</c:f>
              <c:numCache>
                <c:formatCode>General</c:formatCode>
                <c:ptCount val="5"/>
                <c:pt idx="0">
                  <c:v>2018</c:v>
                </c:pt>
                <c:pt idx="1">
                  <c:v>2019</c:v>
                </c:pt>
                <c:pt idx="2">
                  <c:v>2020</c:v>
                </c:pt>
                <c:pt idx="3">
                  <c:v>2021</c:v>
                </c:pt>
                <c:pt idx="4">
                  <c:v>2022</c:v>
                </c:pt>
              </c:numCache>
            </c:numRef>
          </c:cat>
          <c:val>
            <c:numRef>
              <c:f>'Commodities 2'!$K$9:$K$13</c:f>
              <c:numCache>
                <c:formatCode>General</c:formatCode>
                <c:ptCount val="5"/>
                <c:pt idx="0">
                  <c:v>100</c:v>
                </c:pt>
                <c:pt idx="1">
                  <c:v>96.55</c:v>
                </c:pt>
                <c:pt idx="2">
                  <c:v>99.27</c:v>
                </c:pt>
                <c:pt idx="3">
                  <c:v>100.78</c:v>
                </c:pt>
                <c:pt idx="4">
                  <c:v>101.39</c:v>
                </c:pt>
              </c:numCache>
            </c:numRef>
          </c:val>
          <c:smooth val="0"/>
          <c:extLst>
            <c:ext xmlns:c16="http://schemas.microsoft.com/office/drawing/2014/chart" uri="{C3380CC4-5D6E-409C-BE32-E72D297353CC}">
              <c16:uniqueId val="{00000000-252B-449C-8EED-899829DEB0DA}"/>
            </c:ext>
          </c:extLst>
        </c:ser>
        <c:ser>
          <c:idx val="1"/>
          <c:order val="1"/>
          <c:tx>
            <c:strRef>
              <c:f>'Commodities 2'!$L$7</c:f>
              <c:strCache>
                <c:ptCount val="1"/>
                <c:pt idx="0">
                  <c:v>Метали</c:v>
                </c:pt>
              </c:strCache>
            </c:strRef>
          </c:tx>
          <c:spPr>
            <a:ln w="22225" cap="rnd">
              <a:solidFill>
                <a:srgbClr val="EC008C"/>
              </a:solidFill>
              <a:round/>
            </a:ln>
            <a:effectLst/>
          </c:spPr>
          <c:marker>
            <c:symbol val="none"/>
          </c:marker>
          <c:cat>
            <c:numRef>
              <c:f>'Commodities 2'!$J$9:$J$13</c:f>
              <c:numCache>
                <c:formatCode>General</c:formatCode>
                <c:ptCount val="5"/>
                <c:pt idx="0">
                  <c:v>2018</c:v>
                </c:pt>
                <c:pt idx="1">
                  <c:v>2019</c:v>
                </c:pt>
                <c:pt idx="2">
                  <c:v>2020</c:v>
                </c:pt>
                <c:pt idx="3">
                  <c:v>2021</c:v>
                </c:pt>
                <c:pt idx="4">
                  <c:v>2022</c:v>
                </c:pt>
              </c:numCache>
            </c:numRef>
          </c:cat>
          <c:val>
            <c:numRef>
              <c:f>'Commodities 2'!$L$9:$L$13</c:f>
              <c:numCache>
                <c:formatCode>General</c:formatCode>
                <c:ptCount val="5"/>
                <c:pt idx="0">
                  <c:v>100</c:v>
                </c:pt>
                <c:pt idx="1">
                  <c:v>104.31</c:v>
                </c:pt>
                <c:pt idx="2">
                  <c:v>97.82</c:v>
                </c:pt>
                <c:pt idx="3">
                  <c:v>98.62</c:v>
                </c:pt>
                <c:pt idx="4">
                  <c:v>99.48</c:v>
                </c:pt>
              </c:numCache>
            </c:numRef>
          </c:val>
          <c:smooth val="0"/>
          <c:extLst>
            <c:ext xmlns:c16="http://schemas.microsoft.com/office/drawing/2014/chart" uri="{C3380CC4-5D6E-409C-BE32-E72D297353CC}">
              <c16:uniqueId val="{00000001-252B-449C-8EED-899829DEB0DA}"/>
            </c:ext>
          </c:extLst>
        </c:ser>
        <c:ser>
          <c:idx val="2"/>
          <c:order val="2"/>
          <c:tx>
            <c:strRef>
              <c:f>'Commodities 2'!$M$7</c:f>
              <c:strCache>
                <c:ptCount val="1"/>
                <c:pt idx="0">
                  <c:v>Просечна цена нафте</c:v>
                </c:pt>
              </c:strCache>
            </c:strRef>
          </c:tx>
          <c:spPr>
            <a:ln w="22225" cap="rnd">
              <a:solidFill>
                <a:srgbClr val="003891"/>
              </a:solidFill>
              <a:round/>
            </a:ln>
            <a:effectLst/>
          </c:spPr>
          <c:marker>
            <c:symbol val="none"/>
          </c:marker>
          <c:cat>
            <c:numRef>
              <c:f>'Commodities 2'!$J$9:$J$13</c:f>
              <c:numCache>
                <c:formatCode>General</c:formatCode>
                <c:ptCount val="5"/>
                <c:pt idx="0">
                  <c:v>2018</c:v>
                </c:pt>
                <c:pt idx="1">
                  <c:v>2019</c:v>
                </c:pt>
                <c:pt idx="2">
                  <c:v>2020</c:v>
                </c:pt>
                <c:pt idx="3">
                  <c:v>2021</c:v>
                </c:pt>
                <c:pt idx="4">
                  <c:v>2022</c:v>
                </c:pt>
              </c:numCache>
            </c:numRef>
          </c:cat>
          <c:val>
            <c:numRef>
              <c:f>'Commodities 2'!$M$9:$M$13</c:f>
              <c:numCache>
                <c:formatCode>General</c:formatCode>
                <c:ptCount val="5"/>
                <c:pt idx="0">
                  <c:v>100</c:v>
                </c:pt>
                <c:pt idx="1">
                  <c:v>90.44</c:v>
                </c:pt>
                <c:pt idx="2">
                  <c:v>84.79</c:v>
                </c:pt>
                <c:pt idx="3">
                  <c:v>80.92</c:v>
                </c:pt>
                <c:pt idx="4">
                  <c:v>79.900000000000006</c:v>
                </c:pt>
              </c:numCache>
            </c:numRef>
          </c:val>
          <c:smooth val="0"/>
          <c:extLst>
            <c:ext xmlns:c16="http://schemas.microsoft.com/office/drawing/2014/chart" uri="{C3380CC4-5D6E-409C-BE32-E72D297353CC}">
              <c16:uniqueId val="{00000002-252B-449C-8EED-899829DEB0DA}"/>
            </c:ext>
          </c:extLst>
        </c:ser>
        <c:ser>
          <c:idx val="3"/>
          <c:order val="3"/>
          <c:spPr>
            <a:ln w="28575" cap="rnd">
              <a:noFill/>
              <a:round/>
            </a:ln>
            <a:effectLst/>
          </c:spPr>
          <c:marker>
            <c:symbol val="square"/>
            <c:size val="2"/>
            <c:spPr>
              <a:solidFill>
                <a:schemeClr val="bg1"/>
              </a:solidFill>
              <a:ln w="9525">
                <a:noFill/>
              </a:ln>
              <a:effectLst/>
            </c:spPr>
          </c:marker>
          <c:cat>
            <c:numRef>
              <c:f>'Commodities 2'!$J$9:$J$13</c:f>
              <c:numCache>
                <c:formatCode>General</c:formatCode>
                <c:ptCount val="5"/>
                <c:pt idx="0">
                  <c:v>2018</c:v>
                </c:pt>
                <c:pt idx="1">
                  <c:v>2019</c:v>
                </c:pt>
                <c:pt idx="2">
                  <c:v>2020</c:v>
                </c:pt>
                <c:pt idx="3">
                  <c:v>2021</c:v>
                </c:pt>
                <c:pt idx="4">
                  <c:v>2022</c:v>
                </c:pt>
              </c:numCache>
            </c:numRef>
          </c:cat>
          <c:val>
            <c:numRef>
              <c:f>'Commodities 2'!$I$9:$I$13</c:f>
              <c:numCache>
                <c:formatCode>General</c:formatCode>
                <c:ptCount val="5"/>
                <c:pt idx="0">
                  <c:v>75</c:v>
                </c:pt>
                <c:pt idx="1">
                  <c:v>75</c:v>
                </c:pt>
                <c:pt idx="2">
                  <c:v>75</c:v>
                </c:pt>
                <c:pt idx="3">
                  <c:v>75</c:v>
                </c:pt>
                <c:pt idx="4">
                  <c:v>75</c:v>
                </c:pt>
              </c:numCache>
            </c:numRef>
          </c:val>
          <c:smooth val="0"/>
          <c:extLst>
            <c:ext xmlns:c16="http://schemas.microsoft.com/office/drawing/2014/chart" uri="{C3380CC4-5D6E-409C-BE32-E72D297353CC}">
              <c16:uniqueId val="{00000003-252B-449C-8EED-899829DEB0DA}"/>
            </c:ext>
          </c:extLst>
        </c:ser>
        <c:dLbls>
          <c:showLegendKey val="0"/>
          <c:showVal val="0"/>
          <c:showCatName val="0"/>
          <c:showSerName val="0"/>
          <c:showPercent val="0"/>
          <c:showBubbleSize val="0"/>
        </c:dLbls>
        <c:smooth val="0"/>
        <c:axId val="198500592"/>
        <c:axId val="198501152"/>
      </c:lineChart>
      <c:catAx>
        <c:axId val="198500592"/>
        <c:scaling>
          <c:orientation val="minMax"/>
        </c:scaling>
        <c:delete val="0"/>
        <c:axPos val="b"/>
        <c:numFmt formatCode="General" sourceLinked="1"/>
        <c:majorTickMark val="none"/>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198501152"/>
        <c:crosses val="autoZero"/>
        <c:auto val="1"/>
        <c:lblAlgn val="ctr"/>
        <c:lblOffset val="100"/>
        <c:noMultiLvlLbl val="0"/>
      </c:catAx>
      <c:valAx>
        <c:axId val="198501152"/>
        <c:scaling>
          <c:orientation val="minMax"/>
          <c:max val="110"/>
          <c:min val="75"/>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198500592"/>
        <c:crosses val="autoZero"/>
        <c:crossBetween val="midCat"/>
      </c:valAx>
      <c:spPr>
        <a:noFill/>
        <a:ln>
          <a:noFill/>
        </a:ln>
        <a:effectLst/>
      </c:spPr>
    </c:plotArea>
    <c:legend>
      <c:legendPos val="b"/>
      <c:legendEntry>
        <c:idx val="3"/>
        <c:delete val="1"/>
      </c:legendEntry>
      <c:layout>
        <c:manualLayout>
          <c:xMode val="edge"/>
          <c:yMode val="edge"/>
          <c:x val="5.000000000000001E-2"/>
          <c:y val="0.91002076067098492"/>
          <c:w val="0.9"/>
          <c:h val="7.9432818468692906E-2"/>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en-US"/>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6577302837145363E-2"/>
          <c:y val="4.0935672514619881E-2"/>
          <c:w val="0.92754968128983895"/>
          <c:h val="0.72438277777777782"/>
        </c:manualLayout>
      </c:layout>
      <c:lineChart>
        <c:grouping val="standard"/>
        <c:varyColors val="0"/>
        <c:ser>
          <c:idx val="0"/>
          <c:order val="0"/>
          <c:tx>
            <c:strRef>
              <c:f>FED!$K$7</c:f>
              <c:strCache>
                <c:ptCount val="1"/>
                <c:pt idx="0">
                  <c:v>21.3.2018.</c:v>
                </c:pt>
              </c:strCache>
            </c:strRef>
          </c:tx>
          <c:spPr>
            <a:ln w="25400" cap="rnd">
              <a:solidFill>
                <a:srgbClr val="00A651"/>
              </a:solidFill>
              <a:round/>
            </a:ln>
            <a:effectLst/>
          </c:spPr>
          <c:marker>
            <c:symbol val="none"/>
          </c:marker>
          <c:cat>
            <c:numRef>
              <c:f>FED!$O$9:$O$65</c:f>
              <c:numCache>
                <c:formatCode>yyyy</c:formatCode>
                <c:ptCount val="57"/>
                <c:pt idx="0">
                  <c:v>43101</c:v>
                </c:pt>
                <c:pt idx="1">
                  <c:v>43132</c:v>
                </c:pt>
                <c:pt idx="2">
                  <c:v>43160</c:v>
                </c:pt>
                <c:pt idx="3">
                  <c:v>43191</c:v>
                </c:pt>
                <c:pt idx="4">
                  <c:v>43221</c:v>
                </c:pt>
                <c:pt idx="5">
                  <c:v>43252</c:v>
                </c:pt>
                <c:pt idx="6">
                  <c:v>43282</c:v>
                </c:pt>
                <c:pt idx="7">
                  <c:v>43313</c:v>
                </c:pt>
                <c:pt idx="8">
                  <c:v>43344</c:v>
                </c:pt>
                <c:pt idx="9">
                  <c:v>43374</c:v>
                </c:pt>
                <c:pt idx="10">
                  <c:v>43405</c:v>
                </c:pt>
                <c:pt idx="11">
                  <c:v>43435</c:v>
                </c:pt>
                <c:pt idx="12">
                  <c:v>43466</c:v>
                </c:pt>
                <c:pt idx="13">
                  <c:v>43497</c:v>
                </c:pt>
                <c:pt idx="14">
                  <c:v>43525</c:v>
                </c:pt>
                <c:pt idx="15">
                  <c:v>43556</c:v>
                </c:pt>
                <c:pt idx="16">
                  <c:v>43586</c:v>
                </c:pt>
                <c:pt idx="17">
                  <c:v>43617</c:v>
                </c:pt>
                <c:pt idx="18">
                  <c:v>43647</c:v>
                </c:pt>
                <c:pt idx="19">
                  <c:v>43678</c:v>
                </c:pt>
                <c:pt idx="20">
                  <c:v>43709</c:v>
                </c:pt>
                <c:pt idx="21">
                  <c:v>43739</c:v>
                </c:pt>
                <c:pt idx="22">
                  <c:v>43770</c:v>
                </c:pt>
                <c:pt idx="23">
                  <c:v>43800</c:v>
                </c:pt>
                <c:pt idx="24">
                  <c:v>43831</c:v>
                </c:pt>
                <c:pt idx="25">
                  <c:v>43862</c:v>
                </c:pt>
                <c:pt idx="26">
                  <c:v>43891</c:v>
                </c:pt>
                <c:pt idx="27">
                  <c:v>43922</c:v>
                </c:pt>
                <c:pt idx="28">
                  <c:v>43952</c:v>
                </c:pt>
                <c:pt idx="29">
                  <c:v>43983</c:v>
                </c:pt>
                <c:pt idx="30">
                  <c:v>44013</c:v>
                </c:pt>
                <c:pt idx="31">
                  <c:v>44044</c:v>
                </c:pt>
                <c:pt idx="32">
                  <c:v>44075</c:v>
                </c:pt>
                <c:pt idx="33">
                  <c:v>44105</c:v>
                </c:pt>
                <c:pt idx="34">
                  <c:v>44136</c:v>
                </c:pt>
                <c:pt idx="35">
                  <c:v>44166</c:v>
                </c:pt>
                <c:pt idx="36">
                  <c:v>44197</c:v>
                </c:pt>
                <c:pt idx="37">
                  <c:v>44228</c:v>
                </c:pt>
                <c:pt idx="38">
                  <c:v>44256</c:v>
                </c:pt>
                <c:pt idx="39">
                  <c:v>44287</c:v>
                </c:pt>
                <c:pt idx="40">
                  <c:v>44317</c:v>
                </c:pt>
                <c:pt idx="41">
                  <c:v>44348</c:v>
                </c:pt>
                <c:pt idx="42">
                  <c:v>44378</c:v>
                </c:pt>
                <c:pt idx="43">
                  <c:v>44409</c:v>
                </c:pt>
                <c:pt idx="44">
                  <c:v>44440</c:v>
                </c:pt>
                <c:pt idx="45">
                  <c:v>44470</c:v>
                </c:pt>
                <c:pt idx="46">
                  <c:v>44501</c:v>
                </c:pt>
                <c:pt idx="47">
                  <c:v>44531</c:v>
                </c:pt>
                <c:pt idx="48">
                  <c:v>44562</c:v>
                </c:pt>
                <c:pt idx="49">
                  <c:v>44593</c:v>
                </c:pt>
                <c:pt idx="50">
                  <c:v>44621</c:v>
                </c:pt>
                <c:pt idx="51">
                  <c:v>44652</c:v>
                </c:pt>
                <c:pt idx="52">
                  <c:v>44682</c:v>
                </c:pt>
                <c:pt idx="53">
                  <c:v>44713</c:v>
                </c:pt>
                <c:pt idx="54">
                  <c:v>44743</c:v>
                </c:pt>
                <c:pt idx="55">
                  <c:v>44774</c:v>
                </c:pt>
                <c:pt idx="56">
                  <c:v>44805</c:v>
                </c:pt>
              </c:numCache>
            </c:numRef>
          </c:cat>
          <c:val>
            <c:numRef>
              <c:f>FED!$K$9:$K$65</c:f>
              <c:numCache>
                <c:formatCode>General</c:formatCode>
                <c:ptCount val="57"/>
                <c:pt idx="2" formatCode="0.00">
                  <c:v>1.43</c:v>
                </c:pt>
                <c:pt idx="3" formatCode="0.00">
                  <c:v>1.5</c:v>
                </c:pt>
                <c:pt idx="4" formatCode="0.00">
                  <c:v>1.68</c:v>
                </c:pt>
                <c:pt idx="5" formatCode="0.00">
                  <c:v>1.69</c:v>
                </c:pt>
                <c:pt idx="6" formatCode="0.00">
                  <c:v>1.79</c:v>
                </c:pt>
                <c:pt idx="7" formatCode="0.00">
                  <c:v>1.88</c:v>
                </c:pt>
                <c:pt idx="8" formatCode="0.00">
                  <c:v>1.9</c:v>
                </c:pt>
                <c:pt idx="9" formatCode="0.00">
                  <c:v>1.91</c:v>
                </c:pt>
                <c:pt idx="10" formatCode="0.00">
                  <c:v>2.04</c:v>
                </c:pt>
                <c:pt idx="11" formatCode="0.00">
                  <c:v>2.0699999999999998</c:v>
                </c:pt>
                <c:pt idx="12" formatCode="0.00">
                  <c:v>2.11</c:v>
                </c:pt>
                <c:pt idx="13" formatCode="0.00">
                  <c:v>2.17</c:v>
                </c:pt>
                <c:pt idx="14" formatCode="0.00">
                  <c:v>2.2000000000000002</c:v>
                </c:pt>
                <c:pt idx="15" formatCode="0.00">
                  <c:v>2.2400000000000002</c:v>
                </c:pt>
                <c:pt idx="16" formatCode="0.00">
                  <c:v>2.31</c:v>
                </c:pt>
                <c:pt idx="17" formatCode="0.00">
                  <c:v>2.34</c:v>
                </c:pt>
                <c:pt idx="18" formatCode="0.00">
                  <c:v>2.38</c:v>
                </c:pt>
                <c:pt idx="19" formatCode="0.00">
                  <c:v>2.44</c:v>
                </c:pt>
                <c:pt idx="20" formatCode="0.00">
                  <c:v>2.46</c:v>
                </c:pt>
                <c:pt idx="21" formatCode="0.00">
                  <c:v>2.48</c:v>
                </c:pt>
                <c:pt idx="22" formatCode="0.00">
                  <c:v>2.5299999999999998</c:v>
                </c:pt>
                <c:pt idx="23" formatCode="0.00">
                  <c:v>2.44</c:v>
                </c:pt>
                <c:pt idx="24" formatCode="0.00">
                  <c:v>2.57</c:v>
                </c:pt>
                <c:pt idx="25" formatCode="0.00">
                  <c:v>2.61</c:v>
                </c:pt>
                <c:pt idx="26" formatCode="0.00">
                  <c:v>2.6</c:v>
                </c:pt>
                <c:pt idx="27" formatCode="0.00">
                  <c:v>2.62</c:v>
                </c:pt>
                <c:pt idx="28" formatCode="0.00">
                  <c:v>2.63</c:v>
                </c:pt>
                <c:pt idx="29" formatCode="0.00">
                  <c:v>2.62</c:v>
                </c:pt>
                <c:pt idx="30" formatCode="0.00">
                  <c:v>2.64</c:v>
                </c:pt>
                <c:pt idx="31" formatCode="0.00">
                  <c:v>2.65</c:v>
                </c:pt>
                <c:pt idx="32" formatCode="0.00">
                  <c:v>2.64</c:v>
                </c:pt>
                <c:pt idx="33" formatCode="0.00">
                  <c:v>2.65</c:v>
                </c:pt>
                <c:pt idx="34" formatCode="0.00">
                  <c:v>2.67</c:v>
                </c:pt>
                <c:pt idx="35" formatCode="0.00">
                  <c:v>2.66</c:v>
                </c:pt>
                <c:pt idx="36" formatCode="0.00">
                  <c:v>2.69</c:v>
                </c:pt>
                <c:pt idx="37" formatCode="0.00">
                  <c:v>2.7</c:v>
                </c:pt>
                <c:pt idx="38" formatCode="0.00">
                  <c:v>2.7</c:v>
                </c:pt>
              </c:numCache>
            </c:numRef>
          </c:val>
          <c:smooth val="0"/>
          <c:extLst>
            <c:ext xmlns:c16="http://schemas.microsoft.com/office/drawing/2014/chart" uri="{C3380CC4-5D6E-409C-BE32-E72D297353CC}">
              <c16:uniqueId val="{00000000-7AB4-4716-869D-047CB04BE834}"/>
            </c:ext>
          </c:extLst>
        </c:ser>
        <c:ser>
          <c:idx val="1"/>
          <c:order val="1"/>
          <c:tx>
            <c:strRef>
              <c:f>FED!$L$7</c:f>
              <c:strCache>
                <c:ptCount val="1"/>
                <c:pt idx="0">
                  <c:v>17.9.2018.</c:v>
                </c:pt>
              </c:strCache>
            </c:strRef>
          </c:tx>
          <c:spPr>
            <a:ln w="25400" cap="rnd">
              <a:solidFill>
                <a:srgbClr val="7F3F98"/>
              </a:solidFill>
              <a:round/>
            </a:ln>
            <a:effectLst/>
          </c:spPr>
          <c:marker>
            <c:symbol val="none"/>
          </c:marker>
          <c:cat>
            <c:numRef>
              <c:f>FED!$O$9:$O$65</c:f>
              <c:numCache>
                <c:formatCode>yyyy</c:formatCode>
                <c:ptCount val="57"/>
                <c:pt idx="0">
                  <c:v>43101</c:v>
                </c:pt>
                <c:pt idx="1">
                  <c:v>43132</c:v>
                </c:pt>
                <c:pt idx="2">
                  <c:v>43160</c:v>
                </c:pt>
                <c:pt idx="3">
                  <c:v>43191</c:v>
                </c:pt>
                <c:pt idx="4">
                  <c:v>43221</c:v>
                </c:pt>
                <c:pt idx="5">
                  <c:v>43252</c:v>
                </c:pt>
                <c:pt idx="6">
                  <c:v>43282</c:v>
                </c:pt>
                <c:pt idx="7">
                  <c:v>43313</c:v>
                </c:pt>
                <c:pt idx="8">
                  <c:v>43344</c:v>
                </c:pt>
                <c:pt idx="9">
                  <c:v>43374</c:v>
                </c:pt>
                <c:pt idx="10">
                  <c:v>43405</c:v>
                </c:pt>
                <c:pt idx="11">
                  <c:v>43435</c:v>
                </c:pt>
                <c:pt idx="12">
                  <c:v>43466</c:v>
                </c:pt>
                <c:pt idx="13">
                  <c:v>43497</c:v>
                </c:pt>
                <c:pt idx="14">
                  <c:v>43525</c:v>
                </c:pt>
                <c:pt idx="15">
                  <c:v>43556</c:v>
                </c:pt>
                <c:pt idx="16">
                  <c:v>43586</c:v>
                </c:pt>
                <c:pt idx="17">
                  <c:v>43617</c:v>
                </c:pt>
                <c:pt idx="18">
                  <c:v>43647</c:v>
                </c:pt>
                <c:pt idx="19">
                  <c:v>43678</c:v>
                </c:pt>
                <c:pt idx="20">
                  <c:v>43709</c:v>
                </c:pt>
                <c:pt idx="21">
                  <c:v>43739</c:v>
                </c:pt>
                <c:pt idx="22">
                  <c:v>43770</c:v>
                </c:pt>
                <c:pt idx="23">
                  <c:v>43800</c:v>
                </c:pt>
                <c:pt idx="24">
                  <c:v>43831</c:v>
                </c:pt>
                <c:pt idx="25">
                  <c:v>43862</c:v>
                </c:pt>
                <c:pt idx="26">
                  <c:v>43891</c:v>
                </c:pt>
                <c:pt idx="27">
                  <c:v>43922</c:v>
                </c:pt>
                <c:pt idx="28">
                  <c:v>43952</c:v>
                </c:pt>
                <c:pt idx="29">
                  <c:v>43983</c:v>
                </c:pt>
                <c:pt idx="30">
                  <c:v>44013</c:v>
                </c:pt>
                <c:pt idx="31">
                  <c:v>44044</c:v>
                </c:pt>
                <c:pt idx="32">
                  <c:v>44075</c:v>
                </c:pt>
                <c:pt idx="33">
                  <c:v>44105</c:v>
                </c:pt>
                <c:pt idx="34">
                  <c:v>44136</c:v>
                </c:pt>
                <c:pt idx="35">
                  <c:v>44166</c:v>
                </c:pt>
                <c:pt idx="36">
                  <c:v>44197</c:v>
                </c:pt>
                <c:pt idx="37">
                  <c:v>44228</c:v>
                </c:pt>
                <c:pt idx="38">
                  <c:v>44256</c:v>
                </c:pt>
                <c:pt idx="39">
                  <c:v>44287</c:v>
                </c:pt>
                <c:pt idx="40">
                  <c:v>44317</c:v>
                </c:pt>
                <c:pt idx="41">
                  <c:v>44348</c:v>
                </c:pt>
                <c:pt idx="42">
                  <c:v>44378</c:v>
                </c:pt>
                <c:pt idx="43">
                  <c:v>44409</c:v>
                </c:pt>
                <c:pt idx="44">
                  <c:v>44440</c:v>
                </c:pt>
                <c:pt idx="45">
                  <c:v>44470</c:v>
                </c:pt>
                <c:pt idx="46">
                  <c:v>44501</c:v>
                </c:pt>
                <c:pt idx="47">
                  <c:v>44531</c:v>
                </c:pt>
                <c:pt idx="48">
                  <c:v>44562</c:v>
                </c:pt>
                <c:pt idx="49">
                  <c:v>44593</c:v>
                </c:pt>
                <c:pt idx="50">
                  <c:v>44621</c:v>
                </c:pt>
                <c:pt idx="51">
                  <c:v>44652</c:v>
                </c:pt>
                <c:pt idx="52">
                  <c:v>44682</c:v>
                </c:pt>
                <c:pt idx="53">
                  <c:v>44713</c:v>
                </c:pt>
                <c:pt idx="54">
                  <c:v>44743</c:v>
                </c:pt>
                <c:pt idx="55">
                  <c:v>44774</c:v>
                </c:pt>
                <c:pt idx="56">
                  <c:v>44805</c:v>
                </c:pt>
              </c:numCache>
            </c:numRef>
          </c:cat>
          <c:val>
            <c:numRef>
              <c:f>FED!$L$9:$L$65</c:f>
              <c:numCache>
                <c:formatCode>General</c:formatCode>
                <c:ptCount val="57"/>
                <c:pt idx="8" formatCode="0.00">
                  <c:v>1.91</c:v>
                </c:pt>
                <c:pt idx="9" formatCode="0.00">
                  <c:v>1.95</c:v>
                </c:pt>
                <c:pt idx="10" formatCode="0.00">
                  <c:v>2.17</c:v>
                </c:pt>
                <c:pt idx="11" formatCode="0.00">
                  <c:v>2.17</c:v>
                </c:pt>
                <c:pt idx="12" formatCode="0.00">
                  <c:v>2.25</c:v>
                </c:pt>
                <c:pt idx="13" formatCode="0.00">
                  <c:v>2.37</c:v>
                </c:pt>
                <c:pt idx="14" formatCode="0.00">
                  <c:v>2.38</c:v>
                </c:pt>
                <c:pt idx="15" formatCode="0.00">
                  <c:v>2.44</c:v>
                </c:pt>
                <c:pt idx="16" formatCode="0.00">
                  <c:v>2.54</c:v>
                </c:pt>
                <c:pt idx="17" formatCode="0.00">
                  <c:v>2.58</c:v>
                </c:pt>
                <c:pt idx="18" formatCode="0.00">
                  <c:v>2.62</c:v>
                </c:pt>
                <c:pt idx="19" formatCode="0.00">
                  <c:v>2.7</c:v>
                </c:pt>
                <c:pt idx="20" formatCode="0.00">
                  <c:v>2.73</c:v>
                </c:pt>
                <c:pt idx="21" formatCode="0.00">
                  <c:v>2.75</c:v>
                </c:pt>
                <c:pt idx="22" formatCode="0.00">
                  <c:v>2.79</c:v>
                </c:pt>
                <c:pt idx="23" formatCode="0.00">
                  <c:v>2.8</c:v>
                </c:pt>
                <c:pt idx="24" formatCode="0.00">
                  <c:v>2.83</c:v>
                </c:pt>
                <c:pt idx="25" formatCode="0.00">
                  <c:v>2.84</c:v>
                </c:pt>
                <c:pt idx="26" formatCode="0.00">
                  <c:v>2.84</c:v>
                </c:pt>
                <c:pt idx="27" formatCode="0.00">
                  <c:v>2.85</c:v>
                </c:pt>
                <c:pt idx="28" formatCode="0.00">
                  <c:v>2.85</c:v>
                </c:pt>
                <c:pt idx="29" formatCode="0.00">
                  <c:v>2.85</c:v>
                </c:pt>
                <c:pt idx="30" formatCode="0.00">
                  <c:v>2.85</c:v>
                </c:pt>
                <c:pt idx="31" formatCode="0.00">
                  <c:v>2.84</c:v>
                </c:pt>
                <c:pt idx="32" formatCode="0.00">
                  <c:v>2.84</c:v>
                </c:pt>
                <c:pt idx="33" formatCode="0.00">
                  <c:v>2.84</c:v>
                </c:pt>
                <c:pt idx="34" formatCode="0.00">
                  <c:v>2.83</c:v>
                </c:pt>
                <c:pt idx="35" formatCode="0.00">
                  <c:v>2.82</c:v>
                </c:pt>
                <c:pt idx="36" formatCode="0.00">
                  <c:v>2.81</c:v>
                </c:pt>
                <c:pt idx="37" formatCode="0.00">
                  <c:v>2.81</c:v>
                </c:pt>
                <c:pt idx="38" formatCode="0.00">
                  <c:v>2.81</c:v>
                </c:pt>
                <c:pt idx="39" formatCode="0.00">
                  <c:v>2.81</c:v>
                </c:pt>
                <c:pt idx="40" formatCode="0.00">
                  <c:v>2.8</c:v>
                </c:pt>
                <c:pt idx="41" formatCode="0.00">
                  <c:v>2.8</c:v>
                </c:pt>
                <c:pt idx="42" formatCode="0.00">
                  <c:v>2.8</c:v>
                </c:pt>
                <c:pt idx="43" formatCode="0.00">
                  <c:v>2.79</c:v>
                </c:pt>
                <c:pt idx="44" formatCode="0.00">
                  <c:v>2.79</c:v>
                </c:pt>
              </c:numCache>
            </c:numRef>
          </c:val>
          <c:smooth val="0"/>
          <c:extLst>
            <c:ext xmlns:c16="http://schemas.microsoft.com/office/drawing/2014/chart" uri="{C3380CC4-5D6E-409C-BE32-E72D297353CC}">
              <c16:uniqueId val="{00000001-7AB4-4716-869D-047CB04BE834}"/>
            </c:ext>
          </c:extLst>
        </c:ser>
        <c:ser>
          <c:idx val="2"/>
          <c:order val="2"/>
          <c:tx>
            <c:strRef>
              <c:f>FED!$M$7</c:f>
              <c:strCache>
                <c:ptCount val="1"/>
                <c:pt idx="0">
                  <c:v>22.3.2019.</c:v>
                </c:pt>
              </c:strCache>
            </c:strRef>
          </c:tx>
          <c:spPr>
            <a:ln w="25400" cap="rnd">
              <a:solidFill>
                <a:srgbClr val="EC008C"/>
              </a:solidFill>
              <a:round/>
            </a:ln>
            <a:effectLst/>
          </c:spPr>
          <c:marker>
            <c:symbol val="none"/>
          </c:marker>
          <c:cat>
            <c:numRef>
              <c:f>FED!$O$9:$O$65</c:f>
              <c:numCache>
                <c:formatCode>yyyy</c:formatCode>
                <c:ptCount val="57"/>
                <c:pt idx="0">
                  <c:v>43101</c:v>
                </c:pt>
                <c:pt idx="1">
                  <c:v>43132</c:v>
                </c:pt>
                <c:pt idx="2">
                  <c:v>43160</c:v>
                </c:pt>
                <c:pt idx="3">
                  <c:v>43191</c:v>
                </c:pt>
                <c:pt idx="4">
                  <c:v>43221</c:v>
                </c:pt>
                <c:pt idx="5">
                  <c:v>43252</c:v>
                </c:pt>
                <c:pt idx="6">
                  <c:v>43282</c:v>
                </c:pt>
                <c:pt idx="7">
                  <c:v>43313</c:v>
                </c:pt>
                <c:pt idx="8">
                  <c:v>43344</c:v>
                </c:pt>
                <c:pt idx="9">
                  <c:v>43374</c:v>
                </c:pt>
                <c:pt idx="10">
                  <c:v>43405</c:v>
                </c:pt>
                <c:pt idx="11">
                  <c:v>43435</c:v>
                </c:pt>
                <c:pt idx="12">
                  <c:v>43466</c:v>
                </c:pt>
                <c:pt idx="13">
                  <c:v>43497</c:v>
                </c:pt>
                <c:pt idx="14">
                  <c:v>43525</c:v>
                </c:pt>
                <c:pt idx="15">
                  <c:v>43556</c:v>
                </c:pt>
                <c:pt idx="16">
                  <c:v>43586</c:v>
                </c:pt>
                <c:pt idx="17">
                  <c:v>43617</c:v>
                </c:pt>
                <c:pt idx="18">
                  <c:v>43647</c:v>
                </c:pt>
                <c:pt idx="19">
                  <c:v>43678</c:v>
                </c:pt>
                <c:pt idx="20">
                  <c:v>43709</c:v>
                </c:pt>
                <c:pt idx="21">
                  <c:v>43739</c:v>
                </c:pt>
                <c:pt idx="22">
                  <c:v>43770</c:v>
                </c:pt>
                <c:pt idx="23">
                  <c:v>43800</c:v>
                </c:pt>
                <c:pt idx="24">
                  <c:v>43831</c:v>
                </c:pt>
                <c:pt idx="25">
                  <c:v>43862</c:v>
                </c:pt>
                <c:pt idx="26">
                  <c:v>43891</c:v>
                </c:pt>
                <c:pt idx="27">
                  <c:v>43922</c:v>
                </c:pt>
                <c:pt idx="28">
                  <c:v>43952</c:v>
                </c:pt>
                <c:pt idx="29">
                  <c:v>43983</c:v>
                </c:pt>
                <c:pt idx="30">
                  <c:v>44013</c:v>
                </c:pt>
                <c:pt idx="31">
                  <c:v>44044</c:v>
                </c:pt>
                <c:pt idx="32">
                  <c:v>44075</c:v>
                </c:pt>
                <c:pt idx="33">
                  <c:v>44105</c:v>
                </c:pt>
                <c:pt idx="34">
                  <c:v>44136</c:v>
                </c:pt>
                <c:pt idx="35">
                  <c:v>44166</c:v>
                </c:pt>
                <c:pt idx="36">
                  <c:v>44197</c:v>
                </c:pt>
                <c:pt idx="37">
                  <c:v>44228</c:v>
                </c:pt>
                <c:pt idx="38">
                  <c:v>44256</c:v>
                </c:pt>
                <c:pt idx="39">
                  <c:v>44287</c:v>
                </c:pt>
                <c:pt idx="40">
                  <c:v>44317</c:v>
                </c:pt>
                <c:pt idx="41">
                  <c:v>44348</c:v>
                </c:pt>
                <c:pt idx="42">
                  <c:v>44378</c:v>
                </c:pt>
                <c:pt idx="43">
                  <c:v>44409</c:v>
                </c:pt>
                <c:pt idx="44">
                  <c:v>44440</c:v>
                </c:pt>
                <c:pt idx="45">
                  <c:v>44470</c:v>
                </c:pt>
                <c:pt idx="46">
                  <c:v>44501</c:v>
                </c:pt>
                <c:pt idx="47">
                  <c:v>44531</c:v>
                </c:pt>
                <c:pt idx="48">
                  <c:v>44562</c:v>
                </c:pt>
                <c:pt idx="49">
                  <c:v>44593</c:v>
                </c:pt>
                <c:pt idx="50">
                  <c:v>44621</c:v>
                </c:pt>
                <c:pt idx="51">
                  <c:v>44652</c:v>
                </c:pt>
                <c:pt idx="52">
                  <c:v>44682</c:v>
                </c:pt>
                <c:pt idx="53">
                  <c:v>44713</c:v>
                </c:pt>
                <c:pt idx="54">
                  <c:v>44743</c:v>
                </c:pt>
                <c:pt idx="55">
                  <c:v>44774</c:v>
                </c:pt>
                <c:pt idx="56">
                  <c:v>44805</c:v>
                </c:pt>
              </c:numCache>
            </c:numRef>
          </c:cat>
          <c:val>
            <c:numRef>
              <c:f>FED!$M$9:$M$65</c:f>
              <c:numCache>
                <c:formatCode>General</c:formatCode>
                <c:ptCount val="57"/>
                <c:pt idx="14" formatCode="0.00">
                  <c:v>2.4</c:v>
                </c:pt>
                <c:pt idx="15" formatCode="0.00">
                  <c:v>2.41</c:v>
                </c:pt>
                <c:pt idx="16" formatCode="0.00">
                  <c:v>2.41</c:v>
                </c:pt>
                <c:pt idx="17" formatCode="0.00">
                  <c:v>2.4</c:v>
                </c:pt>
                <c:pt idx="18" formatCode="0.00">
                  <c:v>2.39</c:v>
                </c:pt>
                <c:pt idx="19" formatCode="0.00">
                  <c:v>2.37</c:v>
                </c:pt>
                <c:pt idx="20" formatCode="0.00">
                  <c:v>2.34</c:v>
                </c:pt>
                <c:pt idx="21" formatCode="0.00">
                  <c:v>2.3199999999999998</c:v>
                </c:pt>
                <c:pt idx="22" formatCode="0.00">
                  <c:v>2.29</c:v>
                </c:pt>
                <c:pt idx="23" formatCode="0.00">
                  <c:v>2.2599999999999998</c:v>
                </c:pt>
                <c:pt idx="24" formatCode="0.00">
                  <c:v>2.23</c:v>
                </c:pt>
                <c:pt idx="25" formatCode="0.00">
                  <c:v>2.2000000000000002</c:v>
                </c:pt>
                <c:pt idx="26" formatCode="0.00">
                  <c:v>2.16</c:v>
                </c:pt>
                <c:pt idx="27" formatCode="0.00">
                  <c:v>2.14</c:v>
                </c:pt>
                <c:pt idx="28" formatCode="0.00">
                  <c:v>2.12</c:v>
                </c:pt>
                <c:pt idx="29" formatCode="0.00">
                  <c:v>2.08</c:v>
                </c:pt>
                <c:pt idx="30" formatCode="0.00">
                  <c:v>2.06</c:v>
                </c:pt>
                <c:pt idx="31" formatCode="0.00">
                  <c:v>2.0299999999999998</c:v>
                </c:pt>
                <c:pt idx="32" formatCode="0.00">
                  <c:v>1.99</c:v>
                </c:pt>
                <c:pt idx="33" formatCode="0.00">
                  <c:v>1.97</c:v>
                </c:pt>
                <c:pt idx="34" formatCode="0.00">
                  <c:v>1.95</c:v>
                </c:pt>
                <c:pt idx="35" formatCode="0.00">
                  <c:v>1.93</c:v>
                </c:pt>
                <c:pt idx="36" formatCode="0.00">
                  <c:v>1.91</c:v>
                </c:pt>
                <c:pt idx="37" formatCode="0.00">
                  <c:v>1.9</c:v>
                </c:pt>
                <c:pt idx="38" formatCode="0.00">
                  <c:v>1.89</c:v>
                </c:pt>
                <c:pt idx="39" formatCode="0.00">
                  <c:v>1.89</c:v>
                </c:pt>
                <c:pt idx="40" formatCode="0.00">
                  <c:v>1.88</c:v>
                </c:pt>
                <c:pt idx="41" formatCode="0.00">
                  <c:v>1.88</c:v>
                </c:pt>
                <c:pt idx="42" formatCode="0.00">
                  <c:v>1.87</c:v>
                </c:pt>
                <c:pt idx="43" formatCode="0.00">
                  <c:v>1.87</c:v>
                </c:pt>
                <c:pt idx="44" formatCode="0.00">
                  <c:v>1.87</c:v>
                </c:pt>
                <c:pt idx="45" formatCode="0.00">
                  <c:v>1.87</c:v>
                </c:pt>
                <c:pt idx="46" formatCode="0.00">
                  <c:v>1.87</c:v>
                </c:pt>
                <c:pt idx="47" formatCode="0.00">
                  <c:v>1.87</c:v>
                </c:pt>
                <c:pt idx="48" formatCode="0.00">
                  <c:v>1.87</c:v>
                </c:pt>
                <c:pt idx="49" formatCode="0.00">
                  <c:v>1.87</c:v>
                </c:pt>
                <c:pt idx="50" formatCode="0.00">
                  <c:v>1.87</c:v>
                </c:pt>
              </c:numCache>
            </c:numRef>
          </c:val>
          <c:smooth val="0"/>
          <c:extLst>
            <c:ext xmlns:c16="http://schemas.microsoft.com/office/drawing/2014/chart" uri="{C3380CC4-5D6E-409C-BE32-E72D297353CC}">
              <c16:uniqueId val="{00000002-7AB4-4716-869D-047CB04BE834}"/>
            </c:ext>
          </c:extLst>
        </c:ser>
        <c:ser>
          <c:idx val="3"/>
          <c:order val="3"/>
          <c:tx>
            <c:strRef>
              <c:f>FED!$N$7</c:f>
              <c:strCache>
                <c:ptCount val="1"/>
                <c:pt idx="0">
                  <c:v>30.9.2019.</c:v>
                </c:pt>
              </c:strCache>
            </c:strRef>
          </c:tx>
          <c:spPr>
            <a:ln w="25400" cap="rnd">
              <a:solidFill>
                <a:srgbClr val="51BBE7"/>
              </a:solidFill>
              <a:round/>
            </a:ln>
            <a:effectLst/>
          </c:spPr>
          <c:marker>
            <c:symbol val="none"/>
          </c:marker>
          <c:cat>
            <c:numRef>
              <c:f>FED!$O$9:$O$65</c:f>
              <c:numCache>
                <c:formatCode>yyyy</c:formatCode>
                <c:ptCount val="57"/>
                <c:pt idx="0">
                  <c:v>43101</c:v>
                </c:pt>
                <c:pt idx="1">
                  <c:v>43132</c:v>
                </c:pt>
                <c:pt idx="2">
                  <c:v>43160</c:v>
                </c:pt>
                <c:pt idx="3">
                  <c:v>43191</c:v>
                </c:pt>
                <c:pt idx="4">
                  <c:v>43221</c:v>
                </c:pt>
                <c:pt idx="5">
                  <c:v>43252</c:v>
                </c:pt>
                <c:pt idx="6">
                  <c:v>43282</c:v>
                </c:pt>
                <c:pt idx="7">
                  <c:v>43313</c:v>
                </c:pt>
                <c:pt idx="8">
                  <c:v>43344</c:v>
                </c:pt>
                <c:pt idx="9">
                  <c:v>43374</c:v>
                </c:pt>
                <c:pt idx="10">
                  <c:v>43405</c:v>
                </c:pt>
                <c:pt idx="11">
                  <c:v>43435</c:v>
                </c:pt>
                <c:pt idx="12">
                  <c:v>43466</c:v>
                </c:pt>
                <c:pt idx="13">
                  <c:v>43497</c:v>
                </c:pt>
                <c:pt idx="14">
                  <c:v>43525</c:v>
                </c:pt>
                <c:pt idx="15">
                  <c:v>43556</c:v>
                </c:pt>
                <c:pt idx="16">
                  <c:v>43586</c:v>
                </c:pt>
                <c:pt idx="17">
                  <c:v>43617</c:v>
                </c:pt>
                <c:pt idx="18">
                  <c:v>43647</c:v>
                </c:pt>
                <c:pt idx="19">
                  <c:v>43678</c:v>
                </c:pt>
                <c:pt idx="20">
                  <c:v>43709</c:v>
                </c:pt>
                <c:pt idx="21">
                  <c:v>43739</c:v>
                </c:pt>
                <c:pt idx="22">
                  <c:v>43770</c:v>
                </c:pt>
                <c:pt idx="23">
                  <c:v>43800</c:v>
                </c:pt>
                <c:pt idx="24">
                  <c:v>43831</c:v>
                </c:pt>
                <c:pt idx="25">
                  <c:v>43862</c:v>
                </c:pt>
                <c:pt idx="26">
                  <c:v>43891</c:v>
                </c:pt>
                <c:pt idx="27">
                  <c:v>43922</c:v>
                </c:pt>
                <c:pt idx="28">
                  <c:v>43952</c:v>
                </c:pt>
                <c:pt idx="29">
                  <c:v>43983</c:v>
                </c:pt>
                <c:pt idx="30">
                  <c:v>44013</c:v>
                </c:pt>
                <c:pt idx="31">
                  <c:v>44044</c:v>
                </c:pt>
                <c:pt idx="32">
                  <c:v>44075</c:v>
                </c:pt>
                <c:pt idx="33">
                  <c:v>44105</c:v>
                </c:pt>
                <c:pt idx="34">
                  <c:v>44136</c:v>
                </c:pt>
                <c:pt idx="35">
                  <c:v>44166</c:v>
                </c:pt>
                <c:pt idx="36">
                  <c:v>44197</c:v>
                </c:pt>
                <c:pt idx="37">
                  <c:v>44228</c:v>
                </c:pt>
                <c:pt idx="38">
                  <c:v>44256</c:v>
                </c:pt>
                <c:pt idx="39">
                  <c:v>44287</c:v>
                </c:pt>
                <c:pt idx="40">
                  <c:v>44317</c:v>
                </c:pt>
                <c:pt idx="41">
                  <c:v>44348</c:v>
                </c:pt>
                <c:pt idx="42">
                  <c:v>44378</c:v>
                </c:pt>
                <c:pt idx="43">
                  <c:v>44409</c:v>
                </c:pt>
                <c:pt idx="44">
                  <c:v>44440</c:v>
                </c:pt>
                <c:pt idx="45">
                  <c:v>44470</c:v>
                </c:pt>
                <c:pt idx="46">
                  <c:v>44501</c:v>
                </c:pt>
                <c:pt idx="47">
                  <c:v>44531</c:v>
                </c:pt>
                <c:pt idx="48">
                  <c:v>44562</c:v>
                </c:pt>
                <c:pt idx="49">
                  <c:v>44593</c:v>
                </c:pt>
                <c:pt idx="50">
                  <c:v>44621</c:v>
                </c:pt>
                <c:pt idx="51">
                  <c:v>44652</c:v>
                </c:pt>
                <c:pt idx="52">
                  <c:v>44682</c:v>
                </c:pt>
                <c:pt idx="53">
                  <c:v>44713</c:v>
                </c:pt>
                <c:pt idx="54">
                  <c:v>44743</c:v>
                </c:pt>
                <c:pt idx="55">
                  <c:v>44774</c:v>
                </c:pt>
                <c:pt idx="56">
                  <c:v>44805</c:v>
                </c:pt>
              </c:numCache>
            </c:numRef>
          </c:cat>
          <c:val>
            <c:numRef>
              <c:f>FED!$N$9:$N$65</c:f>
              <c:numCache>
                <c:formatCode>General</c:formatCode>
                <c:ptCount val="57"/>
                <c:pt idx="20" formatCode="0.00">
                  <c:v>1.85</c:v>
                </c:pt>
                <c:pt idx="21" formatCode="0.00">
                  <c:v>2.04</c:v>
                </c:pt>
                <c:pt idx="22" formatCode="0.00">
                  <c:v>1.85</c:v>
                </c:pt>
                <c:pt idx="23" formatCode="0.00">
                  <c:v>1.76</c:v>
                </c:pt>
                <c:pt idx="24" formatCode="0.00">
                  <c:v>1.68</c:v>
                </c:pt>
                <c:pt idx="25" formatCode="0.00">
                  <c:v>1.59</c:v>
                </c:pt>
                <c:pt idx="26" formatCode="0.00">
                  <c:v>1.51</c:v>
                </c:pt>
                <c:pt idx="27" formatCode="0.00">
                  <c:v>1.49</c:v>
                </c:pt>
                <c:pt idx="28" formatCode="0.00">
                  <c:v>1.44</c:v>
                </c:pt>
                <c:pt idx="29" formatCode="0.00">
                  <c:v>1.4</c:v>
                </c:pt>
                <c:pt idx="30" formatCode="0.00">
                  <c:v>1.37</c:v>
                </c:pt>
                <c:pt idx="31" formatCode="0.00">
                  <c:v>1.34</c:v>
                </c:pt>
                <c:pt idx="32" formatCode="0.00">
                  <c:v>1.31</c:v>
                </c:pt>
                <c:pt idx="33" formatCode="0.00">
                  <c:v>1.3</c:v>
                </c:pt>
                <c:pt idx="34" formatCode="0.00">
                  <c:v>1.27</c:v>
                </c:pt>
                <c:pt idx="35" formatCode="0.00">
                  <c:v>1.24</c:v>
                </c:pt>
                <c:pt idx="36" formatCode="0.00">
                  <c:v>1.22</c:v>
                </c:pt>
                <c:pt idx="37" formatCode="0.00">
                  <c:v>1.2</c:v>
                </c:pt>
                <c:pt idx="38" formatCode="0.00">
                  <c:v>1.17</c:v>
                </c:pt>
                <c:pt idx="39" formatCode="0.00">
                  <c:v>1.17</c:v>
                </c:pt>
                <c:pt idx="40" formatCode="0.00">
                  <c:v>1.17</c:v>
                </c:pt>
                <c:pt idx="41" formatCode="0.00">
                  <c:v>1.17</c:v>
                </c:pt>
                <c:pt idx="42" formatCode="0.00">
                  <c:v>1.18</c:v>
                </c:pt>
                <c:pt idx="43" formatCode="0.00">
                  <c:v>1.1499999999999999</c:v>
                </c:pt>
                <c:pt idx="44" formatCode="0.00">
                  <c:v>1.1499999999999999</c:v>
                </c:pt>
                <c:pt idx="45" formatCode="0.00">
                  <c:v>1.1599999999999999</c:v>
                </c:pt>
                <c:pt idx="46" formatCode="0.00">
                  <c:v>1.1499999999999999</c:v>
                </c:pt>
                <c:pt idx="47" formatCode="0.00">
                  <c:v>1.1499999999999999</c:v>
                </c:pt>
                <c:pt idx="48" formatCode="0.00">
                  <c:v>1.1499999999999999</c:v>
                </c:pt>
                <c:pt idx="49" formatCode="0.00">
                  <c:v>1.1499999999999999</c:v>
                </c:pt>
                <c:pt idx="50" formatCode="0.00">
                  <c:v>1.1499999999999999</c:v>
                </c:pt>
                <c:pt idx="51" formatCode="0.00">
                  <c:v>1.1499999999999999</c:v>
                </c:pt>
                <c:pt idx="52" formatCode="0.00">
                  <c:v>1.1499999999999999</c:v>
                </c:pt>
                <c:pt idx="53" formatCode="0.00">
                  <c:v>1.1499999999999999</c:v>
                </c:pt>
                <c:pt idx="54" formatCode="0.00">
                  <c:v>1.1499999999999999</c:v>
                </c:pt>
                <c:pt idx="55" formatCode="0.00">
                  <c:v>1.17</c:v>
                </c:pt>
                <c:pt idx="56">
                  <c:v>1.17</c:v>
                </c:pt>
              </c:numCache>
            </c:numRef>
          </c:val>
          <c:smooth val="0"/>
          <c:extLst>
            <c:ext xmlns:c16="http://schemas.microsoft.com/office/drawing/2014/chart" uri="{C3380CC4-5D6E-409C-BE32-E72D297353CC}">
              <c16:uniqueId val="{00000003-7AB4-4716-869D-047CB04BE834}"/>
            </c:ext>
          </c:extLst>
        </c:ser>
        <c:ser>
          <c:idx val="4"/>
          <c:order val="4"/>
          <c:spPr>
            <a:ln w="28575" cap="rnd">
              <a:solidFill>
                <a:schemeClr val="accent5"/>
              </a:solidFill>
              <a:round/>
            </a:ln>
            <a:effectLst/>
          </c:spPr>
          <c:marker>
            <c:symbol val="square"/>
            <c:size val="2"/>
            <c:spPr>
              <a:solidFill>
                <a:schemeClr val="bg1"/>
              </a:solidFill>
              <a:ln w="9525">
                <a:noFill/>
              </a:ln>
              <a:effectLst/>
            </c:spPr>
          </c:marker>
          <c:dLbls>
            <c:dLbl>
              <c:idx val="0"/>
              <c:layout>
                <c:manualLayout>
                  <c:x val="3.6318289567887935E-2"/>
                  <c:y val="3.554128102408251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7AB4-4716-869D-047CB04BE834}"/>
                </c:ext>
              </c:extLst>
            </c:dLbl>
            <c:dLbl>
              <c:idx val="12"/>
              <c:layout>
                <c:manualLayout>
                  <c:x val="3.6318289567887935E-2"/>
                  <c:y val="3.554128102408251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7AB4-4716-869D-047CB04BE834}"/>
                </c:ext>
              </c:extLst>
            </c:dLbl>
            <c:dLbl>
              <c:idx val="24"/>
              <c:layout>
                <c:manualLayout>
                  <c:x val="3.6318289567887935E-2"/>
                  <c:y val="3.554128102408251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7AB4-4716-869D-047CB04BE834}"/>
                </c:ext>
              </c:extLst>
            </c:dLbl>
            <c:dLbl>
              <c:idx val="36"/>
              <c:layout>
                <c:manualLayout>
                  <c:x val="4.0633318893390676E-2"/>
                  <c:y val="3.554128102408251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7-7AB4-4716-869D-047CB04BE834}"/>
                </c:ext>
              </c:extLst>
            </c:dLbl>
            <c:dLbl>
              <c:idx val="48"/>
              <c:layout>
                <c:manualLayout>
                  <c:x val="6.044390082307673E-3"/>
                  <c:y val="3.554128102408251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8-7AB4-4716-869D-047CB04BE834}"/>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FED!$O$9:$O$65</c:f>
              <c:numCache>
                <c:formatCode>yyyy</c:formatCode>
                <c:ptCount val="57"/>
                <c:pt idx="0">
                  <c:v>43101</c:v>
                </c:pt>
                <c:pt idx="1">
                  <c:v>43132</c:v>
                </c:pt>
                <c:pt idx="2">
                  <c:v>43160</c:v>
                </c:pt>
                <c:pt idx="3">
                  <c:v>43191</c:v>
                </c:pt>
                <c:pt idx="4">
                  <c:v>43221</c:v>
                </c:pt>
                <c:pt idx="5">
                  <c:v>43252</c:v>
                </c:pt>
                <c:pt idx="6">
                  <c:v>43282</c:v>
                </c:pt>
                <c:pt idx="7">
                  <c:v>43313</c:v>
                </c:pt>
                <c:pt idx="8">
                  <c:v>43344</c:v>
                </c:pt>
                <c:pt idx="9">
                  <c:v>43374</c:v>
                </c:pt>
                <c:pt idx="10">
                  <c:v>43405</c:v>
                </c:pt>
                <c:pt idx="11">
                  <c:v>43435</c:v>
                </c:pt>
                <c:pt idx="12">
                  <c:v>43466</c:v>
                </c:pt>
                <c:pt idx="13">
                  <c:v>43497</c:v>
                </c:pt>
                <c:pt idx="14">
                  <c:v>43525</c:v>
                </c:pt>
                <c:pt idx="15">
                  <c:v>43556</c:v>
                </c:pt>
                <c:pt idx="16">
                  <c:v>43586</c:v>
                </c:pt>
                <c:pt idx="17">
                  <c:v>43617</c:v>
                </c:pt>
                <c:pt idx="18">
                  <c:v>43647</c:v>
                </c:pt>
                <c:pt idx="19">
                  <c:v>43678</c:v>
                </c:pt>
                <c:pt idx="20">
                  <c:v>43709</c:v>
                </c:pt>
                <c:pt idx="21">
                  <c:v>43739</c:v>
                </c:pt>
                <c:pt idx="22">
                  <c:v>43770</c:v>
                </c:pt>
                <c:pt idx="23">
                  <c:v>43800</c:v>
                </c:pt>
                <c:pt idx="24">
                  <c:v>43831</c:v>
                </c:pt>
                <c:pt idx="25">
                  <c:v>43862</c:v>
                </c:pt>
                <c:pt idx="26">
                  <c:v>43891</c:v>
                </c:pt>
                <c:pt idx="27">
                  <c:v>43922</c:v>
                </c:pt>
                <c:pt idx="28">
                  <c:v>43952</c:v>
                </c:pt>
                <c:pt idx="29">
                  <c:v>43983</c:v>
                </c:pt>
                <c:pt idx="30">
                  <c:v>44013</c:v>
                </c:pt>
                <c:pt idx="31">
                  <c:v>44044</c:v>
                </c:pt>
                <c:pt idx="32">
                  <c:v>44075</c:v>
                </c:pt>
                <c:pt idx="33">
                  <c:v>44105</c:v>
                </c:pt>
                <c:pt idx="34">
                  <c:v>44136</c:v>
                </c:pt>
                <c:pt idx="35">
                  <c:v>44166</c:v>
                </c:pt>
                <c:pt idx="36">
                  <c:v>44197</c:v>
                </c:pt>
                <c:pt idx="37">
                  <c:v>44228</c:v>
                </c:pt>
                <c:pt idx="38">
                  <c:v>44256</c:v>
                </c:pt>
                <c:pt idx="39">
                  <c:v>44287</c:v>
                </c:pt>
                <c:pt idx="40">
                  <c:v>44317</c:v>
                </c:pt>
                <c:pt idx="41">
                  <c:v>44348</c:v>
                </c:pt>
                <c:pt idx="42">
                  <c:v>44378</c:v>
                </c:pt>
                <c:pt idx="43">
                  <c:v>44409</c:v>
                </c:pt>
                <c:pt idx="44">
                  <c:v>44440</c:v>
                </c:pt>
                <c:pt idx="45">
                  <c:v>44470</c:v>
                </c:pt>
                <c:pt idx="46">
                  <c:v>44501</c:v>
                </c:pt>
                <c:pt idx="47">
                  <c:v>44531</c:v>
                </c:pt>
                <c:pt idx="48">
                  <c:v>44562</c:v>
                </c:pt>
                <c:pt idx="49">
                  <c:v>44593</c:v>
                </c:pt>
                <c:pt idx="50">
                  <c:v>44621</c:v>
                </c:pt>
                <c:pt idx="51">
                  <c:v>44652</c:v>
                </c:pt>
                <c:pt idx="52">
                  <c:v>44682</c:v>
                </c:pt>
                <c:pt idx="53">
                  <c:v>44713</c:v>
                </c:pt>
                <c:pt idx="54">
                  <c:v>44743</c:v>
                </c:pt>
                <c:pt idx="55">
                  <c:v>44774</c:v>
                </c:pt>
                <c:pt idx="56">
                  <c:v>44805</c:v>
                </c:pt>
              </c:numCache>
            </c:numRef>
          </c:cat>
          <c:val>
            <c:numRef>
              <c:f>FED!$P$9:$P$65</c:f>
              <c:numCache>
                <c:formatCode>General</c:formatCode>
                <c:ptCount val="57"/>
                <c:pt idx="0">
                  <c:v>1</c:v>
                </c:pt>
                <c:pt idx="12">
                  <c:v>1</c:v>
                </c:pt>
                <c:pt idx="24">
                  <c:v>1</c:v>
                </c:pt>
                <c:pt idx="36">
                  <c:v>1</c:v>
                </c:pt>
                <c:pt idx="48">
                  <c:v>1</c:v>
                </c:pt>
              </c:numCache>
            </c:numRef>
          </c:val>
          <c:smooth val="0"/>
          <c:extLst>
            <c:ext xmlns:c16="http://schemas.microsoft.com/office/drawing/2014/chart" uri="{C3380CC4-5D6E-409C-BE32-E72D297353CC}">
              <c16:uniqueId val="{00000009-7AB4-4716-869D-047CB04BE834}"/>
            </c:ext>
          </c:extLst>
        </c:ser>
        <c:dLbls>
          <c:showLegendKey val="0"/>
          <c:showVal val="0"/>
          <c:showCatName val="0"/>
          <c:showSerName val="0"/>
          <c:showPercent val="0"/>
          <c:showBubbleSize val="0"/>
        </c:dLbls>
        <c:smooth val="0"/>
        <c:axId val="670525328"/>
        <c:axId val="670525888"/>
      </c:lineChart>
      <c:dateAx>
        <c:axId val="670525328"/>
        <c:scaling>
          <c:orientation val="minMax"/>
        </c:scaling>
        <c:delete val="0"/>
        <c:axPos val="b"/>
        <c:numFmt formatCode="\I\ yyyy" sourceLinked="0"/>
        <c:majorTickMark val="none"/>
        <c:minorTickMark val="none"/>
        <c:tickLblPos val="none"/>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670525888"/>
        <c:crosses val="autoZero"/>
        <c:auto val="1"/>
        <c:lblOffset val="100"/>
        <c:baseTimeUnit val="months"/>
        <c:majorUnit val="1"/>
        <c:majorTimeUnit val="years"/>
      </c:dateAx>
      <c:valAx>
        <c:axId val="670525888"/>
        <c:scaling>
          <c:orientation val="minMax"/>
          <c:max val="3.5"/>
          <c:min val="1"/>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670525328"/>
        <c:crosses val="autoZero"/>
        <c:crossBetween val="midCat"/>
        <c:majorUnit val="1"/>
      </c:valAx>
      <c:spPr>
        <a:noFill/>
        <a:ln>
          <a:noFill/>
        </a:ln>
        <a:effectLst/>
      </c:spPr>
    </c:plotArea>
    <c:legend>
      <c:legendPos val="b"/>
      <c:legendEntry>
        <c:idx val="4"/>
        <c:delete val="1"/>
      </c:legendEntry>
      <c:layout>
        <c:manualLayout>
          <c:xMode val="edge"/>
          <c:yMode val="edge"/>
          <c:x val="0.13425925925925927"/>
          <c:y val="0.85889777777777787"/>
          <c:w val="0.68518518518518512"/>
          <c:h val="0.13404666666666665"/>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en-US"/>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4.9052396878483832E-2"/>
          <c:y val="5.0925925925925923E-2"/>
          <c:w val="0.90189520624303232"/>
          <c:h val="0.79970014245014232"/>
        </c:manualLayout>
      </c:layout>
      <c:barChart>
        <c:barDir val="col"/>
        <c:grouping val="clustered"/>
        <c:varyColors val="0"/>
        <c:ser>
          <c:idx val="0"/>
          <c:order val="0"/>
          <c:tx>
            <c:strRef>
              <c:f>'Osn. makroekon. agregati'!$B$5</c:f>
              <c:strCache>
                <c:ptCount val="1"/>
                <c:pt idx="0">
                  <c:v>Реални раст БДП, %</c:v>
                </c:pt>
              </c:strCache>
            </c:strRef>
          </c:tx>
          <c:spPr>
            <a:solidFill>
              <a:srgbClr val="FF0000"/>
            </a:solidFill>
            <a:ln w="127000">
              <a:solidFill>
                <a:schemeClr val="bg1"/>
              </a:solidFill>
            </a:ln>
            <a:effectLst/>
          </c:spPr>
          <c:invertIfNegative val="0"/>
          <c:dPt>
            <c:idx val="0"/>
            <c:invertIfNegative val="0"/>
            <c:bubble3D val="0"/>
            <c:spPr>
              <a:solidFill>
                <a:srgbClr val="2A489A"/>
              </a:solidFill>
              <a:ln w="127000">
                <a:solidFill>
                  <a:schemeClr val="bg1"/>
                </a:solidFill>
              </a:ln>
              <a:effectLst/>
            </c:spPr>
            <c:extLst>
              <c:ext xmlns:c16="http://schemas.microsoft.com/office/drawing/2014/chart" uri="{C3380CC4-5D6E-409C-BE32-E72D297353CC}">
                <c16:uniqueId val="{00000001-7A93-4788-AF87-DC1FF18A4716}"/>
              </c:ext>
            </c:extLst>
          </c:dPt>
          <c:dPt>
            <c:idx val="1"/>
            <c:invertIfNegative val="0"/>
            <c:bubble3D val="0"/>
            <c:spPr>
              <a:solidFill>
                <a:srgbClr val="ED1C24"/>
              </a:solidFill>
              <a:ln w="127000">
                <a:solidFill>
                  <a:schemeClr val="bg1"/>
                </a:solidFill>
              </a:ln>
              <a:effectLst/>
            </c:spPr>
            <c:extLst>
              <c:ext xmlns:c16="http://schemas.microsoft.com/office/drawing/2014/chart" uri="{C3380CC4-5D6E-409C-BE32-E72D297353CC}">
                <c16:uniqueId val="{00000003-7A93-4788-AF87-DC1FF18A4716}"/>
              </c:ext>
            </c:extLst>
          </c:dPt>
          <c:dLbls>
            <c:dLbl>
              <c:idx val="0"/>
              <c:layout>
                <c:manualLayout>
                  <c:x val="0.18091168091168092"/>
                  <c:y val="6.3319088319088335E-2"/>
                </c:manualLayout>
              </c:layout>
              <c:tx>
                <c:rich>
                  <a:bodyPr rot="0" spcFirstLastPara="1" vertOverflow="ellipsis" vert="horz" wrap="square" lIns="38100" tIns="19050" rIns="38100" bIns="19050" anchor="ctr" anchorCtr="1">
                    <a:spAutoFit/>
                  </a:bodyPr>
                  <a:lstStyle/>
                  <a:p>
                    <a:pPr>
                      <a:defRPr sz="1000" b="1" i="0" u="none" strike="noStrike" kern="1200" baseline="0">
                        <a:solidFill>
                          <a:srgbClr val="2A489A"/>
                        </a:solidFill>
                        <a:latin typeface="+mn-lt"/>
                        <a:ea typeface="+mn-ea"/>
                        <a:cs typeface="+mn-cs"/>
                      </a:defRPr>
                    </a:pPr>
                    <a:r>
                      <a:rPr lang="en-US"/>
                      <a:t>3,5</a:t>
                    </a:r>
                  </a:p>
                </c:rich>
              </c:tx>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rgbClr val="2A489A"/>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7A93-4788-AF87-DC1FF18A4716}"/>
                </c:ext>
              </c:extLst>
            </c:dLbl>
            <c:dLbl>
              <c:idx val="1"/>
              <c:layout>
                <c:manualLayout>
                  <c:x val="-0.16282051282051282"/>
                  <c:y val="5.4273504273504275E-2"/>
                </c:manualLayout>
              </c:layout>
              <c:tx>
                <c:rich>
                  <a:bodyPr rot="0" spcFirstLastPara="1" vertOverflow="ellipsis" vert="horz" wrap="square" lIns="38100" tIns="19050" rIns="38100" bIns="19050" anchor="ctr" anchorCtr="1">
                    <a:spAutoFit/>
                  </a:bodyPr>
                  <a:lstStyle/>
                  <a:p>
                    <a:pPr>
                      <a:defRPr sz="1000" b="1" i="0" u="none" strike="noStrike" kern="1200" baseline="0">
                        <a:solidFill>
                          <a:srgbClr val="ED1C24"/>
                        </a:solidFill>
                        <a:latin typeface="+mn-lt"/>
                        <a:ea typeface="+mn-ea"/>
                        <a:cs typeface="+mn-cs"/>
                      </a:defRPr>
                    </a:pPr>
                    <a:r>
                      <a:rPr lang="en-US"/>
                      <a:t>3,5</a:t>
                    </a:r>
                  </a:p>
                </c:rich>
              </c:tx>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rgbClr val="ED1C24"/>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A93-4788-AF87-DC1FF18A4716}"/>
                </c:ext>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2"/>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agregati'!$C$5:$D$5</c:f>
              <c:numCache>
                <c:formatCode>0.0</c:formatCode>
                <c:ptCount val="2"/>
                <c:pt idx="0">
                  <c:v>3.5</c:v>
                </c:pt>
                <c:pt idx="1">
                  <c:v>3.5</c:v>
                </c:pt>
              </c:numCache>
            </c:numRef>
          </c:val>
          <c:extLst>
            <c:ext xmlns:c16="http://schemas.microsoft.com/office/drawing/2014/chart" uri="{C3380CC4-5D6E-409C-BE32-E72D297353CC}">
              <c16:uniqueId val="{00000004-7A93-4788-AF87-DC1FF18A4716}"/>
            </c:ext>
          </c:extLst>
        </c:ser>
        <c:dLbls>
          <c:showLegendKey val="0"/>
          <c:showVal val="0"/>
          <c:showCatName val="0"/>
          <c:showSerName val="0"/>
          <c:showPercent val="0"/>
          <c:showBubbleSize val="0"/>
        </c:dLbls>
        <c:gapWidth val="0"/>
        <c:overlap val="-27"/>
        <c:axId val="676074816"/>
        <c:axId val="676075376"/>
      </c:barChart>
      <c:catAx>
        <c:axId val="676074816"/>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2"/>
                    </a:solidFill>
                    <a:latin typeface="+mn-lt"/>
                    <a:ea typeface="+mn-ea"/>
                    <a:cs typeface="+mn-cs"/>
                  </a:defRPr>
                </a:pPr>
                <a:r>
                  <a:rPr lang="en-GB" sz="1000" b="1">
                    <a:solidFill>
                      <a:schemeClr val="tx2"/>
                    </a:solidFill>
                  </a:rPr>
                  <a:t>2019</a:t>
                </a:r>
              </a:p>
            </c:rich>
          </c:tx>
          <c:layout>
            <c:manualLayout>
              <c:xMode val="edge"/>
              <c:yMode val="edge"/>
              <c:x val="0.36470726495726496"/>
              <c:y val="0.85138105413105414"/>
            </c:manualLayout>
          </c:layout>
          <c:overlay val="0"/>
          <c:spPr>
            <a:noFill/>
            <a:ln>
              <a:noFill/>
            </a:ln>
            <a:effectLst/>
          </c:spPr>
          <c:txPr>
            <a:bodyPr rot="0" spcFirstLastPara="1" vertOverflow="ellipsis" vert="horz" wrap="square" anchor="ctr" anchorCtr="1"/>
            <a:lstStyle/>
            <a:p>
              <a:pPr>
                <a:defRPr sz="1000" b="1" i="0" u="none" strike="noStrike" kern="1200" baseline="0">
                  <a:solidFill>
                    <a:schemeClr val="tx2"/>
                  </a:solidFill>
                  <a:latin typeface="+mn-lt"/>
                  <a:ea typeface="+mn-ea"/>
                  <a:cs typeface="+mn-cs"/>
                </a:defRPr>
              </a:pPr>
              <a:endParaRPr lang="en-US"/>
            </a:p>
          </c:txPr>
        </c:title>
        <c:majorTickMark val="none"/>
        <c:minorTickMark val="none"/>
        <c:tickLblPos val="none"/>
        <c:spPr>
          <a:noFill/>
          <a:ln w="15875"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bg1"/>
                </a:solidFill>
                <a:latin typeface="+mn-lt"/>
                <a:ea typeface="+mn-ea"/>
                <a:cs typeface="+mn-cs"/>
              </a:defRPr>
            </a:pPr>
            <a:endParaRPr lang="en-US"/>
          </a:p>
        </c:txPr>
        <c:crossAx val="676075376"/>
        <c:crosses val="autoZero"/>
        <c:auto val="1"/>
        <c:lblAlgn val="ctr"/>
        <c:lblOffset val="100"/>
        <c:noMultiLvlLbl val="0"/>
      </c:catAx>
      <c:valAx>
        <c:axId val="676075376"/>
        <c:scaling>
          <c:orientation val="minMax"/>
          <c:max val="5"/>
          <c:min val="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crossAx val="676074816"/>
        <c:crosses val="autoZero"/>
        <c:crossBetween val="midCat"/>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chemeClr val="tx2"/>
          </a:solidFill>
        </a:defRPr>
      </a:pPr>
      <a:endParaRPr lang="en-US"/>
    </a:p>
  </c:txPr>
  <c:externalData r:id="rId4">
    <c:autoUpdate val="0"/>
  </c:externalData>
  <c:userShapes r:id="rId5"/>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4.9052396878483832E-2"/>
          <c:y val="5.0925925925925923E-2"/>
          <c:w val="0.90189520624303232"/>
          <c:h val="0.79970014245014232"/>
        </c:manualLayout>
      </c:layout>
      <c:barChart>
        <c:barDir val="col"/>
        <c:grouping val="clustered"/>
        <c:varyColors val="0"/>
        <c:ser>
          <c:idx val="0"/>
          <c:order val="0"/>
          <c:tx>
            <c:strRef>
              <c:f>'Osn. makroekon. agregati'!$B$5</c:f>
              <c:strCache>
                <c:ptCount val="1"/>
                <c:pt idx="0">
                  <c:v>Реални раст БДП, %</c:v>
                </c:pt>
              </c:strCache>
            </c:strRef>
          </c:tx>
          <c:spPr>
            <a:solidFill>
              <a:srgbClr val="FF0000"/>
            </a:solidFill>
            <a:ln w="127000">
              <a:solidFill>
                <a:schemeClr val="bg1"/>
              </a:solidFill>
            </a:ln>
            <a:effectLst/>
          </c:spPr>
          <c:invertIfNegative val="0"/>
          <c:dPt>
            <c:idx val="0"/>
            <c:invertIfNegative val="0"/>
            <c:bubble3D val="0"/>
            <c:spPr>
              <a:solidFill>
                <a:srgbClr val="2A489A"/>
              </a:solidFill>
              <a:ln w="127000">
                <a:solidFill>
                  <a:schemeClr val="bg1"/>
                </a:solidFill>
              </a:ln>
              <a:effectLst/>
            </c:spPr>
            <c:extLst>
              <c:ext xmlns:c16="http://schemas.microsoft.com/office/drawing/2014/chart" uri="{C3380CC4-5D6E-409C-BE32-E72D297353CC}">
                <c16:uniqueId val="{00000001-CAA7-403C-86BC-B00C9A9B837F}"/>
              </c:ext>
            </c:extLst>
          </c:dPt>
          <c:dPt>
            <c:idx val="1"/>
            <c:invertIfNegative val="0"/>
            <c:bubble3D val="0"/>
            <c:spPr>
              <a:solidFill>
                <a:srgbClr val="ED1C24"/>
              </a:solidFill>
              <a:ln w="127000">
                <a:solidFill>
                  <a:schemeClr val="bg1"/>
                </a:solidFill>
              </a:ln>
              <a:effectLst/>
            </c:spPr>
            <c:extLst>
              <c:ext xmlns:c16="http://schemas.microsoft.com/office/drawing/2014/chart" uri="{C3380CC4-5D6E-409C-BE32-E72D297353CC}">
                <c16:uniqueId val="{00000003-CAA7-403C-86BC-B00C9A9B837F}"/>
              </c:ext>
            </c:extLst>
          </c:dPt>
          <c:dLbls>
            <c:dLbl>
              <c:idx val="0"/>
              <c:layout>
                <c:manualLayout>
                  <c:x val="0.18091168091168092"/>
                  <c:y val="4.5227920227920229E-2"/>
                </c:manualLayout>
              </c:layout>
              <c:tx>
                <c:rich>
                  <a:bodyPr rot="0" spcFirstLastPara="1" vertOverflow="ellipsis" vert="horz" wrap="square" lIns="38100" tIns="19050" rIns="38100" bIns="19050" anchor="ctr" anchorCtr="1">
                    <a:spAutoFit/>
                  </a:bodyPr>
                  <a:lstStyle/>
                  <a:p>
                    <a:pPr>
                      <a:defRPr sz="1000" b="1" i="0" u="none" strike="noStrike" kern="1200" baseline="0">
                        <a:solidFill>
                          <a:srgbClr val="2A489A"/>
                        </a:solidFill>
                        <a:latin typeface="+mn-lt"/>
                        <a:ea typeface="+mn-ea"/>
                        <a:cs typeface="+mn-cs"/>
                      </a:defRPr>
                    </a:pPr>
                    <a:r>
                      <a:rPr lang="en-US"/>
                      <a:t>4,0</a:t>
                    </a:r>
                  </a:p>
                </c:rich>
              </c:tx>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rgbClr val="2A489A"/>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AA7-403C-86BC-B00C9A9B837F}"/>
                </c:ext>
              </c:extLst>
            </c:dLbl>
            <c:dLbl>
              <c:idx val="1"/>
              <c:layout>
                <c:manualLayout>
                  <c:x val="-0.17186609686609686"/>
                  <c:y val="4.5227920227920229E-2"/>
                </c:manualLayout>
              </c:layout>
              <c:tx>
                <c:rich>
                  <a:bodyPr rot="0" spcFirstLastPara="1" vertOverflow="ellipsis" vert="horz" wrap="square" lIns="38100" tIns="19050" rIns="38100" bIns="19050" anchor="ctr" anchorCtr="1">
                    <a:spAutoFit/>
                  </a:bodyPr>
                  <a:lstStyle/>
                  <a:p>
                    <a:pPr>
                      <a:defRPr sz="1000" b="1" i="0" u="none" strike="noStrike" kern="1200" baseline="0">
                        <a:solidFill>
                          <a:srgbClr val="ED1C24"/>
                        </a:solidFill>
                        <a:latin typeface="+mn-lt"/>
                        <a:ea typeface="+mn-ea"/>
                        <a:cs typeface="+mn-cs"/>
                      </a:defRPr>
                    </a:pPr>
                    <a:r>
                      <a:rPr lang="en-US"/>
                      <a:t>4,0</a:t>
                    </a:r>
                  </a:p>
                </c:rich>
              </c:tx>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rgbClr val="ED1C24"/>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AA7-403C-86BC-B00C9A9B837F}"/>
                </c:ext>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2"/>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agregati'!$E$5:$F$5</c:f>
              <c:numCache>
                <c:formatCode>0.0</c:formatCode>
                <c:ptCount val="2"/>
                <c:pt idx="0">
                  <c:v>4</c:v>
                </c:pt>
                <c:pt idx="1">
                  <c:v>4</c:v>
                </c:pt>
              </c:numCache>
            </c:numRef>
          </c:val>
          <c:extLst>
            <c:ext xmlns:c16="http://schemas.microsoft.com/office/drawing/2014/chart" uri="{C3380CC4-5D6E-409C-BE32-E72D297353CC}">
              <c16:uniqueId val="{00000004-CAA7-403C-86BC-B00C9A9B837F}"/>
            </c:ext>
          </c:extLst>
        </c:ser>
        <c:dLbls>
          <c:showLegendKey val="0"/>
          <c:showVal val="0"/>
          <c:showCatName val="0"/>
          <c:showSerName val="0"/>
          <c:showPercent val="0"/>
          <c:showBubbleSize val="0"/>
        </c:dLbls>
        <c:gapWidth val="0"/>
        <c:overlap val="-27"/>
        <c:axId val="676077616"/>
        <c:axId val="676078176"/>
      </c:barChart>
      <c:catAx>
        <c:axId val="676077616"/>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2"/>
                    </a:solidFill>
                    <a:latin typeface="+mn-lt"/>
                    <a:ea typeface="+mn-ea"/>
                    <a:cs typeface="+mn-cs"/>
                  </a:defRPr>
                </a:pPr>
                <a:r>
                  <a:rPr lang="en-GB">
                    <a:solidFill>
                      <a:schemeClr val="tx2"/>
                    </a:solidFill>
                  </a:rPr>
                  <a:t>2020</a:t>
                </a:r>
              </a:p>
            </c:rich>
          </c:tx>
          <c:layout>
            <c:manualLayout>
              <c:xMode val="edge"/>
              <c:yMode val="edge"/>
              <c:x val="0.36470726495726496"/>
              <c:y val="0.85138105413105414"/>
            </c:manualLayout>
          </c:layout>
          <c:overlay val="0"/>
          <c:spPr>
            <a:noFill/>
            <a:ln>
              <a:noFill/>
            </a:ln>
            <a:effectLst/>
          </c:spPr>
          <c:txPr>
            <a:bodyPr rot="0" spcFirstLastPara="1" vertOverflow="ellipsis" vert="horz" wrap="square" anchor="ctr" anchorCtr="1"/>
            <a:lstStyle/>
            <a:p>
              <a:pPr>
                <a:defRPr sz="1000" b="1" i="0" u="none" strike="noStrike" kern="1200" baseline="0">
                  <a:solidFill>
                    <a:schemeClr val="tx2"/>
                  </a:solidFill>
                  <a:latin typeface="+mn-lt"/>
                  <a:ea typeface="+mn-ea"/>
                  <a:cs typeface="+mn-cs"/>
                </a:defRPr>
              </a:pPr>
              <a:endParaRPr lang="en-US"/>
            </a:p>
          </c:txPr>
        </c:title>
        <c:majorTickMark val="none"/>
        <c:minorTickMark val="none"/>
        <c:tickLblPos val="none"/>
        <c:spPr>
          <a:noFill/>
          <a:ln w="15875"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bg1"/>
                </a:solidFill>
                <a:latin typeface="+mn-lt"/>
                <a:ea typeface="+mn-ea"/>
                <a:cs typeface="+mn-cs"/>
              </a:defRPr>
            </a:pPr>
            <a:endParaRPr lang="en-US"/>
          </a:p>
        </c:txPr>
        <c:crossAx val="676078176"/>
        <c:crosses val="autoZero"/>
        <c:auto val="1"/>
        <c:lblAlgn val="ctr"/>
        <c:lblOffset val="100"/>
        <c:noMultiLvlLbl val="0"/>
      </c:catAx>
      <c:valAx>
        <c:axId val="676078176"/>
        <c:scaling>
          <c:orientation val="minMax"/>
          <c:max val="4.5"/>
          <c:min val="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crossAx val="676077616"/>
        <c:crosses val="autoZero"/>
        <c:crossBetween val="midCat"/>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chemeClr val="tx2"/>
          </a:solidFill>
        </a:defRPr>
      </a:pPr>
      <a:endParaRPr lang="en-US"/>
    </a:p>
  </c:txPr>
  <c:externalData r:id="rId4">
    <c:autoUpdate val="0"/>
  </c:externalData>
  <c:userShapes r:id="rId5"/>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4.9052706552706556E-2"/>
          <c:y val="0.16851851851851851"/>
          <c:w val="0.90189520624303232"/>
          <c:h val="0.79970014245014232"/>
        </c:manualLayout>
      </c:layout>
      <c:barChart>
        <c:barDir val="col"/>
        <c:grouping val="clustered"/>
        <c:varyColors val="0"/>
        <c:ser>
          <c:idx val="0"/>
          <c:order val="0"/>
          <c:tx>
            <c:strRef>
              <c:f>'Osn. makroekon. agregati'!$B$7</c:f>
              <c:strCache>
                <c:ptCount val="1"/>
                <c:pt idx="0">
                  <c:v>Дефицит текућег рачуна, % БДП</c:v>
                </c:pt>
              </c:strCache>
            </c:strRef>
          </c:tx>
          <c:spPr>
            <a:solidFill>
              <a:srgbClr val="FF0000"/>
            </a:solidFill>
            <a:ln w="127000">
              <a:solidFill>
                <a:schemeClr val="bg1"/>
              </a:solidFill>
            </a:ln>
            <a:effectLst/>
          </c:spPr>
          <c:invertIfNegative val="0"/>
          <c:dPt>
            <c:idx val="0"/>
            <c:invertIfNegative val="0"/>
            <c:bubble3D val="0"/>
            <c:spPr>
              <a:solidFill>
                <a:srgbClr val="2A489A"/>
              </a:solidFill>
              <a:ln w="127000">
                <a:solidFill>
                  <a:schemeClr val="bg1"/>
                </a:solidFill>
              </a:ln>
              <a:effectLst/>
            </c:spPr>
            <c:extLst>
              <c:ext xmlns:c16="http://schemas.microsoft.com/office/drawing/2014/chart" uri="{C3380CC4-5D6E-409C-BE32-E72D297353CC}">
                <c16:uniqueId val="{00000001-7129-434B-861C-8B1F40B228B6}"/>
              </c:ext>
            </c:extLst>
          </c:dPt>
          <c:dPt>
            <c:idx val="1"/>
            <c:invertIfNegative val="0"/>
            <c:bubble3D val="0"/>
            <c:spPr>
              <a:solidFill>
                <a:srgbClr val="ED1C24"/>
              </a:solidFill>
              <a:ln w="127000">
                <a:solidFill>
                  <a:schemeClr val="bg1"/>
                </a:solidFill>
              </a:ln>
              <a:effectLst/>
            </c:spPr>
            <c:extLst>
              <c:ext xmlns:c16="http://schemas.microsoft.com/office/drawing/2014/chart" uri="{C3380CC4-5D6E-409C-BE32-E72D297353CC}">
                <c16:uniqueId val="{00000003-7129-434B-861C-8B1F40B228B6}"/>
              </c:ext>
            </c:extLst>
          </c:dPt>
          <c:dLbls>
            <c:dLbl>
              <c:idx val="0"/>
              <c:layout>
                <c:manualLayout>
                  <c:x val="8.7504834427885342E-2"/>
                  <c:y val="5.8801198018497348E-2"/>
                </c:manualLayout>
              </c:layout>
              <c:tx>
                <c:rich>
                  <a:bodyPr rot="0" spcFirstLastPara="1" vertOverflow="ellipsis" vert="horz" wrap="square" lIns="38100" tIns="19050" rIns="38100" bIns="19050" anchor="ctr" anchorCtr="1">
                    <a:noAutofit/>
                  </a:bodyPr>
                  <a:lstStyle/>
                  <a:p>
                    <a:pPr>
                      <a:defRPr sz="1000" b="1" i="0" u="none" strike="noStrike" kern="1200" baseline="0">
                        <a:solidFill>
                          <a:srgbClr val="2A489A"/>
                        </a:solidFill>
                        <a:latin typeface="+mn-lt"/>
                        <a:ea typeface="+mn-ea"/>
                        <a:cs typeface="+mn-cs"/>
                      </a:defRPr>
                    </a:pPr>
                    <a:r>
                      <a:rPr lang="en-US"/>
                      <a:t>-5,1</a:t>
                    </a:r>
                  </a:p>
                </c:rich>
              </c:tx>
              <c:spPr>
                <a:noFill/>
                <a:ln>
                  <a:noFill/>
                </a:ln>
                <a:effectLst/>
              </c:spPr>
              <c:txPr>
                <a:bodyPr rot="0" spcFirstLastPara="1" vertOverflow="ellipsis" vert="horz" wrap="square" lIns="38100" tIns="19050" rIns="38100" bIns="19050" anchor="ctr" anchorCtr="1">
                  <a:noAutofit/>
                </a:bodyPr>
                <a:lstStyle/>
                <a:p>
                  <a:pPr>
                    <a:defRPr sz="1000" b="1" i="0" u="none" strike="noStrike" kern="1200" baseline="0">
                      <a:solidFill>
                        <a:srgbClr val="2A489A"/>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15:layout>
                    <c:manualLayout>
                      <c:w val="0.31292322365283737"/>
                      <c:h val="0.14843962008141112"/>
                    </c:manualLayout>
                  </c15:layout>
                </c:ext>
                <c:ext xmlns:c16="http://schemas.microsoft.com/office/drawing/2014/chart" uri="{C3380CC4-5D6E-409C-BE32-E72D297353CC}">
                  <c16:uniqueId val="{00000001-7129-434B-861C-8B1F40B228B6}"/>
                </c:ext>
              </c:extLst>
            </c:dLbl>
            <c:dLbl>
              <c:idx val="1"/>
              <c:layout>
                <c:manualLayout>
                  <c:x val="-0.10987274659337103"/>
                  <c:y val="0"/>
                </c:manualLayout>
              </c:layout>
              <c:tx>
                <c:rich>
                  <a:bodyPr rot="0" spcFirstLastPara="1" vertOverflow="ellipsis" vert="horz" wrap="square" lIns="38100" tIns="19050" rIns="38100" bIns="19050" anchor="ctr" anchorCtr="1">
                    <a:noAutofit/>
                  </a:bodyPr>
                  <a:lstStyle/>
                  <a:p>
                    <a:pPr>
                      <a:defRPr sz="1000" b="1" i="0" u="none" strike="noStrike" kern="1200" baseline="0">
                        <a:solidFill>
                          <a:srgbClr val="ED1C24"/>
                        </a:solidFill>
                        <a:latin typeface="+mn-lt"/>
                        <a:ea typeface="+mn-ea"/>
                        <a:cs typeface="+mn-cs"/>
                      </a:defRPr>
                    </a:pPr>
                    <a:r>
                      <a:rPr lang="en-US"/>
                      <a:t>-5,9</a:t>
                    </a:r>
                  </a:p>
                </c:rich>
              </c:tx>
              <c:spPr>
                <a:noFill/>
                <a:ln>
                  <a:noFill/>
                </a:ln>
                <a:effectLst/>
              </c:spPr>
              <c:txPr>
                <a:bodyPr rot="0" spcFirstLastPara="1" vertOverflow="ellipsis" vert="horz" wrap="square" lIns="38100" tIns="19050" rIns="38100" bIns="19050" anchor="ctr" anchorCtr="1">
                  <a:noAutofit/>
                </a:bodyPr>
                <a:lstStyle/>
                <a:p>
                  <a:pPr>
                    <a:defRPr sz="1000" b="1" i="0" u="none" strike="noStrike" kern="1200" baseline="0">
                      <a:solidFill>
                        <a:srgbClr val="ED1C24"/>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15:layout>
                    <c:manualLayout>
                      <c:w val="0.2843109203624225"/>
                      <c:h val="0.15748530076888287"/>
                    </c:manualLayout>
                  </c15:layout>
                </c:ext>
                <c:ext xmlns:c16="http://schemas.microsoft.com/office/drawing/2014/chart" uri="{C3380CC4-5D6E-409C-BE32-E72D297353CC}">
                  <c16:uniqueId val="{00000003-7129-434B-861C-8B1F40B228B6}"/>
                </c:ext>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2"/>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'Osn. makroekon. agregati'!$C$7:$D$7</c:f>
              <c:numCache>
                <c:formatCode>0.0</c:formatCode>
                <c:ptCount val="2"/>
                <c:pt idx="0" formatCode="General">
                  <c:v>-5.0999999999999996</c:v>
                </c:pt>
                <c:pt idx="1">
                  <c:v>-5.9</c:v>
                </c:pt>
              </c:numCache>
            </c:numRef>
          </c:val>
          <c:extLst>
            <c:ext xmlns:c16="http://schemas.microsoft.com/office/drawing/2014/chart" uri="{C3380CC4-5D6E-409C-BE32-E72D297353CC}">
              <c16:uniqueId val="{00000004-7129-434B-861C-8B1F40B228B6}"/>
            </c:ext>
          </c:extLst>
        </c:ser>
        <c:dLbls>
          <c:showLegendKey val="0"/>
          <c:showVal val="0"/>
          <c:showCatName val="0"/>
          <c:showSerName val="0"/>
          <c:showPercent val="0"/>
          <c:showBubbleSize val="0"/>
        </c:dLbls>
        <c:gapWidth val="0"/>
        <c:overlap val="-27"/>
        <c:axId val="676080416"/>
        <c:axId val="676080976"/>
      </c:barChart>
      <c:catAx>
        <c:axId val="676080416"/>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2"/>
                    </a:solidFill>
                    <a:latin typeface="+mn-lt"/>
                    <a:ea typeface="+mn-ea"/>
                    <a:cs typeface="+mn-cs"/>
                  </a:defRPr>
                </a:pPr>
                <a:r>
                  <a:rPr lang="sr-Cyrl-RS" sz="1000">
                    <a:solidFill>
                      <a:schemeClr val="tx2"/>
                    </a:solidFill>
                  </a:rPr>
                  <a:t>201</a:t>
                </a:r>
                <a:r>
                  <a:rPr lang="en-GB" sz="1000">
                    <a:solidFill>
                      <a:schemeClr val="tx2"/>
                    </a:solidFill>
                  </a:rPr>
                  <a:t>9</a:t>
                </a:r>
              </a:p>
            </c:rich>
          </c:tx>
          <c:layout>
            <c:manualLayout>
              <c:xMode val="edge"/>
              <c:yMode val="edge"/>
              <c:x val="0.38279843304843303"/>
              <c:y val="1.0141737891737891E-2"/>
            </c:manualLayout>
          </c:layout>
          <c:overlay val="0"/>
          <c:spPr>
            <a:noFill/>
            <a:ln>
              <a:noFill/>
            </a:ln>
            <a:effectLst/>
          </c:spPr>
          <c:txPr>
            <a:bodyPr rot="0" spcFirstLastPara="1" vertOverflow="ellipsis" vert="horz" wrap="square" anchor="ctr" anchorCtr="1"/>
            <a:lstStyle/>
            <a:p>
              <a:pPr>
                <a:defRPr sz="1000" b="1" i="0" u="none" strike="noStrike" kern="1200" baseline="0">
                  <a:solidFill>
                    <a:schemeClr val="tx2"/>
                  </a:solidFill>
                  <a:latin typeface="+mn-lt"/>
                  <a:ea typeface="+mn-ea"/>
                  <a:cs typeface="+mn-cs"/>
                </a:defRPr>
              </a:pPr>
              <a:endParaRPr lang="en-US"/>
            </a:p>
          </c:txPr>
        </c:title>
        <c:majorTickMark val="none"/>
        <c:minorTickMark val="none"/>
        <c:tickLblPos val="none"/>
        <c:spPr>
          <a:noFill/>
          <a:ln w="15875"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bg1"/>
                </a:solidFill>
                <a:latin typeface="+mn-lt"/>
                <a:ea typeface="+mn-ea"/>
                <a:cs typeface="+mn-cs"/>
              </a:defRPr>
            </a:pPr>
            <a:endParaRPr lang="en-US"/>
          </a:p>
        </c:txPr>
        <c:crossAx val="676080976"/>
        <c:crosses val="autoZero"/>
        <c:auto val="1"/>
        <c:lblAlgn val="ctr"/>
        <c:lblOffset val="100"/>
        <c:noMultiLvlLbl val="0"/>
      </c:catAx>
      <c:valAx>
        <c:axId val="676080976"/>
        <c:scaling>
          <c:orientation val="minMax"/>
          <c:max val="0"/>
          <c:min val="-6.5"/>
        </c:scaling>
        <c:delete val="0"/>
        <c:axPos val="l"/>
        <c:numFmt formatCode="General"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crossAx val="676080416"/>
        <c:crosses val="autoZero"/>
        <c:crossBetween val="midCat"/>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chemeClr val="tx2"/>
          </a:solidFill>
        </a:defRPr>
      </a:pPr>
      <a:endParaRPr lang="en-US"/>
    </a:p>
  </c:txPr>
  <c:externalData r:id="rId4">
    <c:autoUpdate val="0"/>
  </c:externalData>
  <c:userShapes r:id="rId5"/>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4.9052706552706556E-2"/>
          <c:y val="0.16851851851851851"/>
          <c:w val="0.90189520624303232"/>
          <c:h val="0.79970014245014232"/>
        </c:manualLayout>
      </c:layout>
      <c:barChart>
        <c:barDir val="col"/>
        <c:grouping val="clustered"/>
        <c:varyColors val="0"/>
        <c:ser>
          <c:idx val="0"/>
          <c:order val="0"/>
          <c:tx>
            <c:strRef>
              <c:f>'Osn. makroekon. agregati'!$B$7</c:f>
              <c:strCache>
                <c:ptCount val="1"/>
                <c:pt idx="0">
                  <c:v>Дефицит текућег рачуна, % БДП</c:v>
                </c:pt>
              </c:strCache>
            </c:strRef>
          </c:tx>
          <c:spPr>
            <a:solidFill>
              <a:srgbClr val="FF0000"/>
            </a:solidFill>
            <a:ln w="127000">
              <a:solidFill>
                <a:schemeClr val="bg1"/>
              </a:solidFill>
            </a:ln>
            <a:effectLst/>
          </c:spPr>
          <c:invertIfNegative val="0"/>
          <c:dPt>
            <c:idx val="0"/>
            <c:invertIfNegative val="0"/>
            <c:bubble3D val="0"/>
            <c:spPr>
              <a:solidFill>
                <a:srgbClr val="2A489A"/>
              </a:solidFill>
              <a:ln w="127000">
                <a:solidFill>
                  <a:schemeClr val="bg1"/>
                </a:solidFill>
              </a:ln>
              <a:effectLst/>
            </c:spPr>
            <c:extLst>
              <c:ext xmlns:c16="http://schemas.microsoft.com/office/drawing/2014/chart" uri="{C3380CC4-5D6E-409C-BE32-E72D297353CC}">
                <c16:uniqueId val="{00000001-777E-4E4B-B1C1-B52CFEDE78AD}"/>
              </c:ext>
            </c:extLst>
          </c:dPt>
          <c:dPt>
            <c:idx val="1"/>
            <c:invertIfNegative val="0"/>
            <c:bubble3D val="0"/>
            <c:spPr>
              <a:solidFill>
                <a:srgbClr val="ED1C24"/>
              </a:solidFill>
              <a:ln w="127000">
                <a:solidFill>
                  <a:schemeClr val="bg1"/>
                </a:solidFill>
              </a:ln>
              <a:effectLst/>
            </c:spPr>
            <c:extLst>
              <c:ext xmlns:c16="http://schemas.microsoft.com/office/drawing/2014/chart" uri="{C3380CC4-5D6E-409C-BE32-E72D297353CC}">
                <c16:uniqueId val="{00000003-777E-4E4B-B1C1-B52CFEDE78AD}"/>
              </c:ext>
            </c:extLst>
          </c:dPt>
          <c:dLbls>
            <c:dLbl>
              <c:idx val="0"/>
              <c:layout>
                <c:manualLayout>
                  <c:x val="9.704189336847914E-2"/>
                  <c:y val="5.8799773501853732E-2"/>
                </c:manualLayout>
              </c:layout>
              <c:tx>
                <c:rich>
                  <a:bodyPr rot="0" spcFirstLastPara="1" vertOverflow="ellipsis" vert="horz" wrap="square" lIns="38100" tIns="19050" rIns="38100" bIns="19050" anchor="ctr" anchorCtr="1">
                    <a:noAutofit/>
                  </a:bodyPr>
                  <a:lstStyle/>
                  <a:p>
                    <a:pPr>
                      <a:defRPr sz="1000" b="1" i="0" u="none" strike="noStrike" kern="1200" baseline="0">
                        <a:solidFill>
                          <a:srgbClr val="2A489A"/>
                        </a:solidFill>
                        <a:latin typeface="+mn-lt"/>
                        <a:ea typeface="+mn-ea"/>
                        <a:cs typeface="+mn-cs"/>
                      </a:defRPr>
                    </a:pPr>
                    <a:r>
                      <a:rPr lang="en-US"/>
                      <a:t>-4,7</a:t>
                    </a:r>
                  </a:p>
                </c:rich>
              </c:tx>
              <c:spPr>
                <a:noFill/>
                <a:ln>
                  <a:noFill/>
                </a:ln>
                <a:effectLst/>
              </c:spPr>
              <c:txPr>
                <a:bodyPr rot="0" spcFirstLastPara="1" vertOverflow="ellipsis" vert="horz" wrap="square" lIns="38100" tIns="19050" rIns="38100" bIns="19050" anchor="ctr" anchorCtr="1">
                  <a:noAutofit/>
                </a:bodyPr>
                <a:lstStyle/>
                <a:p>
                  <a:pPr>
                    <a:defRPr sz="1000" b="1" i="0" u="none" strike="noStrike" kern="1200" baseline="0">
                      <a:solidFill>
                        <a:srgbClr val="2A489A"/>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15:layout>
                    <c:manualLayout>
                      <c:w val="0.31206485455412492"/>
                      <c:h val="0.16653098145635459"/>
                    </c:manualLayout>
                  </c15:layout>
                </c:ext>
                <c:ext xmlns:c16="http://schemas.microsoft.com/office/drawing/2014/chart" uri="{C3380CC4-5D6E-409C-BE32-E72D297353CC}">
                  <c16:uniqueId val="{00000001-777E-4E4B-B1C1-B52CFEDE78AD}"/>
                </c:ext>
              </c:extLst>
            </c:dLbl>
            <c:dLbl>
              <c:idx val="1"/>
              <c:layout>
                <c:manualLayout>
                  <c:x val="-8.6028785028480881E-2"/>
                  <c:y val="5.8804759310106591E-2"/>
                </c:manualLayout>
              </c:layout>
              <c:tx>
                <c:rich>
                  <a:bodyPr rot="0" spcFirstLastPara="1" vertOverflow="ellipsis" vert="horz" wrap="square" lIns="38100" tIns="19050" rIns="38100" bIns="19050" anchor="ctr" anchorCtr="1">
                    <a:noAutofit/>
                  </a:bodyPr>
                  <a:lstStyle/>
                  <a:p>
                    <a:pPr>
                      <a:defRPr sz="1000" b="1" i="0" u="none" strike="noStrike" kern="1200" baseline="0">
                        <a:solidFill>
                          <a:srgbClr val="ED1C24"/>
                        </a:solidFill>
                        <a:latin typeface="+mn-lt"/>
                        <a:ea typeface="+mn-ea"/>
                        <a:cs typeface="+mn-cs"/>
                      </a:defRPr>
                    </a:pPr>
                    <a:r>
                      <a:rPr lang="en-US"/>
                      <a:t>-5,3</a:t>
                    </a:r>
                  </a:p>
                </c:rich>
              </c:tx>
              <c:spPr>
                <a:noFill/>
                <a:ln>
                  <a:noFill/>
                </a:ln>
                <a:effectLst/>
              </c:spPr>
              <c:txPr>
                <a:bodyPr rot="0" spcFirstLastPara="1" vertOverflow="ellipsis" vert="horz" wrap="square" lIns="38100" tIns="19050" rIns="38100" bIns="19050" anchor="ctr" anchorCtr="1">
                  <a:noAutofit/>
                </a:bodyPr>
                <a:lstStyle/>
                <a:p>
                  <a:pPr>
                    <a:defRPr sz="1000" b="1" i="0" u="none" strike="noStrike" kern="1200" baseline="0">
                      <a:solidFill>
                        <a:srgbClr val="ED1C24"/>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15:layout>
                    <c:manualLayout>
                      <c:w val="0.33199809251311391"/>
                      <c:h val="0.14843962008141112"/>
                    </c:manualLayout>
                  </c15:layout>
                </c:ext>
                <c:ext xmlns:c16="http://schemas.microsoft.com/office/drawing/2014/chart" uri="{C3380CC4-5D6E-409C-BE32-E72D297353CC}">
                  <c16:uniqueId val="{00000003-777E-4E4B-B1C1-B52CFEDE78AD}"/>
                </c:ext>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2"/>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'Osn. makroekon. agregati'!$E$7:$F$7</c:f>
              <c:numCache>
                <c:formatCode>0.0</c:formatCode>
                <c:ptCount val="2"/>
                <c:pt idx="0">
                  <c:v>-4.7</c:v>
                </c:pt>
                <c:pt idx="1">
                  <c:v>-5.3</c:v>
                </c:pt>
              </c:numCache>
            </c:numRef>
          </c:val>
          <c:extLst>
            <c:ext xmlns:c16="http://schemas.microsoft.com/office/drawing/2014/chart" uri="{C3380CC4-5D6E-409C-BE32-E72D297353CC}">
              <c16:uniqueId val="{00000004-777E-4E4B-B1C1-B52CFEDE78AD}"/>
            </c:ext>
          </c:extLst>
        </c:ser>
        <c:dLbls>
          <c:showLegendKey val="0"/>
          <c:showVal val="0"/>
          <c:showCatName val="0"/>
          <c:showSerName val="0"/>
          <c:showPercent val="0"/>
          <c:showBubbleSize val="0"/>
        </c:dLbls>
        <c:gapWidth val="0"/>
        <c:overlap val="-27"/>
        <c:axId val="676083216"/>
        <c:axId val="676083776"/>
      </c:barChart>
      <c:catAx>
        <c:axId val="676083216"/>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2"/>
                    </a:solidFill>
                    <a:latin typeface="+mn-lt"/>
                    <a:ea typeface="+mn-ea"/>
                    <a:cs typeface="+mn-cs"/>
                  </a:defRPr>
                </a:pPr>
                <a:r>
                  <a:rPr lang="en-GB">
                    <a:solidFill>
                      <a:schemeClr val="tx2"/>
                    </a:solidFill>
                  </a:rPr>
                  <a:t>2020</a:t>
                </a:r>
              </a:p>
            </c:rich>
          </c:tx>
          <c:layout>
            <c:manualLayout>
              <c:xMode val="edge"/>
              <c:yMode val="edge"/>
              <c:x val="0.38279843304843303"/>
              <c:y val="1.0141737891737891E-2"/>
            </c:manualLayout>
          </c:layout>
          <c:overlay val="0"/>
          <c:spPr>
            <a:noFill/>
            <a:ln>
              <a:noFill/>
            </a:ln>
            <a:effectLst/>
          </c:spPr>
          <c:txPr>
            <a:bodyPr rot="0" spcFirstLastPara="1" vertOverflow="ellipsis" vert="horz" wrap="square" anchor="ctr" anchorCtr="1"/>
            <a:lstStyle/>
            <a:p>
              <a:pPr>
                <a:defRPr sz="1000" b="1" i="0" u="none" strike="noStrike" kern="1200" baseline="0">
                  <a:solidFill>
                    <a:schemeClr val="tx2"/>
                  </a:solidFill>
                  <a:latin typeface="+mn-lt"/>
                  <a:ea typeface="+mn-ea"/>
                  <a:cs typeface="+mn-cs"/>
                </a:defRPr>
              </a:pPr>
              <a:endParaRPr lang="en-US"/>
            </a:p>
          </c:txPr>
        </c:title>
        <c:majorTickMark val="none"/>
        <c:minorTickMark val="none"/>
        <c:tickLblPos val="none"/>
        <c:spPr>
          <a:noFill/>
          <a:ln w="15875"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bg1"/>
                </a:solidFill>
                <a:latin typeface="+mn-lt"/>
                <a:ea typeface="+mn-ea"/>
                <a:cs typeface="+mn-cs"/>
              </a:defRPr>
            </a:pPr>
            <a:endParaRPr lang="en-US"/>
          </a:p>
        </c:txPr>
        <c:crossAx val="676083776"/>
        <c:crosses val="autoZero"/>
        <c:auto val="1"/>
        <c:lblAlgn val="ctr"/>
        <c:lblOffset val="100"/>
        <c:noMultiLvlLbl val="0"/>
      </c:catAx>
      <c:valAx>
        <c:axId val="676083776"/>
        <c:scaling>
          <c:orientation val="minMax"/>
          <c:max val="0"/>
          <c:min val="-6.5"/>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crossAx val="676083216"/>
        <c:crosses val="autoZero"/>
        <c:crossBetween val="midCat"/>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chemeClr val="tx2"/>
          </a:solidFill>
        </a:defRPr>
      </a:pPr>
      <a:endParaRPr lang="en-US"/>
    </a:p>
  </c:txPr>
  <c:externalData r:id="rId4">
    <c:autoUpdate val="0"/>
  </c:externalData>
  <c:userShapes r:id="rId5"/>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4.9052396878483832E-2"/>
          <c:y val="5.0925925925925923E-2"/>
          <c:w val="0.90189520624303232"/>
          <c:h val="0.79970014245014232"/>
        </c:manualLayout>
      </c:layout>
      <c:barChart>
        <c:barDir val="col"/>
        <c:grouping val="clustered"/>
        <c:varyColors val="0"/>
        <c:ser>
          <c:idx val="0"/>
          <c:order val="0"/>
          <c:tx>
            <c:strRef>
              <c:f>'Osn. makroekon. agregati'!$B$8</c:f>
              <c:strCache>
                <c:ptCount val="1"/>
                <c:pt idx="0">
                  <c:v>Инфлација, %</c:v>
                </c:pt>
              </c:strCache>
            </c:strRef>
          </c:tx>
          <c:spPr>
            <a:solidFill>
              <a:srgbClr val="FF0000"/>
            </a:solidFill>
            <a:ln w="127000">
              <a:solidFill>
                <a:schemeClr val="bg1"/>
              </a:solidFill>
            </a:ln>
            <a:effectLst/>
          </c:spPr>
          <c:invertIfNegative val="0"/>
          <c:dPt>
            <c:idx val="0"/>
            <c:invertIfNegative val="0"/>
            <c:bubble3D val="0"/>
            <c:spPr>
              <a:solidFill>
                <a:srgbClr val="2A489A"/>
              </a:solidFill>
              <a:ln w="127000">
                <a:solidFill>
                  <a:schemeClr val="bg1"/>
                </a:solidFill>
              </a:ln>
              <a:effectLst/>
            </c:spPr>
            <c:extLst>
              <c:ext xmlns:c16="http://schemas.microsoft.com/office/drawing/2014/chart" uri="{C3380CC4-5D6E-409C-BE32-E72D297353CC}">
                <c16:uniqueId val="{00000001-5B72-4BF7-AD88-313995D64E97}"/>
              </c:ext>
            </c:extLst>
          </c:dPt>
          <c:dPt>
            <c:idx val="1"/>
            <c:invertIfNegative val="0"/>
            <c:bubble3D val="0"/>
            <c:spPr>
              <a:solidFill>
                <a:srgbClr val="ED1C24"/>
              </a:solidFill>
              <a:ln w="127000">
                <a:solidFill>
                  <a:schemeClr val="bg1"/>
                </a:solidFill>
              </a:ln>
              <a:effectLst/>
            </c:spPr>
            <c:extLst>
              <c:ext xmlns:c16="http://schemas.microsoft.com/office/drawing/2014/chart" uri="{C3380CC4-5D6E-409C-BE32-E72D297353CC}">
                <c16:uniqueId val="{00000003-5B72-4BF7-AD88-313995D64E97}"/>
              </c:ext>
            </c:extLst>
          </c:dPt>
          <c:dLbls>
            <c:dLbl>
              <c:idx val="0"/>
              <c:layout>
                <c:manualLayout>
                  <c:x val="0.18091168091168092"/>
                  <c:y val="4.5227920227920229E-2"/>
                </c:manualLayout>
              </c:layout>
              <c:tx>
                <c:rich>
                  <a:bodyPr rot="0" spcFirstLastPara="1" vertOverflow="ellipsis" vert="horz" wrap="square" lIns="38100" tIns="19050" rIns="38100" bIns="19050" anchor="ctr" anchorCtr="1">
                    <a:spAutoFit/>
                  </a:bodyPr>
                  <a:lstStyle/>
                  <a:p>
                    <a:pPr>
                      <a:defRPr sz="1000" b="1" i="0" u="none" strike="noStrike" kern="1200" baseline="0">
                        <a:solidFill>
                          <a:srgbClr val="2A489A"/>
                        </a:solidFill>
                        <a:latin typeface="+mn-lt"/>
                        <a:ea typeface="+mn-ea"/>
                        <a:cs typeface="+mn-cs"/>
                      </a:defRPr>
                    </a:pPr>
                    <a:r>
                      <a:rPr lang="en-US"/>
                      <a:t>2,2</a:t>
                    </a:r>
                  </a:p>
                </c:rich>
              </c:tx>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rgbClr val="2A489A"/>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B72-4BF7-AD88-313995D64E97}"/>
                </c:ext>
              </c:extLst>
            </c:dLbl>
            <c:dLbl>
              <c:idx val="1"/>
              <c:layout>
                <c:manualLayout>
                  <c:x val="-0.16282051282051282"/>
                  <c:y val="6.3319088319088321E-2"/>
                </c:manualLayout>
              </c:layout>
              <c:tx>
                <c:rich>
                  <a:bodyPr rot="0" spcFirstLastPara="1" vertOverflow="ellipsis" vert="horz" wrap="square" lIns="38100" tIns="19050" rIns="38100" bIns="19050" anchor="ctr" anchorCtr="1">
                    <a:spAutoFit/>
                  </a:bodyPr>
                  <a:lstStyle/>
                  <a:p>
                    <a:pPr>
                      <a:defRPr sz="1000" b="1" i="0" u="none" strike="noStrike" kern="1200" baseline="0">
                        <a:solidFill>
                          <a:srgbClr val="ED1C24"/>
                        </a:solidFill>
                        <a:latin typeface="+mn-lt"/>
                        <a:ea typeface="+mn-ea"/>
                        <a:cs typeface="+mn-cs"/>
                      </a:defRPr>
                    </a:pPr>
                    <a:r>
                      <a:rPr lang="en-US"/>
                      <a:t>1,9</a:t>
                    </a:r>
                  </a:p>
                </c:rich>
              </c:tx>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rgbClr val="ED1C24"/>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B72-4BF7-AD88-313995D64E97}"/>
                </c:ext>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2"/>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agregati'!$C$8:$D$8</c:f>
              <c:numCache>
                <c:formatCode>0.0</c:formatCode>
                <c:ptCount val="2"/>
                <c:pt idx="0" formatCode="General">
                  <c:v>2.2000000000000002</c:v>
                </c:pt>
                <c:pt idx="1">
                  <c:v>1.9</c:v>
                </c:pt>
              </c:numCache>
            </c:numRef>
          </c:val>
          <c:extLst>
            <c:ext xmlns:c16="http://schemas.microsoft.com/office/drawing/2014/chart" uri="{C3380CC4-5D6E-409C-BE32-E72D297353CC}">
              <c16:uniqueId val="{00000004-5B72-4BF7-AD88-313995D64E97}"/>
            </c:ext>
          </c:extLst>
        </c:ser>
        <c:dLbls>
          <c:showLegendKey val="0"/>
          <c:showVal val="0"/>
          <c:showCatName val="0"/>
          <c:showSerName val="0"/>
          <c:showPercent val="0"/>
          <c:showBubbleSize val="0"/>
        </c:dLbls>
        <c:gapWidth val="0"/>
        <c:overlap val="-27"/>
        <c:axId val="676086016"/>
        <c:axId val="676086576"/>
      </c:barChart>
      <c:catAx>
        <c:axId val="676086016"/>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2"/>
                    </a:solidFill>
                    <a:latin typeface="+mn-lt"/>
                    <a:ea typeface="+mn-ea"/>
                    <a:cs typeface="+mn-cs"/>
                  </a:defRPr>
                </a:pPr>
                <a:r>
                  <a:rPr lang="en-US">
                    <a:solidFill>
                      <a:schemeClr val="tx2"/>
                    </a:solidFill>
                  </a:rPr>
                  <a:t>2019</a:t>
                </a:r>
              </a:p>
            </c:rich>
          </c:tx>
          <c:layout>
            <c:manualLayout>
              <c:xMode val="edge"/>
              <c:yMode val="edge"/>
              <c:x val="0.36470726495726496"/>
              <c:y val="0.85138105413105414"/>
            </c:manualLayout>
          </c:layout>
          <c:overlay val="0"/>
          <c:spPr>
            <a:noFill/>
            <a:ln>
              <a:noFill/>
            </a:ln>
            <a:effectLst/>
          </c:spPr>
          <c:txPr>
            <a:bodyPr rot="0" spcFirstLastPara="1" vertOverflow="ellipsis" vert="horz" wrap="square" anchor="ctr" anchorCtr="1"/>
            <a:lstStyle/>
            <a:p>
              <a:pPr>
                <a:defRPr sz="1000" b="1" i="0" u="none" strike="noStrike" kern="1200" baseline="0">
                  <a:solidFill>
                    <a:schemeClr val="tx2"/>
                  </a:solidFill>
                  <a:latin typeface="+mn-lt"/>
                  <a:ea typeface="+mn-ea"/>
                  <a:cs typeface="+mn-cs"/>
                </a:defRPr>
              </a:pPr>
              <a:endParaRPr lang="en-US"/>
            </a:p>
          </c:txPr>
        </c:title>
        <c:majorTickMark val="none"/>
        <c:minorTickMark val="none"/>
        <c:tickLblPos val="none"/>
        <c:spPr>
          <a:noFill/>
          <a:ln w="15875"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bg1"/>
                </a:solidFill>
                <a:latin typeface="+mn-lt"/>
                <a:ea typeface="+mn-ea"/>
                <a:cs typeface="+mn-cs"/>
              </a:defRPr>
            </a:pPr>
            <a:endParaRPr lang="en-US"/>
          </a:p>
        </c:txPr>
        <c:crossAx val="676086576"/>
        <c:crosses val="autoZero"/>
        <c:auto val="1"/>
        <c:lblAlgn val="ctr"/>
        <c:lblOffset val="100"/>
        <c:noMultiLvlLbl val="0"/>
      </c:catAx>
      <c:valAx>
        <c:axId val="676086576"/>
        <c:scaling>
          <c:orientation val="minMax"/>
          <c:max val="3"/>
          <c:min val="0"/>
        </c:scaling>
        <c:delete val="0"/>
        <c:axPos val="l"/>
        <c:numFmt formatCode="General"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crossAx val="676086016"/>
        <c:crosses val="autoZero"/>
        <c:crossBetween val="midCat"/>
        <c:majorUnit val="1"/>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chemeClr val="tx2"/>
          </a:solidFill>
        </a:defRPr>
      </a:pPr>
      <a:endParaRPr lang="en-US"/>
    </a:p>
  </c:txPr>
  <c:externalData r:id="rId4">
    <c:autoUpdate val="0"/>
  </c:externalData>
  <c:userShapes r:id="rId5"/>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4.9052396878483832E-2"/>
          <c:y val="5.0925925925925923E-2"/>
          <c:w val="0.90189520624303232"/>
          <c:h val="0.79970014245014232"/>
        </c:manualLayout>
      </c:layout>
      <c:barChart>
        <c:barDir val="col"/>
        <c:grouping val="clustered"/>
        <c:varyColors val="0"/>
        <c:ser>
          <c:idx val="0"/>
          <c:order val="0"/>
          <c:tx>
            <c:strRef>
              <c:f>'Osn. makroekon. agregati'!$B$8</c:f>
              <c:strCache>
                <c:ptCount val="1"/>
                <c:pt idx="0">
                  <c:v>Инфлација, %</c:v>
                </c:pt>
              </c:strCache>
            </c:strRef>
          </c:tx>
          <c:spPr>
            <a:solidFill>
              <a:srgbClr val="FF0000"/>
            </a:solidFill>
            <a:ln w="127000">
              <a:solidFill>
                <a:schemeClr val="bg1"/>
              </a:solidFill>
            </a:ln>
            <a:effectLst/>
          </c:spPr>
          <c:invertIfNegative val="0"/>
          <c:dPt>
            <c:idx val="0"/>
            <c:invertIfNegative val="0"/>
            <c:bubble3D val="0"/>
            <c:spPr>
              <a:solidFill>
                <a:srgbClr val="2A489A"/>
              </a:solidFill>
              <a:ln w="127000">
                <a:solidFill>
                  <a:schemeClr val="bg1"/>
                </a:solidFill>
              </a:ln>
              <a:effectLst/>
            </c:spPr>
            <c:extLst>
              <c:ext xmlns:c16="http://schemas.microsoft.com/office/drawing/2014/chart" uri="{C3380CC4-5D6E-409C-BE32-E72D297353CC}">
                <c16:uniqueId val="{00000001-1CE6-4EE3-AFB0-15D8B6D0F1B6}"/>
              </c:ext>
            </c:extLst>
          </c:dPt>
          <c:dPt>
            <c:idx val="1"/>
            <c:invertIfNegative val="0"/>
            <c:bubble3D val="0"/>
            <c:spPr>
              <a:solidFill>
                <a:srgbClr val="ED1C24"/>
              </a:solidFill>
              <a:ln w="127000">
                <a:solidFill>
                  <a:schemeClr val="bg1"/>
                </a:solidFill>
              </a:ln>
              <a:effectLst/>
            </c:spPr>
            <c:extLst>
              <c:ext xmlns:c16="http://schemas.microsoft.com/office/drawing/2014/chart" uri="{C3380CC4-5D6E-409C-BE32-E72D297353CC}">
                <c16:uniqueId val="{00000003-1CE6-4EE3-AFB0-15D8B6D0F1B6}"/>
              </c:ext>
            </c:extLst>
          </c:dPt>
          <c:dLbls>
            <c:dLbl>
              <c:idx val="0"/>
              <c:layout>
                <c:manualLayout>
                  <c:x val="0.18091168091168092"/>
                  <c:y val="1.8091168091168092E-2"/>
                </c:manualLayout>
              </c:layout>
              <c:tx>
                <c:rich>
                  <a:bodyPr rot="0" spcFirstLastPara="1" vertOverflow="ellipsis" vert="horz" wrap="square" anchor="ctr" anchorCtr="1"/>
                  <a:lstStyle/>
                  <a:p>
                    <a:pPr>
                      <a:defRPr sz="1000" b="1" i="0" u="none" strike="noStrike" kern="1200" baseline="0">
                        <a:solidFill>
                          <a:srgbClr val="2A489A"/>
                        </a:solidFill>
                        <a:latin typeface="+mn-lt"/>
                        <a:ea typeface="+mn-ea"/>
                        <a:cs typeface="+mn-cs"/>
                      </a:defRPr>
                    </a:pPr>
                    <a:r>
                      <a:rPr lang="en-US"/>
                      <a:t>1,9</a:t>
                    </a:r>
                  </a:p>
                </c:rich>
              </c:tx>
              <c:spPr>
                <a:noFill/>
                <a:ln>
                  <a:noFill/>
                </a:ln>
                <a:effectLst/>
              </c:spPr>
              <c:txPr>
                <a:bodyPr rot="0" spcFirstLastPara="1" vertOverflow="ellipsis" vert="horz" wrap="square" anchor="ctr" anchorCtr="1"/>
                <a:lstStyle/>
                <a:p>
                  <a:pPr>
                    <a:defRPr sz="1000" b="1" i="0" u="none" strike="noStrike" kern="1200" baseline="0">
                      <a:solidFill>
                        <a:srgbClr val="2A489A"/>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CE6-4EE3-AFB0-15D8B6D0F1B6}"/>
                </c:ext>
              </c:extLst>
            </c:dLbl>
            <c:dLbl>
              <c:idx val="1"/>
              <c:layout>
                <c:manualLayout>
                  <c:x val="-0.16282051282051282"/>
                  <c:y val="6.3319088319088321E-2"/>
                </c:manualLayout>
              </c:layout>
              <c:tx>
                <c:rich>
                  <a:bodyPr rot="0" spcFirstLastPara="1" vertOverflow="ellipsis" vert="horz" wrap="square" anchor="ctr" anchorCtr="1"/>
                  <a:lstStyle/>
                  <a:p>
                    <a:pPr>
                      <a:defRPr sz="1000" b="1" i="0" u="none" strike="noStrike" kern="1200" baseline="0">
                        <a:solidFill>
                          <a:srgbClr val="ED1C24"/>
                        </a:solidFill>
                        <a:latin typeface="+mn-lt"/>
                        <a:ea typeface="+mn-ea"/>
                        <a:cs typeface="+mn-cs"/>
                      </a:defRPr>
                    </a:pPr>
                    <a:r>
                      <a:rPr lang="en-US"/>
                      <a:t>2,0</a:t>
                    </a:r>
                  </a:p>
                </c:rich>
              </c:tx>
              <c:spPr>
                <a:noFill/>
                <a:ln>
                  <a:noFill/>
                </a:ln>
                <a:effectLst/>
              </c:spPr>
              <c:txPr>
                <a:bodyPr rot="0" spcFirstLastPara="1" vertOverflow="ellipsis" vert="horz" wrap="square" anchor="ctr" anchorCtr="1"/>
                <a:lstStyle/>
                <a:p>
                  <a:pPr>
                    <a:defRPr sz="1000" b="1" i="0" u="none" strike="noStrike" kern="1200" baseline="0">
                      <a:solidFill>
                        <a:srgbClr val="ED1C24"/>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1CE6-4EE3-AFB0-15D8B6D0F1B6}"/>
                </c:ext>
              </c:extLst>
            </c:dLbl>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'Osn. makroekon. agregati'!$E$8:$F$8</c:f>
              <c:numCache>
                <c:formatCode>0.0</c:formatCode>
                <c:ptCount val="2"/>
                <c:pt idx="0" formatCode="General">
                  <c:v>1.9</c:v>
                </c:pt>
                <c:pt idx="1">
                  <c:v>2</c:v>
                </c:pt>
              </c:numCache>
            </c:numRef>
          </c:val>
          <c:extLst>
            <c:ext xmlns:c16="http://schemas.microsoft.com/office/drawing/2014/chart" uri="{C3380CC4-5D6E-409C-BE32-E72D297353CC}">
              <c16:uniqueId val="{00000004-1CE6-4EE3-AFB0-15D8B6D0F1B6}"/>
            </c:ext>
          </c:extLst>
        </c:ser>
        <c:dLbls>
          <c:showLegendKey val="0"/>
          <c:showVal val="0"/>
          <c:showCatName val="0"/>
          <c:showSerName val="0"/>
          <c:showPercent val="0"/>
          <c:showBubbleSize val="0"/>
        </c:dLbls>
        <c:gapWidth val="0"/>
        <c:overlap val="-27"/>
        <c:axId val="676088816"/>
        <c:axId val="676089376"/>
      </c:barChart>
      <c:catAx>
        <c:axId val="676088816"/>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2"/>
                    </a:solidFill>
                    <a:latin typeface="+mn-lt"/>
                    <a:ea typeface="+mn-ea"/>
                    <a:cs typeface="+mn-cs"/>
                  </a:defRPr>
                </a:pPr>
                <a:r>
                  <a:rPr lang="sr-Cyrl-RS" b="1">
                    <a:solidFill>
                      <a:schemeClr val="tx2"/>
                    </a:solidFill>
                  </a:rPr>
                  <a:t>20</a:t>
                </a:r>
                <a:r>
                  <a:rPr lang="en-GB" b="1">
                    <a:solidFill>
                      <a:schemeClr val="tx2"/>
                    </a:solidFill>
                  </a:rPr>
                  <a:t>20</a:t>
                </a:r>
              </a:p>
            </c:rich>
          </c:tx>
          <c:layout>
            <c:manualLayout>
              <c:xMode val="edge"/>
              <c:yMode val="edge"/>
              <c:x val="0.36470726495726496"/>
              <c:y val="0.85138105413105414"/>
            </c:manualLayout>
          </c:layout>
          <c:overlay val="0"/>
          <c:spPr>
            <a:noFill/>
            <a:ln>
              <a:noFill/>
            </a:ln>
            <a:effectLst/>
          </c:spPr>
          <c:txPr>
            <a:bodyPr rot="0" spcFirstLastPara="1" vertOverflow="ellipsis" vert="horz" wrap="square" anchor="ctr" anchorCtr="1"/>
            <a:lstStyle/>
            <a:p>
              <a:pPr>
                <a:defRPr sz="1000" b="1" i="0" u="none" strike="noStrike" kern="1200" baseline="0">
                  <a:solidFill>
                    <a:schemeClr val="tx2"/>
                  </a:solidFill>
                  <a:latin typeface="+mn-lt"/>
                  <a:ea typeface="+mn-ea"/>
                  <a:cs typeface="+mn-cs"/>
                </a:defRPr>
              </a:pPr>
              <a:endParaRPr lang="en-US"/>
            </a:p>
          </c:txPr>
        </c:title>
        <c:majorTickMark val="none"/>
        <c:minorTickMark val="none"/>
        <c:tickLblPos val="none"/>
        <c:spPr>
          <a:noFill/>
          <a:ln w="15875"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676089376"/>
        <c:crosses val="autoZero"/>
        <c:auto val="1"/>
        <c:lblAlgn val="ctr"/>
        <c:lblOffset val="100"/>
        <c:noMultiLvlLbl val="0"/>
      </c:catAx>
      <c:valAx>
        <c:axId val="676089376"/>
        <c:scaling>
          <c:orientation val="minMax"/>
          <c:max val="3"/>
          <c:min val="0"/>
        </c:scaling>
        <c:delete val="0"/>
        <c:axPos val="l"/>
        <c:numFmt formatCode="General"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676088816"/>
        <c:crosses val="autoZero"/>
        <c:crossBetween val="midCat"/>
        <c:majorUnit val="1"/>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defRPr>
      </a:pPr>
      <a:endParaRPr lang="en-US"/>
    </a:p>
  </c:txPr>
  <c:externalData r:id="rId4">
    <c:autoUpdate val="0"/>
  </c:externalData>
  <c:userShapes r:id="rId5"/>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4.9052706552706556E-2"/>
          <c:y val="0.3380753331051542"/>
          <c:w val="0.90189520624303232"/>
          <c:h val="0.66192466689484586"/>
        </c:manualLayout>
      </c:layout>
      <c:barChart>
        <c:barDir val="col"/>
        <c:grouping val="clustered"/>
        <c:varyColors val="0"/>
        <c:ser>
          <c:idx val="0"/>
          <c:order val="0"/>
          <c:tx>
            <c:strRef>
              <c:f>'Osn. makroekon. agregati'!$B$6</c:f>
              <c:strCache>
                <c:ptCount val="1"/>
                <c:pt idx="0">
                  <c:v>Фискални резултат, %БДП</c:v>
                </c:pt>
              </c:strCache>
            </c:strRef>
          </c:tx>
          <c:spPr>
            <a:solidFill>
              <a:srgbClr val="FF0000"/>
            </a:solidFill>
            <a:ln w="127000">
              <a:solidFill>
                <a:schemeClr val="bg1"/>
              </a:solidFill>
            </a:ln>
            <a:effectLst/>
          </c:spPr>
          <c:invertIfNegative val="0"/>
          <c:dPt>
            <c:idx val="0"/>
            <c:invertIfNegative val="0"/>
            <c:bubble3D val="0"/>
            <c:spPr>
              <a:solidFill>
                <a:srgbClr val="2A489A"/>
              </a:solidFill>
              <a:ln w="127000">
                <a:solidFill>
                  <a:schemeClr val="bg1"/>
                </a:solidFill>
              </a:ln>
              <a:effectLst/>
            </c:spPr>
            <c:extLst>
              <c:ext xmlns:c16="http://schemas.microsoft.com/office/drawing/2014/chart" uri="{C3380CC4-5D6E-409C-BE32-E72D297353CC}">
                <c16:uniqueId val="{00000001-DD82-45B3-BFE8-65E71E5F38B2}"/>
              </c:ext>
            </c:extLst>
          </c:dPt>
          <c:dPt>
            <c:idx val="1"/>
            <c:invertIfNegative val="0"/>
            <c:bubble3D val="0"/>
            <c:spPr>
              <a:solidFill>
                <a:srgbClr val="ED1C24"/>
              </a:solidFill>
              <a:ln w="127000">
                <a:solidFill>
                  <a:schemeClr val="bg1"/>
                </a:solidFill>
              </a:ln>
              <a:effectLst/>
            </c:spPr>
            <c:extLst>
              <c:ext xmlns:c16="http://schemas.microsoft.com/office/drawing/2014/chart" uri="{C3380CC4-5D6E-409C-BE32-E72D297353CC}">
                <c16:uniqueId val="{00000003-DD82-45B3-BFE8-65E71E5F38B2}"/>
              </c:ext>
            </c:extLst>
          </c:dPt>
          <c:dLbls>
            <c:dLbl>
              <c:idx val="0"/>
              <c:layout>
                <c:manualLayout>
                  <c:x val="0.12845647512945002"/>
                  <c:y val="3.6425670384108696E-6"/>
                </c:manualLayout>
              </c:layout>
              <c:tx>
                <c:rich>
                  <a:bodyPr rot="0" spcFirstLastPara="1" vertOverflow="ellipsis" vert="horz" wrap="square" lIns="38100" tIns="19050" rIns="38100" bIns="19050" anchor="ctr" anchorCtr="1">
                    <a:noAutofit/>
                  </a:bodyPr>
                  <a:lstStyle/>
                  <a:p>
                    <a:pPr>
                      <a:defRPr sz="1000" b="1" i="0" u="none" strike="noStrike" kern="1200" baseline="0">
                        <a:solidFill>
                          <a:srgbClr val="2A489A"/>
                        </a:solidFill>
                        <a:latin typeface="+mn-lt"/>
                        <a:ea typeface="+mn-ea"/>
                        <a:cs typeface="+mn-cs"/>
                      </a:defRPr>
                    </a:pPr>
                    <a:r>
                      <a:rPr lang="en-US"/>
                      <a:t>-0,5</a:t>
                    </a:r>
                  </a:p>
                </c:rich>
              </c:tx>
              <c:spPr>
                <a:noFill/>
                <a:ln>
                  <a:noFill/>
                </a:ln>
                <a:effectLst/>
              </c:spPr>
              <c:txPr>
                <a:bodyPr rot="0" spcFirstLastPara="1" vertOverflow="ellipsis" vert="horz" wrap="square" lIns="38100" tIns="19050" rIns="38100" bIns="19050" anchor="ctr" anchorCtr="1">
                  <a:noAutofit/>
                </a:bodyPr>
                <a:lstStyle/>
                <a:p>
                  <a:pPr>
                    <a:defRPr sz="1000" b="1" i="0" u="none" strike="noStrike" kern="1200" baseline="0">
                      <a:solidFill>
                        <a:srgbClr val="2A489A"/>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15:layout>
                    <c:manualLayout>
                      <c:w val="0.24616118264186934"/>
                      <c:h val="0.23762528912875869"/>
                    </c:manualLayout>
                  </c15:layout>
                </c:ext>
                <c:ext xmlns:c16="http://schemas.microsoft.com/office/drawing/2014/chart" uri="{C3380CC4-5D6E-409C-BE32-E72D297353CC}">
                  <c16:uniqueId val="{00000001-DD82-45B3-BFE8-65E71E5F38B2}"/>
                </c:ext>
              </c:extLst>
            </c:dLbl>
            <c:dLbl>
              <c:idx val="1"/>
              <c:layout>
                <c:manualLayout>
                  <c:x val="-0.12467039961041515"/>
                  <c:y val="-2.9202114456547759E-2"/>
                </c:manualLayout>
              </c:layout>
              <c:tx>
                <c:rich>
                  <a:bodyPr rot="0" spcFirstLastPara="1" vertOverflow="ellipsis" vert="horz" wrap="square" lIns="38100" tIns="19050" rIns="38100" bIns="19050" anchor="ctr" anchorCtr="1">
                    <a:noAutofit/>
                  </a:bodyPr>
                  <a:lstStyle/>
                  <a:p>
                    <a:pPr>
                      <a:defRPr sz="1000" b="1" i="0" u="none" strike="noStrike" kern="1200" baseline="0">
                        <a:solidFill>
                          <a:srgbClr val="ED1C24"/>
                        </a:solidFill>
                        <a:latin typeface="+mn-lt"/>
                        <a:ea typeface="+mn-ea"/>
                        <a:cs typeface="+mn-cs"/>
                      </a:defRPr>
                    </a:pPr>
                    <a:r>
                      <a:rPr lang="en-US"/>
                      <a:t>-0,5</a:t>
                    </a:r>
                  </a:p>
                </c:rich>
              </c:tx>
              <c:spPr>
                <a:noFill/>
                <a:ln>
                  <a:noFill/>
                </a:ln>
                <a:effectLst/>
              </c:spPr>
              <c:txPr>
                <a:bodyPr rot="0" spcFirstLastPara="1" vertOverflow="ellipsis" vert="horz" wrap="square" lIns="38100" tIns="19050" rIns="38100" bIns="19050" anchor="ctr" anchorCtr="1">
                  <a:noAutofit/>
                </a:bodyPr>
                <a:lstStyle/>
                <a:p>
                  <a:pPr>
                    <a:defRPr sz="1000" b="1" i="0" u="none" strike="noStrike" kern="1200" baseline="0">
                      <a:solidFill>
                        <a:srgbClr val="ED1C24"/>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15:layout>
                    <c:manualLayout>
                      <c:w val="0.25569861707200764"/>
                      <c:h val="0.23762528912875869"/>
                    </c:manualLayout>
                  </c15:layout>
                </c:ext>
                <c:ext xmlns:c16="http://schemas.microsoft.com/office/drawing/2014/chart" uri="{C3380CC4-5D6E-409C-BE32-E72D297353CC}">
                  <c16:uniqueId val="{00000003-DD82-45B3-BFE8-65E71E5F38B2}"/>
                </c:ext>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2"/>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agregati'!$C$6:$D$6</c:f>
              <c:numCache>
                <c:formatCode>0.0</c:formatCode>
                <c:ptCount val="2"/>
                <c:pt idx="0" formatCode="General">
                  <c:v>-0.5</c:v>
                </c:pt>
                <c:pt idx="1">
                  <c:v>-0.5</c:v>
                </c:pt>
              </c:numCache>
            </c:numRef>
          </c:val>
          <c:extLst>
            <c:ext xmlns:c16="http://schemas.microsoft.com/office/drawing/2014/chart" uri="{C3380CC4-5D6E-409C-BE32-E72D297353CC}">
              <c16:uniqueId val="{00000004-DD82-45B3-BFE8-65E71E5F38B2}"/>
            </c:ext>
          </c:extLst>
        </c:ser>
        <c:dLbls>
          <c:showLegendKey val="0"/>
          <c:showVal val="0"/>
          <c:showCatName val="0"/>
          <c:showSerName val="0"/>
          <c:showPercent val="0"/>
          <c:showBubbleSize val="0"/>
        </c:dLbls>
        <c:gapWidth val="0"/>
        <c:overlap val="-27"/>
        <c:axId val="676091616"/>
        <c:axId val="676092176"/>
      </c:barChart>
      <c:catAx>
        <c:axId val="676091616"/>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2"/>
                    </a:solidFill>
                    <a:latin typeface="+mn-lt"/>
                    <a:ea typeface="+mn-ea"/>
                    <a:cs typeface="+mn-cs"/>
                  </a:defRPr>
                </a:pPr>
                <a:r>
                  <a:rPr lang="sr-Cyrl-RS">
                    <a:solidFill>
                      <a:schemeClr val="tx2"/>
                    </a:solidFill>
                  </a:rPr>
                  <a:t>20</a:t>
                </a:r>
                <a:r>
                  <a:rPr lang="en-GB">
                    <a:solidFill>
                      <a:schemeClr val="tx2"/>
                    </a:solidFill>
                  </a:rPr>
                  <a:t>19</a:t>
                </a:r>
              </a:p>
            </c:rich>
          </c:tx>
          <c:layout>
            <c:manualLayout>
              <c:xMode val="edge"/>
              <c:yMode val="edge"/>
              <c:x val="0.39184401709401717"/>
              <c:y val="2.823290598290594E-2"/>
            </c:manualLayout>
          </c:layout>
          <c:overlay val="0"/>
          <c:spPr>
            <a:noFill/>
            <a:ln>
              <a:noFill/>
            </a:ln>
            <a:effectLst/>
          </c:spPr>
          <c:txPr>
            <a:bodyPr rot="0" spcFirstLastPara="1" vertOverflow="ellipsis" vert="horz" wrap="square" anchor="ctr" anchorCtr="1"/>
            <a:lstStyle/>
            <a:p>
              <a:pPr>
                <a:defRPr sz="1000" b="1" i="0" u="none" strike="noStrike" kern="1200" baseline="0">
                  <a:solidFill>
                    <a:schemeClr val="tx2"/>
                  </a:solidFill>
                  <a:latin typeface="+mn-lt"/>
                  <a:ea typeface="+mn-ea"/>
                  <a:cs typeface="+mn-cs"/>
                </a:defRPr>
              </a:pPr>
              <a:endParaRPr lang="en-US"/>
            </a:p>
          </c:txPr>
        </c:title>
        <c:majorTickMark val="none"/>
        <c:minorTickMark val="none"/>
        <c:tickLblPos val="none"/>
        <c:spPr>
          <a:noFill/>
          <a:ln w="15875"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676092176"/>
        <c:crosses val="autoZero"/>
        <c:auto val="1"/>
        <c:lblAlgn val="ctr"/>
        <c:lblOffset val="100"/>
        <c:noMultiLvlLbl val="0"/>
      </c:catAx>
      <c:valAx>
        <c:axId val="676092176"/>
        <c:scaling>
          <c:orientation val="minMax"/>
          <c:max val="0"/>
          <c:min val="-0.70000000000000007"/>
        </c:scaling>
        <c:delete val="0"/>
        <c:axPos val="l"/>
        <c:numFmt formatCode="General"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crossAx val="676091616"/>
        <c:crosses val="autoZero"/>
        <c:crossBetween val="midCat"/>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chemeClr val="tx2"/>
          </a:solidFill>
        </a:defRPr>
      </a:pPr>
      <a:endParaRPr lang="en-US"/>
    </a:p>
  </c:txPr>
  <c:externalData r:id="rId4">
    <c:autoUpdate val="0"/>
  </c:externalData>
  <c:userShapes r:id="rId5"/>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714387464387464E-2"/>
          <c:y val="0.33430131004366814"/>
          <c:w val="0.90189520624303232"/>
          <c:h val="0.66569868995633186"/>
        </c:manualLayout>
      </c:layout>
      <c:barChart>
        <c:barDir val="col"/>
        <c:grouping val="clustered"/>
        <c:varyColors val="0"/>
        <c:ser>
          <c:idx val="0"/>
          <c:order val="0"/>
          <c:tx>
            <c:strRef>
              <c:f>'Osn. makroekon. agregati'!$B$6</c:f>
              <c:strCache>
                <c:ptCount val="1"/>
                <c:pt idx="0">
                  <c:v>Фискални резултат, %БДП</c:v>
                </c:pt>
              </c:strCache>
            </c:strRef>
          </c:tx>
          <c:spPr>
            <a:solidFill>
              <a:srgbClr val="FF0000"/>
            </a:solidFill>
            <a:ln w="127000">
              <a:solidFill>
                <a:schemeClr val="bg1"/>
              </a:solidFill>
            </a:ln>
            <a:effectLst/>
          </c:spPr>
          <c:invertIfNegative val="0"/>
          <c:dPt>
            <c:idx val="0"/>
            <c:invertIfNegative val="0"/>
            <c:bubble3D val="0"/>
            <c:spPr>
              <a:solidFill>
                <a:srgbClr val="2A489A"/>
              </a:solidFill>
              <a:ln w="127000">
                <a:solidFill>
                  <a:schemeClr val="bg1"/>
                </a:solidFill>
              </a:ln>
              <a:effectLst/>
            </c:spPr>
            <c:extLst>
              <c:ext xmlns:c16="http://schemas.microsoft.com/office/drawing/2014/chart" uri="{C3380CC4-5D6E-409C-BE32-E72D297353CC}">
                <c16:uniqueId val="{00000001-2629-4C51-97F6-6A0A4845D1A5}"/>
              </c:ext>
            </c:extLst>
          </c:dPt>
          <c:dPt>
            <c:idx val="1"/>
            <c:invertIfNegative val="0"/>
            <c:bubble3D val="0"/>
            <c:spPr>
              <a:solidFill>
                <a:srgbClr val="ED1C24"/>
              </a:solidFill>
              <a:ln w="127000">
                <a:solidFill>
                  <a:schemeClr val="bg1"/>
                </a:solidFill>
              </a:ln>
              <a:effectLst/>
            </c:spPr>
            <c:extLst>
              <c:ext xmlns:c16="http://schemas.microsoft.com/office/drawing/2014/chart" uri="{C3380CC4-5D6E-409C-BE32-E72D297353CC}">
                <c16:uniqueId val="{00000003-2629-4C51-97F6-6A0A4845D1A5}"/>
              </c:ext>
            </c:extLst>
          </c:dPt>
          <c:dLbls>
            <c:dLbl>
              <c:idx val="0"/>
              <c:layout>
                <c:manualLayout>
                  <c:x val="0.14276262677465743"/>
                  <c:y val="7.705373500115258E-3"/>
                </c:manualLayout>
              </c:layout>
              <c:tx>
                <c:rich>
                  <a:bodyPr rot="0" spcFirstLastPara="1" vertOverflow="ellipsis" vert="horz" wrap="square" lIns="38100" tIns="19050" rIns="38100" bIns="19050" anchor="ctr" anchorCtr="1">
                    <a:noAutofit/>
                  </a:bodyPr>
                  <a:lstStyle/>
                  <a:p>
                    <a:pPr>
                      <a:defRPr sz="1000" b="1" i="0" u="none" strike="noStrike" kern="1200" baseline="0">
                        <a:solidFill>
                          <a:srgbClr val="2A489A"/>
                        </a:solidFill>
                        <a:latin typeface="+mn-lt"/>
                        <a:ea typeface="+mn-ea"/>
                        <a:cs typeface="+mn-cs"/>
                      </a:defRPr>
                    </a:pPr>
                    <a:r>
                      <a:rPr lang="en-US"/>
                      <a:t>-0,5</a:t>
                    </a:r>
                  </a:p>
                </c:rich>
              </c:tx>
              <c:spPr>
                <a:noFill/>
                <a:ln>
                  <a:noFill/>
                </a:ln>
                <a:effectLst/>
              </c:spPr>
              <c:txPr>
                <a:bodyPr rot="0" spcFirstLastPara="1" vertOverflow="ellipsis" vert="horz" wrap="square" lIns="38100" tIns="19050" rIns="38100" bIns="19050" anchor="ctr" anchorCtr="1">
                  <a:noAutofit/>
                </a:bodyPr>
                <a:lstStyle/>
                <a:p>
                  <a:pPr>
                    <a:defRPr sz="1000" b="1" i="0" u="none" strike="noStrike" kern="1200" baseline="0">
                      <a:solidFill>
                        <a:srgbClr val="2A489A"/>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15:layout>
                    <c:manualLayout>
                      <c:w val="0.25569861707200764"/>
                      <c:h val="0.22203389830508474"/>
                    </c:manualLayout>
                  </c15:layout>
                </c:ext>
                <c:ext xmlns:c16="http://schemas.microsoft.com/office/drawing/2014/chart" uri="{C3380CC4-5D6E-409C-BE32-E72D297353CC}">
                  <c16:uniqueId val="{00000001-2629-4C51-97F6-6A0A4845D1A5}"/>
                </c:ext>
              </c:extLst>
            </c:dLbl>
            <c:dLbl>
              <c:idx val="1"/>
              <c:layout>
                <c:manualLayout>
                  <c:x val="-6.2677090256421805E-2"/>
                  <c:y val="0"/>
                </c:manualLayout>
              </c:layout>
              <c:tx>
                <c:rich>
                  <a:bodyPr rot="0" spcFirstLastPara="1" vertOverflow="ellipsis" vert="horz" wrap="square" lIns="38100" tIns="19050" rIns="38100" bIns="19050" anchor="ctr" anchorCtr="1">
                    <a:noAutofit/>
                  </a:bodyPr>
                  <a:lstStyle/>
                  <a:p>
                    <a:pPr>
                      <a:defRPr sz="1000" b="1" i="0" u="none" strike="noStrike" kern="1200" baseline="0">
                        <a:solidFill>
                          <a:srgbClr val="ED1C24"/>
                        </a:solidFill>
                        <a:latin typeface="+mn-lt"/>
                        <a:ea typeface="+mn-ea"/>
                        <a:cs typeface="+mn-cs"/>
                      </a:defRPr>
                    </a:pPr>
                    <a:r>
                      <a:rPr lang="en-US"/>
                      <a:t>-0,5</a:t>
                    </a:r>
                  </a:p>
                </c:rich>
              </c:tx>
              <c:spPr>
                <a:noFill/>
                <a:ln>
                  <a:noFill/>
                </a:ln>
                <a:effectLst/>
              </c:spPr>
              <c:txPr>
                <a:bodyPr rot="0" spcFirstLastPara="1" vertOverflow="ellipsis" vert="horz" wrap="square" lIns="38100" tIns="19050" rIns="38100" bIns="19050" anchor="ctr" anchorCtr="1">
                  <a:noAutofit/>
                </a:bodyPr>
                <a:lstStyle/>
                <a:p>
                  <a:pPr>
                    <a:defRPr sz="1000" b="1" i="0" u="none" strike="noStrike" kern="1200" baseline="0">
                      <a:solidFill>
                        <a:srgbClr val="ED1C24"/>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15:layout>
                    <c:manualLayout>
                      <c:w val="0.32246065808297564"/>
                      <c:h val="0.237442218798151"/>
                    </c:manualLayout>
                  </c15:layout>
                </c:ext>
                <c:ext xmlns:c16="http://schemas.microsoft.com/office/drawing/2014/chart" uri="{C3380CC4-5D6E-409C-BE32-E72D297353CC}">
                  <c16:uniqueId val="{00000003-2629-4C51-97F6-6A0A4845D1A5}"/>
                </c:ext>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2"/>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'Osn. makroekon. agregati'!$E$6:$F$6</c:f>
              <c:numCache>
                <c:formatCode>General</c:formatCode>
                <c:ptCount val="2"/>
                <c:pt idx="0">
                  <c:v>-0.5</c:v>
                </c:pt>
                <c:pt idx="1">
                  <c:v>-0.5</c:v>
                </c:pt>
              </c:numCache>
            </c:numRef>
          </c:val>
          <c:extLst>
            <c:ext xmlns:c16="http://schemas.microsoft.com/office/drawing/2014/chart" uri="{C3380CC4-5D6E-409C-BE32-E72D297353CC}">
              <c16:uniqueId val="{00000004-2629-4C51-97F6-6A0A4845D1A5}"/>
            </c:ext>
          </c:extLst>
        </c:ser>
        <c:dLbls>
          <c:showLegendKey val="0"/>
          <c:showVal val="0"/>
          <c:showCatName val="0"/>
          <c:showSerName val="0"/>
          <c:showPercent val="0"/>
          <c:showBubbleSize val="0"/>
        </c:dLbls>
        <c:gapWidth val="0"/>
        <c:overlap val="-27"/>
        <c:axId val="677479344"/>
        <c:axId val="677479904"/>
      </c:barChart>
      <c:catAx>
        <c:axId val="677479344"/>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2"/>
                    </a:solidFill>
                    <a:latin typeface="+mn-lt"/>
                    <a:ea typeface="+mn-ea"/>
                    <a:cs typeface="+mn-cs"/>
                  </a:defRPr>
                </a:pPr>
                <a:r>
                  <a:rPr lang="sr-Cyrl-RS">
                    <a:solidFill>
                      <a:schemeClr val="tx2"/>
                    </a:solidFill>
                  </a:rPr>
                  <a:t>20</a:t>
                </a:r>
                <a:r>
                  <a:rPr lang="en-GB">
                    <a:solidFill>
                      <a:schemeClr val="tx2"/>
                    </a:solidFill>
                  </a:rPr>
                  <a:t>20</a:t>
                </a:r>
              </a:p>
            </c:rich>
          </c:tx>
          <c:layout>
            <c:manualLayout>
              <c:xMode val="edge"/>
              <c:yMode val="edge"/>
              <c:x val="0.39184401709401717"/>
              <c:y val="3.7278490028489986E-2"/>
            </c:manualLayout>
          </c:layout>
          <c:overlay val="0"/>
          <c:spPr>
            <a:noFill/>
            <a:ln>
              <a:noFill/>
            </a:ln>
            <a:effectLst/>
          </c:spPr>
          <c:txPr>
            <a:bodyPr rot="0" spcFirstLastPara="1" vertOverflow="ellipsis" vert="horz" wrap="square" anchor="ctr" anchorCtr="1"/>
            <a:lstStyle/>
            <a:p>
              <a:pPr>
                <a:defRPr sz="1000" b="1" i="0" u="none" strike="noStrike" kern="1200" baseline="0">
                  <a:solidFill>
                    <a:schemeClr val="tx2"/>
                  </a:solidFill>
                  <a:latin typeface="+mn-lt"/>
                  <a:ea typeface="+mn-ea"/>
                  <a:cs typeface="+mn-cs"/>
                </a:defRPr>
              </a:pPr>
              <a:endParaRPr lang="en-US"/>
            </a:p>
          </c:txPr>
        </c:title>
        <c:majorTickMark val="none"/>
        <c:minorTickMark val="none"/>
        <c:tickLblPos val="none"/>
        <c:spPr>
          <a:noFill/>
          <a:ln w="15875"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bg1"/>
                </a:solidFill>
                <a:latin typeface="+mn-lt"/>
                <a:ea typeface="+mn-ea"/>
                <a:cs typeface="+mn-cs"/>
              </a:defRPr>
            </a:pPr>
            <a:endParaRPr lang="en-US"/>
          </a:p>
        </c:txPr>
        <c:crossAx val="677479904"/>
        <c:crosses val="autoZero"/>
        <c:auto val="1"/>
        <c:lblAlgn val="ctr"/>
        <c:lblOffset val="100"/>
        <c:noMultiLvlLbl val="0"/>
      </c:catAx>
      <c:valAx>
        <c:axId val="677479904"/>
        <c:scaling>
          <c:orientation val="minMax"/>
          <c:max val="0"/>
          <c:min val="-0.70000000000000007"/>
        </c:scaling>
        <c:delete val="0"/>
        <c:axPos val="l"/>
        <c:numFmt formatCode="General"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crossAx val="677479344"/>
        <c:crosses val="autoZero"/>
        <c:crossBetween val="midCat"/>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chemeClr val="tx2"/>
          </a:solidFill>
        </a:defRPr>
      </a:pPr>
      <a:endParaRPr lang="en-US"/>
    </a:p>
  </c:txPr>
  <c:externalData r:id="rId4">
    <c:autoUpdate val="0"/>
  </c:externalData>
  <c:userShapes r:id="rId5"/>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4.9052396878483832E-2"/>
          <c:y val="5.0925925925925923E-2"/>
          <c:w val="0.90189520624303232"/>
          <c:h val="0.79970014245014232"/>
        </c:manualLayout>
      </c:layout>
      <c:barChart>
        <c:barDir val="col"/>
        <c:grouping val="clustered"/>
        <c:varyColors val="0"/>
        <c:ser>
          <c:idx val="0"/>
          <c:order val="0"/>
          <c:tx>
            <c:strRef>
              <c:f>'Osn. makroekon. agregati'!$B$9</c:f>
              <c:strCache>
                <c:ptCount val="1"/>
                <c:pt idx="0">
                  <c:v>Јавни дуг, % БДП</c:v>
                </c:pt>
              </c:strCache>
            </c:strRef>
          </c:tx>
          <c:spPr>
            <a:solidFill>
              <a:srgbClr val="FF0000"/>
            </a:solidFill>
            <a:ln w="127000">
              <a:solidFill>
                <a:schemeClr val="bg1"/>
              </a:solidFill>
            </a:ln>
            <a:effectLst/>
          </c:spPr>
          <c:invertIfNegative val="0"/>
          <c:dPt>
            <c:idx val="0"/>
            <c:invertIfNegative val="0"/>
            <c:bubble3D val="0"/>
            <c:spPr>
              <a:solidFill>
                <a:srgbClr val="2A489A"/>
              </a:solidFill>
              <a:ln w="127000">
                <a:solidFill>
                  <a:schemeClr val="bg1"/>
                </a:solidFill>
              </a:ln>
              <a:effectLst/>
            </c:spPr>
            <c:extLst>
              <c:ext xmlns:c16="http://schemas.microsoft.com/office/drawing/2014/chart" uri="{C3380CC4-5D6E-409C-BE32-E72D297353CC}">
                <c16:uniqueId val="{00000001-06BE-4D05-ACD2-5B395F4995DB}"/>
              </c:ext>
            </c:extLst>
          </c:dPt>
          <c:dPt>
            <c:idx val="1"/>
            <c:invertIfNegative val="0"/>
            <c:bubble3D val="0"/>
            <c:spPr>
              <a:solidFill>
                <a:srgbClr val="ED1C24"/>
              </a:solidFill>
              <a:ln w="127000">
                <a:solidFill>
                  <a:schemeClr val="bg1"/>
                </a:solidFill>
              </a:ln>
              <a:effectLst/>
            </c:spPr>
            <c:extLst>
              <c:ext xmlns:c16="http://schemas.microsoft.com/office/drawing/2014/chart" uri="{C3380CC4-5D6E-409C-BE32-E72D297353CC}">
                <c16:uniqueId val="{00000003-06BE-4D05-ACD2-5B395F4995DB}"/>
              </c:ext>
            </c:extLst>
          </c:dPt>
          <c:dLbls>
            <c:dLbl>
              <c:idx val="0"/>
              <c:layout>
                <c:manualLayout>
                  <c:x val="0.15854370135063589"/>
                  <c:y val="1.3568164902046688E-2"/>
                </c:manualLayout>
              </c:layout>
              <c:tx>
                <c:rich>
                  <a:bodyPr rot="0" spcFirstLastPara="1" vertOverflow="ellipsis" vert="horz" wrap="square" lIns="38100" tIns="19050" rIns="38100" bIns="19050" anchor="ctr" anchorCtr="1">
                    <a:noAutofit/>
                  </a:bodyPr>
                  <a:lstStyle/>
                  <a:p>
                    <a:pPr>
                      <a:defRPr sz="900" b="1" i="0" u="none" strike="noStrike" kern="1200" baseline="0">
                        <a:solidFill>
                          <a:srgbClr val="2A489A"/>
                        </a:solidFill>
                        <a:latin typeface="+mn-lt"/>
                        <a:ea typeface="+mn-ea"/>
                        <a:cs typeface="+mn-cs"/>
                      </a:defRPr>
                    </a:pPr>
                    <a:r>
                      <a:rPr lang="en-US"/>
                      <a:t>52,9</a:t>
                    </a:r>
                  </a:p>
                </c:rich>
              </c:tx>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rgbClr val="2A489A"/>
                      </a:solidFill>
                      <a:latin typeface="+mn-lt"/>
                      <a:ea typeface="+mn-ea"/>
                      <a:cs typeface="+mn-cs"/>
                    </a:defRPr>
                  </a:pPr>
                  <a:endParaRPr lang="en-US"/>
                </a:p>
              </c:txPr>
              <c:dLblPos val="outEnd"/>
              <c:showLegendKey val="0"/>
              <c:showVal val="1"/>
              <c:showCatName val="0"/>
              <c:showSerName val="0"/>
              <c:showPercent val="0"/>
              <c:showBubbleSize val="0"/>
              <c:extLst>
                <c:ext xmlns:c15="http://schemas.microsoft.com/office/drawing/2012/chart" uri="{CE6537A1-D6FC-4f65-9D91-7224C49458BB}">
                  <c15:layout>
                    <c:manualLayout>
                      <c:w val="0.25298082374896269"/>
                      <c:h val="0.14445952057892356"/>
                    </c:manualLayout>
                  </c15:layout>
                </c:ext>
                <c:ext xmlns:c16="http://schemas.microsoft.com/office/drawing/2014/chart" uri="{C3380CC4-5D6E-409C-BE32-E72D297353CC}">
                  <c16:uniqueId val="{00000001-06BE-4D05-ACD2-5B395F4995DB}"/>
                </c:ext>
              </c:extLst>
            </c:dLbl>
            <c:dLbl>
              <c:idx val="1"/>
              <c:layout>
                <c:manualLayout>
                  <c:x val="-6.8921719672792717E-2"/>
                  <c:y val="1.8090684881729643E-2"/>
                </c:manualLayout>
              </c:layout>
              <c:tx>
                <c:rich>
                  <a:bodyPr rot="0" spcFirstLastPara="1" vertOverflow="ellipsis" vert="horz" wrap="square" lIns="38100" tIns="19050" rIns="38100" bIns="19050" anchor="ctr" anchorCtr="1">
                    <a:noAutofit/>
                  </a:bodyPr>
                  <a:lstStyle/>
                  <a:p>
                    <a:pPr>
                      <a:defRPr sz="900" b="1" i="0" u="none" strike="noStrike" kern="1200" baseline="0">
                        <a:solidFill>
                          <a:srgbClr val="ED1C24"/>
                        </a:solidFill>
                        <a:latin typeface="+mn-lt"/>
                        <a:ea typeface="+mn-ea"/>
                        <a:cs typeface="+mn-cs"/>
                      </a:defRPr>
                    </a:pPr>
                    <a:r>
                      <a:rPr lang="en-US"/>
                      <a:t>52,9</a:t>
                    </a:r>
                  </a:p>
                </c:rich>
              </c:tx>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rgbClr val="ED1C24"/>
                      </a:solidFill>
                      <a:latin typeface="+mn-lt"/>
                      <a:ea typeface="+mn-ea"/>
                      <a:cs typeface="+mn-cs"/>
                    </a:defRPr>
                  </a:pPr>
                  <a:endParaRPr lang="en-US"/>
                </a:p>
              </c:txPr>
              <c:dLblPos val="outEnd"/>
              <c:showLegendKey val="0"/>
              <c:showVal val="1"/>
              <c:showCatName val="0"/>
              <c:showSerName val="0"/>
              <c:showPercent val="0"/>
              <c:showBubbleSize val="0"/>
              <c:extLst>
                <c:ext xmlns:c15="http://schemas.microsoft.com/office/drawing/2012/chart" uri="{CE6537A1-D6FC-4f65-9D91-7224C49458BB}">
                  <c15:layout>
                    <c:manualLayout>
                      <c:w val="0.30066799589965415"/>
                      <c:h val="0.13541383989145181"/>
                    </c:manualLayout>
                  </c15:layout>
                </c:ext>
                <c:ext xmlns:c16="http://schemas.microsoft.com/office/drawing/2014/chart" uri="{C3380CC4-5D6E-409C-BE32-E72D297353CC}">
                  <c16:uniqueId val="{00000003-06BE-4D05-ACD2-5B395F4995DB}"/>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agregati'!$C$9:$D$9</c:f>
              <c:numCache>
                <c:formatCode>General</c:formatCode>
                <c:ptCount val="2"/>
                <c:pt idx="0">
                  <c:v>52.9</c:v>
                </c:pt>
                <c:pt idx="1">
                  <c:v>52.9</c:v>
                </c:pt>
              </c:numCache>
            </c:numRef>
          </c:val>
          <c:extLst>
            <c:ext xmlns:c16="http://schemas.microsoft.com/office/drawing/2014/chart" uri="{C3380CC4-5D6E-409C-BE32-E72D297353CC}">
              <c16:uniqueId val="{00000004-06BE-4D05-ACD2-5B395F4995DB}"/>
            </c:ext>
          </c:extLst>
        </c:ser>
        <c:dLbls>
          <c:showLegendKey val="0"/>
          <c:showVal val="0"/>
          <c:showCatName val="0"/>
          <c:showSerName val="0"/>
          <c:showPercent val="0"/>
          <c:showBubbleSize val="0"/>
        </c:dLbls>
        <c:gapWidth val="0"/>
        <c:overlap val="-27"/>
        <c:axId val="677482144"/>
        <c:axId val="677482704"/>
      </c:barChart>
      <c:catAx>
        <c:axId val="677482144"/>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2"/>
                    </a:solidFill>
                    <a:latin typeface="+mn-lt"/>
                    <a:ea typeface="+mn-ea"/>
                    <a:cs typeface="+mn-cs"/>
                  </a:defRPr>
                </a:pPr>
                <a:r>
                  <a:rPr lang="en-US">
                    <a:solidFill>
                      <a:schemeClr val="tx2"/>
                    </a:solidFill>
                  </a:rPr>
                  <a:t>2019</a:t>
                </a:r>
              </a:p>
            </c:rich>
          </c:tx>
          <c:layout>
            <c:manualLayout>
              <c:xMode val="edge"/>
              <c:yMode val="edge"/>
              <c:x val="0.36470726495726496"/>
              <c:y val="0.85138105413105414"/>
            </c:manualLayout>
          </c:layout>
          <c:overlay val="0"/>
          <c:spPr>
            <a:noFill/>
            <a:ln>
              <a:noFill/>
            </a:ln>
            <a:effectLst/>
          </c:spPr>
          <c:txPr>
            <a:bodyPr rot="0" spcFirstLastPara="1" vertOverflow="ellipsis" vert="horz" wrap="square" anchor="ctr" anchorCtr="1"/>
            <a:lstStyle/>
            <a:p>
              <a:pPr>
                <a:defRPr sz="1000" b="1" i="0" u="none" strike="noStrike" kern="1200" baseline="0">
                  <a:solidFill>
                    <a:schemeClr val="tx2"/>
                  </a:solidFill>
                  <a:latin typeface="+mn-lt"/>
                  <a:ea typeface="+mn-ea"/>
                  <a:cs typeface="+mn-cs"/>
                </a:defRPr>
              </a:pPr>
              <a:endParaRPr lang="en-US"/>
            </a:p>
          </c:txPr>
        </c:title>
        <c:majorTickMark val="none"/>
        <c:minorTickMark val="none"/>
        <c:tickLblPos val="none"/>
        <c:spPr>
          <a:noFill/>
          <a:ln w="15875"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bg1"/>
                </a:solidFill>
                <a:latin typeface="+mn-lt"/>
                <a:ea typeface="+mn-ea"/>
                <a:cs typeface="+mn-cs"/>
              </a:defRPr>
            </a:pPr>
            <a:endParaRPr lang="en-US"/>
          </a:p>
        </c:txPr>
        <c:crossAx val="677482704"/>
        <c:crosses val="autoZero"/>
        <c:auto val="1"/>
        <c:lblAlgn val="ctr"/>
        <c:lblOffset val="100"/>
        <c:noMultiLvlLbl val="0"/>
      </c:catAx>
      <c:valAx>
        <c:axId val="677482704"/>
        <c:scaling>
          <c:orientation val="minMax"/>
          <c:min val="0"/>
        </c:scaling>
        <c:delete val="0"/>
        <c:axPos val="l"/>
        <c:numFmt formatCode="General"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crossAx val="677482144"/>
        <c:crosses val="autoZero"/>
        <c:crossBetween val="midCat"/>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chemeClr val="tx2"/>
          </a:solidFill>
        </a:defRPr>
      </a:pPr>
      <a:endParaRPr lang="en-US"/>
    </a:p>
  </c:txPr>
  <c:externalData r:id="rId4">
    <c:autoUpdate val="0"/>
  </c:externalData>
  <c:userShapes r:id="rId5"/>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4.9052396878483832E-2"/>
          <c:y val="5.0925925925925923E-2"/>
          <c:w val="0.90189520624303232"/>
          <c:h val="0.79970014245014232"/>
        </c:manualLayout>
      </c:layout>
      <c:barChart>
        <c:barDir val="col"/>
        <c:grouping val="clustered"/>
        <c:varyColors val="0"/>
        <c:ser>
          <c:idx val="0"/>
          <c:order val="0"/>
          <c:tx>
            <c:strRef>
              <c:f>'Osn. makroekon. agregati'!$B$9</c:f>
              <c:strCache>
                <c:ptCount val="1"/>
                <c:pt idx="0">
                  <c:v>Јавни дуг, % БДП</c:v>
                </c:pt>
              </c:strCache>
            </c:strRef>
          </c:tx>
          <c:spPr>
            <a:solidFill>
              <a:srgbClr val="FF0000"/>
            </a:solidFill>
            <a:ln w="127000">
              <a:solidFill>
                <a:schemeClr val="bg1"/>
              </a:solidFill>
            </a:ln>
            <a:effectLst/>
          </c:spPr>
          <c:invertIfNegative val="0"/>
          <c:dPt>
            <c:idx val="0"/>
            <c:invertIfNegative val="0"/>
            <c:bubble3D val="0"/>
            <c:spPr>
              <a:solidFill>
                <a:srgbClr val="2A489A"/>
              </a:solidFill>
              <a:ln w="127000">
                <a:solidFill>
                  <a:schemeClr val="bg1"/>
                </a:solidFill>
              </a:ln>
              <a:effectLst/>
            </c:spPr>
            <c:extLst>
              <c:ext xmlns:c16="http://schemas.microsoft.com/office/drawing/2014/chart" uri="{C3380CC4-5D6E-409C-BE32-E72D297353CC}">
                <c16:uniqueId val="{00000001-814F-4E2F-BD27-BC9543DB7370}"/>
              </c:ext>
            </c:extLst>
          </c:dPt>
          <c:dPt>
            <c:idx val="1"/>
            <c:invertIfNegative val="0"/>
            <c:bubble3D val="0"/>
            <c:spPr>
              <a:solidFill>
                <a:srgbClr val="ED1C24"/>
              </a:solidFill>
              <a:ln w="127000">
                <a:solidFill>
                  <a:schemeClr val="bg1"/>
                </a:solidFill>
              </a:ln>
              <a:effectLst/>
            </c:spPr>
            <c:extLst>
              <c:ext xmlns:c16="http://schemas.microsoft.com/office/drawing/2014/chart" uri="{C3380CC4-5D6E-409C-BE32-E72D297353CC}">
                <c16:uniqueId val="{00000003-814F-4E2F-BD27-BC9543DB7370}"/>
              </c:ext>
            </c:extLst>
          </c:dPt>
          <c:dLbls>
            <c:dLbl>
              <c:idx val="0"/>
              <c:layout>
                <c:manualLayout>
                  <c:x val="0.12516230535560735"/>
                  <c:y val="4.5227691179036793E-2"/>
                </c:manualLayout>
              </c:layout>
              <c:tx>
                <c:rich>
                  <a:bodyPr rot="0" spcFirstLastPara="1" vertOverflow="ellipsis" vert="horz" wrap="square" lIns="38100" tIns="19050" rIns="38100" bIns="19050" anchor="ctr" anchorCtr="1">
                    <a:noAutofit/>
                  </a:bodyPr>
                  <a:lstStyle/>
                  <a:p>
                    <a:pPr>
                      <a:defRPr sz="900" b="1" i="0" u="none" strike="noStrike" kern="1200" baseline="0">
                        <a:solidFill>
                          <a:srgbClr val="2A489A"/>
                        </a:solidFill>
                        <a:latin typeface="+mn-lt"/>
                        <a:ea typeface="+mn-ea"/>
                        <a:cs typeface="+mn-cs"/>
                      </a:defRPr>
                    </a:pPr>
                    <a:r>
                      <a:rPr lang="en-US"/>
                      <a:t>51,4</a:t>
                    </a:r>
                  </a:p>
                </c:rich>
              </c:tx>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rgbClr val="2A489A"/>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15:layout>
                    <c:manualLayout>
                      <c:w val="0.28159312703937756"/>
                      <c:h val="0.17159656264133877"/>
                    </c:manualLayout>
                  </c15:layout>
                </c:ext>
                <c:ext xmlns:c16="http://schemas.microsoft.com/office/drawing/2014/chart" uri="{C3380CC4-5D6E-409C-BE32-E72D297353CC}">
                  <c16:uniqueId val="{00000001-814F-4E2F-BD27-BC9543DB7370}"/>
                </c:ext>
              </c:extLst>
            </c:dLbl>
            <c:dLbl>
              <c:idx val="1"/>
              <c:layout>
                <c:manualLayout>
                  <c:x val="-9.2273176153410005E-2"/>
                  <c:y val="4.5227691179036814E-2"/>
                </c:manualLayout>
              </c:layout>
              <c:tx>
                <c:rich>
                  <a:bodyPr rot="0" spcFirstLastPara="1" vertOverflow="ellipsis" vert="horz" wrap="square" lIns="38100" tIns="19050" rIns="38100" bIns="19050" anchor="ctr" anchorCtr="1">
                    <a:noAutofit/>
                  </a:bodyPr>
                  <a:lstStyle/>
                  <a:p>
                    <a:pPr>
                      <a:defRPr sz="900" b="1" i="0" u="none" strike="noStrike" kern="1200" baseline="0">
                        <a:solidFill>
                          <a:srgbClr val="ED1C24"/>
                        </a:solidFill>
                        <a:latin typeface="+mn-lt"/>
                        <a:ea typeface="+mn-ea"/>
                        <a:cs typeface="+mn-cs"/>
                      </a:defRPr>
                    </a:pPr>
                    <a:r>
                      <a:rPr lang="en-US"/>
                      <a:t>51,4</a:t>
                    </a:r>
                  </a:p>
                </c:rich>
              </c:tx>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rgbClr val="ED1C24"/>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15:layout>
                    <c:manualLayout>
                      <c:w val="0.27205569260923923"/>
                      <c:h val="0.18968792401628223"/>
                    </c:manualLayout>
                  </c15:layout>
                </c:ext>
                <c:ext xmlns:c16="http://schemas.microsoft.com/office/drawing/2014/chart" uri="{C3380CC4-5D6E-409C-BE32-E72D297353CC}">
                  <c16:uniqueId val="{00000003-814F-4E2F-BD27-BC9543DB7370}"/>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FF0000"/>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agregati'!$E$9:$F$9</c:f>
              <c:numCache>
                <c:formatCode>0.0</c:formatCode>
                <c:ptCount val="2"/>
                <c:pt idx="0">
                  <c:v>51.4</c:v>
                </c:pt>
                <c:pt idx="1">
                  <c:v>51.4</c:v>
                </c:pt>
              </c:numCache>
            </c:numRef>
          </c:val>
          <c:extLst>
            <c:ext xmlns:c16="http://schemas.microsoft.com/office/drawing/2014/chart" uri="{C3380CC4-5D6E-409C-BE32-E72D297353CC}">
              <c16:uniqueId val="{00000004-814F-4E2F-BD27-BC9543DB7370}"/>
            </c:ext>
          </c:extLst>
        </c:ser>
        <c:dLbls>
          <c:showLegendKey val="0"/>
          <c:showVal val="0"/>
          <c:showCatName val="0"/>
          <c:showSerName val="0"/>
          <c:showPercent val="0"/>
          <c:showBubbleSize val="0"/>
        </c:dLbls>
        <c:gapWidth val="0"/>
        <c:overlap val="-27"/>
        <c:axId val="677484944"/>
        <c:axId val="677485504"/>
      </c:barChart>
      <c:catAx>
        <c:axId val="677484944"/>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2"/>
                    </a:solidFill>
                    <a:latin typeface="+mn-lt"/>
                    <a:ea typeface="+mn-ea"/>
                    <a:cs typeface="+mn-cs"/>
                  </a:defRPr>
                </a:pPr>
                <a:r>
                  <a:rPr lang="en-US">
                    <a:solidFill>
                      <a:schemeClr val="tx2"/>
                    </a:solidFill>
                  </a:rPr>
                  <a:t>2020</a:t>
                </a:r>
              </a:p>
            </c:rich>
          </c:tx>
          <c:layout>
            <c:manualLayout>
              <c:xMode val="edge"/>
              <c:yMode val="edge"/>
              <c:x val="0.36470726495726496"/>
              <c:y val="0.85138105413105414"/>
            </c:manualLayout>
          </c:layout>
          <c:overlay val="0"/>
          <c:spPr>
            <a:noFill/>
            <a:ln>
              <a:noFill/>
            </a:ln>
            <a:effectLst/>
          </c:spPr>
          <c:txPr>
            <a:bodyPr rot="0" spcFirstLastPara="1" vertOverflow="ellipsis" vert="horz" wrap="square" anchor="ctr" anchorCtr="1"/>
            <a:lstStyle/>
            <a:p>
              <a:pPr>
                <a:defRPr sz="1000" b="1" i="0" u="none" strike="noStrike" kern="1200" baseline="0">
                  <a:solidFill>
                    <a:schemeClr val="tx2"/>
                  </a:solidFill>
                  <a:latin typeface="+mn-lt"/>
                  <a:ea typeface="+mn-ea"/>
                  <a:cs typeface="+mn-cs"/>
                </a:defRPr>
              </a:pPr>
              <a:endParaRPr lang="en-US"/>
            </a:p>
          </c:txPr>
        </c:title>
        <c:majorTickMark val="none"/>
        <c:minorTickMark val="none"/>
        <c:tickLblPos val="none"/>
        <c:spPr>
          <a:noFill/>
          <a:ln w="15875"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bg1"/>
                </a:solidFill>
                <a:latin typeface="+mn-lt"/>
                <a:ea typeface="+mn-ea"/>
                <a:cs typeface="+mn-cs"/>
              </a:defRPr>
            </a:pPr>
            <a:endParaRPr lang="en-US"/>
          </a:p>
        </c:txPr>
        <c:crossAx val="677485504"/>
        <c:crosses val="autoZero"/>
        <c:auto val="1"/>
        <c:lblAlgn val="ctr"/>
        <c:lblOffset val="100"/>
        <c:noMultiLvlLbl val="0"/>
      </c:catAx>
      <c:valAx>
        <c:axId val="677485504"/>
        <c:scaling>
          <c:orientation val="minMax"/>
          <c:max val="60"/>
          <c:min val="25"/>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crossAx val="677484944"/>
        <c:crosses val="autoZero"/>
        <c:crossBetween val="midCat"/>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chemeClr val="tx2"/>
          </a:solidFill>
        </a:defRPr>
      </a:pPr>
      <a:endParaRPr lang="en-US"/>
    </a:p>
  </c:txPr>
  <c:externalData r:id="rId4">
    <c:autoUpdate val="0"/>
  </c:externalData>
  <c:userShapes r:id="rId5"/>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0"/>
          <c:order val="0"/>
          <c:tx>
            <c:strRef>
              <c:f>'Prerađivačka_6 graf'!$G$7</c:f>
              <c:strCache>
                <c:ptCount val="1"/>
                <c:pt idx="0">
                  <c:v>y</c:v>
                </c:pt>
              </c:strCache>
            </c:strRef>
          </c:tx>
          <c:spPr>
            <a:ln w="12700" cap="rnd">
              <a:solidFill>
                <a:srgbClr val="7F3F98"/>
              </a:solidFill>
              <a:prstDash val="sysDash"/>
              <a:round/>
            </a:ln>
            <a:effectLst/>
          </c:spPr>
          <c:marker>
            <c:symbol val="none"/>
          </c:marker>
          <c:cat>
            <c:numRef>
              <c:f>'Prerađivačka_6 graf'!$A$20:$A$51</c:f>
              <c:numCache>
                <c:formatCode>yyyy</c:formatCode>
                <c:ptCount val="32"/>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pt idx="31">
                  <c:v>43678</c:v>
                </c:pt>
              </c:numCache>
            </c:numRef>
          </c:cat>
          <c:val>
            <c:numRef>
              <c:f>'Prerađivačka_6 graf'!$G$20:$G$51</c:f>
              <c:numCache>
                <c:formatCode>0.0</c:formatCode>
                <c:ptCount val="32"/>
                <c:pt idx="0">
                  <c:v>78.230857727214641</c:v>
                </c:pt>
                <c:pt idx="1">
                  <c:v>89.351911031573593</c:v>
                </c:pt>
                <c:pt idx="2">
                  <c:v>107.29899015722873</c:v>
                </c:pt>
                <c:pt idx="3">
                  <c:v>96.944906046273843</c:v>
                </c:pt>
                <c:pt idx="4">
                  <c:v>104.00102262559123</c:v>
                </c:pt>
                <c:pt idx="5">
                  <c:v>110.98044228556823</c:v>
                </c:pt>
                <c:pt idx="6">
                  <c:v>97.481784481656675</c:v>
                </c:pt>
                <c:pt idx="7">
                  <c:v>104.23111338361247</c:v>
                </c:pt>
                <c:pt idx="8">
                  <c:v>105.53496101239936</c:v>
                </c:pt>
                <c:pt idx="9">
                  <c:v>106.9155055605267</c:v>
                </c:pt>
                <c:pt idx="10">
                  <c:v>97.481784481656675</c:v>
                </c:pt>
                <c:pt idx="11">
                  <c:v>84.980186629170419</c:v>
                </c:pt>
                <c:pt idx="12">
                  <c:v>82.832201745877796</c:v>
                </c:pt>
                <c:pt idx="13">
                  <c:v>95.502392344497594</c:v>
                </c:pt>
                <c:pt idx="14">
                  <c:v>110.79766536964981</c:v>
                </c:pt>
                <c:pt idx="15">
                  <c:v>93.085106382978722</c:v>
                </c:pt>
                <c:pt idx="16">
                  <c:v>102.22222222222224</c:v>
                </c:pt>
                <c:pt idx="17">
                  <c:v>106.11222444889781</c:v>
                </c:pt>
                <c:pt idx="18">
                  <c:v>107.36543909348441</c:v>
                </c:pt>
                <c:pt idx="19">
                  <c:v>101.83299389002036</c:v>
                </c:pt>
                <c:pt idx="20">
                  <c:v>105.15147641569733</c:v>
                </c:pt>
                <c:pt idx="21">
                  <c:v>110.06007925348335</c:v>
                </c:pt>
                <c:pt idx="22">
                  <c:v>101.316630448677</c:v>
                </c:pt>
                <c:pt idx="23">
                  <c:v>84.443308193787573</c:v>
                </c:pt>
                <c:pt idx="24">
                  <c:v>85.4</c:v>
                </c:pt>
                <c:pt idx="25">
                  <c:v>99.8</c:v>
                </c:pt>
                <c:pt idx="26">
                  <c:v>113.9</c:v>
                </c:pt>
                <c:pt idx="27">
                  <c:v>105</c:v>
                </c:pt>
                <c:pt idx="28">
                  <c:v>110.4</c:v>
                </c:pt>
                <c:pt idx="29">
                  <c:v>105.9</c:v>
                </c:pt>
                <c:pt idx="30">
                  <c:v>113.7</c:v>
                </c:pt>
                <c:pt idx="31">
                  <c:v>100</c:v>
                </c:pt>
              </c:numCache>
            </c:numRef>
          </c:val>
          <c:smooth val="0"/>
          <c:extLst>
            <c:ext xmlns:c16="http://schemas.microsoft.com/office/drawing/2014/chart" uri="{C3380CC4-5D6E-409C-BE32-E72D297353CC}">
              <c16:uniqueId val="{00000000-5347-4826-AEAC-665E5CDA37FE}"/>
            </c:ext>
          </c:extLst>
        </c:ser>
        <c:ser>
          <c:idx val="1"/>
          <c:order val="1"/>
          <c:tx>
            <c:strRef>
              <c:f>'Prerađivačka_6 graf'!$H$7</c:f>
              <c:strCache>
                <c:ptCount val="1"/>
                <c:pt idx="0">
                  <c:v>sa</c:v>
                </c:pt>
              </c:strCache>
            </c:strRef>
          </c:tx>
          <c:spPr>
            <a:ln w="22225" cap="rnd">
              <a:solidFill>
                <a:srgbClr val="25AAE1"/>
              </a:solidFill>
              <a:round/>
            </a:ln>
            <a:effectLst/>
          </c:spPr>
          <c:marker>
            <c:symbol val="none"/>
          </c:marker>
          <c:cat>
            <c:numRef>
              <c:f>'Prerađivačka_6 graf'!$A$20:$A$51</c:f>
              <c:numCache>
                <c:formatCode>yyyy</c:formatCode>
                <c:ptCount val="32"/>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pt idx="31">
                  <c:v>43678</c:v>
                </c:pt>
              </c:numCache>
            </c:numRef>
          </c:cat>
          <c:val>
            <c:numRef>
              <c:f>'Prerađivačka_6 graf'!$H$20:$H$51</c:f>
              <c:numCache>
                <c:formatCode>0.0</c:formatCode>
                <c:ptCount val="32"/>
                <c:pt idx="0">
                  <c:v>92.618467084967875</c:v>
                </c:pt>
                <c:pt idx="1">
                  <c:v>95.923010576293564</c:v>
                </c:pt>
                <c:pt idx="2">
                  <c:v>94.785085147742635</c:v>
                </c:pt>
                <c:pt idx="3">
                  <c:v>99.591563753772576</c:v>
                </c:pt>
                <c:pt idx="4">
                  <c:v>99.135774899434111</c:v>
                </c:pt>
                <c:pt idx="5">
                  <c:v>100.97439773888384</c:v>
                </c:pt>
                <c:pt idx="6">
                  <c:v>93.131537623533674</c:v>
                </c:pt>
                <c:pt idx="7">
                  <c:v>105.44475964784947</c:v>
                </c:pt>
                <c:pt idx="8">
                  <c:v>100.36606360437173</c:v>
                </c:pt>
                <c:pt idx="9">
                  <c:v>100.94075309505905</c:v>
                </c:pt>
                <c:pt idx="10">
                  <c:v>100.95214376372442</c:v>
                </c:pt>
                <c:pt idx="11">
                  <c:v>98.274732400777538</c:v>
                </c:pt>
                <c:pt idx="12">
                  <c:v>98.905427061948828</c:v>
                </c:pt>
                <c:pt idx="13">
                  <c:v>101.51752057316065</c:v>
                </c:pt>
                <c:pt idx="14">
                  <c:v>100.04363674491697</c:v>
                </c:pt>
                <c:pt idx="15">
                  <c:v>93.687205216466253</c:v>
                </c:pt>
                <c:pt idx="16">
                  <c:v>97.399508635948891</c:v>
                </c:pt>
                <c:pt idx="17">
                  <c:v>98.951130263564451</c:v>
                </c:pt>
                <c:pt idx="18">
                  <c:v>100.74795011657332</c:v>
                </c:pt>
                <c:pt idx="19">
                  <c:v>102.41664381677332</c:v>
                </c:pt>
                <c:pt idx="20">
                  <c:v>101.84539373036867</c:v>
                </c:pt>
                <c:pt idx="21">
                  <c:v>102.30369569258795</c:v>
                </c:pt>
                <c:pt idx="22">
                  <c:v>103.72026983515953</c:v>
                </c:pt>
                <c:pt idx="23">
                  <c:v>98.40246474926073</c:v>
                </c:pt>
                <c:pt idx="24">
                  <c:v>103.69537812679935</c:v>
                </c:pt>
                <c:pt idx="25">
                  <c:v>103.89895010862493</c:v>
                </c:pt>
                <c:pt idx="26">
                  <c:v>104.24264470403753</c:v>
                </c:pt>
                <c:pt idx="27">
                  <c:v>104.18879159469788</c:v>
                </c:pt>
                <c:pt idx="28">
                  <c:v>105.40251611103778</c:v>
                </c:pt>
                <c:pt idx="29">
                  <c:v>101.02712768597789</c:v>
                </c:pt>
                <c:pt idx="30">
                  <c:v>104.69769857745588</c:v>
                </c:pt>
                <c:pt idx="31">
                  <c:v>101.84417486541668</c:v>
                </c:pt>
              </c:numCache>
            </c:numRef>
          </c:val>
          <c:smooth val="0"/>
          <c:extLst>
            <c:ext xmlns:c16="http://schemas.microsoft.com/office/drawing/2014/chart" uri="{C3380CC4-5D6E-409C-BE32-E72D297353CC}">
              <c16:uniqueId val="{00000001-5347-4826-AEAC-665E5CDA37FE}"/>
            </c:ext>
          </c:extLst>
        </c:ser>
        <c:ser>
          <c:idx val="2"/>
          <c:order val="2"/>
          <c:tx>
            <c:strRef>
              <c:f>'Prerađivačka_6 graf'!$I$7</c:f>
              <c:strCache>
                <c:ptCount val="1"/>
                <c:pt idx="0">
                  <c:v>t</c:v>
                </c:pt>
              </c:strCache>
            </c:strRef>
          </c:tx>
          <c:spPr>
            <a:ln w="25400" cap="rnd">
              <a:solidFill>
                <a:srgbClr val="FF0000"/>
              </a:solidFill>
              <a:round/>
            </a:ln>
            <a:effectLst/>
          </c:spPr>
          <c:marker>
            <c:symbol val="none"/>
          </c:marker>
          <c:cat>
            <c:numRef>
              <c:f>'Prerađivačka_6 graf'!$A$20:$A$51</c:f>
              <c:numCache>
                <c:formatCode>yyyy</c:formatCode>
                <c:ptCount val="32"/>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pt idx="31">
                  <c:v>43678</c:v>
                </c:pt>
              </c:numCache>
            </c:numRef>
          </c:cat>
          <c:val>
            <c:numRef>
              <c:f>'Prerađivačka_6 graf'!$I$20:$I$51</c:f>
              <c:numCache>
                <c:formatCode>0.0</c:formatCode>
                <c:ptCount val="32"/>
                <c:pt idx="0">
                  <c:v>94.032547651821247</c:v>
                </c:pt>
                <c:pt idx="1">
                  <c:v>95.388091808507312</c:v>
                </c:pt>
                <c:pt idx="2">
                  <c:v>96.761992191118267</c:v>
                </c:pt>
                <c:pt idx="3">
                  <c:v>98.186657349328826</c:v>
                </c:pt>
                <c:pt idx="4">
                  <c:v>99.588685909727772</c:v>
                </c:pt>
                <c:pt idx="5">
                  <c:v>100.83058021774981</c:v>
                </c:pt>
                <c:pt idx="6">
                  <c:v>101.64681520403751</c:v>
                </c:pt>
                <c:pt idx="7">
                  <c:v>101.81245799134918</c:v>
                </c:pt>
                <c:pt idx="8">
                  <c:v>101.48463642156401</c:v>
                </c:pt>
                <c:pt idx="9">
                  <c:v>100.93039557827976</c:v>
                </c:pt>
                <c:pt idx="10">
                  <c:v>100.4249750804688</c:v>
                </c:pt>
                <c:pt idx="11">
                  <c:v>99.983419454659668</c:v>
                </c:pt>
                <c:pt idx="12">
                  <c:v>99.609998633015621</c:v>
                </c:pt>
                <c:pt idx="13">
                  <c:v>99.23743090202187</c:v>
                </c:pt>
                <c:pt idx="14">
                  <c:v>98.913445411818969</c:v>
                </c:pt>
                <c:pt idx="15">
                  <c:v>98.730653244073949</c:v>
                </c:pt>
                <c:pt idx="16">
                  <c:v>98.858921150050264</c:v>
                </c:pt>
                <c:pt idx="17">
                  <c:v>99.408442363192066</c:v>
                </c:pt>
                <c:pt idx="18">
                  <c:v>100.25168882087333</c:v>
                </c:pt>
                <c:pt idx="19">
                  <c:v>101.1852336476765</c:v>
                </c:pt>
                <c:pt idx="20">
                  <c:v>101.91856429231053</c:v>
                </c:pt>
                <c:pt idx="21">
                  <c:v>102.3008075906653</c:v>
                </c:pt>
                <c:pt idx="22">
                  <c:v>102.45198997789097</c:v>
                </c:pt>
                <c:pt idx="23">
                  <c:v>102.70518650629442</c:v>
                </c:pt>
                <c:pt idx="24">
                  <c:v>103.09681963669743</c:v>
                </c:pt>
                <c:pt idx="25">
                  <c:v>103.57135959084897</c:v>
                </c:pt>
                <c:pt idx="26">
                  <c:v>103.91101487732448</c:v>
                </c:pt>
                <c:pt idx="27">
                  <c:v>103.97294789287295</c:v>
                </c:pt>
                <c:pt idx="28">
                  <c:v>103.79844742377202</c:v>
                </c:pt>
                <c:pt idx="29">
                  <c:v>103.53882242402939</c:v>
                </c:pt>
                <c:pt idx="30">
                  <c:v>103.38996437309055</c:v>
                </c:pt>
                <c:pt idx="31">
                  <c:v>103.56325674349458</c:v>
                </c:pt>
              </c:numCache>
            </c:numRef>
          </c:val>
          <c:smooth val="0"/>
          <c:extLst>
            <c:ext xmlns:c16="http://schemas.microsoft.com/office/drawing/2014/chart" uri="{C3380CC4-5D6E-409C-BE32-E72D297353CC}">
              <c16:uniqueId val="{00000002-5347-4826-AEAC-665E5CDA37FE}"/>
            </c:ext>
          </c:extLst>
        </c:ser>
        <c:ser>
          <c:idx val="3"/>
          <c:order val="3"/>
          <c:spPr>
            <a:ln w="28575" cap="rnd">
              <a:noFill/>
              <a:round/>
            </a:ln>
            <a:effectLst/>
          </c:spPr>
          <c:marker>
            <c:symbol val="square"/>
            <c:size val="2"/>
            <c:spPr>
              <a:solidFill>
                <a:sysClr val="window" lastClr="FFFFFF"/>
              </a:solidFill>
              <a:ln w="9525">
                <a:noFill/>
              </a:ln>
              <a:effectLst/>
            </c:spPr>
          </c:marker>
          <c:dLbls>
            <c:dLbl>
              <c:idx val="0"/>
              <c:layout>
                <c:manualLayout>
                  <c:x val="0.10720730585000222"/>
                  <c:y val="4.579608585858585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347-4826-AEAC-665E5CDA37FE}"/>
                </c:ext>
              </c:extLst>
            </c:dLbl>
            <c:dLbl>
              <c:idx val="12"/>
              <c:layout>
                <c:manualLayout>
                  <c:x val="0.10280677584601056"/>
                  <c:y val="4.579608585858585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5347-4826-AEAC-665E5CDA37FE}"/>
                </c:ext>
              </c:extLst>
            </c:dLbl>
            <c:dLbl>
              <c:idx val="24"/>
              <c:layout>
                <c:manualLayout>
                  <c:x val="3.7523700492304961E-2"/>
                  <c:y val="4.579608585858585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5347-4826-AEAC-665E5CDA37FE}"/>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'Prerađivačka_6 graf'!$A$20:$A$51</c:f>
              <c:numCache>
                <c:formatCode>yyyy</c:formatCode>
                <c:ptCount val="32"/>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pt idx="31">
                  <c:v>43678</c:v>
                </c:pt>
              </c:numCache>
            </c:numRef>
          </c:cat>
          <c:val>
            <c:numRef>
              <c:f>'Prerađivačka_6 graf'!$B$20:$B$51</c:f>
              <c:numCache>
                <c:formatCode>General</c:formatCode>
                <c:ptCount val="32"/>
                <c:pt idx="0">
                  <c:v>70</c:v>
                </c:pt>
                <c:pt idx="12">
                  <c:v>70</c:v>
                </c:pt>
                <c:pt idx="24">
                  <c:v>70</c:v>
                </c:pt>
              </c:numCache>
            </c:numRef>
          </c:val>
          <c:smooth val="0"/>
          <c:extLst>
            <c:ext xmlns:c16="http://schemas.microsoft.com/office/drawing/2014/chart" uri="{C3380CC4-5D6E-409C-BE32-E72D297353CC}">
              <c16:uniqueId val="{00000006-5347-4826-AEAC-665E5CDA37FE}"/>
            </c:ext>
          </c:extLst>
        </c:ser>
        <c:dLbls>
          <c:showLegendKey val="0"/>
          <c:showVal val="0"/>
          <c:showCatName val="0"/>
          <c:showSerName val="0"/>
          <c:showPercent val="0"/>
          <c:showBubbleSize val="0"/>
        </c:dLbls>
        <c:marker val="1"/>
        <c:smooth val="0"/>
        <c:axId val="252679280"/>
        <c:axId val="252679840"/>
      </c:lineChart>
      <c:lineChart>
        <c:grouping val="standard"/>
        <c:varyColors val="0"/>
        <c:ser>
          <c:idx val="4"/>
          <c:order val="4"/>
          <c:spPr>
            <a:ln w="28575" cap="rnd">
              <a:noFill/>
              <a:round/>
            </a:ln>
            <a:effectLst/>
          </c:spPr>
          <c:marker>
            <c:symbol val="none"/>
          </c:marker>
          <c:dLbls>
            <c:spPr>
              <a:noFill/>
              <a:ln>
                <a:noFill/>
              </a:ln>
              <a:effectLst/>
            </c:spPr>
            <c:txPr>
              <a:bodyPr rot="0" spcFirstLastPara="1" vertOverflow="ellipsis" vert="horz" wrap="square" anchor="ctr" anchorCtr="1"/>
              <a:lstStyle/>
              <a:p>
                <a:pPr>
                  <a:defRPr sz="500" b="0" i="0" u="none" strike="noStrike" kern="1200" baseline="0">
                    <a:solidFill>
                      <a:schemeClr val="tx2"/>
                    </a:solidFill>
                    <a:latin typeface="+mn-lt"/>
                    <a:ea typeface="+mn-ea"/>
                    <a:cs typeface="+mn-cs"/>
                  </a:defRPr>
                </a:pPr>
                <a:endParaRPr lang="en-US"/>
              </a:p>
            </c:txPr>
            <c:dLblPos val="t"/>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strRef>
              <c:f>'Prerađivačka_6 graf'!$E$20:$E$51</c:f>
              <c:strCache>
                <c:ptCount val="32"/>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pt idx="21">
                  <c:v>X</c:v>
                </c:pt>
                <c:pt idx="22">
                  <c:v>XI</c:v>
                </c:pt>
                <c:pt idx="23">
                  <c:v>XII</c:v>
                </c:pt>
                <c:pt idx="24">
                  <c:v>I</c:v>
                </c:pt>
                <c:pt idx="25">
                  <c:v>II</c:v>
                </c:pt>
                <c:pt idx="26">
                  <c:v>III</c:v>
                </c:pt>
                <c:pt idx="27">
                  <c:v>IV</c:v>
                </c:pt>
                <c:pt idx="28">
                  <c:v>V</c:v>
                </c:pt>
                <c:pt idx="29">
                  <c:v>VI</c:v>
                </c:pt>
                <c:pt idx="30">
                  <c:v>VII</c:v>
                </c:pt>
                <c:pt idx="31">
                  <c:v>VIII</c:v>
                </c:pt>
              </c:strCache>
            </c:strRef>
          </c:cat>
          <c:val>
            <c:numRef>
              <c:f>'Prerađivačka_6 graf'!$C$20:$C$51</c:f>
              <c:numCache>
                <c:formatCode>General</c:formatCode>
                <c:ptCount val="32"/>
                <c:pt idx="0">
                  <c:v>70</c:v>
                </c:pt>
                <c:pt idx="1">
                  <c:v>70</c:v>
                </c:pt>
                <c:pt idx="2">
                  <c:v>70</c:v>
                </c:pt>
                <c:pt idx="3">
                  <c:v>70</c:v>
                </c:pt>
                <c:pt idx="4">
                  <c:v>70</c:v>
                </c:pt>
                <c:pt idx="5">
                  <c:v>70</c:v>
                </c:pt>
                <c:pt idx="6">
                  <c:v>70</c:v>
                </c:pt>
                <c:pt idx="7">
                  <c:v>70</c:v>
                </c:pt>
                <c:pt idx="8">
                  <c:v>70</c:v>
                </c:pt>
                <c:pt idx="9">
                  <c:v>70</c:v>
                </c:pt>
                <c:pt idx="10">
                  <c:v>70</c:v>
                </c:pt>
                <c:pt idx="11">
                  <c:v>70</c:v>
                </c:pt>
                <c:pt idx="12">
                  <c:v>70</c:v>
                </c:pt>
                <c:pt idx="13">
                  <c:v>70</c:v>
                </c:pt>
                <c:pt idx="14">
                  <c:v>70</c:v>
                </c:pt>
                <c:pt idx="15">
                  <c:v>70</c:v>
                </c:pt>
                <c:pt idx="16">
                  <c:v>70</c:v>
                </c:pt>
                <c:pt idx="17">
                  <c:v>70</c:v>
                </c:pt>
                <c:pt idx="18">
                  <c:v>70</c:v>
                </c:pt>
                <c:pt idx="19">
                  <c:v>70</c:v>
                </c:pt>
                <c:pt idx="20">
                  <c:v>70</c:v>
                </c:pt>
                <c:pt idx="21">
                  <c:v>70</c:v>
                </c:pt>
                <c:pt idx="22">
                  <c:v>70</c:v>
                </c:pt>
                <c:pt idx="23">
                  <c:v>70</c:v>
                </c:pt>
                <c:pt idx="24">
                  <c:v>70</c:v>
                </c:pt>
                <c:pt idx="25">
                  <c:v>70</c:v>
                </c:pt>
                <c:pt idx="26">
                  <c:v>70</c:v>
                </c:pt>
                <c:pt idx="27">
                  <c:v>70</c:v>
                </c:pt>
                <c:pt idx="28">
                  <c:v>70</c:v>
                </c:pt>
                <c:pt idx="29">
                  <c:v>70</c:v>
                </c:pt>
                <c:pt idx="30">
                  <c:v>70</c:v>
                </c:pt>
                <c:pt idx="31">
                  <c:v>70</c:v>
                </c:pt>
              </c:numCache>
            </c:numRef>
          </c:val>
          <c:smooth val="0"/>
          <c:extLst>
            <c:ext xmlns:c16="http://schemas.microsoft.com/office/drawing/2014/chart" uri="{C3380CC4-5D6E-409C-BE32-E72D297353CC}">
              <c16:uniqueId val="{00000007-5347-4826-AEAC-665E5CDA37FE}"/>
            </c:ext>
          </c:extLst>
        </c:ser>
        <c:dLbls>
          <c:showLegendKey val="0"/>
          <c:showVal val="0"/>
          <c:showCatName val="0"/>
          <c:showSerName val="0"/>
          <c:showPercent val="0"/>
          <c:showBubbleSize val="0"/>
        </c:dLbls>
        <c:marker val="1"/>
        <c:smooth val="0"/>
        <c:axId val="319332432"/>
        <c:axId val="319331872"/>
      </c:lineChart>
      <c:dateAx>
        <c:axId val="252679280"/>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en-US"/>
          </a:p>
        </c:txPr>
        <c:crossAx val="252679840"/>
        <c:crosses val="autoZero"/>
        <c:auto val="1"/>
        <c:lblOffset val="0"/>
        <c:baseTimeUnit val="months"/>
        <c:majorUnit val="12"/>
        <c:majorTimeUnit val="months"/>
      </c:dateAx>
      <c:valAx>
        <c:axId val="252679840"/>
        <c:scaling>
          <c:orientation val="minMax"/>
          <c:max val="120"/>
          <c:min val="7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252679280"/>
        <c:crosses val="autoZero"/>
        <c:crossBetween val="midCat"/>
      </c:valAx>
      <c:valAx>
        <c:axId val="319331872"/>
        <c:scaling>
          <c:orientation val="minMax"/>
          <c:max val="120"/>
          <c:min val="70"/>
        </c:scaling>
        <c:delete val="0"/>
        <c:axPos val="r"/>
        <c:numFmt formatCode="General" sourceLinked="1"/>
        <c:majorTickMark val="out"/>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19332432"/>
        <c:crosses val="max"/>
        <c:crossBetween val="midCat"/>
        <c:majorUnit val="20"/>
      </c:valAx>
      <c:catAx>
        <c:axId val="319332432"/>
        <c:scaling>
          <c:orientation val="minMax"/>
        </c:scaling>
        <c:delete val="0"/>
        <c:axPos val="t"/>
        <c:numFmt formatCode="General" sourceLinked="1"/>
        <c:majorTickMark val="out"/>
        <c:minorTickMark val="none"/>
        <c:tickLblPos val="none"/>
        <c:spPr>
          <a:noFill/>
          <a:ln w="9525" cap="flat" cmpd="sng" algn="ctr">
            <a:no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19331872"/>
        <c:crosses val="max"/>
        <c:auto val="1"/>
        <c:lblAlgn val="ctr"/>
        <c:lblOffset val="100"/>
        <c:noMultiLvlLbl val="0"/>
      </c:cat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en-US"/>
    </a:p>
  </c:txPr>
  <c:externalData r:id="rId4">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0"/>
          <c:order val="0"/>
          <c:tx>
            <c:strRef>
              <c:f>'Prerađivačka_6 graf'!$G$7</c:f>
              <c:strCache>
                <c:ptCount val="1"/>
                <c:pt idx="0">
                  <c:v>y</c:v>
                </c:pt>
              </c:strCache>
            </c:strRef>
          </c:tx>
          <c:spPr>
            <a:ln w="12700" cap="rnd">
              <a:solidFill>
                <a:srgbClr val="7F3F98"/>
              </a:solidFill>
              <a:prstDash val="sysDash"/>
              <a:round/>
            </a:ln>
            <a:effectLst/>
          </c:spPr>
          <c:marker>
            <c:symbol val="none"/>
          </c:marker>
          <c:cat>
            <c:numRef>
              <c:f>'Prerađivačka_6 graf'!$A$20:$A$51</c:f>
              <c:numCache>
                <c:formatCode>yyyy</c:formatCode>
                <c:ptCount val="32"/>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pt idx="31">
                  <c:v>43678</c:v>
                </c:pt>
              </c:numCache>
            </c:numRef>
          </c:cat>
          <c:val>
            <c:numRef>
              <c:f>'Prerađivačka_6 graf'!$L$20:$L$51</c:f>
              <c:numCache>
                <c:formatCode>0.0</c:formatCode>
                <c:ptCount val="32"/>
                <c:pt idx="0">
                  <c:v>86.765252285000003</c:v>
                </c:pt>
                <c:pt idx="1">
                  <c:v>92.918183845000001</c:v>
                </c:pt>
                <c:pt idx="2">
                  <c:v>98.090213272</c:v>
                </c:pt>
                <c:pt idx="3">
                  <c:v>92.115627554</c:v>
                </c:pt>
                <c:pt idx="4">
                  <c:v>113.16043694699999</c:v>
                </c:pt>
                <c:pt idx="5">
                  <c:v>102.102994724</c:v>
                </c:pt>
                <c:pt idx="6">
                  <c:v>97.555175745</c:v>
                </c:pt>
                <c:pt idx="7">
                  <c:v>98.090213272</c:v>
                </c:pt>
                <c:pt idx="8">
                  <c:v>96.930965297</c:v>
                </c:pt>
                <c:pt idx="9">
                  <c:v>104.153971911</c:v>
                </c:pt>
                <c:pt idx="10">
                  <c:v>113.69547447399999</c:v>
                </c:pt>
                <c:pt idx="11">
                  <c:v>103.173069778</c:v>
                </c:pt>
                <c:pt idx="12">
                  <c:v>88.681102362000004</c:v>
                </c:pt>
                <c:pt idx="13">
                  <c:v>92.673267327000005</c:v>
                </c:pt>
                <c:pt idx="14">
                  <c:v>98.399246704000007</c:v>
                </c:pt>
                <c:pt idx="15">
                  <c:v>93.887945670999997</c:v>
                </c:pt>
                <c:pt idx="16">
                  <c:v>103.066439523</c:v>
                </c:pt>
                <c:pt idx="17">
                  <c:v>102.521008403</c:v>
                </c:pt>
                <c:pt idx="18">
                  <c:v>102.405498282</c:v>
                </c:pt>
                <c:pt idx="19">
                  <c:v>52.398081535000003</c:v>
                </c:pt>
                <c:pt idx="20">
                  <c:v>106.829159545</c:v>
                </c:pt>
                <c:pt idx="21">
                  <c:v>110.93111391799999</c:v>
                </c:pt>
                <c:pt idx="22">
                  <c:v>121.00765400900001</c:v>
                </c:pt>
                <c:pt idx="23">
                  <c:v>127.69562309600001</c:v>
                </c:pt>
                <c:pt idx="24">
                  <c:v>90.1</c:v>
                </c:pt>
                <c:pt idx="25">
                  <c:v>93.6</c:v>
                </c:pt>
                <c:pt idx="26">
                  <c:v>104.5</c:v>
                </c:pt>
                <c:pt idx="27">
                  <c:v>110.6</c:v>
                </c:pt>
                <c:pt idx="28">
                  <c:v>121</c:v>
                </c:pt>
                <c:pt idx="29">
                  <c:v>109.8</c:v>
                </c:pt>
                <c:pt idx="30">
                  <c:v>119.2</c:v>
                </c:pt>
                <c:pt idx="31">
                  <c:v>87.4</c:v>
                </c:pt>
              </c:numCache>
            </c:numRef>
          </c:val>
          <c:smooth val="0"/>
          <c:extLst>
            <c:ext xmlns:c16="http://schemas.microsoft.com/office/drawing/2014/chart" uri="{C3380CC4-5D6E-409C-BE32-E72D297353CC}">
              <c16:uniqueId val="{00000000-DDB3-4655-819F-7B7E7AB945E3}"/>
            </c:ext>
          </c:extLst>
        </c:ser>
        <c:ser>
          <c:idx val="1"/>
          <c:order val="1"/>
          <c:tx>
            <c:strRef>
              <c:f>'Prerađivačka_6 graf'!$H$7</c:f>
              <c:strCache>
                <c:ptCount val="1"/>
                <c:pt idx="0">
                  <c:v>sa</c:v>
                </c:pt>
              </c:strCache>
            </c:strRef>
          </c:tx>
          <c:spPr>
            <a:ln w="22225" cap="rnd">
              <a:solidFill>
                <a:srgbClr val="25AAE1"/>
              </a:solidFill>
              <a:round/>
            </a:ln>
            <a:effectLst/>
          </c:spPr>
          <c:marker>
            <c:symbol val="none"/>
          </c:marker>
          <c:cat>
            <c:numRef>
              <c:f>'Prerađivačka_6 graf'!$A$20:$A$51</c:f>
              <c:numCache>
                <c:formatCode>yyyy</c:formatCode>
                <c:ptCount val="32"/>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pt idx="31">
                  <c:v>43678</c:v>
                </c:pt>
              </c:numCache>
            </c:numRef>
          </c:cat>
          <c:val>
            <c:numRef>
              <c:f>'Prerađivačka_6 graf'!$M$20:$M$51</c:f>
              <c:numCache>
                <c:formatCode>0.0</c:formatCode>
                <c:ptCount val="32"/>
                <c:pt idx="0">
                  <c:v>102.352802705</c:v>
                </c:pt>
                <c:pt idx="1">
                  <c:v>97.923972211000006</c:v>
                </c:pt>
                <c:pt idx="2">
                  <c:v>94.602302144000006</c:v>
                </c:pt>
                <c:pt idx="3">
                  <c:v>92.531948182999997</c:v>
                </c:pt>
                <c:pt idx="4">
                  <c:v>103.688170586</c:v>
                </c:pt>
                <c:pt idx="5">
                  <c:v>100.36182936100001</c:v>
                </c:pt>
                <c:pt idx="6">
                  <c:v>97.046313988999998</c:v>
                </c:pt>
                <c:pt idx="7">
                  <c:v>101.167291245</c:v>
                </c:pt>
                <c:pt idx="8">
                  <c:v>99.274909672999996</c:v>
                </c:pt>
                <c:pt idx="9">
                  <c:v>104.604468971</c:v>
                </c:pt>
                <c:pt idx="10">
                  <c:v>107.084342308</c:v>
                </c:pt>
                <c:pt idx="11">
                  <c:v>95.865777394000006</c:v>
                </c:pt>
                <c:pt idx="12">
                  <c:v>104.10626001999999</c:v>
                </c:pt>
                <c:pt idx="13">
                  <c:v>97.848038274999993</c:v>
                </c:pt>
                <c:pt idx="14">
                  <c:v>98.495754235999996</c:v>
                </c:pt>
                <c:pt idx="15">
                  <c:v>95.822242497999994</c:v>
                </c:pt>
                <c:pt idx="16">
                  <c:v>94.387674134999997</c:v>
                </c:pt>
                <c:pt idx="17">
                  <c:v>101.67761824199999</c:v>
                </c:pt>
                <c:pt idx="18">
                  <c:v>100.490589634</c:v>
                </c:pt>
                <c:pt idx="19">
                  <c:v>54.498040695</c:v>
                </c:pt>
                <c:pt idx="20">
                  <c:v>110.043246388</c:v>
                </c:pt>
                <c:pt idx="21">
                  <c:v>109.766209957</c:v>
                </c:pt>
                <c:pt idx="22">
                  <c:v>111.56267455299999</c:v>
                </c:pt>
                <c:pt idx="23">
                  <c:v>116.958505532</c:v>
                </c:pt>
                <c:pt idx="24">
                  <c:v>106.396349992</c:v>
                </c:pt>
                <c:pt idx="25">
                  <c:v>98.624099584999996</c:v>
                </c:pt>
                <c:pt idx="26">
                  <c:v>107.050028818</c:v>
                </c:pt>
                <c:pt idx="27">
                  <c:v>113.848738875</c:v>
                </c:pt>
                <c:pt idx="28">
                  <c:v>110.853880852</c:v>
                </c:pt>
                <c:pt idx="29">
                  <c:v>109.295736179</c:v>
                </c:pt>
                <c:pt idx="30">
                  <c:v>116.10338451600001</c:v>
                </c:pt>
                <c:pt idx="31">
                  <c:v>92.104109382000004</c:v>
                </c:pt>
              </c:numCache>
            </c:numRef>
          </c:val>
          <c:smooth val="0"/>
          <c:extLst>
            <c:ext xmlns:c16="http://schemas.microsoft.com/office/drawing/2014/chart" uri="{C3380CC4-5D6E-409C-BE32-E72D297353CC}">
              <c16:uniqueId val="{00000001-DDB3-4655-819F-7B7E7AB945E3}"/>
            </c:ext>
          </c:extLst>
        </c:ser>
        <c:ser>
          <c:idx val="2"/>
          <c:order val="2"/>
          <c:tx>
            <c:strRef>
              <c:f>'Prerađivačka_6 graf'!$I$7</c:f>
              <c:strCache>
                <c:ptCount val="1"/>
                <c:pt idx="0">
                  <c:v>t</c:v>
                </c:pt>
              </c:strCache>
            </c:strRef>
          </c:tx>
          <c:spPr>
            <a:ln w="25400" cap="rnd">
              <a:solidFill>
                <a:srgbClr val="FF0000"/>
              </a:solidFill>
              <a:round/>
            </a:ln>
            <a:effectLst/>
          </c:spPr>
          <c:marker>
            <c:symbol val="none"/>
          </c:marker>
          <c:cat>
            <c:numRef>
              <c:f>'Prerađivačka_6 graf'!$A$20:$A$51</c:f>
              <c:numCache>
                <c:formatCode>yyyy</c:formatCode>
                <c:ptCount val="32"/>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pt idx="31">
                  <c:v>43678</c:v>
                </c:pt>
              </c:numCache>
            </c:numRef>
          </c:cat>
          <c:val>
            <c:numRef>
              <c:f>'Prerađivačka_6 graf'!$N$20:$N$51</c:f>
              <c:numCache>
                <c:formatCode>0.0</c:formatCode>
                <c:ptCount val="32"/>
                <c:pt idx="0">
                  <c:v>95.746869779999997</c:v>
                </c:pt>
                <c:pt idx="1">
                  <c:v>96.472892948999998</c:v>
                </c:pt>
                <c:pt idx="2">
                  <c:v>97.239509118000001</c:v>
                </c:pt>
                <c:pt idx="3">
                  <c:v>98.068809795999996</c:v>
                </c:pt>
                <c:pt idx="4">
                  <c:v>98.917382888000006</c:v>
                </c:pt>
                <c:pt idx="5">
                  <c:v>99.722702174000005</c:v>
                </c:pt>
                <c:pt idx="6">
                  <c:v>100.40480112900001</c:v>
                </c:pt>
                <c:pt idx="7">
                  <c:v>100.893008223</c:v>
                </c:pt>
                <c:pt idx="8">
                  <c:v>101.15785449000001</c:v>
                </c:pt>
                <c:pt idx="9">
                  <c:v>101.16012318600001</c:v>
                </c:pt>
                <c:pt idx="10">
                  <c:v>100.896571087</c:v>
                </c:pt>
                <c:pt idx="11">
                  <c:v>100.38688759599999</c:v>
                </c:pt>
                <c:pt idx="12">
                  <c:v>99.718789228999995</c:v>
                </c:pt>
                <c:pt idx="13">
                  <c:v>99.093925115999994</c:v>
                </c:pt>
                <c:pt idx="14">
                  <c:v>98.772416356999997</c:v>
                </c:pt>
                <c:pt idx="15">
                  <c:v>98.928387185000005</c:v>
                </c:pt>
                <c:pt idx="16">
                  <c:v>99.587379075000001</c:v>
                </c:pt>
                <c:pt idx="17">
                  <c:v>100.69544958900001</c:v>
                </c:pt>
                <c:pt idx="18">
                  <c:v>102.193731742</c:v>
                </c:pt>
                <c:pt idx="19">
                  <c:v>103.91458251900001</c:v>
                </c:pt>
                <c:pt idx="20">
                  <c:v>105.67495434999999</c:v>
                </c:pt>
                <c:pt idx="21">
                  <c:v>107.319303496</c:v>
                </c:pt>
                <c:pt idx="22">
                  <c:v>108.705648153</c:v>
                </c:pt>
                <c:pt idx="23">
                  <c:v>109.772118972</c:v>
                </c:pt>
                <c:pt idx="24">
                  <c:v>110.48558533800001</c:v>
                </c:pt>
                <c:pt idx="25">
                  <c:v>110.84905225599999</c:v>
                </c:pt>
                <c:pt idx="26">
                  <c:v>110.927276245</c:v>
                </c:pt>
                <c:pt idx="27">
                  <c:v>110.779426781</c:v>
                </c:pt>
                <c:pt idx="28">
                  <c:v>110.49948284200001</c:v>
                </c:pt>
                <c:pt idx="29">
                  <c:v>110.154645389</c:v>
                </c:pt>
                <c:pt idx="30">
                  <c:v>109.811959958</c:v>
                </c:pt>
                <c:pt idx="31">
                  <c:v>109.521561679</c:v>
                </c:pt>
              </c:numCache>
            </c:numRef>
          </c:val>
          <c:smooth val="0"/>
          <c:extLst>
            <c:ext xmlns:c16="http://schemas.microsoft.com/office/drawing/2014/chart" uri="{C3380CC4-5D6E-409C-BE32-E72D297353CC}">
              <c16:uniqueId val="{00000002-DDB3-4655-819F-7B7E7AB945E3}"/>
            </c:ext>
          </c:extLst>
        </c:ser>
        <c:ser>
          <c:idx val="3"/>
          <c:order val="3"/>
          <c:spPr>
            <a:ln w="28575" cap="rnd">
              <a:noFill/>
              <a:round/>
            </a:ln>
            <a:effectLst/>
          </c:spPr>
          <c:marker>
            <c:symbol val="square"/>
            <c:size val="2"/>
            <c:spPr>
              <a:solidFill>
                <a:sysClr val="window" lastClr="FFFFFF"/>
              </a:solidFill>
              <a:ln w="9525">
                <a:noFill/>
              </a:ln>
              <a:effectLst/>
            </c:spPr>
          </c:marker>
          <c:dLbls>
            <c:dLbl>
              <c:idx val="0"/>
              <c:layout>
                <c:manualLayout>
                  <c:x val="0.10020947908427122"/>
                  <c:y val="4.579608585858585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DB3-4655-819F-7B7E7AB945E3}"/>
                </c:ext>
              </c:extLst>
            </c:dLbl>
            <c:dLbl>
              <c:idx val="12"/>
              <c:layout>
                <c:manualLayout>
                  <c:x val="0.10899832735068819"/>
                  <c:y val="4.579608585858585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DDB3-4655-819F-7B7E7AB945E3}"/>
                </c:ext>
              </c:extLst>
            </c:dLbl>
            <c:dLbl>
              <c:idx val="24"/>
              <c:layout>
                <c:manualLayout>
                  <c:x val="4.1455336387977132E-2"/>
                  <c:y val="4.579608585858585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DDB3-4655-819F-7B7E7AB945E3}"/>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'Prerađivačka_6 graf'!$A$20:$A$51</c:f>
              <c:numCache>
                <c:formatCode>yyyy</c:formatCode>
                <c:ptCount val="32"/>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pt idx="31">
                  <c:v>43678</c:v>
                </c:pt>
              </c:numCache>
            </c:numRef>
          </c:cat>
          <c:val>
            <c:numRef>
              <c:f>'Prerađivačka_6 graf'!$J$20:$J$51</c:f>
              <c:numCache>
                <c:formatCode>General</c:formatCode>
                <c:ptCount val="32"/>
                <c:pt idx="0">
                  <c:v>60</c:v>
                </c:pt>
                <c:pt idx="12">
                  <c:v>60</c:v>
                </c:pt>
                <c:pt idx="24">
                  <c:v>60</c:v>
                </c:pt>
              </c:numCache>
            </c:numRef>
          </c:val>
          <c:smooth val="0"/>
          <c:extLst>
            <c:ext xmlns:c16="http://schemas.microsoft.com/office/drawing/2014/chart" uri="{C3380CC4-5D6E-409C-BE32-E72D297353CC}">
              <c16:uniqueId val="{00000006-DDB3-4655-819F-7B7E7AB945E3}"/>
            </c:ext>
          </c:extLst>
        </c:ser>
        <c:dLbls>
          <c:showLegendKey val="0"/>
          <c:showVal val="0"/>
          <c:showCatName val="0"/>
          <c:showSerName val="0"/>
          <c:showPercent val="0"/>
          <c:showBubbleSize val="0"/>
        </c:dLbls>
        <c:marker val="1"/>
        <c:smooth val="0"/>
        <c:axId val="309427904"/>
        <c:axId val="309428464"/>
      </c:lineChart>
      <c:lineChart>
        <c:grouping val="standard"/>
        <c:varyColors val="0"/>
        <c:ser>
          <c:idx val="4"/>
          <c:order val="4"/>
          <c:spPr>
            <a:ln w="25400" cap="rnd">
              <a:no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en-US"/>
              </a:p>
            </c:txPr>
            <c:dLblPos val="t"/>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strRef>
              <c:f>'Prerađivačka_6 graf'!$E$20:$E$51</c:f>
              <c:strCache>
                <c:ptCount val="32"/>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pt idx="21">
                  <c:v>X</c:v>
                </c:pt>
                <c:pt idx="22">
                  <c:v>XI</c:v>
                </c:pt>
                <c:pt idx="23">
                  <c:v>XII</c:v>
                </c:pt>
                <c:pt idx="24">
                  <c:v>I</c:v>
                </c:pt>
                <c:pt idx="25">
                  <c:v>II</c:v>
                </c:pt>
                <c:pt idx="26">
                  <c:v>III</c:v>
                </c:pt>
                <c:pt idx="27">
                  <c:v>IV</c:v>
                </c:pt>
                <c:pt idx="28">
                  <c:v>V</c:v>
                </c:pt>
                <c:pt idx="29">
                  <c:v>VI</c:v>
                </c:pt>
                <c:pt idx="30">
                  <c:v>VII</c:v>
                </c:pt>
                <c:pt idx="31">
                  <c:v>VIII</c:v>
                </c:pt>
              </c:strCache>
            </c:strRef>
          </c:cat>
          <c:val>
            <c:numRef>
              <c:f>'Prerađivačka_6 graf'!$K$20:$K$51</c:f>
              <c:numCache>
                <c:formatCode>General</c:formatCode>
                <c:ptCount val="32"/>
                <c:pt idx="0">
                  <c:v>60</c:v>
                </c:pt>
                <c:pt idx="1">
                  <c:v>60</c:v>
                </c:pt>
                <c:pt idx="2">
                  <c:v>60</c:v>
                </c:pt>
                <c:pt idx="3">
                  <c:v>60</c:v>
                </c:pt>
                <c:pt idx="4">
                  <c:v>60</c:v>
                </c:pt>
                <c:pt idx="5">
                  <c:v>60</c:v>
                </c:pt>
                <c:pt idx="6">
                  <c:v>60</c:v>
                </c:pt>
                <c:pt idx="7">
                  <c:v>60</c:v>
                </c:pt>
                <c:pt idx="8">
                  <c:v>60</c:v>
                </c:pt>
                <c:pt idx="9">
                  <c:v>60</c:v>
                </c:pt>
                <c:pt idx="10">
                  <c:v>60</c:v>
                </c:pt>
                <c:pt idx="11">
                  <c:v>60</c:v>
                </c:pt>
                <c:pt idx="12">
                  <c:v>60</c:v>
                </c:pt>
                <c:pt idx="13">
                  <c:v>60</c:v>
                </c:pt>
                <c:pt idx="14">
                  <c:v>60</c:v>
                </c:pt>
                <c:pt idx="15">
                  <c:v>60</c:v>
                </c:pt>
                <c:pt idx="16">
                  <c:v>60</c:v>
                </c:pt>
                <c:pt idx="17">
                  <c:v>60</c:v>
                </c:pt>
                <c:pt idx="18">
                  <c:v>60</c:v>
                </c:pt>
                <c:pt idx="19">
                  <c:v>60</c:v>
                </c:pt>
                <c:pt idx="20">
                  <c:v>60</c:v>
                </c:pt>
                <c:pt idx="21">
                  <c:v>60</c:v>
                </c:pt>
                <c:pt idx="22">
                  <c:v>60</c:v>
                </c:pt>
                <c:pt idx="23">
                  <c:v>60</c:v>
                </c:pt>
                <c:pt idx="24">
                  <c:v>60</c:v>
                </c:pt>
                <c:pt idx="25">
                  <c:v>60</c:v>
                </c:pt>
                <c:pt idx="26">
                  <c:v>60</c:v>
                </c:pt>
                <c:pt idx="27">
                  <c:v>60</c:v>
                </c:pt>
                <c:pt idx="28">
                  <c:v>60</c:v>
                </c:pt>
                <c:pt idx="29">
                  <c:v>60</c:v>
                </c:pt>
                <c:pt idx="30">
                  <c:v>60</c:v>
                </c:pt>
                <c:pt idx="31">
                  <c:v>60</c:v>
                </c:pt>
              </c:numCache>
            </c:numRef>
          </c:val>
          <c:smooth val="0"/>
          <c:extLst>
            <c:ext xmlns:c16="http://schemas.microsoft.com/office/drawing/2014/chart" uri="{C3380CC4-5D6E-409C-BE32-E72D297353CC}">
              <c16:uniqueId val="{00000007-DDB3-4655-819F-7B7E7AB945E3}"/>
            </c:ext>
          </c:extLst>
        </c:ser>
        <c:dLbls>
          <c:showLegendKey val="0"/>
          <c:showVal val="0"/>
          <c:showCatName val="0"/>
          <c:showSerName val="0"/>
          <c:showPercent val="0"/>
          <c:showBubbleSize val="0"/>
        </c:dLbls>
        <c:marker val="1"/>
        <c:smooth val="0"/>
        <c:axId val="309429584"/>
        <c:axId val="309429024"/>
      </c:lineChart>
      <c:dateAx>
        <c:axId val="309427904"/>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en-US"/>
          </a:p>
        </c:txPr>
        <c:crossAx val="309428464"/>
        <c:crosses val="autoZero"/>
        <c:auto val="1"/>
        <c:lblOffset val="0"/>
        <c:baseTimeUnit val="months"/>
        <c:majorUnit val="12"/>
        <c:majorTimeUnit val="months"/>
      </c:dateAx>
      <c:valAx>
        <c:axId val="309428464"/>
        <c:scaling>
          <c:orientation val="minMax"/>
          <c:max val="130"/>
          <c:min val="6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09427904"/>
        <c:crosses val="autoZero"/>
        <c:crossBetween val="midCat"/>
      </c:valAx>
      <c:valAx>
        <c:axId val="309429024"/>
        <c:scaling>
          <c:orientation val="minMax"/>
          <c:max val="130"/>
          <c:min val="60"/>
        </c:scaling>
        <c:delete val="0"/>
        <c:axPos val="r"/>
        <c:numFmt formatCode="General" sourceLinked="1"/>
        <c:majorTickMark val="out"/>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09429584"/>
        <c:crosses val="max"/>
        <c:crossBetween val="midCat"/>
        <c:majorUnit val="20"/>
      </c:valAx>
      <c:catAx>
        <c:axId val="309429584"/>
        <c:scaling>
          <c:orientation val="minMax"/>
        </c:scaling>
        <c:delete val="0"/>
        <c:axPos val="t"/>
        <c:numFmt formatCode="General" sourceLinked="1"/>
        <c:majorTickMark val="out"/>
        <c:minorTickMark val="none"/>
        <c:tickLblPos val="none"/>
        <c:spPr>
          <a:noFill/>
          <a:ln w="9525" cap="flat" cmpd="sng" algn="ctr">
            <a:no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09429024"/>
        <c:crosses val="max"/>
        <c:auto val="1"/>
        <c:lblAlgn val="ctr"/>
        <c:lblOffset val="100"/>
        <c:noMultiLvlLbl val="0"/>
      </c:cat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en-US"/>
    </a:p>
  </c:txPr>
  <c:externalData r:id="rId4">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0"/>
          <c:order val="0"/>
          <c:tx>
            <c:strRef>
              <c:f>'Prerađivačka_6 graf'!$G$7</c:f>
              <c:strCache>
                <c:ptCount val="1"/>
                <c:pt idx="0">
                  <c:v>y</c:v>
                </c:pt>
              </c:strCache>
            </c:strRef>
          </c:tx>
          <c:spPr>
            <a:ln w="12700" cap="rnd">
              <a:solidFill>
                <a:srgbClr val="92278F"/>
              </a:solidFill>
              <a:prstDash val="sysDash"/>
              <a:round/>
            </a:ln>
            <a:effectLst/>
          </c:spPr>
          <c:marker>
            <c:symbol val="none"/>
          </c:marker>
          <c:cat>
            <c:numRef>
              <c:f>'Prerađivačka_6 graf'!$A$20:$A$51</c:f>
              <c:numCache>
                <c:formatCode>yyyy</c:formatCode>
                <c:ptCount val="32"/>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pt idx="31">
                  <c:v>43678</c:v>
                </c:pt>
              </c:numCache>
            </c:numRef>
          </c:cat>
          <c:val>
            <c:numRef>
              <c:f>'Prerađivačka_6 graf'!$V$20:$V$51</c:f>
              <c:numCache>
                <c:formatCode>0.0</c:formatCode>
                <c:ptCount val="32"/>
                <c:pt idx="0">
                  <c:v>27.581388850076845</c:v>
                </c:pt>
                <c:pt idx="1">
                  <c:v>52.480089422942569</c:v>
                </c:pt>
                <c:pt idx="2">
                  <c:v>103.61883470727958</c:v>
                </c:pt>
                <c:pt idx="3">
                  <c:v>102.78049462065108</c:v>
                </c:pt>
                <c:pt idx="4">
                  <c:v>103.45116668995389</c:v>
                </c:pt>
                <c:pt idx="5">
                  <c:v>111.75073354757581</c:v>
                </c:pt>
                <c:pt idx="6">
                  <c:v>101.3553164733827</c:v>
                </c:pt>
                <c:pt idx="7">
                  <c:v>105.88235294117645</c:v>
                </c:pt>
                <c:pt idx="8">
                  <c:v>106.63685901914208</c:v>
                </c:pt>
                <c:pt idx="9">
                  <c:v>113.25974570350704</c:v>
                </c:pt>
                <c:pt idx="10">
                  <c:v>103.53500069861671</c:v>
                </c:pt>
                <c:pt idx="11">
                  <c:v>82.744166550230531</c:v>
                </c:pt>
                <c:pt idx="12">
                  <c:v>52.96495956873315</c:v>
                </c:pt>
                <c:pt idx="13">
                  <c:v>61.578947368421055</c:v>
                </c:pt>
                <c:pt idx="14">
                  <c:v>81.901140684410649</c:v>
                </c:pt>
                <c:pt idx="15">
                  <c:v>107.41463414634144</c:v>
                </c:pt>
                <c:pt idx="16">
                  <c:v>119.85522233712513</c:v>
                </c:pt>
                <c:pt idx="17">
                  <c:v>113.40725806451613</c:v>
                </c:pt>
                <c:pt idx="18">
                  <c:v>111.13189897100094</c:v>
                </c:pt>
                <c:pt idx="19">
                  <c:v>116.52340019102196</c:v>
                </c:pt>
                <c:pt idx="20">
                  <c:v>118.96045829258068</c:v>
                </c:pt>
                <c:pt idx="21">
                  <c:v>127.76302920217968</c:v>
                </c:pt>
                <c:pt idx="22">
                  <c:v>107.55903311443342</c:v>
                </c:pt>
                <c:pt idx="23">
                  <c:v>80.145312281682251</c:v>
                </c:pt>
                <c:pt idx="24">
                  <c:v>39.299999999999997</c:v>
                </c:pt>
                <c:pt idx="25">
                  <c:v>70.2</c:v>
                </c:pt>
                <c:pt idx="26">
                  <c:v>107.7</c:v>
                </c:pt>
                <c:pt idx="27">
                  <c:v>110.1</c:v>
                </c:pt>
                <c:pt idx="28">
                  <c:v>115.9</c:v>
                </c:pt>
                <c:pt idx="29">
                  <c:v>112.5</c:v>
                </c:pt>
                <c:pt idx="30">
                  <c:v>118.8</c:v>
                </c:pt>
                <c:pt idx="31">
                  <c:v>122</c:v>
                </c:pt>
              </c:numCache>
            </c:numRef>
          </c:val>
          <c:smooth val="0"/>
          <c:extLst>
            <c:ext xmlns:c16="http://schemas.microsoft.com/office/drawing/2014/chart" uri="{C3380CC4-5D6E-409C-BE32-E72D297353CC}">
              <c16:uniqueId val="{00000000-4002-4510-B806-9D4A8EAAD9AB}"/>
            </c:ext>
          </c:extLst>
        </c:ser>
        <c:ser>
          <c:idx val="1"/>
          <c:order val="1"/>
          <c:tx>
            <c:strRef>
              <c:f>'Prerađivačka_6 graf'!$H$7</c:f>
              <c:strCache>
                <c:ptCount val="1"/>
                <c:pt idx="0">
                  <c:v>sa</c:v>
                </c:pt>
              </c:strCache>
            </c:strRef>
          </c:tx>
          <c:spPr>
            <a:ln w="22225" cap="rnd">
              <a:solidFill>
                <a:srgbClr val="25AAE1"/>
              </a:solidFill>
              <a:round/>
            </a:ln>
            <a:effectLst/>
          </c:spPr>
          <c:marker>
            <c:symbol val="none"/>
          </c:marker>
          <c:cat>
            <c:numRef>
              <c:f>'Prerađivačka_6 graf'!$A$20:$A$51</c:f>
              <c:numCache>
                <c:formatCode>yyyy</c:formatCode>
                <c:ptCount val="32"/>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pt idx="31">
                  <c:v>43678</c:v>
                </c:pt>
              </c:numCache>
            </c:numRef>
          </c:cat>
          <c:val>
            <c:numRef>
              <c:f>'Prerađivačka_6 graf'!$W$20:$W$51</c:f>
              <c:numCache>
                <c:formatCode>0.0</c:formatCode>
                <c:ptCount val="32"/>
                <c:pt idx="0">
                  <c:v>66.909254012319309</c:v>
                </c:pt>
                <c:pt idx="1">
                  <c:v>93.334536454758975</c:v>
                </c:pt>
                <c:pt idx="2">
                  <c:v>98.312637960448285</c:v>
                </c:pt>
                <c:pt idx="3">
                  <c:v>92.811839922440953</c:v>
                </c:pt>
                <c:pt idx="4">
                  <c:v>90.044960927574408</c:v>
                </c:pt>
                <c:pt idx="5">
                  <c:v>93.933569587141221</c:v>
                </c:pt>
                <c:pt idx="6">
                  <c:v>88.866414347859703</c:v>
                </c:pt>
                <c:pt idx="7">
                  <c:v>89.461919263673352</c:v>
                </c:pt>
                <c:pt idx="8">
                  <c:v>91.305403425088173</c:v>
                </c:pt>
                <c:pt idx="9">
                  <c:v>93.991903393866053</c:v>
                </c:pt>
                <c:pt idx="10">
                  <c:v>100.29812262394555</c:v>
                </c:pt>
                <c:pt idx="11">
                  <c:v>105.99935469426192</c:v>
                </c:pt>
                <c:pt idx="12">
                  <c:v>129.5080358053485</c:v>
                </c:pt>
                <c:pt idx="13">
                  <c:v>107.50077995151959</c:v>
                </c:pt>
                <c:pt idx="14">
                  <c:v>77.965024877670345</c:v>
                </c:pt>
                <c:pt idx="15">
                  <c:v>94.907893031928467</c:v>
                </c:pt>
                <c:pt idx="16">
                  <c:v>103.49605786714253</c:v>
                </c:pt>
                <c:pt idx="17">
                  <c:v>97.041976281160174</c:v>
                </c:pt>
                <c:pt idx="18">
                  <c:v>97.726700280969638</c:v>
                </c:pt>
                <c:pt idx="19">
                  <c:v>99.304862618158154</c:v>
                </c:pt>
                <c:pt idx="20">
                  <c:v>103.50149657149569</c:v>
                </c:pt>
                <c:pt idx="21">
                  <c:v>105.05628337143074</c:v>
                </c:pt>
                <c:pt idx="22">
                  <c:v>104.02341510534215</c:v>
                </c:pt>
                <c:pt idx="23">
                  <c:v>101.78162955695269</c:v>
                </c:pt>
                <c:pt idx="24">
                  <c:v>96.705996248014074</c:v>
                </c:pt>
                <c:pt idx="25">
                  <c:v>119.36759099386623</c:v>
                </c:pt>
                <c:pt idx="26">
                  <c:v>103.26947073476023</c:v>
                </c:pt>
                <c:pt idx="27">
                  <c:v>95.562214070160564</c:v>
                </c:pt>
                <c:pt idx="28">
                  <c:v>99.498301774695591</c:v>
                </c:pt>
                <c:pt idx="29">
                  <c:v>98.290074242217685</c:v>
                </c:pt>
                <c:pt idx="30">
                  <c:v>104.10950321828956</c:v>
                </c:pt>
                <c:pt idx="31">
                  <c:v>105.86229373092046</c:v>
                </c:pt>
              </c:numCache>
            </c:numRef>
          </c:val>
          <c:smooth val="0"/>
          <c:extLst>
            <c:ext xmlns:c16="http://schemas.microsoft.com/office/drawing/2014/chart" uri="{C3380CC4-5D6E-409C-BE32-E72D297353CC}">
              <c16:uniqueId val="{00000001-4002-4510-B806-9D4A8EAAD9AB}"/>
            </c:ext>
          </c:extLst>
        </c:ser>
        <c:ser>
          <c:idx val="2"/>
          <c:order val="2"/>
          <c:tx>
            <c:strRef>
              <c:f>'Prerađivačka_6 graf'!$I$7</c:f>
              <c:strCache>
                <c:ptCount val="1"/>
                <c:pt idx="0">
                  <c:v>t</c:v>
                </c:pt>
              </c:strCache>
            </c:strRef>
          </c:tx>
          <c:spPr>
            <a:ln w="25400" cap="rnd">
              <a:solidFill>
                <a:srgbClr val="FF0000"/>
              </a:solidFill>
              <a:round/>
            </a:ln>
            <a:effectLst/>
          </c:spPr>
          <c:marker>
            <c:symbol val="none"/>
          </c:marker>
          <c:cat>
            <c:numRef>
              <c:f>'Prerađivačka_6 graf'!$A$20:$A$51</c:f>
              <c:numCache>
                <c:formatCode>yyyy</c:formatCode>
                <c:ptCount val="32"/>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pt idx="31">
                  <c:v>43678</c:v>
                </c:pt>
              </c:numCache>
            </c:numRef>
          </c:cat>
          <c:val>
            <c:numRef>
              <c:f>'Prerađivačka_6 graf'!$X$20:$X$51</c:f>
              <c:numCache>
                <c:formatCode>0.0</c:formatCode>
                <c:ptCount val="32"/>
                <c:pt idx="0">
                  <c:v>93.630609589289449</c:v>
                </c:pt>
                <c:pt idx="1">
                  <c:v>94.389939883990465</c:v>
                </c:pt>
                <c:pt idx="2">
                  <c:v>94.453069390021682</c:v>
                </c:pt>
                <c:pt idx="3">
                  <c:v>93.697553476189896</c:v>
                </c:pt>
                <c:pt idx="4">
                  <c:v>92.341533228424396</c:v>
                </c:pt>
                <c:pt idx="5">
                  <c:v>90.878253340951005</c:v>
                </c:pt>
                <c:pt idx="6">
                  <c:v>90.137819791517231</c:v>
                </c:pt>
                <c:pt idx="7">
                  <c:v>90.638604700580132</c:v>
                </c:pt>
                <c:pt idx="8">
                  <c:v>92.699692613738137</c:v>
                </c:pt>
                <c:pt idx="9">
                  <c:v>95.798479392022529</c:v>
                </c:pt>
                <c:pt idx="10">
                  <c:v>99.285760924620817</c:v>
                </c:pt>
                <c:pt idx="11">
                  <c:v>102.90662106481635</c:v>
                </c:pt>
                <c:pt idx="12">
                  <c:v>106.25416198139602</c:v>
                </c:pt>
                <c:pt idx="13">
                  <c:v>108.81195424902562</c:v>
                </c:pt>
                <c:pt idx="14">
                  <c:v>110.3096802400752</c:v>
                </c:pt>
                <c:pt idx="15">
                  <c:v>110.65537652993963</c:v>
                </c:pt>
                <c:pt idx="16">
                  <c:v>110.10082385165681</c:v>
                </c:pt>
                <c:pt idx="17">
                  <c:v>109.06599231039934</c:v>
                </c:pt>
                <c:pt idx="18">
                  <c:v>107.94413015750813</c:v>
                </c:pt>
                <c:pt idx="19">
                  <c:v>106.88200582039737</c:v>
                </c:pt>
                <c:pt idx="20">
                  <c:v>105.8984993165172</c:v>
                </c:pt>
                <c:pt idx="21">
                  <c:v>105.1405417333294</c:v>
                </c:pt>
                <c:pt idx="22">
                  <c:v>104.36446120104621</c:v>
                </c:pt>
                <c:pt idx="23">
                  <c:v>103.14631913389864</c:v>
                </c:pt>
                <c:pt idx="24">
                  <c:v>101.57128741565448</c:v>
                </c:pt>
                <c:pt idx="25">
                  <c:v>100.08449674211246</c:v>
                </c:pt>
                <c:pt idx="26">
                  <c:v>99.17542359372068</c:v>
                </c:pt>
                <c:pt idx="27">
                  <c:v>99.118319316645852</c:v>
                </c:pt>
                <c:pt idx="28">
                  <c:v>99.826146699155515</c:v>
                </c:pt>
                <c:pt idx="29">
                  <c:v>101.08584413751728</c:v>
                </c:pt>
                <c:pt idx="30">
                  <c:v>102.53603750935545</c:v>
                </c:pt>
                <c:pt idx="31">
                  <c:v>103.8581920689238</c:v>
                </c:pt>
              </c:numCache>
            </c:numRef>
          </c:val>
          <c:smooth val="0"/>
          <c:extLst>
            <c:ext xmlns:c16="http://schemas.microsoft.com/office/drawing/2014/chart" uri="{C3380CC4-5D6E-409C-BE32-E72D297353CC}">
              <c16:uniqueId val="{00000002-4002-4510-B806-9D4A8EAAD9AB}"/>
            </c:ext>
          </c:extLst>
        </c:ser>
        <c:ser>
          <c:idx val="3"/>
          <c:order val="3"/>
          <c:spPr>
            <a:ln w="28575" cap="rnd">
              <a:noFill/>
              <a:round/>
            </a:ln>
            <a:effectLst/>
          </c:spPr>
          <c:marker>
            <c:symbol val="square"/>
            <c:size val="2"/>
            <c:spPr>
              <a:solidFill>
                <a:sysClr val="window" lastClr="FFFFFF"/>
              </a:solidFill>
              <a:ln w="9525">
                <a:noFill/>
              </a:ln>
              <a:effectLst/>
            </c:spPr>
          </c:marker>
          <c:dLbls>
            <c:dLbl>
              <c:idx val="0"/>
              <c:layout>
                <c:manualLayout>
                  <c:x val="0.10735236192171393"/>
                  <c:y val="4.579608585858585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002-4510-B806-9D4A8EAAD9AB}"/>
                </c:ext>
              </c:extLst>
            </c:dLbl>
            <c:dLbl>
              <c:idx val="12"/>
              <c:layout>
                <c:manualLayout>
                  <c:x val="0.11175204888571857"/>
                  <c:y val="4.579608585858585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002-4510-B806-9D4A8EAAD9AB}"/>
                </c:ext>
              </c:extLst>
            </c:dLbl>
            <c:dLbl>
              <c:idx val="24"/>
              <c:layout>
                <c:manualLayout>
                  <c:x val="4.5756744425648421E-2"/>
                  <c:y val="4.579608585858585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002-4510-B806-9D4A8EAAD9AB}"/>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'Prerađivačka_6 graf'!$A$20:$A$51</c:f>
              <c:numCache>
                <c:formatCode>yyyy</c:formatCode>
                <c:ptCount val="32"/>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pt idx="31">
                  <c:v>43678</c:v>
                </c:pt>
              </c:numCache>
            </c:numRef>
          </c:cat>
          <c:val>
            <c:numRef>
              <c:f>'Prerađivačka_6 graf'!$T$20:$T$51</c:f>
              <c:numCache>
                <c:formatCode>General</c:formatCode>
                <c:ptCount val="32"/>
                <c:pt idx="0">
                  <c:v>40</c:v>
                </c:pt>
                <c:pt idx="12">
                  <c:v>40</c:v>
                </c:pt>
                <c:pt idx="24">
                  <c:v>40</c:v>
                </c:pt>
              </c:numCache>
            </c:numRef>
          </c:val>
          <c:smooth val="0"/>
          <c:extLst>
            <c:ext xmlns:c16="http://schemas.microsoft.com/office/drawing/2014/chart" uri="{C3380CC4-5D6E-409C-BE32-E72D297353CC}">
              <c16:uniqueId val="{00000006-4002-4510-B806-9D4A8EAAD9AB}"/>
            </c:ext>
          </c:extLst>
        </c:ser>
        <c:dLbls>
          <c:showLegendKey val="0"/>
          <c:showVal val="0"/>
          <c:showCatName val="0"/>
          <c:showSerName val="0"/>
          <c:showPercent val="0"/>
          <c:showBubbleSize val="0"/>
        </c:dLbls>
        <c:marker val="1"/>
        <c:smooth val="0"/>
        <c:axId val="271582448"/>
        <c:axId val="318642560"/>
      </c:lineChart>
      <c:lineChart>
        <c:grouping val="standard"/>
        <c:varyColors val="0"/>
        <c:ser>
          <c:idx val="4"/>
          <c:order val="4"/>
          <c:spPr>
            <a:ln w="25400" cap="rnd">
              <a:no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en-US"/>
              </a:p>
            </c:txPr>
            <c:dLblPos val="t"/>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strRef>
              <c:f>'Prerađivačka_6 graf'!$E$20:$E$51</c:f>
              <c:strCache>
                <c:ptCount val="32"/>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pt idx="21">
                  <c:v>X</c:v>
                </c:pt>
                <c:pt idx="22">
                  <c:v>XI</c:v>
                </c:pt>
                <c:pt idx="23">
                  <c:v>XII</c:v>
                </c:pt>
                <c:pt idx="24">
                  <c:v>I</c:v>
                </c:pt>
                <c:pt idx="25">
                  <c:v>II</c:v>
                </c:pt>
                <c:pt idx="26">
                  <c:v>III</c:v>
                </c:pt>
                <c:pt idx="27">
                  <c:v>IV</c:v>
                </c:pt>
                <c:pt idx="28">
                  <c:v>V</c:v>
                </c:pt>
                <c:pt idx="29">
                  <c:v>VI</c:v>
                </c:pt>
                <c:pt idx="30">
                  <c:v>VII</c:v>
                </c:pt>
                <c:pt idx="31">
                  <c:v>VIII</c:v>
                </c:pt>
              </c:strCache>
            </c:strRef>
          </c:cat>
          <c:val>
            <c:numRef>
              <c:f>'Prerađivačka_6 graf'!$U$20:$U$51</c:f>
              <c:numCache>
                <c:formatCode>General</c:formatCode>
                <c:ptCount val="32"/>
                <c:pt idx="0">
                  <c:v>40</c:v>
                </c:pt>
                <c:pt idx="1">
                  <c:v>40</c:v>
                </c:pt>
                <c:pt idx="2">
                  <c:v>40</c:v>
                </c:pt>
                <c:pt idx="3">
                  <c:v>40</c:v>
                </c:pt>
                <c:pt idx="4">
                  <c:v>40</c:v>
                </c:pt>
                <c:pt idx="5">
                  <c:v>40</c:v>
                </c:pt>
                <c:pt idx="6">
                  <c:v>40</c:v>
                </c:pt>
                <c:pt idx="7">
                  <c:v>40</c:v>
                </c:pt>
                <c:pt idx="8">
                  <c:v>40</c:v>
                </c:pt>
                <c:pt idx="9">
                  <c:v>40</c:v>
                </c:pt>
                <c:pt idx="10">
                  <c:v>40</c:v>
                </c:pt>
                <c:pt idx="11">
                  <c:v>40</c:v>
                </c:pt>
                <c:pt idx="12">
                  <c:v>40</c:v>
                </c:pt>
                <c:pt idx="13">
                  <c:v>40</c:v>
                </c:pt>
                <c:pt idx="14">
                  <c:v>40</c:v>
                </c:pt>
                <c:pt idx="15">
                  <c:v>40</c:v>
                </c:pt>
                <c:pt idx="16">
                  <c:v>40</c:v>
                </c:pt>
                <c:pt idx="17">
                  <c:v>40</c:v>
                </c:pt>
                <c:pt idx="18">
                  <c:v>40</c:v>
                </c:pt>
                <c:pt idx="19">
                  <c:v>40</c:v>
                </c:pt>
                <c:pt idx="20">
                  <c:v>40</c:v>
                </c:pt>
                <c:pt idx="21">
                  <c:v>40</c:v>
                </c:pt>
                <c:pt idx="22">
                  <c:v>40</c:v>
                </c:pt>
                <c:pt idx="23">
                  <c:v>40</c:v>
                </c:pt>
                <c:pt idx="24">
                  <c:v>40</c:v>
                </c:pt>
                <c:pt idx="25">
                  <c:v>40</c:v>
                </c:pt>
                <c:pt idx="26">
                  <c:v>40</c:v>
                </c:pt>
                <c:pt idx="27">
                  <c:v>40</c:v>
                </c:pt>
                <c:pt idx="28">
                  <c:v>40</c:v>
                </c:pt>
                <c:pt idx="29">
                  <c:v>40</c:v>
                </c:pt>
                <c:pt idx="30">
                  <c:v>40</c:v>
                </c:pt>
                <c:pt idx="31">
                  <c:v>40</c:v>
                </c:pt>
              </c:numCache>
            </c:numRef>
          </c:val>
          <c:smooth val="0"/>
          <c:extLst>
            <c:ext xmlns:c16="http://schemas.microsoft.com/office/drawing/2014/chart" uri="{C3380CC4-5D6E-409C-BE32-E72D297353CC}">
              <c16:uniqueId val="{00000007-4002-4510-B806-9D4A8EAAD9AB}"/>
            </c:ext>
          </c:extLst>
        </c:ser>
        <c:dLbls>
          <c:showLegendKey val="0"/>
          <c:showVal val="0"/>
          <c:showCatName val="0"/>
          <c:showSerName val="0"/>
          <c:showPercent val="0"/>
          <c:showBubbleSize val="0"/>
        </c:dLbls>
        <c:marker val="1"/>
        <c:smooth val="0"/>
        <c:axId val="318643680"/>
        <c:axId val="318643120"/>
      </c:lineChart>
      <c:dateAx>
        <c:axId val="271582448"/>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en-US"/>
          </a:p>
        </c:txPr>
        <c:crossAx val="318642560"/>
        <c:crosses val="autoZero"/>
        <c:auto val="1"/>
        <c:lblOffset val="0"/>
        <c:baseTimeUnit val="months"/>
        <c:majorUnit val="12"/>
        <c:majorTimeUnit val="months"/>
      </c:dateAx>
      <c:valAx>
        <c:axId val="318642560"/>
        <c:scaling>
          <c:orientation val="minMax"/>
          <c:max val="140"/>
          <c:min val="4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271582448"/>
        <c:crosses val="autoZero"/>
        <c:crossBetween val="midCat"/>
      </c:valAx>
      <c:valAx>
        <c:axId val="318643120"/>
        <c:scaling>
          <c:orientation val="minMax"/>
          <c:max val="140"/>
          <c:min val="40"/>
        </c:scaling>
        <c:delete val="0"/>
        <c:axPos val="r"/>
        <c:numFmt formatCode="General" sourceLinked="1"/>
        <c:majorTickMark val="out"/>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18643680"/>
        <c:crosses val="max"/>
        <c:crossBetween val="midCat"/>
        <c:majorUnit val="20"/>
      </c:valAx>
      <c:catAx>
        <c:axId val="318643680"/>
        <c:scaling>
          <c:orientation val="minMax"/>
        </c:scaling>
        <c:delete val="0"/>
        <c:axPos val="t"/>
        <c:numFmt formatCode="General" sourceLinked="1"/>
        <c:majorTickMark val="out"/>
        <c:minorTickMark val="none"/>
        <c:tickLblPos val="none"/>
        <c:spPr>
          <a:noFill/>
          <a:ln w="9525" cap="flat" cmpd="sng" algn="ctr">
            <a:no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18643120"/>
        <c:crosses val="max"/>
        <c:auto val="1"/>
        <c:lblAlgn val="ctr"/>
        <c:lblOffset val="100"/>
        <c:noMultiLvlLbl val="0"/>
      </c:cat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en-US"/>
    </a:p>
  </c:txPr>
  <c:externalData r:id="rId4">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0"/>
          <c:order val="0"/>
          <c:tx>
            <c:strRef>
              <c:f>'Prerađivačka_6 graf'!$G$7</c:f>
              <c:strCache>
                <c:ptCount val="1"/>
                <c:pt idx="0">
                  <c:v>y</c:v>
                </c:pt>
              </c:strCache>
            </c:strRef>
          </c:tx>
          <c:spPr>
            <a:ln w="12700" cap="rnd">
              <a:solidFill>
                <a:srgbClr val="92278F"/>
              </a:solidFill>
              <a:prstDash val="sysDash"/>
              <a:round/>
            </a:ln>
            <a:effectLst/>
          </c:spPr>
          <c:marker>
            <c:symbol val="none"/>
          </c:marker>
          <c:cat>
            <c:numRef>
              <c:f>'Prerađivačka_6 graf'!$A$20:$A$51</c:f>
              <c:numCache>
                <c:formatCode>yyyy</c:formatCode>
                <c:ptCount val="32"/>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pt idx="31">
                  <c:v>43678</c:v>
                </c:pt>
              </c:numCache>
            </c:numRef>
          </c:cat>
          <c:val>
            <c:numRef>
              <c:f>'Prerađivačka_6 graf'!$Q$20:$Q$51</c:f>
              <c:numCache>
                <c:formatCode>0.0</c:formatCode>
                <c:ptCount val="32"/>
                <c:pt idx="0">
                  <c:v>81.965887963786287</c:v>
                </c:pt>
                <c:pt idx="1">
                  <c:v>83.420903726457055</c:v>
                </c:pt>
                <c:pt idx="2">
                  <c:v>99.81408131921431</c:v>
                </c:pt>
                <c:pt idx="3">
                  <c:v>92.636003556705205</c:v>
                </c:pt>
                <c:pt idx="4">
                  <c:v>98.359065556543541</c:v>
                </c:pt>
                <c:pt idx="5">
                  <c:v>102.5301107428664</c:v>
                </c:pt>
                <c:pt idx="6">
                  <c:v>91.471990946568596</c:v>
                </c:pt>
                <c:pt idx="7">
                  <c:v>97.777059251475222</c:v>
                </c:pt>
                <c:pt idx="8">
                  <c:v>114.36423894592194</c:v>
                </c:pt>
                <c:pt idx="9">
                  <c:v>128.42939131840595</c:v>
                </c:pt>
                <c:pt idx="10">
                  <c:v>125.71336189475386</c:v>
                </c:pt>
                <c:pt idx="11">
                  <c:v>109.12618220030718</c:v>
                </c:pt>
                <c:pt idx="12">
                  <c:v>83.618843683083497</c:v>
                </c:pt>
                <c:pt idx="13">
                  <c:v>79.90654205607477</c:v>
                </c:pt>
                <c:pt idx="14">
                  <c:v>98.774259448416743</c:v>
                </c:pt>
                <c:pt idx="15">
                  <c:v>93.82352941176471</c:v>
                </c:pt>
                <c:pt idx="16">
                  <c:v>100.97192224622032</c:v>
                </c:pt>
                <c:pt idx="17">
                  <c:v>103.6322360953462</c:v>
                </c:pt>
                <c:pt idx="18">
                  <c:v>94.016227180527395</c:v>
                </c:pt>
                <c:pt idx="19">
                  <c:v>96.610169491525426</c:v>
                </c:pt>
                <c:pt idx="20">
                  <c:v>111.939212674804</c:v>
                </c:pt>
                <c:pt idx="21">
                  <c:v>126.10136609813274</c:v>
                </c:pt>
                <c:pt idx="22">
                  <c:v>113.29722738663004</c:v>
                </c:pt>
                <c:pt idx="23">
                  <c:v>96.322043488804482</c:v>
                </c:pt>
                <c:pt idx="24">
                  <c:v>78.099999999999994</c:v>
                </c:pt>
                <c:pt idx="25">
                  <c:v>85.5</c:v>
                </c:pt>
                <c:pt idx="26">
                  <c:v>96.7</c:v>
                </c:pt>
                <c:pt idx="27">
                  <c:v>95.7</c:v>
                </c:pt>
                <c:pt idx="28">
                  <c:v>93.5</c:v>
                </c:pt>
                <c:pt idx="29">
                  <c:v>91.3</c:v>
                </c:pt>
                <c:pt idx="30">
                  <c:v>92.7</c:v>
                </c:pt>
                <c:pt idx="31">
                  <c:v>91.2</c:v>
                </c:pt>
              </c:numCache>
            </c:numRef>
          </c:val>
          <c:smooth val="0"/>
          <c:extLst>
            <c:ext xmlns:c16="http://schemas.microsoft.com/office/drawing/2014/chart" uri="{C3380CC4-5D6E-409C-BE32-E72D297353CC}">
              <c16:uniqueId val="{00000000-0519-49D9-A745-11FD902DDC6E}"/>
            </c:ext>
          </c:extLst>
        </c:ser>
        <c:ser>
          <c:idx val="1"/>
          <c:order val="1"/>
          <c:tx>
            <c:strRef>
              <c:f>'Prerađivačka_6 graf'!$H$7</c:f>
              <c:strCache>
                <c:ptCount val="1"/>
                <c:pt idx="0">
                  <c:v>sa</c:v>
                </c:pt>
              </c:strCache>
            </c:strRef>
          </c:tx>
          <c:spPr>
            <a:ln w="22225" cap="rnd">
              <a:solidFill>
                <a:srgbClr val="25AAE1"/>
              </a:solidFill>
              <a:round/>
            </a:ln>
            <a:effectLst/>
          </c:spPr>
          <c:marker>
            <c:symbol val="none"/>
          </c:marker>
          <c:cat>
            <c:numRef>
              <c:f>'Prerađivačka_6 graf'!$A$20:$A$51</c:f>
              <c:numCache>
                <c:formatCode>yyyy</c:formatCode>
                <c:ptCount val="32"/>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pt idx="31">
                  <c:v>43678</c:v>
                </c:pt>
              </c:numCache>
            </c:numRef>
          </c:cat>
          <c:val>
            <c:numRef>
              <c:f>'Prerađivačka_6 graf'!$R$20:$R$51</c:f>
              <c:numCache>
                <c:formatCode>0.0</c:formatCode>
                <c:ptCount val="32"/>
                <c:pt idx="0">
                  <c:v>101.27104740649771</c:v>
                </c:pt>
                <c:pt idx="1">
                  <c:v>105.23450503543901</c:v>
                </c:pt>
                <c:pt idx="2">
                  <c:v>102.25331093326147</c:v>
                </c:pt>
                <c:pt idx="3">
                  <c:v>101.06761703229897</c:v>
                </c:pt>
                <c:pt idx="4">
                  <c:v>101.71119657199489</c:v>
                </c:pt>
                <c:pt idx="5">
                  <c:v>101.02630431483946</c:v>
                </c:pt>
                <c:pt idx="6">
                  <c:v>100.76788014223818</c:v>
                </c:pt>
                <c:pt idx="7">
                  <c:v>103.06560000913116</c:v>
                </c:pt>
                <c:pt idx="8">
                  <c:v>99.110588619086826</c:v>
                </c:pt>
                <c:pt idx="9">
                  <c:v>102.31850813942127</c:v>
                </c:pt>
                <c:pt idx="10">
                  <c:v>104.04541577150148</c:v>
                </c:pt>
                <c:pt idx="11">
                  <c:v>103.84173091803291</c:v>
                </c:pt>
                <c:pt idx="12">
                  <c:v>104.38541182165736</c:v>
                </c:pt>
                <c:pt idx="13">
                  <c:v>100.31863513152371</c:v>
                </c:pt>
                <c:pt idx="14">
                  <c:v>102.45640314240181</c:v>
                </c:pt>
                <c:pt idx="15">
                  <c:v>99.978185650657565</c:v>
                </c:pt>
                <c:pt idx="16">
                  <c:v>104.24472231770675</c:v>
                </c:pt>
                <c:pt idx="17">
                  <c:v>104.0299168646484</c:v>
                </c:pt>
                <c:pt idx="18">
                  <c:v>101.41424273550625</c:v>
                </c:pt>
                <c:pt idx="19">
                  <c:v>101.24902758457735</c:v>
                </c:pt>
                <c:pt idx="20">
                  <c:v>99.150458018722404</c:v>
                </c:pt>
                <c:pt idx="21">
                  <c:v>99.146926239643264</c:v>
                </c:pt>
                <c:pt idx="22">
                  <c:v>93.955026389005226</c:v>
                </c:pt>
                <c:pt idx="23">
                  <c:v>91.682197160041454</c:v>
                </c:pt>
                <c:pt idx="24">
                  <c:v>99.020562715049962</c:v>
                </c:pt>
                <c:pt idx="25">
                  <c:v>105.4414047262666</c:v>
                </c:pt>
                <c:pt idx="26">
                  <c:v>101.24208691582717</c:v>
                </c:pt>
                <c:pt idx="27">
                  <c:v>100.18193379046978</c:v>
                </c:pt>
                <c:pt idx="28">
                  <c:v>96.437014652203246</c:v>
                </c:pt>
                <c:pt idx="29">
                  <c:v>93.254581987160776</c:v>
                </c:pt>
                <c:pt idx="30">
                  <c:v>98.188987781718808</c:v>
                </c:pt>
                <c:pt idx="31">
                  <c:v>96.977376697521677</c:v>
                </c:pt>
              </c:numCache>
            </c:numRef>
          </c:val>
          <c:smooth val="0"/>
          <c:extLst>
            <c:ext xmlns:c16="http://schemas.microsoft.com/office/drawing/2014/chart" uri="{C3380CC4-5D6E-409C-BE32-E72D297353CC}">
              <c16:uniqueId val="{00000001-0519-49D9-A745-11FD902DDC6E}"/>
            </c:ext>
          </c:extLst>
        </c:ser>
        <c:ser>
          <c:idx val="2"/>
          <c:order val="2"/>
          <c:tx>
            <c:strRef>
              <c:f>'Prerađivačka_6 graf'!$I$7</c:f>
              <c:strCache>
                <c:ptCount val="1"/>
                <c:pt idx="0">
                  <c:v>t</c:v>
                </c:pt>
              </c:strCache>
            </c:strRef>
          </c:tx>
          <c:spPr>
            <a:ln w="25400" cap="rnd">
              <a:solidFill>
                <a:srgbClr val="FF0000"/>
              </a:solidFill>
              <a:round/>
            </a:ln>
            <a:effectLst/>
          </c:spPr>
          <c:marker>
            <c:symbol val="none"/>
          </c:marker>
          <c:cat>
            <c:numRef>
              <c:f>'Prerađivačka_6 graf'!$A$20:$A$51</c:f>
              <c:numCache>
                <c:formatCode>yyyy</c:formatCode>
                <c:ptCount val="32"/>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pt idx="31">
                  <c:v>43678</c:v>
                </c:pt>
              </c:numCache>
            </c:numRef>
          </c:cat>
          <c:val>
            <c:numRef>
              <c:f>'Prerađivačka_6 graf'!$S$20:$S$51</c:f>
              <c:numCache>
                <c:formatCode>0.0</c:formatCode>
                <c:ptCount val="32"/>
                <c:pt idx="0">
                  <c:v>102.78781346909157</c:v>
                </c:pt>
                <c:pt idx="1">
                  <c:v>102.68453811559844</c:v>
                </c:pt>
                <c:pt idx="2">
                  <c:v>102.44086444188204</c:v>
                </c:pt>
                <c:pt idx="3">
                  <c:v>102.06815928609547</c:v>
                </c:pt>
                <c:pt idx="4">
                  <c:v>101.56413062618871</c:v>
                </c:pt>
                <c:pt idx="5">
                  <c:v>101.18640167113671</c:v>
                </c:pt>
                <c:pt idx="6">
                  <c:v>101.04188953686847</c:v>
                </c:pt>
                <c:pt idx="7">
                  <c:v>101.28732902930241</c:v>
                </c:pt>
                <c:pt idx="8">
                  <c:v>101.83883101347656</c:v>
                </c:pt>
                <c:pt idx="9">
                  <c:v>102.4519994814826</c:v>
                </c:pt>
                <c:pt idx="10">
                  <c:v>102.88505964515868</c:v>
                </c:pt>
                <c:pt idx="11">
                  <c:v>102.98298934838763</c:v>
                </c:pt>
                <c:pt idx="12">
                  <c:v>102.81303711551126</c:v>
                </c:pt>
                <c:pt idx="13">
                  <c:v>102.55065736393482</c:v>
                </c:pt>
                <c:pt idx="14">
                  <c:v>102.37477494437798</c:v>
                </c:pt>
                <c:pt idx="15">
                  <c:v>102.3342728802231</c:v>
                </c:pt>
                <c:pt idx="16">
                  <c:v>102.49864474317654</c:v>
                </c:pt>
                <c:pt idx="17">
                  <c:v>102.46831838795413</c:v>
                </c:pt>
                <c:pt idx="18">
                  <c:v>101.89870672137775</c:v>
                </c:pt>
                <c:pt idx="19">
                  <c:v>100.77351841105921</c:v>
                </c:pt>
                <c:pt idx="20">
                  <c:v>99.344825249927553</c:v>
                </c:pt>
                <c:pt idx="21">
                  <c:v>98.146383937311015</c:v>
                </c:pt>
                <c:pt idx="22">
                  <c:v>97.609269274772686</c:v>
                </c:pt>
                <c:pt idx="23">
                  <c:v>97.873419002840464</c:v>
                </c:pt>
                <c:pt idx="24">
                  <c:v>98.474335072291467</c:v>
                </c:pt>
                <c:pt idx="25">
                  <c:v>98.987382734829268</c:v>
                </c:pt>
                <c:pt idx="26">
                  <c:v>99.105404426088072</c:v>
                </c:pt>
                <c:pt idx="27">
                  <c:v>98.701447417776762</c:v>
                </c:pt>
                <c:pt idx="28">
                  <c:v>97.973639361750912</c:v>
                </c:pt>
                <c:pt idx="29">
                  <c:v>97.303277537501202</c:v>
                </c:pt>
                <c:pt idx="30">
                  <c:v>97.055561307953965</c:v>
                </c:pt>
                <c:pt idx="31">
                  <c:v>97.173271827547325</c:v>
                </c:pt>
              </c:numCache>
            </c:numRef>
          </c:val>
          <c:smooth val="0"/>
          <c:extLst>
            <c:ext xmlns:c16="http://schemas.microsoft.com/office/drawing/2014/chart" uri="{C3380CC4-5D6E-409C-BE32-E72D297353CC}">
              <c16:uniqueId val="{00000002-0519-49D9-A745-11FD902DDC6E}"/>
            </c:ext>
          </c:extLst>
        </c:ser>
        <c:ser>
          <c:idx val="3"/>
          <c:order val="3"/>
          <c:spPr>
            <a:ln w="28575" cap="rnd">
              <a:noFill/>
              <a:round/>
            </a:ln>
            <a:effectLst/>
          </c:spPr>
          <c:marker>
            <c:symbol val="square"/>
            <c:size val="2"/>
            <c:spPr>
              <a:solidFill>
                <a:sysClr val="window" lastClr="FFFFFF"/>
              </a:solidFill>
              <a:ln w="9525">
                <a:noFill/>
              </a:ln>
              <a:effectLst/>
            </c:spPr>
          </c:marker>
          <c:dLbls>
            <c:dLbl>
              <c:idx val="0"/>
              <c:layout>
                <c:manualLayout>
                  <c:x val="0.11161691691300024"/>
                  <c:y val="4.579608585858585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519-49D9-A745-11FD902DDC6E}"/>
                </c:ext>
              </c:extLst>
            </c:dLbl>
            <c:dLbl>
              <c:idx val="12"/>
              <c:layout>
                <c:manualLayout>
                  <c:x val="0.10708440139458812"/>
                  <c:y val="4.579608585858585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0519-49D9-A745-11FD902DDC6E}"/>
                </c:ext>
              </c:extLst>
            </c:dLbl>
            <c:dLbl>
              <c:idx val="24"/>
              <c:layout>
                <c:manualLayout>
                  <c:x val="4.174900390267245E-2"/>
                  <c:y val="4.579608585858585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0519-49D9-A745-11FD902DDC6E}"/>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'Prerađivačka_6 graf'!$A$20:$A$51</c:f>
              <c:numCache>
                <c:formatCode>yyyy</c:formatCode>
                <c:ptCount val="32"/>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pt idx="31">
                  <c:v>43678</c:v>
                </c:pt>
              </c:numCache>
            </c:numRef>
          </c:cat>
          <c:val>
            <c:numRef>
              <c:f>'Prerađivačka_6 graf'!$B$20:$B$51</c:f>
              <c:numCache>
                <c:formatCode>General</c:formatCode>
                <c:ptCount val="32"/>
                <c:pt idx="0">
                  <c:v>70</c:v>
                </c:pt>
                <c:pt idx="12">
                  <c:v>70</c:v>
                </c:pt>
                <c:pt idx="24">
                  <c:v>70</c:v>
                </c:pt>
              </c:numCache>
            </c:numRef>
          </c:val>
          <c:smooth val="0"/>
          <c:extLst>
            <c:ext xmlns:c16="http://schemas.microsoft.com/office/drawing/2014/chart" uri="{C3380CC4-5D6E-409C-BE32-E72D297353CC}">
              <c16:uniqueId val="{00000006-0519-49D9-A745-11FD902DDC6E}"/>
            </c:ext>
          </c:extLst>
        </c:ser>
        <c:dLbls>
          <c:showLegendKey val="0"/>
          <c:showVal val="0"/>
          <c:showCatName val="0"/>
          <c:showSerName val="0"/>
          <c:showPercent val="0"/>
          <c:showBubbleSize val="0"/>
        </c:dLbls>
        <c:marker val="1"/>
        <c:smooth val="0"/>
        <c:axId val="319296624"/>
        <c:axId val="319297184"/>
      </c:lineChart>
      <c:lineChart>
        <c:grouping val="standard"/>
        <c:varyColors val="0"/>
        <c:ser>
          <c:idx val="4"/>
          <c:order val="4"/>
          <c:spPr>
            <a:ln w="28575" cap="rnd">
              <a:noFill/>
              <a:round/>
            </a:ln>
            <a:effectLst/>
          </c:spPr>
          <c:marker>
            <c:symbol val="none"/>
          </c:marker>
          <c:dLbls>
            <c:spPr>
              <a:noFill/>
              <a:ln>
                <a:noFill/>
              </a:ln>
              <a:effectLst/>
            </c:spPr>
            <c:txPr>
              <a:bodyPr rot="0" spcFirstLastPara="1" vertOverflow="ellipsis" vert="horz" wrap="square" anchor="ctr" anchorCtr="1"/>
              <a:lstStyle/>
              <a:p>
                <a:pPr>
                  <a:defRPr sz="500" b="0" i="0" u="none" strike="noStrike" kern="1200" baseline="0">
                    <a:solidFill>
                      <a:schemeClr val="tx2"/>
                    </a:solidFill>
                    <a:latin typeface="+mn-lt"/>
                    <a:ea typeface="+mn-ea"/>
                    <a:cs typeface="+mn-cs"/>
                  </a:defRPr>
                </a:pPr>
                <a:endParaRPr lang="en-US"/>
              </a:p>
            </c:txPr>
            <c:dLblPos val="t"/>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strRef>
              <c:f>'Prerađivačka_6 graf'!$E$20:$E$51</c:f>
              <c:strCache>
                <c:ptCount val="32"/>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pt idx="21">
                  <c:v>X</c:v>
                </c:pt>
                <c:pt idx="22">
                  <c:v>XI</c:v>
                </c:pt>
                <c:pt idx="23">
                  <c:v>XII</c:v>
                </c:pt>
                <c:pt idx="24">
                  <c:v>I</c:v>
                </c:pt>
                <c:pt idx="25">
                  <c:v>II</c:v>
                </c:pt>
                <c:pt idx="26">
                  <c:v>III</c:v>
                </c:pt>
                <c:pt idx="27">
                  <c:v>IV</c:v>
                </c:pt>
                <c:pt idx="28">
                  <c:v>V</c:v>
                </c:pt>
                <c:pt idx="29">
                  <c:v>VI</c:v>
                </c:pt>
                <c:pt idx="30">
                  <c:v>VII</c:v>
                </c:pt>
                <c:pt idx="31">
                  <c:v>VIII</c:v>
                </c:pt>
              </c:strCache>
            </c:strRef>
          </c:cat>
          <c:val>
            <c:numRef>
              <c:f>'Prerađivačka_6 graf'!$C$20:$C$51</c:f>
              <c:numCache>
                <c:formatCode>General</c:formatCode>
                <c:ptCount val="32"/>
                <c:pt idx="0">
                  <c:v>70</c:v>
                </c:pt>
                <c:pt idx="1">
                  <c:v>70</c:v>
                </c:pt>
                <c:pt idx="2">
                  <c:v>70</c:v>
                </c:pt>
                <c:pt idx="3">
                  <c:v>70</c:v>
                </c:pt>
                <c:pt idx="4">
                  <c:v>70</c:v>
                </c:pt>
                <c:pt idx="5">
                  <c:v>70</c:v>
                </c:pt>
                <c:pt idx="6">
                  <c:v>70</c:v>
                </c:pt>
                <c:pt idx="7">
                  <c:v>70</c:v>
                </c:pt>
                <c:pt idx="8">
                  <c:v>70</c:v>
                </c:pt>
                <c:pt idx="9">
                  <c:v>70</c:v>
                </c:pt>
                <c:pt idx="10">
                  <c:v>70</c:v>
                </c:pt>
                <c:pt idx="11">
                  <c:v>70</c:v>
                </c:pt>
                <c:pt idx="12">
                  <c:v>70</c:v>
                </c:pt>
                <c:pt idx="13">
                  <c:v>70</c:v>
                </c:pt>
                <c:pt idx="14">
                  <c:v>70</c:v>
                </c:pt>
                <c:pt idx="15">
                  <c:v>70</c:v>
                </c:pt>
                <c:pt idx="16">
                  <c:v>70</c:v>
                </c:pt>
                <c:pt idx="17">
                  <c:v>70</c:v>
                </c:pt>
                <c:pt idx="18">
                  <c:v>70</c:v>
                </c:pt>
                <c:pt idx="19">
                  <c:v>70</c:v>
                </c:pt>
                <c:pt idx="20">
                  <c:v>70</c:v>
                </c:pt>
                <c:pt idx="21">
                  <c:v>70</c:v>
                </c:pt>
                <c:pt idx="22">
                  <c:v>70</c:v>
                </c:pt>
                <c:pt idx="23">
                  <c:v>70</c:v>
                </c:pt>
                <c:pt idx="24">
                  <c:v>70</c:v>
                </c:pt>
                <c:pt idx="25">
                  <c:v>70</c:v>
                </c:pt>
                <c:pt idx="26">
                  <c:v>70</c:v>
                </c:pt>
                <c:pt idx="27">
                  <c:v>70</c:v>
                </c:pt>
                <c:pt idx="28">
                  <c:v>70</c:v>
                </c:pt>
                <c:pt idx="29">
                  <c:v>70</c:v>
                </c:pt>
                <c:pt idx="30">
                  <c:v>70</c:v>
                </c:pt>
                <c:pt idx="31">
                  <c:v>70</c:v>
                </c:pt>
              </c:numCache>
            </c:numRef>
          </c:val>
          <c:smooth val="0"/>
          <c:extLst>
            <c:ext xmlns:c16="http://schemas.microsoft.com/office/drawing/2014/chart" uri="{C3380CC4-5D6E-409C-BE32-E72D297353CC}">
              <c16:uniqueId val="{00000007-0519-49D9-A745-11FD902DDC6E}"/>
            </c:ext>
          </c:extLst>
        </c:ser>
        <c:dLbls>
          <c:showLegendKey val="0"/>
          <c:showVal val="0"/>
          <c:showCatName val="0"/>
          <c:showSerName val="0"/>
          <c:showPercent val="0"/>
          <c:showBubbleSize val="0"/>
        </c:dLbls>
        <c:marker val="1"/>
        <c:smooth val="0"/>
        <c:axId val="319298304"/>
        <c:axId val="319297744"/>
      </c:lineChart>
      <c:dateAx>
        <c:axId val="319296624"/>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en-US"/>
          </a:p>
        </c:txPr>
        <c:crossAx val="319297184"/>
        <c:crosses val="autoZero"/>
        <c:auto val="1"/>
        <c:lblOffset val="0"/>
        <c:baseTimeUnit val="months"/>
        <c:majorUnit val="12"/>
        <c:majorTimeUnit val="months"/>
      </c:dateAx>
      <c:valAx>
        <c:axId val="319297184"/>
        <c:scaling>
          <c:orientation val="minMax"/>
          <c:max val="130"/>
          <c:min val="7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19296624"/>
        <c:crosses val="autoZero"/>
        <c:crossBetween val="midCat"/>
      </c:valAx>
      <c:valAx>
        <c:axId val="319297744"/>
        <c:scaling>
          <c:orientation val="minMax"/>
          <c:max val="130"/>
          <c:min val="70"/>
        </c:scaling>
        <c:delete val="0"/>
        <c:axPos val="r"/>
        <c:numFmt formatCode="General" sourceLinked="1"/>
        <c:majorTickMark val="out"/>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19298304"/>
        <c:crosses val="max"/>
        <c:crossBetween val="midCat"/>
        <c:majorUnit val="20"/>
      </c:valAx>
      <c:catAx>
        <c:axId val="319298304"/>
        <c:scaling>
          <c:orientation val="minMax"/>
        </c:scaling>
        <c:delete val="0"/>
        <c:axPos val="t"/>
        <c:numFmt formatCode="General" sourceLinked="1"/>
        <c:majorTickMark val="out"/>
        <c:minorTickMark val="none"/>
        <c:tickLblPos val="none"/>
        <c:spPr>
          <a:noFill/>
          <a:ln w="9525" cap="flat" cmpd="sng" algn="ctr">
            <a:no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19297744"/>
        <c:crosses val="max"/>
        <c:auto val="1"/>
        <c:lblAlgn val="ctr"/>
        <c:lblOffset val="100"/>
        <c:noMultiLvlLbl val="0"/>
      </c:cat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en-US"/>
    </a:p>
  </c:txPr>
  <c:externalData r:id="rId4">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0"/>
          <c:order val="0"/>
          <c:tx>
            <c:strRef>
              <c:f>'Prerađivačka_6 graf'!$G$7</c:f>
              <c:strCache>
                <c:ptCount val="1"/>
                <c:pt idx="0">
                  <c:v>y</c:v>
                </c:pt>
              </c:strCache>
            </c:strRef>
          </c:tx>
          <c:spPr>
            <a:ln w="12700" cap="rnd">
              <a:solidFill>
                <a:srgbClr val="92278F"/>
              </a:solidFill>
              <a:prstDash val="sysDash"/>
              <a:round/>
            </a:ln>
            <a:effectLst/>
          </c:spPr>
          <c:marker>
            <c:symbol val="none"/>
          </c:marker>
          <c:cat>
            <c:numRef>
              <c:f>'Prerađivačka_6 graf'!$A$20:$A$51</c:f>
              <c:numCache>
                <c:formatCode>yyyy</c:formatCode>
                <c:ptCount val="32"/>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pt idx="31">
                  <c:v>43678</c:v>
                </c:pt>
              </c:numCache>
            </c:numRef>
          </c:cat>
          <c:val>
            <c:numRef>
              <c:f>'Prerađivačka_6 graf'!$AA$20:$AA$51</c:f>
              <c:numCache>
                <c:formatCode>0.0</c:formatCode>
                <c:ptCount val="32"/>
                <c:pt idx="0">
                  <c:v>76.013805004314065</c:v>
                </c:pt>
                <c:pt idx="1">
                  <c:v>69.887834339948242</c:v>
                </c:pt>
                <c:pt idx="2">
                  <c:v>90.336496980155317</c:v>
                </c:pt>
                <c:pt idx="3">
                  <c:v>83.261432269197584</c:v>
                </c:pt>
                <c:pt idx="4">
                  <c:v>96.635030198446941</c:v>
                </c:pt>
                <c:pt idx="5">
                  <c:v>93.442622950819683</c:v>
                </c:pt>
                <c:pt idx="6">
                  <c:v>96.117342536669554</c:v>
                </c:pt>
                <c:pt idx="7">
                  <c:v>100.77653149266609</c:v>
                </c:pt>
                <c:pt idx="8">
                  <c:v>104.74547023295946</c:v>
                </c:pt>
                <c:pt idx="9">
                  <c:v>107.85159620362381</c:v>
                </c:pt>
                <c:pt idx="10">
                  <c:v>106.55737704918033</c:v>
                </c:pt>
                <c:pt idx="11">
                  <c:v>94.13287316652287</c:v>
                </c:pt>
                <c:pt idx="12">
                  <c:v>88.679245283018872</c:v>
                </c:pt>
                <c:pt idx="13">
                  <c:v>64.481268011527376</c:v>
                </c:pt>
                <c:pt idx="14">
                  <c:v>93.203883495145661</c:v>
                </c:pt>
                <c:pt idx="15">
                  <c:v>82.957393483709282</c:v>
                </c:pt>
                <c:pt idx="16">
                  <c:v>97.972251867662749</c:v>
                </c:pt>
                <c:pt idx="17">
                  <c:v>103.73563218390807</c:v>
                </c:pt>
                <c:pt idx="18">
                  <c:v>105.37444933920703</c:v>
                </c:pt>
                <c:pt idx="19">
                  <c:v>115.44633901705114</c:v>
                </c:pt>
                <c:pt idx="20">
                  <c:v>117.16997411561694</c:v>
                </c:pt>
                <c:pt idx="21">
                  <c:v>112.16566005176878</c:v>
                </c:pt>
                <c:pt idx="22">
                  <c:v>118.20534943917171</c:v>
                </c:pt>
                <c:pt idx="23">
                  <c:v>101.12165660051771</c:v>
                </c:pt>
                <c:pt idx="24">
                  <c:v>98.7</c:v>
                </c:pt>
                <c:pt idx="25">
                  <c:v>89.5</c:v>
                </c:pt>
                <c:pt idx="26">
                  <c:v>9.6</c:v>
                </c:pt>
                <c:pt idx="27">
                  <c:v>33.1</c:v>
                </c:pt>
                <c:pt idx="28">
                  <c:v>91.8</c:v>
                </c:pt>
                <c:pt idx="29">
                  <c:v>72.2</c:v>
                </c:pt>
                <c:pt idx="30">
                  <c:v>119.6</c:v>
                </c:pt>
                <c:pt idx="31">
                  <c:v>115.1</c:v>
                </c:pt>
              </c:numCache>
            </c:numRef>
          </c:val>
          <c:smooth val="0"/>
          <c:extLst>
            <c:ext xmlns:c16="http://schemas.microsoft.com/office/drawing/2014/chart" uri="{C3380CC4-5D6E-409C-BE32-E72D297353CC}">
              <c16:uniqueId val="{00000000-C17D-4681-8F57-669BF7DF6EA3}"/>
            </c:ext>
          </c:extLst>
        </c:ser>
        <c:ser>
          <c:idx val="1"/>
          <c:order val="1"/>
          <c:tx>
            <c:strRef>
              <c:f>'Prerađivačka_6 graf'!$H$7</c:f>
              <c:strCache>
                <c:ptCount val="1"/>
                <c:pt idx="0">
                  <c:v>sa</c:v>
                </c:pt>
              </c:strCache>
            </c:strRef>
          </c:tx>
          <c:spPr>
            <a:ln w="22225" cap="rnd">
              <a:solidFill>
                <a:srgbClr val="25AAE1"/>
              </a:solidFill>
              <a:round/>
            </a:ln>
            <a:effectLst/>
          </c:spPr>
          <c:marker>
            <c:symbol val="none"/>
          </c:marker>
          <c:cat>
            <c:numRef>
              <c:f>'Prerađivačka_6 graf'!$A$20:$A$51</c:f>
              <c:numCache>
                <c:formatCode>yyyy</c:formatCode>
                <c:ptCount val="32"/>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pt idx="31">
                  <c:v>43678</c:v>
                </c:pt>
              </c:numCache>
            </c:numRef>
          </c:cat>
          <c:val>
            <c:numRef>
              <c:f>'Prerađivačka_6 graf'!$AB$20:$AB$51</c:f>
              <c:numCache>
                <c:formatCode>0.0</c:formatCode>
                <c:ptCount val="32"/>
                <c:pt idx="0">
                  <c:v>80.546662380587435</c:v>
                </c:pt>
                <c:pt idx="1">
                  <c:v>90.842625715152096</c:v>
                </c:pt>
                <c:pt idx="2">
                  <c:v>108.6454867373773</c:v>
                </c:pt>
                <c:pt idx="3">
                  <c:v>95.314163517035325</c:v>
                </c:pt>
                <c:pt idx="4">
                  <c:v>92.724700916808843</c:v>
                </c:pt>
                <c:pt idx="5">
                  <c:v>92.395389427032072</c:v>
                </c:pt>
                <c:pt idx="6">
                  <c:v>88.325504340396151</c:v>
                </c:pt>
                <c:pt idx="7">
                  <c:v>89.693740014263341</c:v>
                </c:pt>
                <c:pt idx="8">
                  <c:v>95.208951793070838</c:v>
                </c:pt>
                <c:pt idx="9">
                  <c:v>96.271199914481357</c:v>
                </c:pt>
                <c:pt idx="10">
                  <c:v>94.727755698310276</c:v>
                </c:pt>
                <c:pt idx="11">
                  <c:v>93.16323041216512</c:v>
                </c:pt>
                <c:pt idx="12">
                  <c:v>93.266181623087277</c:v>
                </c:pt>
                <c:pt idx="13">
                  <c:v>84.533569098783545</c:v>
                </c:pt>
                <c:pt idx="14">
                  <c:v>118.23559456939755</c:v>
                </c:pt>
                <c:pt idx="15">
                  <c:v>98.02532641691117</c:v>
                </c:pt>
                <c:pt idx="16">
                  <c:v>93.776871142454041</c:v>
                </c:pt>
                <c:pt idx="17">
                  <c:v>105.09086884478518</c:v>
                </c:pt>
                <c:pt idx="18">
                  <c:v>95.831917129219391</c:v>
                </c:pt>
                <c:pt idx="19">
                  <c:v>99.329242699081661</c:v>
                </c:pt>
                <c:pt idx="20">
                  <c:v>106.63635255933838</c:v>
                </c:pt>
                <c:pt idx="21">
                  <c:v>99.079207242618565</c:v>
                </c:pt>
                <c:pt idx="22">
                  <c:v>103.75984317241726</c:v>
                </c:pt>
                <c:pt idx="23">
                  <c:v>99.188931117787263</c:v>
                </c:pt>
                <c:pt idx="24">
                  <c:v>103.34545101810112</c:v>
                </c:pt>
                <c:pt idx="25">
                  <c:v>116.62670777352011</c:v>
                </c:pt>
                <c:pt idx="26">
                  <c:v>12.750892836566642</c:v>
                </c:pt>
                <c:pt idx="27">
                  <c:v>40.27299364056023</c:v>
                </c:pt>
                <c:pt idx="28">
                  <c:v>87.890523519398883</c:v>
                </c:pt>
                <c:pt idx="29">
                  <c:v>74.292903980854632</c:v>
                </c:pt>
                <c:pt idx="30">
                  <c:v>107.2803123035042</c:v>
                </c:pt>
                <c:pt idx="31">
                  <c:v>97.835572929163547</c:v>
                </c:pt>
              </c:numCache>
            </c:numRef>
          </c:val>
          <c:smooth val="0"/>
          <c:extLst>
            <c:ext xmlns:c16="http://schemas.microsoft.com/office/drawing/2014/chart" uri="{C3380CC4-5D6E-409C-BE32-E72D297353CC}">
              <c16:uniqueId val="{00000001-C17D-4681-8F57-669BF7DF6EA3}"/>
            </c:ext>
          </c:extLst>
        </c:ser>
        <c:ser>
          <c:idx val="2"/>
          <c:order val="2"/>
          <c:tx>
            <c:strRef>
              <c:f>'Prerađivačka_6 graf'!$I$7</c:f>
              <c:strCache>
                <c:ptCount val="1"/>
                <c:pt idx="0">
                  <c:v>t</c:v>
                </c:pt>
              </c:strCache>
            </c:strRef>
          </c:tx>
          <c:spPr>
            <a:ln w="25400" cap="rnd">
              <a:solidFill>
                <a:srgbClr val="FF0000"/>
              </a:solidFill>
              <a:round/>
            </a:ln>
            <a:effectLst/>
          </c:spPr>
          <c:marker>
            <c:symbol val="none"/>
          </c:marker>
          <c:cat>
            <c:numRef>
              <c:f>'Prerađivačka_6 graf'!$A$20:$A$51</c:f>
              <c:numCache>
                <c:formatCode>yyyy</c:formatCode>
                <c:ptCount val="32"/>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pt idx="31">
                  <c:v>43678</c:v>
                </c:pt>
              </c:numCache>
            </c:numRef>
          </c:cat>
          <c:val>
            <c:numRef>
              <c:f>'Prerađivačka_6 graf'!$AC$20:$AC$51</c:f>
              <c:numCache>
                <c:formatCode>0.0</c:formatCode>
                <c:ptCount val="32"/>
                <c:pt idx="0">
                  <c:v>89.855025157765823</c:v>
                </c:pt>
                <c:pt idx="1">
                  <c:v>89.873566695923401</c:v>
                </c:pt>
                <c:pt idx="2">
                  <c:v>90.242336977065463</c:v>
                </c:pt>
                <c:pt idx="3">
                  <c:v>90.842723085744723</c:v>
                </c:pt>
                <c:pt idx="4">
                  <c:v>91.519045126063887</c:v>
                </c:pt>
                <c:pt idx="5">
                  <c:v>92.141304528540729</c:v>
                </c:pt>
                <c:pt idx="6">
                  <c:v>92.551450605529979</c:v>
                </c:pt>
                <c:pt idx="7">
                  <c:v>92.726524348341314</c:v>
                </c:pt>
                <c:pt idx="8">
                  <c:v>92.735616406600457</c:v>
                </c:pt>
                <c:pt idx="9">
                  <c:v>92.643367302801735</c:v>
                </c:pt>
                <c:pt idx="10">
                  <c:v>92.581343388271677</c:v>
                </c:pt>
                <c:pt idx="11">
                  <c:v>92.68239032082289</c:v>
                </c:pt>
                <c:pt idx="12">
                  <c:v>93.043413988715997</c:v>
                </c:pt>
                <c:pt idx="13">
                  <c:v>93.69322207497909</c:v>
                </c:pt>
                <c:pt idx="14">
                  <c:v>94.63042375279764</c:v>
                </c:pt>
                <c:pt idx="15">
                  <c:v>95.882556081941573</c:v>
                </c:pt>
                <c:pt idx="16">
                  <c:v>97.391421526087555</c:v>
                </c:pt>
                <c:pt idx="17">
                  <c:v>98.948341264649173</c:v>
                </c:pt>
                <c:pt idx="18">
                  <c:v>100.295390016179</c:v>
                </c:pt>
                <c:pt idx="19">
                  <c:v>101.10868261046689</c:v>
                </c:pt>
                <c:pt idx="20">
                  <c:v>101.04176906295795</c:v>
                </c:pt>
                <c:pt idx="21">
                  <c:v>99.970647148754338</c:v>
                </c:pt>
                <c:pt idx="22">
                  <c:v>97.984540443798139</c:v>
                </c:pt>
                <c:pt idx="23">
                  <c:v>95.321469348875453</c:v>
                </c:pt>
                <c:pt idx="24">
                  <c:v>92.293657860361236</c:v>
                </c:pt>
                <c:pt idx="25">
                  <c:v>89.232576113316767</c:v>
                </c:pt>
                <c:pt idx="26">
                  <c:v>86.393896285740865</c:v>
                </c:pt>
                <c:pt idx="27">
                  <c:v>83.981560806940394</c:v>
                </c:pt>
                <c:pt idx="28">
                  <c:v>82.184564755088275</c:v>
                </c:pt>
                <c:pt idx="29">
                  <c:v>81.040897411795683</c:v>
                </c:pt>
                <c:pt idx="30">
                  <c:v>80.448038633993065</c:v>
                </c:pt>
                <c:pt idx="31">
                  <c:v>80.238073704463289</c:v>
                </c:pt>
              </c:numCache>
            </c:numRef>
          </c:val>
          <c:smooth val="0"/>
          <c:extLst>
            <c:ext xmlns:c16="http://schemas.microsoft.com/office/drawing/2014/chart" uri="{C3380CC4-5D6E-409C-BE32-E72D297353CC}">
              <c16:uniqueId val="{00000002-C17D-4681-8F57-669BF7DF6EA3}"/>
            </c:ext>
          </c:extLst>
        </c:ser>
        <c:ser>
          <c:idx val="3"/>
          <c:order val="3"/>
          <c:spPr>
            <a:ln w="28575" cap="rnd">
              <a:noFill/>
              <a:round/>
            </a:ln>
            <a:effectLst/>
          </c:spPr>
          <c:marker>
            <c:symbol val="square"/>
            <c:size val="2"/>
            <c:spPr>
              <a:solidFill>
                <a:sysClr val="window" lastClr="FFFFFF"/>
              </a:solidFill>
              <a:ln w="9525">
                <a:noFill/>
              </a:ln>
              <a:effectLst/>
            </c:spPr>
          </c:marker>
          <c:dLbls>
            <c:dLbl>
              <c:idx val="0"/>
              <c:layout>
                <c:manualLayout>
                  <c:x val="0.11287230188506886"/>
                  <c:y val="5.225883838383838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17D-4681-8F57-669BF7DF6EA3}"/>
                </c:ext>
              </c:extLst>
            </c:dLbl>
            <c:dLbl>
              <c:idx val="12"/>
              <c:layout>
                <c:manualLayout>
                  <c:x val="9.9582114630762886E-2"/>
                  <c:y val="5.225883838383838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17D-4681-8F57-669BF7DF6EA3}"/>
                </c:ext>
              </c:extLst>
            </c:dLbl>
            <c:dLbl>
              <c:idx val="24"/>
              <c:layout>
                <c:manualLayout>
                  <c:x val="4.1585424634441134E-2"/>
                  <c:y val="5.225883838383838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C17D-4681-8F57-669BF7DF6EA3}"/>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'Prerađivačka_6 graf'!$A$20:$A$51</c:f>
              <c:numCache>
                <c:formatCode>yyyy</c:formatCode>
                <c:ptCount val="32"/>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pt idx="31">
                  <c:v>43678</c:v>
                </c:pt>
              </c:numCache>
            </c:numRef>
          </c:cat>
          <c:val>
            <c:numRef>
              <c:f>'Prerađivačka_6 graf'!$Y$20:$Y$51</c:f>
              <c:numCache>
                <c:formatCode>General</c:formatCode>
                <c:ptCount val="32"/>
                <c:pt idx="0">
                  <c:v>1</c:v>
                </c:pt>
                <c:pt idx="12">
                  <c:v>1</c:v>
                </c:pt>
                <c:pt idx="24">
                  <c:v>1</c:v>
                </c:pt>
              </c:numCache>
            </c:numRef>
          </c:val>
          <c:smooth val="0"/>
          <c:extLst>
            <c:ext xmlns:c16="http://schemas.microsoft.com/office/drawing/2014/chart" uri="{C3380CC4-5D6E-409C-BE32-E72D297353CC}">
              <c16:uniqueId val="{00000006-C17D-4681-8F57-669BF7DF6EA3}"/>
            </c:ext>
          </c:extLst>
        </c:ser>
        <c:dLbls>
          <c:showLegendKey val="0"/>
          <c:showVal val="0"/>
          <c:showCatName val="0"/>
          <c:showSerName val="0"/>
          <c:showPercent val="0"/>
          <c:showBubbleSize val="0"/>
        </c:dLbls>
        <c:marker val="1"/>
        <c:smooth val="0"/>
        <c:axId val="319622336"/>
        <c:axId val="319622896"/>
      </c:lineChart>
      <c:lineChart>
        <c:grouping val="standard"/>
        <c:varyColors val="0"/>
        <c:ser>
          <c:idx val="4"/>
          <c:order val="4"/>
          <c:spPr>
            <a:ln w="25400" cap="rnd">
              <a:no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en-US"/>
              </a:p>
            </c:txPr>
            <c:dLblPos val="t"/>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strRef>
              <c:f>'Prerađivačka_6 graf'!$E$20:$E$51</c:f>
              <c:strCache>
                <c:ptCount val="32"/>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pt idx="21">
                  <c:v>X</c:v>
                </c:pt>
                <c:pt idx="22">
                  <c:v>XI</c:v>
                </c:pt>
                <c:pt idx="23">
                  <c:v>XII</c:v>
                </c:pt>
                <c:pt idx="24">
                  <c:v>I</c:v>
                </c:pt>
                <c:pt idx="25">
                  <c:v>II</c:v>
                </c:pt>
                <c:pt idx="26">
                  <c:v>III</c:v>
                </c:pt>
                <c:pt idx="27">
                  <c:v>IV</c:v>
                </c:pt>
                <c:pt idx="28">
                  <c:v>V</c:v>
                </c:pt>
                <c:pt idx="29">
                  <c:v>VI</c:v>
                </c:pt>
                <c:pt idx="30">
                  <c:v>VII</c:v>
                </c:pt>
                <c:pt idx="31">
                  <c:v>VIII</c:v>
                </c:pt>
              </c:strCache>
            </c:strRef>
          </c:cat>
          <c:val>
            <c:numRef>
              <c:f>'Prerađivačka_6 graf'!$Z$20:$Z$51</c:f>
              <c:numCache>
                <c:formatCode>General</c:formatCode>
                <c:ptCount val="32"/>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numCache>
            </c:numRef>
          </c:val>
          <c:smooth val="0"/>
          <c:extLst>
            <c:ext xmlns:c16="http://schemas.microsoft.com/office/drawing/2014/chart" uri="{C3380CC4-5D6E-409C-BE32-E72D297353CC}">
              <c16:uniqueId val="{00000007-C17D-4681-8F57-669BF7DF6EA3}"/>
            </c:ext>
          </c:extLst>
        </c:ser>
        <c:dLbls>
          <c:showLegendKey val="0"/>
          <c:showVal val="0"/>
          <c:showCatName val="0"/>
          <c:showSerName val="0"/>
          <c:showPercent val="0"/>
          <c:showBubbleSize val="0"/>
        </c:dLbls>
        <c:marker val="1"/>
        <c:smooth val="0"/>
        <c:axId val="319624016"/>
        <c:axId val="319623456"/>
      </c:lineChart>
      <c:dateAx>
        <c:axId val="31962233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en-US"/>
          </a:p>
        </c:txPr>
        <c:crossAx val="319622896"/>
        <c:crosses val="autoZero"/>
        <c:auto val="1"/>
        <c:lblOffset val="0"/>
        <c:baseTimeUnit val="months"/>
        <c:majorUnit val="12"/>
        <c:majorTimeUnit val="months"/>
      </c:dateAx>
      <c:valAx>
        <c:axId val="319622896"/>
        <c:scaling>
          <c:orientation val="minMax"/>
          <c:max val="130"/>
          <c:min val="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19622336"/>
        <c:crosses val="autoZero"/>
        <c:crossBetween val="midCat"/>
      </c:valAx>
      <c:valAx>
        <c:axId val="319623456"/>
        <c:scaling>
          <c:orientation val="minMax"/>
          <c:max val="120"/>
          <c:min val="0"/>
        </c:scaling>
        <c:delete val="0"/>
        <c:axPos val="r"/>
        <c:numFmt formatCode="General" sourceLinked="1"/>
        <c:majorTickMark val="out"/>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19624016"/>
        <c:crosses val="max"/>
        <c:crossBetween val="midCat"/>
        <c:majorUnit val="20"/>
      </c:valAx>
      <c:catAx>
        <c:axId val="319624016"/>
        <c:scaling>
          <c:orientation val="minMax"/>
        </c:scaling>
        <c:delete val="0"/>
        <c:axPos val="t"/>
        <c:numFmt formatCode="General" sourceLinked="1"/>
        <c:majorTickMark val="out"/>
        <c:minorTickMark val="none"/>
        <c:tickLblPos val="none"/>
        <c:spPr>
          <a:noFill/>
          <a:ln w="9525" cap="flat" cmpd="sng" algn="ctr">
            <a:no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19623456"/>
        <c:crosses val="max"/>
        <c:auto val="1"/>
        <c:lblAlgn val="ctr"/>
        <c:lblOffset val="100"/>
        <c:noMultiLvlLbl val="0"/>
      </c:cat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en-US"/>
    </a:p>
  </c:txPr>
  <c:externalData r:id="rId4">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0"/>
          <c:order val="0"/>
          <c:tx>
            <c:strRef>
              <c:f>'Prerađivačka_6 graf'!$G$7</c:f>
              <c:strCache>
                <c:ptCount val="1"/>
                <c:pt idx="0">
                  <c:v>y</c:v>
                </c:pt>
              </c:strCache>
            </c:strRef>
          </c:tx>
          <c:spPr>
            <a:ln w="12700" cap="rnd">
              <a:solidFill>
                <a:srgbClr val="92278F"/>
              </a:solidFill>
              <a:prstDash val="sysDash"/>
              <a:round/>
            </a:ln>
            <a:effectLst/>
          </c:spPr>
          <c:marker>
            <c:symbol val="none"/>
          </c:marker>
          <c:cat>
            <c:numRef>
              <c:f>'Prerađivačka_6 graf'!$A$20:$A$51</c:f>
              <c:numCache>
                <c:formatCode>yyyy</c:formatCode>
                <c:ptCount val="32"/>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pt idx="31">
                  <c:v>43678</c:v>
                </c:pt>
              </c:numCache>
            </c:numRef>
          </c:cat>
          <c:val>
            <c:numRef>
              <c:f>'Prerađivačka_6 graf'!$AF$20:$AF$51</c:f>
              <c:numCache>
                <c:formatCode>0.0</c:formatCode>
                <c:ptCount val="32"/>
                <c:pt idx="0">
                  <c:v>72.568623886566073</c:v>
                </c:pt>
                <c:pt idx="1">
                  <c:v>87.475004544628248</c:v>
                </c:pt>
                <c:pt idx="2">
                  <c:v>106.45337211416106</c:v>
                </c:pt>
                <c:pt idx="3">
                  <c:v>104.34466460643519</c:v>
                </c:pt>
                <c:pt idx="4">
                  <c:v>110.67078712961278</c:v>
                </c:pt>
                <c:pt idx="5">
                  <c:v>111.17978549354663</c:v>
                </c:pt>
                <c:pt idx="6">
                  <c:v>101.36338847482276</c:v>
                </c:pt>
                <c:pt idx="7">
                  <c:v>96.418832939465545</c:v>
                </c:pt>
                <c:pt idx="8">
                  <c:v>96.636975095437194</c:v>
                </c:pt>
                <c:pt idx="9">
                  <c:v>98.963824759134695</c:v>
                </c:pt>
                <c:pt idx="10">
                  <c:v>94.382839483730237</c:v>
                </c:pt>
                <c:pt idx="11">
                  <c:v>106.5260861661516</c:v>
                </c:pt>
                <c:pt idx="12">
                  <c:v>107.69230769230769</c:v>
                </c:pt>
                <c:pt idx="13">
                  <c:v>104.54545454545456</c:v>
                </c:pt>
                <c:pt idx="14">
                  <c:v>115.16919486581097</c:v>
                </c:pt>
                <c:pt idx="15">
                  <c:v>100.41039671682628</c:v>
                </c:pt>
                <c:pt idx="16">
                  <c:v>102.86831812255541</c:v>
                </c:pt>
                <c:pt idx="17">
                  <c:v>96.719681908548722</c:v>
                </c:pt>
                <c:pt idx="18">
                  <c:v>98.106402164111799</c:v>
                </c:pt>
                <c:pt idx="19">
                  <c:v>93.086660175267767</c:v>
                </c:pt>
                <c:pt idx="20">
                  <c:v>95.255408107616788</c:v>
                </c:pt>
                <c:pt idx="21">
                  <c:v>108.27122341392474</c:v>
                </c:pt>
                <c:pt idx="22">
                  <c:v>91.837847664061073</c:v>
                </c:pt>
                <c:pt idx="23">
                  <c:v>89.801854208325764</c:v>
                </c:pt>
                <c:pt idx="24">
                  <c:v>84</c:v>
                </c:pt>
                <c:pt idx="25">
                  <c:v>87.4</c:v>
                </c:pt>
                <c:pt idx="26">
                  <c:v>98.7</c:v>
                </c:pt>
                <c:pt idx="27">
                  <c:v>73.400000000000006</c:v>
                </c:pt>
                <c:pt idx="28">
                  <c:v>78.900000000000006</c:v>
                </c:pt>
                <c:pt idx="29">
                  <c:v>97.3</c:v>
                </c:pt>
                <c:pt idx="30">
                  <c:v>108.8</c:v>
                </c:pt>
                <c:pt idx="31">
                  <c:v>95.6</c:v>
                </c:pt>
              </c:numCache>
            </c:numRef>
          </c:val>
          <c:smooth val="0"/>
          <c:extLst>
            <c:ext xmlns:c16="http://schemas.microsoft.com/office/drawing/2014/chart" uri="{C3380CC4-5D6E-409C-BE32-E72D297353CC}">
              <c16:uniqueId val="{00000000-3979-41FB-B6E7-FE5460EE0ADA}"/>
            </c:ext>
          </c:extLst>
        </c:ser>
        <c:ser>
          <c:idx val="1"/>
          <c:order val="1"/>
          <c:tx>
            <c:strRef>
              <c:f>'Prerađivačka_6 graf'!$H$7</c:f>
              <c:strCache>
                <c:ptCount val="1"/>
                <c:pt idx="0">
                  <c:v>sa</c:v>
                </c:pt>
              </c:strCache>
            </c:strRef>
          </c:tx>
          <c:spPr>
            <a:ln w="22225" cap="rnd">
              <a:solidFill>
                <a:srgbClr val="25AAE1"/>
              </a:solidFill>
              <a:round/>
            </a:ln>
            <a:effectLst/>
          </c:spPr>
          <c:marker>
            <c:symbol val="none"/>
          </c:marker>
          <c:cat>
            <c:numRef>
              <c:f>'Prerađivačka_6 graf'!$A$20:$A$51</c:f>
              <c:numCache>
                <c:formatCode>yyyy</c:formatCode>
                <c:ptCount val="32"/>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pt idx="31">
                  <c:v>43678</c:v>
                </c:pt>
              </c:numCache>
            </c:numRef>
          </c:cat>
          <c:val>
            <c:numRef>
              <c:f>'Prerađivačka_6 graf'!$AG$20:$AG$51</c:f>
              <c:numCache>
                <c:formatCode>0.0</c:formatCode>
                <c:ptCount val="32"/>
                <c:pt idx="0">
                  <c:v>74.023194792931591</c:v>
                </c:pt>
                <c:pt idx="1">
                  <c:v>85.797023930658952</c:v>
                </c:pt>
                <c:pt idx="2">
                  <c:v>89.745495409606946</c:v>
                </c:pt>
                <c:pt idx="3">
                  <c:v>102.3488373811328</c:v>
                </c:pt>
                <c:pt idx="4">
                  <c:v>106.32038009610793</c:v>
                </c:pt>
                <c:pt idx="5">
                  <c:v>105.68622799432463</c:v>
                </c:pt>
                <c:pt idx="6">
                  <c:v>103.6658243903584</c:v>
                </c:pt>
                <c:pt idx="7">
                  <c:v>100.55969630544196</c:v>
                </c:pt>
                <c:pt idx="8">
                  <c:v>101.5301493799336</c:v>
                </c:pt>
                <c:pt idx="9">
                  <c:v>104.58608360593291</c:v>
                </c:pt>
                <c:pt idx="10">
                  <c:v>100.76735673681458</c:v>
                </c:pt>
                <c:pt idx="11">
                  <c:v>109.42654505630773</c:v>
                </c:pt>
                <c:pt idx="12">
                  <c:v>111.78139882433693</c:v>
                </c:pt>
                <c:pt idx="13">
                  <c:v>103.71575413040397</c:v>
                </c:pt>
                <c:pt idx="14">
                  <c:v>99.214948903619998</c:v>
                </c:pt>
                <c:pt idx="15">
                  <c:v>98.995376778994185</c:v>
                </c:pt>
                <c:pt idx="16">
                  <c:v>99.962385140455638</c:v>
                </c:pt>
                <c:pt idx="17">
                  <c:v>92.616534931214119</c:v>
                </c:pt>
                <c:pt idx="18">
                  <c:v>99.212186607831768</c:v>
                </c:pt>
                <c:pt idx="19">
                  <c:v>96.450807275576295</c:v>
                </c:pt>
                <c:pt idx="20">
                  <c:v>99.775160944504634</c:v>
                </c:pt>
                <c:pt idx="21">
                  <c:v>111.55309749309504</c:v>
                </c:pt>
                <c:pt idx="22">
                  <c:v>97.10967680284277</c:v>
                </c:pt>
                <c:pt idx="23">
                  <c:v>91.155094426880297</c:v>
                </c:pt>
                <c:pt idx="24">
                  <c:v>88.12375221352211</c:v>
                </c:pt>
                <c:pt idx="25">
                  <c:v>87.60359608836211</c:v>
                </c:pt>
                <c:pt idx="26">
                  <c:v>86.52238276995719</c:v>
                </c:pt>
                <c:pt idx="27">
                  <c:v>72.657479819442329</c:v>
                </c:pt>
                <c:pt idx="28">
                  <c:v>77.026162773136463</c:v>
                </c:pt>
                <c:pt idx="29">
                  <c:v>93.719166701577052</c:v>
                </c:pt>
                <c:pt idx="30">
                  <c:v>108.78513889815804</c:v>
                </c:pt>
                <c:pt idx="31">
                  <c:v>98.8450924741866</c:v>
                </c:pt>
              </c:numCache>
            </c:numRef>
          </c:val>
          <c:smooth val="0"/>
          <c:extLst>
            <c:ext xmlns:c16="http://schemas.microsoft.com/office/drawing/2014/chart" uri="{C3380CC4-5D6E-409C-BE32-E72D297353CC}">
              <c16:uniqueId val="{00000001-3979-41FB-B6E7-FE5460EE0ADA}"/>
            </c:ext>
          </c:extLst>
        </c:ser>
        <c:ser>
          <c:idx val="2"/>
          <c:order val="2"/>
          <c:tx>
            <c:strRef>
              <c:f>'Prerađivačka_6 graf'!$I$7</c:f>
              <c:strCache>
                <c:ptCount val="1"/>
                <c:pt idx="0">
                  <c:v>t</c:v>
                </c:pt>
              </c:strCache>
            </c:strRef>
          </c:tx>
          <c:spPr>
            <a:ln w="25400" cap="rnd">
              <a:solidFill>
                <a:srgbClr val="FF0000"/>
              </a:solidFill>
              <a:round/>
            </a:ln>
            <a:effectLst/>
          </c:spPr>
          <c:marker>
            <c:symbol val="none"/>
          </c:marker>
          <c:cat>
            <c:numRef>
              <c:f>'Prerađivačka_6 graf'!$A$20:$A$51</c:f>
              <c:numCache>
                <c:formatCode>yyyy</c:formatCode>
                <c:ptCount val="32"/>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pt idx="31">
                  <c:v>43678</c:v>
                </c:pt>
              </c:numCache>
            </c:numRef>
          </c:cat>
          <c:val>
            <c:numRef>
              <c:f>'Prerađivačka_6 graf'!$AH$20:$AH$51</c:f>
              <c:numCache>
                <c:formatCode>0.0</c:formatCode>
                <c:ptCount val="32"/>
                <c:pt idx="0">
                  <c:v>84.698523522483299</c:v>
                </c:pt>
                <c:pt idx="1">
                  <c:v>88.054716029522268</c:v>
                </c:pt>
                <c:pt idx="2">
                  <c:v>92.93800840381283</c:v>
                </c:pt>
                <c:pt idx="3">
                  <c:v>97.884936821535177</c:v>
                </c:pt>
                <c:pt idx="4">
                  <c:v>101.87227377345552</c:v>
                </c:pt>
                <c:pt idx="5">
                  <c:v>103.99944504225635</c:v>
                </c:pt>
                <c:pt idx="6">
                  <c:v>104.15829848252261</c:v>
                </c:pt>
                <c:pt idx="7">
                  <c:v>103.38630884925665</c:v>
                </c:pt>
                <c:pt idx="8">
                  <c:v>103.15790488194169</c:v>
                </c:pt>
                <c:pt idx="9">
                  <c:v>103.89632057942346</c:v>
                </c:pt>
                <c:pt idx="10">
                  <c:v>105.1771631993395</c:v>
                </c:pt>
                <c:pt idx="11">
                  <c:v>106.15644237826265</c:v>
                </c:pt>
                <c:pt idx="12">
                  <c:v>106.01148250906267</c:v>
                </c:pt>
                <c:pt idx="13">
                  <c:v>104.57489391377099</c:v>
                </c:pt>
                <c:pt idx="14">
                  <c:v>102.2028166089769</c:v>
                </c:pt>
                <c:pt idx="15">
                  <c:v>99.741927206576122</c:v>
                </c:pt>
                <c:pt idx="16">
                  <c:v>97.87125111242355</c:v>
                </c:pt>
                <c:pt idx="17">
                  <c:v>97.054459233087215</c:v>
                </c:pt>
                <c:pt idx="18">
                  <c:v>97.224432164823654</c:v>
                </c:pt>
                <c:pt idx="19">
                  <c:v>97.534157678626826</c:v>
                </c:pt>
                <c:pt idx="20">
                  <c:v>97.302173252448497</c:v>
                </c:pt>
                <c:pt idx="21">
                  <c:v>96.281256400750479</c:v>
                </c:pt>
                <c:pt idx="22">
                  <c:v>94.495375936463091</c:v>
                </c:pt>
                <c:pt idx="23">
                  <c:v>92.035134764646244</c:v>
                </c:pt>
                <c:pt idx="24">
                  <c:v>89.46737561215501</c:v>
                </c:pt>
                <c:pt idx="25">
                  <c:v>87.537207382514183</c:v>
                </c:pt>
                <c:pt idx="26">
                  <c:v>86.711463592679451</c:v>
                </c:pt>
                <c:pt idx="27">
                  <c:v>87.198196687371308</c:v>
                </c:pt>
                <c:pt idx="28">
                  <c:v>88.879483923003747</c:v>
                </c:pt>
                <c:pt idx="29">
                  <c:v>91.54831186579122</c:v>
                </c:pt>
                <c:pt idx="30">
                  <c:v>94.603192527578457</c:v>
                </c:pt>
                <c:pt idx="31">
                  <c:v>97.436095691553788</c:v>
                </c:pt>
              </c:numCache>
            </c:numRef>
          </c:val>
          <c:smooth val="0"/>
          <c:extLst>
            <c:ext xmlns:c16="http://schemas.microsoft.com/office/drawing/2014/chart" uri="{C3380CC4-5D6E-409C-BE32-E72D297353CC}">
              <c16:uniqueId val="{00000002-3979-41FB-B6E7-FE5460EE0ADA}"/>
            </c:ext>
          </c:extLst>
        </c:ser>
        <c:ser>
          <c:idx val="3"/>
          <c:order val="3"/>
          <c:spPr>
            <a:ln w="28575" cap="rnd">
              <a:noFill/>
              <a:round/>
            </a:ln>
            <a:effectLst/>
          </c:spPr>
          <c:marker>
            <c:symbol val="square"/>
            <c:size val="2"/>
            <c:spPr>
              <a:solidFill>
                <a:sysClr val="window" lastClr="FFFFFF"/>
              </a:solidFill>
              <a:ln w="9525">
                <a:noFill/>
              </a:ln>
              <a:effectLst/>
            </c:spPr>
          </c:marker>
          <c:dLbls>
            <c:dLbl>
              <c:idx val="0"/>
              <c:layout>
                <c:manualLayout>
                  <c:x val="0.10386999978546906"/>
                  <c:y val="4.6879629629629632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3979-41FB-B6E7-FE5460EE0ADA}"/>
                </c:ext>
              </c:extLst>
            </c:dLbl>
            <c:dLbl>
              <c:idx val="12"/>
              <c:layout>
                <c:manualLayout>
                  <c:x val="0.10826442391867747"/>
                  <c:y val="4.6879629629629632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3979-41FB-B6E7-FE5460EE0ADA}"/>
                </c:ext>
              </c:extLst>
            </c:dLbl>
            <c:dLbl>
              <c:idx val="24"/>
              <c:layout>
                <c:manualLayout>
                  <c:x val="4.1585439023731803E-2"/>
                  <c:y val="4.6879629629629632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3979-41FB-B6E7-FE5460EE0ADA}"/>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'Prerađivačka_6 graf'!$A$20:$A$51</c:f>
              <c:numCache>
                <c:formatCode>yyyy</c:formatCode>
                <c:ptCount val="32"/>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pt idx="31">
                  <c:v>43678</c:v>
                </c:pt>
              </c:numCache>
            </c:numRef>
          </c:cat>
          <c:val>
            <c:numRef>
              <c:f>'Prerađivačka_6 graf'!$AD$20:$AD$51</c:f>
              <c:numCache>
                <c:formatCode>General</c:formatCode>
                <c:ptCount val="32"/>
                <c:pt idx="0">
                  <c:v>60</c:v>
                </c:pt>
                <c:pt idx="12">
                  <c:v>60</c:v>
                </c:pt>
                <c:pt idx="24">
                  <c:v>60</c:v>
                </c:pt>
              </c:numCache>
            </c:numRef>
          </c:val>
          <c:smooth val="0"/>
          <c:extLst>
            <c:ext xmlns:c16="http://schemas.microsoft.com/office/drawing/2014/chart" uri="{C3380CC4-5D6E-409C-BE32-E72D297353CC}">
              <c16:uniqueId val="{00000006-3979-41FB-B6E7-FE5460EE0ADA}"/>
            </c:ext>
          </c:extLst>
        </c:ser>
        <c:dLbls>
          <c:showLegendKey val="0"/>
          <c:showVal val="0"/>
          <c:showCatName val="0"/>
          <c:showSerName val="0"/>
          <c:showPercent val="0"/>
          <c:showBubbleSize val="0"/>
        </c:dLbls>
        <c:marker val="1"/>
        <c:smooth val="0"/>
        <c:axId val="318499696"/>
        <c:axId val="318500256"/>
      </c:lineChart>
      <c:lineChart>
        <c:grouping val="standard"/>
        <c:varyColors val="0"/>
        <c:ser>
          <c:idx val="4"/>
          <c:order val="4"/>
          <c:spPr>
            <a:ln w="25400" cap="rnd">
              <a:no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en-US"/>
              </a:p>
            </c:txPr>
            <c:dLblPos val="t"/>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strRef>
              <c:f>'Prerađivačka_6 graf'!$E$20:$E$51</c:f>
              <c:strCache>
                <c:ptCount val="32"/>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pt idx="21">
                  <c:v>X</c:v>
                </c:pt>
                <c:pt idx="22">
                  <c:v>XI</c:v>
                </c:pt>
                <c:pt idx="23">
                  <c:v>XII</c:v>
                </c:pt>
                <c:pt idx="24">
                  <c:v>I</c:v>
                </c:pt>
                <c:pt idx="25">
                  <c:v>II</c:v>
                </c:pt>
                <c:pt idx="26">
                  <c:v>III</c:v>
                </c:pt>
                <c:pt idx="27">
                  <c:v>IV</c:v>
                </c:pt>
                <c:pt idx="28">
                  <c:v>V</c:v>
                </c:pt>
                <c:pt idx="29">
                  <c:v>VI</c:v>
                </c:pt>
                <c:pt idx="30">
                  <c:v>VII</c:v>
                </c:pt>
                <c:pt idx="31">
                  <c:v>VIII</c:v>
                </c:pt>
              </c:strCache>
            </c:strRef>
          </c:cat>
          <c:val>
            <c:numRef>
              <c:f>'Prerađivačka_6 graf'!$AE$20:$AE$51</c:f>
              <c:numCache>
                <c:formatCode>General</c:formatCode>
                <c:ptCount val="32"/>
                <c:pt idx="0">
                  <c:v>60</c:v>
                </c:pt>
                <c:pt idx="1">
                  <c:v>60</c:v>
                </c:pt>
                <c:pt idx="2">
                  <c:v>60</c:v>
                </c:pt>
                <c:pt idx="3">
                  <c:v>60</c:v>
                </c:pt>
                <c:pt idx="4">
                  <c:v>60</c:v>
                </c:pt>
                <c:pt idx="5">
                  <c:v>60</c:v>
                </c:pt>
                <c:pt idx="6">
                  <c:v>60</c:v>
                </c:pt>
                <c:pt idx="7">
                  <c:v>60</c:v>
                </c:pt>
                <c:pt idx="8">
                  <c:v>60</c:v>
                </c:pt>
                <c:pt idx="9">
                  <c:v>60</c:v>
                </c:pt>
                <c:pt idx="10">
                  <c:v>60</c:v>
                </c:pt>
                <c:pt idx="11">
                  <c:v>60</c:v>
                </c:pt>
                <c:pt idx="12">
                  <c:v>60</c:v>
                </c:pt>
                <c:pt idx="13">
                  <c:v>60</c:v>
                </c:pt>
                <c:pt idx="14">
                  <c:v>60</c:v>
                </c:pt>
                <c:pt idx="15">
                  <c:v>60</c:v>
                </c:pt>
                <c:pt idx="16">
                  <c:v>60</c:v>
                </c:pt>
                <c:pt idx="17">
                  <c:v>60</c:v>
                </c:pt>
                <c:pt idx="18">
                  <c:v>60</c:v>
                </c:pt>
                <c:pt idx="19">
                  <c:v>60</c:v>
                </c:pt>
                <c:pt idx="20">
                  <c:v>60</c:v>
                </c:pt>
                <c:pt idx="21">
                  <c:v>60</c:v>
                </c:pt>
                <c:pt idx="22">
                  <c:v>60</c:v>
                </c:pt>
                <c:pt idx="23">
                  <c:v>60</c:v>
                </c:pt>
                <c:pt idx="24">
                  <c:v>60</c:v>
                </c:pt>
                <c:pt idx="25">
                  <c:v>60</c:v>
                </c:pt>
                <c:pt idx="26">
                  <c:v>60</c:v>
                </c:pt>
                <c:pt idx="27">
                  <c:v>60</c:v>
                </c:pt>
                <c:pt idx="28">
                  <c:v>60</c:v>
                </c:pt>
                <c:pt idx="29">
                  <c:v>60</c:v>
                </c:pt>
                <c:pt idx="30">
                  <c:v>60</c:v>
                </c:pt>
                <c:pt idx="31">
                  <c:v>60</c:v>
                </c:pt>
              </c:numCache>
            </c:numRef>
          </c:val>
          <c:smooth val="0"/>
          <c:extLst>
            <c:ext xmlns:c16="http://schemas.microsoft.com/office/drawing/2014/chart" uri="{C3380CC4-5D6E-409C-BE32-E72D297353CC}">
              <c16:uniqueId val="{00000007-3979-41FB-B6E7-FE5460EE0ADA}"/>
            </c:ext>
          </c:extLst>
        </c:ser>
        <c:dLbls>
          <c:showLegendKey val="0"/>
          <c:showVal val="0"/>
          <c:showCatName val="0"/>
          <c:showSerName val="0"/>
          <c:showPercent val="0"/>
          <c:showBubbleSize val="0"/>
        </c:dLbls>
        <c:marker val="1"/>
        <c:smooth val="0"/>
        <c:axId val="319585456"/>
        <c:axId val="318500816"/>
      </c:lineChart>
      <c:dateAx>
        <c:axId val="31849969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en-US"/>
          </a:p>
        </c:txPr>
        <c:crossAx val="318500256"/>
        <c:crosses val="autoZero"/>
        <c:auto val="1"/>
        <c:lblOffset val="0"/>
        <c:baseTimeUnit val="months"/>
        <c:majorUnit val="12"/>
        <c:majorTimeUnit val="months"/>
      </c:dateAx>
      <c:valAx>
        <c:axId val="318500256"/>
        <c:scaling>
          <c:orientation val="minMax"/>
          <c:max val="120"/>
          <c:min val="6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18499696"/>
        <c:crosses val="autoZero"/>
        <c:crossBetween val="midCat"/>
      </c:valAx>
      <c:valAx>
        <c:axId val="318500816"/>
        <c:scaling>
          <c:orientation val="minMax"/>
          <c:max val="120"/>
          <c:min val="60"/>
        </c:scaling>
        <c:delete val="0"/>
        <c:axPos val="r"/>
        <c:numFmt formatCode="General" sourceLinked="1"/>
        <c:majorTickMark val="out"/>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19585456"/>
        <c:crosses val="max"/>
        <c:crossBetween val="midCat"/>
        <c:majorUnit val="20"/>
      </c:valAx>
      <c:catAx>
        <c:axId val="319585456"/>
        <c:scaling>
          <c:orientation val="minMax"/>
        </c:scaling>
        <c:delete val="0"/>
        <c:axPos val="t"/>
        <c:numFmt formatCode="General" sourceLinked="1"/>
        <c:majorTickMark val="out"/>
        <c:minorTickMark val="none"/>
        <c:tickLblPos val="none"/>
        <c:spPr>
          <a:noFill/>
          <a:ln w="9525" cap="flat" cmpd="sng" algn="ctr">
            <a:no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18500816"/>
        <c:crosses val="max"/>
        <c:auto val="1"/>
        <c:lblAlgn val="ctr"/>
        <c:lblOffset val="100"/>
        <c:noMultiLvlLbl val="0"/>
      </c:cat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en-US"/>
    </a:p>
  </c:txPr>
  <c:externalData r:id="rId4">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4.2497000239980799E-2"/>
          <c:w val="0.88461960155100949"/>
          <c:h val="0.84012119030477561"/>
        </c:manualLayout>
      </c:layout>
      <c:lineChart>
        <c:grouping val="standard"/>
        <c:varyColors val="0"/>
        <c:ser>
          <c:idx val="0"/>
          <c:order val="0"/>
          <c:tx>
            <c:strRef>
              <c:f>Usluge!$G$2</c:f>
              <c:strCache>
                <c:ptCount val="1"/>
                <c:pt idx="0">
                  <c:v>Оригинални подаци</c:v>
                </c:pt>
              </c:strCache>
            </c:strRef>
          </c:tx>
          <c:spPr>
            <a:ln w="12700" cap="rnd">
              <a:solidFill>
                <a:srgbClr val="7F3F98"/>
              </a:solidFill>
              <a:prstDash val="sysDash"/>
              <a:round/>
            </a:ln>
            <a:effectLst/>
          </c:spPr>
          <c:marker>
            <c:symbol val="none"/>
          </c:marker>
          <c:cat>
            <c:numRef>
              <c:f>Usluge!$A$102:$A$133</c:f>
              <c:numCache>
                <c:formatCode>yyyy</c:formatCode>
                <c:ptCount val="32"/>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pt idx="31">
                  <c:v>43678</c:v>
                </c:pt>
              </c:numCache>
            </c:numRef>
          </c:cat>
          <c:val>
            <c:numRef>
              <c:f>Usluge!$G$102:$G$133</c:f>
              <c:numCache>
                <c:formatCode>0.0</c:formatCode>
                <c:ptCount val="32"/>
                <c:pt idx="0">
                  <c:v>80.429098655999994</c:v>
                </c:pt>
                <c:pt idx="1">
                  <c:v>78.613391578999995</c:v>
                </c:pt>
                <c:pt idx="2">
                  <c:v>93.365853286999993</c:v>
                </c:pt>
                <c:pt idx="3">
                  <c:v>95.117021652000005</c:v>
                </c:pt>
                <c:pt idx="4">
                  <c:v>97.422479541000001</c:v>
                </c:pt>
                <c:pt idx="5">
                  <c:v>98.116293561000006</c:v>
                </c:pt>
                <c:pt idx="6">
                  <c:v>100.218116309</c:v>
                </c:pt>
                <c:pt idx="7">
                  <c:v>102.76653458</c:v>
                </c:pt>
                <c:pt idx="8">
                  <c:v>97.481619046999995</c:v>
                </c:pt>
                <c:pt idx="9">
                  <c:v>102.140947211</c:v>
                </c:pt>
                <c:pt idx="10">
                  <c:v>97.750413026000004</c:v>
                </c:pt>
                <c:pt idx="11">
                  <c:v>109.324432027</c:v>
                </c:pt>
                <c:pt idx="12">
                  <c:v>86.139564660999994</c:v>
                </c:pt>
                <c:pt idx="13">
                  <c:v>80.185659411000003</c:v>
                </c:pt>
                <c:pt idx="14">
                  <c:v>94.206145966999998</c:v>
                </c:pt>
                <c:pt idx="15">
                  <c:v>99.967989756999998</c:v>
                </c:pt>
                <c:pt idx="16">
                  <c:v>100.83226632500001</c:v>
                </c:pt>
                <c:pt idx="17">
                  <c:v>99.391805378000001</c:v>
                </c:pt>
                <c:pt idx="18">
                  <c:v>103.425096031</c:v>
                </c:pt>
                <c:pt idx="19">
                  <c:v>108.41869398199999</c:v>
                </c:pt>
                <c:pt idx="20">
                  <c:v>103.233034571</c:v>
                </c:pt>
                <c:pt idx="21">
                  <c:v>107.554417414</c:v>
                </c:pt>
                <c:pt idx="22">
                  <c:v>103.71318822000001</c:v>
                </c:pt>
                <c:pt idx="23">
                  <c:v>112.932138284</c:v>
                </c:pt>
                <c:pt idx="24">
                  <c:v>90.704961588000003</c:v>
                </c:pt>
                <c:pt idx="25">
                  <c:v>88.845710627000003</c:v>
                </c:pt>
                <c:pt idx="26">
                  <c:v>103.155729834</c:v>
                </c:pt>
                <c:pt idx="27">
                  <c:v>106.66584507</c:v>
                </c:pt>
                <c:pt idx="28">
                  <c:v>106.78137003800001</c:v>
                </c:pt>
                <c:pt idx="29">
                  <c:v>109.430377721</c:v>
                </c:pt>
                <c:pt idx="30">
                  <c:v>113.043629962</c:v>
                </c:pt>
                <c:pt idx="31">
                  <c:v>116.658514725</c:v>
                </c:pt>
              </c:numCache>
            </c:numRef>
          </c:val>
          <c:smooth val="0"/>
          <c:extLst>
            <c:ext xmlns:c16="http://schemas.microsoft.com/office/drawing/2014/chart" uri="{C3380CC4-5D6E-409C-BE32-E72D297353CC}">
              <c16:uniqueId val="{00000000-ADD6-4D42-8413-8D4439A566B9}"/>
            </c:ext>
          </c:extLst>
        </c:ser>
        <c:ser>
          <c:idx val="1"/>
          <c:order val="1"/>
          <c:tx>
            <c:strRef>
              <c:f>Usluge!$H$2</c:f>
              <c:strCache>
                <c:ptCount val="1"/>
                <c:pt idx="0">
                  <c:v>Десезонирани подаци</c:v>
                </c:pt>
              </c:strCache>
            </c:strRef>
          </c:tx>
          <c:spPr>
            <a:ln w="22225" cap="rnd">
              <a:solidFill>
                <a:srgbClr val="25AAE1"/>
              </a:solidFill>
              <a:round/>
            </a:ln>
            <a:effectLst/>
          </c:spPr>
          <c:marker>
            <c:symbol val="none"/>
          </c:marker>
          <c:cat>
            <c:numRef>
              <c:f>Usluge!$A$102:$A$133</c:f>
              <c:numCache>
                <c:formatCode>yyyy</c:formatCode>
                <c:ptCount val="32"/>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pt idx="31">
                  <c:v>43678</c:v>
                </c:pt>
              </c:numCache>
            </c:numRef>
          </c:cat>
          <c:val>
            <c:numRef>
              <c:f>Usluge!$H$102:$H$133</c:f>
              <c:numCache>
                <c:formatCode>0.0</c:formatCode>
                <c:ptCount val="32"/>
                <c:pt idx="0">
                  <c:v>93.738376790999993</c:v>
                </c:pt>
                <c:pt idx="1">
                  <c:v>95.043041158999998</c:v>
                </c:pt>
                <c:pt idx="2">
                  <c:v>95.990167569999997</c:v>
                </c:pt>
                <c:pt idx="3">
                  <c:v>94.491893188999995</c:v>
                </c:pt>
                <c:pt idx="4">
                  <c:v>96.393817112999997</c:v>
                </c:pt>
                <c:pt idx="5">
                  <c:v>97.403897130999994</c:v>
                </c:pt>
                <c:pt idx="6">
                  <c:v>95.747002550999994</c:v>
                </c:pt>
                <c:pt idx="7">
                  <c:v>96.196912412000003</c:v>
                </c:pt>
                <c:pt idx="8">
                  <c:v>96.306933896999993</c:v>
                </c:pt>
                <c:pt idx="9">
                  <c:v>96.950272419000001</c:v>
                </c:pt>
                <c:pt idx="10">
                  <c:v>96.726136362000005</c:v>
                </c:pt>
                <c:pt idx="11">
                  <c:v>97.532931148000003</c:v>
                </c:pt>
                <c:pt idx="12">
                  <c:v>99.308025860000001</c:v>
                </c:pt>
                <c:pt idx="13">
                  <c:v>96.252920989000003</c:v>
                </c:pt>
                <c:pt idx="14">
                  <c:v>96.872151166999998</c:v>
                </c:pt>
                <c:pt idx="15">
                  <c:v>99.441860664000004</c:v>
                </c:pt>
                <c:pt idx="16">
                  <c:v>99.326342324999999</c:v>
                </c:pt>
                <c:pt idx="17">
                  <c:v>98.806403036000006</c:v>
                </c:pt>
                <c:pt idx="18">
                  <c:v>99.848880627</c:v>
                </c:pt>
                <c:pt idx="19">
                  <c:v>101.316885795</c:v>
                </c:pt>
                <c:pt idx="20">
                  <c:v>101.863075157</c:v>
                </c:pt>
                <c:pt idx="21">
                  <c:v>101.58049720699999</c:v>
                </c:pt>
                <c:pt idx="22">
                  <c:v>102.77930582099999</c:v>
                </c:pt>
                <c:pt idx="23">
                  <c:v>100.79895424999999</c:v>
                </c:pt>
                <c:pt idx="24">
                  <c:v>104.527214563</c:v>
                </c:pt>
                <c:pt idx="25">
                  <c:v>106.23259661900001</c:v>
                </c:pt>
                <c:pt idx="26">
                  <c:v>107.187014334</c:v>
                </c:pt>
                <c:pt idx="27">
                  <c:v>106.185182772</c:v>
                </c:pt>
                <c:pt idx="28">
                  <c:v>106.469819546</c:v>
                </c:pt>
                <c:pt idx="29">
                  <c:v>108.737075457</c:v>
                </c:pt>
                <c:pt idx="30">
                  <c:v>108.56945032100001</c:v>
                </c:pt>
                <c:pt idx="31">
                  <c:v>108.834177685</c:v>
                </c:pt>
              </c:numCache>
            </c:numRef>
          </c:val>
          <c:smooth val="0"/>
          <c:extLst>
            <c:ext xmlns:c16="http://schemas.microsoft.com/office/drawing/2014/chart" uri="{C3380CC4-5D6E-409C-BE32-E72D297353CC}">
              <c16:uniqueId val="{00000001-ADD6-4D42-8413-8D4439A566B9}"/>
            </c:ext>
          </c:extLst>
        </c:ser>
        <c:ser>
          <c:idx val="2"/>
          <c:order val="2"/>
          <c:tx>
            <c:strRef>
              <c:f>Usluge!$I$2</c:f>
              <c:strCache>
                <c:ptCount val="1"/>
                <c:pt idx="0">
                  <c:v>Тренд циклус</c:v>
                </c:pt>
              </c:strCache>
            </c:strRef>
          </c:tx>
          <c:spPr>
            <a:ln w="25400" cap="rnd">
              <a:solidFill>
                <a:srgbClr val="FF0000"/>
              </a:solidFill>
              <a:round/>
            </a:ln>
            <a:effectLst/>
          </c:spPr>
          <c:marker>
            <c:symbol val="none"/>
          </c:marker>
          <c:cat>
            <c:numRef>
              <c:f>Usluge!$A$102:$A$133</c:f>
              <c:numCache>
                <c:formatCode>yyyy</c:formatCode>
                <c:ptCount val="32"/>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pt idx="31">
                  <c:v>43678</c:v>
                </c:pt>
              </c:numCache>
            </c:numRef>
          </c:cat>
          <c:val>
            <c:numRef>
              <c:f>Usluge!$I$102:$I$133</c:f>
              <c:numCache>
                <c:formatCode>0.0</c:formatCode>
                <c:ptCount val="32"/>
                <c:pt idx="0">
                  <c:v>94.519209239999995</c:v>
                </c:pt>
                <c:pt idx="1">
                  <c:v>94.947360381999999</c:v>
                </c:pt>
                <c:pt idx="2">
                  <c:v>95.361033843000001</c:v>
                </c:pt>
                <c:pt idx="3">
                  <c:v>95.735320947999995</c:v>
                </c:pt>
                <c:pt idx="4">
                  <c:v>96.035021225999998</c:v>
                </c:pt>
                <c:pt idx="5">
                  <c:v>96.240932673000003</c:v>
                </c:pt>
                <c:pt idx="6">
                  <c:v>96.349463041000007</c:v>
                </c:pt>
                <c:pt idx="7">
                  <c:v>96.437903792</c:v>
                </c:pt>
                <c:pt idx="8">
                  <c:v>96.586036035999996</c:v>
                </c:pt>
                <c:pt idx="9">
                  <c:v>96.724107609000001</c:v>
                </c:pt>
                <c:pt idx="10">
                  <c:v>96.850143566</c:v>
                </c:pt>
                <c:pt idx="11">
                  <c:v>97.034068598000005</c:v>
                </c:pt>
                <c:pt idx="12">
                  <c:v>97.246986563999997</c:v>
                </c:pt>
                <c:pt idx="13">
                  <c:v>97.485229415000006</c:v>
                </c:pt>
                <c:pt idx="14">
                  <c:v>97.819458357000002</c:v>
                </c:pt>
                <c:pt idx="15">
                  <c:v>98.290820413000006</c:v>
                </c:pt>
                <c:pt idx="16">
                  <c:v>98.881922348000003</c:v>
                </c:pt>
                <c:pt idx="17">
                  <c:v>99.532819013999998</c:v>
                </c:pt>
                <c:pt idx="18">
                  <c:v>100.18509115099999</c:v>
                </c:pt>
                <c:pt idx="19">
                  <c:v>100.78281627600001</c:v>
                </c:pt>
                <c:pt idx="20">
                  <c:v>101.369124511</c:v>
                </c:pt>
                <c:pt idx="21">
                  <c:v>102.07861315700001</c:v>
                </c:pt>
                <c:pt idx="22">
                  <c:v>102.938245225</c:v>
                </c:pt>
                <c:pt idx="23">
                  <c:v>103.825192762</c:v>
                </c:pt>
                <c:pt idx="24">
                  <c:v>104.704274156</c:v>
                </c:pt>
                <c:pt idx="25">
                  <c:v>105.55090119</c:v>
                </c:pt>
                <c:pt idx="26">
                  <c:v>106.29234865399999</c:v>
                </c:pt>
                <c:pt idx="27">
                  <c:v>106.89857521</c:v>
                </c:pt>
                <c:pt idx="28">
                  <c:v>107.425629481</c:v>
                </c:pt>
                <c:pt idx="29">
                  <c:v>107.974669726</c:v>
                </c:pt>
                <c:pt idx="30">
                  <c:v>108.54087910200001</c:v>
                </c:pt>
                <c:pt idx="31">
                  <c:v>109.089137889</c:v>
                </c:pt>
              </c:numCache>
            </c:numRef>
          </c:val>
          <c:smooth val="0"/>
          <c:extLst>
            <c:ext xmlns:c16="http://schemas.microsoft.com/office/drawing/2014/chart" uri="{C3380CC4-5D6E-409C-BE32-E72D297353CC}">
              <c16:uniqueId val="{00000002-ADD6-4D42-8413-8D4439A566B9}"/>
            </c:ext>
          </c:extLst>
        </c:ser>
        <c:ser>
          <c:idx val="3"/>
          <c:order val="3"/>
          <c:spPr>
            <a:ln w="28575" cap="rnd">
              <a:noFill/>
              <a:round/>
            </a:ln>
            <a:effectLst/>
          </c:spPr>
          <c:marker>
            <c:symbol val="square"/>
            <c:size val="2"/>
            <c:spPr>
              <a:solidFill>
                <a:sysClr val="window" lastClr="FFFFFF"/>
              </a:solidFill>
              <a:ln w="9525">
                <a:noFill/>
              </a:ln>
              <a:effectLst/>
            </c:spPr>
          </c:marker>
          <c:dLbls>
            <c:dLbl>
              <c:idx val="0"/>
              <c:layout>
                <c:manualLayout>
                  <c:x val="0.11357723577235772"/>
                  <c:y val="4.630729541636668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ADD6-4D42-8413-8D4439A566B9}"/>
                </c:ext>
              </c:extLst>
            </c:dLbl>
            <c:dLbl>
              <c:idx val="12"/>
              <c:layout>
                <c:manualLayout>
                  <c:x val="0.1132276877449865"/>
                  <c:y val="4.6307449494949492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ADD6-4D42-8413-8D4439A566B9}"/>
                </c:ext>
              </c:extLst>
            </c:dLbl>
            <c:dLbl>
              <c:idx val="24"/>
              <c:layout>
                <c:manualLayout>
                  <c:x val="4.1605865828293398E-2"/>
                  <c:y val="4.6307449494949492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ADD6-4D42-8413-8D4439A566B9}"/>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Usluge!$A$102:$A$133</c:f>
              <c:numCache>
                <c:formatCode>yyyy</c:formatCode>
                <c:ptCount val="32"/>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pt idx="31">
                  <c:v>43678</c:v>
                </c:pt>
              </c:numCache>
            </c:numRef>
          </c:cat>
          <c:val>
            <c:numRef>
              <c:f>Usluge!$B$102:$B$133</c:f>
              <c:numCache>
                <c:formatCode>General</c:formatCode>
                <c:ptCount val="32"/>
                <c:pt idx="0">
                  <c:v>70</c:v>
                </c:pt>
                <c:pt idx="12">
                  <c:v>70</c:v>
                </c:pt>
                <c:pt idx="24">
                  <c:v>70</c:v>
                </c:pt>
              </c:numCache>
            </c:numRef>
          </c:val>
          <c:smooth val="0"/>
          <c:extLst>
            <c:ext xmlns:c16="http://schemas.microsoft.com/office/drawing/2014/chart" uri="{C3380CC4-5D6E-409C-BE32-E72D297353CC}">
              <c16:uniqueId val="{00000006-ADD6-4D42-8413-8D4439A566B9}"/>
            </c:ext>
          </c:extLst>
        </c:ser>
        <c:dLbls>
          <c:showLegendKey val="0"/>
          <c:showVal val="0"/>
          <c:showCatName val="0"/>
          <c:showSerName val="0"/>
          <c:showPercent val="0"/>
          <c:showBubbleSize val="0"/>
        </c:dLbls>
        <c:marker val="1"/>
        <c:smooth val="0"/>
        <c:axId val="318761648"/>
        <c:axId val="318762208"/>
      </c:lineChart>
      <c:lineChart>
        <c:grouping val="standard"/>
        <c:varyColors val="0"/>
        <c:ser>
          <c:idx val="4"/>
          <c:order val="4"/>
          <c:spPr>
            <a:ln w="28575" cap="rnd">
              <a:no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en-US"/>
              </a:p>
            </c:txPr>
            <c:dLblPos val="t"/>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strRef>
              <c:f>Usluge!$E$102:$E$133</c:f>
              <c:strCache>
                <c:ptCount val="32"/>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pt idx="21">
                  <c:v>X</c:v>
                </c:pt>
                <c:pt idx="22">
                  <c:v>XI</c:v>
                </c:pt>
                <c:pt idx="23">
                  <c:v>XII</c:v>
                </c:pt>
                <c:pt idx="24">
                  <c:v>I</c:v>
                </c:pt>
                <c:pt idx="25">
                  <c:v>II</c:v>
                </c:pt>
                <c:pt idx="26">
                  <c:v>III</c:v>
                </c:pt>
                <c:pt idx="27">
                  <c:v>IV</c:v>
                </c:pt>
                <c:pt idx="28">
                  <c:v>V</c:v>
                </c:pt>
                <c:pt idx="29">
                  <c:v>VI</c:v>
                </c:pt>
                <c:pt idx="30">
                  <c:v>VII</c:v>
                </c:pt>
                <c:pt idx="31">
                  <c:v>VIII</c:v>
                </c:pt>
              </c:strCache>
            </c:strRef>
          </c:cat>
          <c:val>
            <c:numRef>
              <c:f>Usluge!$C$102:$C$133</c:f>
              <c:numCache>
                <c:formatCode>General</c:formatCode>
                <c:ptCount val="32"/>
                <c:pt idx="0">
                  <c:v>70</c:v>
                </c:pt>
                <c:pt idx="1">
                  <c:v>70</c:v>
                </c:pt>
                <c:pt idx="2">
                  <c:v>70</c:v>
                </c:pt>
                <c:pt idx="3">
                  <c:v>70</c:v>
                </c:pt>
                <c:pt idx="4">
                  <c:v>70</c:v>
                </c:pt>
                <c:pt idx="5">
                  <c:v>70</c:v>
                </c:pt>
                <c:pt idx="6">
                  <c:v>70</c:v>
                </c:pt>
                <c:pt idx="7">
                  <c:v>70</c:v>
                </c:pt>
                <c:pt idx="8">
                  <c:v>70</c:v>
                </c:pt>
                <c:pt idx="9">
                  <c:v>70</c:v>
                </c:pt>
                <c:pt idx="10">
                  <c:v>70</c:v>
                </c:pt>
                <c:pt idx="11">
                  <c:v>70</c:v>
                </c:pt>
                <c:pt idx="12">
                  <c:v>70</c:v>
                </c:pt>
                <c:pt idx="13">
                  <c:v>70</c:v>
                </c:pt>
                <c:pt idx="14">
                  <c:v>70</c:v>
                </c:pt>
                <c:pt idx="15">
                  <c:v>70</c:v>
                </c:pt>
                <c:pt idx="16">
                  <c:v>70</c:v>
                </c:pt>
                <c:pt idx="17">
                  <c:v>70</c:v>
                </c:pt>
                <c:pt idx="18">
                  <c:v>70</c:v>
                </c:pt>
                <c:pt idx="19">
                  <c:v>70</c:v>
                </c:pt>
                <c:pt idx="20">
                  <c:v>70</c:v>
                </c:pt>
                <c:pt idx="21">
                  <c:v>70</c:v>
                </c:pt>
                <c:pt idx="22">
                  <c:v>70</c:v>
                </c:pt>
                <c:pt idx="23">
                  <c:v>70</c:v>
                </c:pt>
                <c:pt idx="24">
                  <c:v>70</c:v>
                </c:pt>
                <c:pt idx="25">
                  <c:v>70</c:v>
                </c:pt>
                <c:pt idx="26">
                  <c:v>70</c:v>
                </c:pt>
                <c:pt idx="27">
                  <c:v>70</c:v>
                </c:pt>
                <c:pt idx="28">
                  <c:v>70</c:v>
                </c:pt>
                <c:pt idx="29">
                  <c:v>70</c:v>
                </c:pt>
                <c:pt idx="30">
                  <c:v>70</c:v>
                </c:pt>
                <c:pt idx="31">
                  <c:v>70</c:v>
                </c:pt>
              </c:numCache>
            </c:numRef>
          </c:val>
          <c:smooth val="0"/>
          <c:extLst>
            <c:ext xmlns:c16="http://schemas.microsoft.com/office/drawing/2014/chart" uri="{C3380CC4-5D6E-409C-BE32-E72D297353CC}">
              <c16:uniqueId val="{00000007-ADD6-4D42-8413-8D4439A566B9}"/>
            </c:ext>
          </c:extLst>
        </c:ser>
        <c:dLbls>
          <c:showLegendKey val="0"/>
          <c:showVal val="0"/>
          <c:showCatName val="0"/>
          <c:showSerName val="0"/>
          <c:showPercent val="0"/>
          <c:showBubbleSize val="0"/>
        </c:dLbls>
        <c:marker val="1"/>
        <c:smooth val="0"/>
        <c:axId val="318763328"/>
        <c:axId val="318762768"/>
      </c:lineChart>
      <c:dateAx>
        <c:axId val="318761648"/>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en-US"/>
          </a:p>
        </c:txPr>
        <c:crossAx val="318762208"/>
        <c:crosses val="autoZero"/>
        <c:auto val="1"/>
        <c:lblOffset val="0"/>
        <c:baseTimeUnit val="months"/>
      </c:dateAx>
      <c:valAx>
        <c:axId val="318762208"/>
        <c:scaling>
          <c:orientation val="minMax"/>
          <c:min val="7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18761648"/>
        <c:crosses val="autoZero"/>
        <c:crossBetween val="midCat"/>
      </c:valAx>
      <c:valAx>
        <c:axId val="318762768"/>
        <c:scaling>
          <c:orientation val="minMax"/>
          <c:max val="120"/>
          <c:min val="70"/>
        </c:scaling>
        <c:delete val="0"/>
        <c:axPos val="r"/>
        <c:numFmt formatCode="General" sourceLinked="1"/>
        <c:majorTickMark val="out"/>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18763328"/>
        <c:crosses val="max"/>
        <c:crossBetween val="midCat"/>
      </c:valAx>
      <c:catAx>
        <c:axId val="318763328"/>
        <c:scaling>
          <c:orientation val="minMax"/>
        </c:scaling>
        <c:delete val="0"/>
        <c:axPos val="t"/>
        <c:numFmt formatCode="General" sourceLinked="1"/>
        <c:majorTickMark val="out"/>
        <c:minorTickMark val="none"/>
        <c:tickLblPos val="none"/>
        <c:spPr>
          <a:noFill/>
          <a:ln w="9525" cap="flat" cmpd="sng" algn="ctr">
            <a:no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18762768"/>
        <c:crosses val="max"/>
        <c:auto val="1"/>
        <c:lblAlgn val="ctr"/>
        <c:lblOffset val="100"/>
        <c:noMultiLvlLbl val="0"/>
      </c:cat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en-US"/>
    </a:p>
  </c:txPr>
  <c:externalData r:id="rId4">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0"/>
          <c:order val="0"/>
          <c:tx>
            <c:strRef>
              <c:f>Usluge!$G$2</c:f>
              <c:strCache>
                <c:ptCount val="1"/>
                <c:pt idx="0">
                  <c:v>Оригинални подаци</c:v>
                </c:pt>
              </c:strCache>
            </c:strRef>
          </c:tx>
          <c:spPr>
            <a:ln w="12700" cap="rnd">
              <a:solidFill>
                <a:srgbClr val="7F3F98"/>
              </a:solidFill>
              <a:prstDash val="sysDash"/>
              <a:round/>
            </a:ln>
            <a:effectLst/>
          </c:spPr>
          <c:marker>
            <c:symbol val="none"/>
          </c:marker>
          <c:cat>
            <c:numRef>
              <c:f>Usluge!$A$102:$A$132</c:f>
              <c:numCache>
                <c:formatCode>yyyy</c:formatCode>
                <c:ptCount val="31"/>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numCache>
            </c:numRef>
          </c:cat>
          <c:val>
            <c:numRef>
              <c:f>Usluge!$O$102:$O$132</c:f>
              <c:numCache>
                <c:formatCode>0.0</c:formatCode>
                <c:ptCount val="31"/>
                <c:pt idx="0">
                  <c:v>83.748391491999996</c:v>
                </c:pt>
                <c:pt idx="1">
                  <c:v>83.748391491999996</c:v>
                </c:pt>
                <c:pt idx="2">
                  <c:v>86.291726591</c:v>
                </c:pt>
                <c:pt idx="3">
                  <c:v>88.108394520000004</c:v>
                </c:pt>
                <c:pt idx="4">
                  <c:v>95.829233215000002</c:v>
                </c:pt>
                <c:pt idx="5">
                  <c:v>95.284232836000001</c:v>
                </c:pt>
                <c:pt idx="6">
                  <c:v>97.373400954000005</c:v>
                </c:pt>
                <c:pt idx="7">
                  <c:v>95.829233215000002</c:v>
                </c:pt>
                <c:pt idx="8">
                  <c:v>95.284232836000001</c:v>
                </c:pt>
                <c:pt idx="9">
                  <c:v>92.468397546999995</c:v>
                </c:pt>
                <c:pt idx="10">
                  <c:v>86.200893195000006</c:v>
                </c:pt>
                <c:pt idx="11">
                  <c:v>89.561728861999995</c:v>
                </c:pt>
                <c:pt idx="12">
                  <c:v>91.8</c:v>
                </c:pt>
                <c:pt idx="13">
                  <c:v>90.651729618999994</c:v>
                </c:pt>
                <c:pt idx="14">
                  <c:v>95.647566421999997</c:v>
                </c:pt>
                <c:pt idx="15">
                  <c:v>97.555067746999995</c:v>
                </c:pt>
                <c:pt idx="16">
                  <c:v>107</c:v>
                </c:pt>
                <c:pt idx="17">
                  <c:v>104.6</c:v>
                </c:pt>
                <c:pt idx="18">
                  <c:v>106.36590719900001</c:v>
                </c:pt>
                <c:pt idx="19">
                  <c:v>107.9</c:v>
                </c:pt>
                <c:pt idx="20">
                  <c:v>105.911740216</c:v>
                </c:pt>
                <c:pt idx="21">
                  <c:v>100.825070017</c:v>
                </c:pt>
                <c:pt idx="22">
                  <c:v>93.467564908</c:v>
                </c:pt>
                <c:pt idx="23">
                  <c:v>98.3</c:v>
                </c:pt>
                <c:pt idx="24">
                  <c:v>95.6</c:v>
                </c:pt>
                <c:pt idx="25">
                  <c:v>99.7</c:v>
                </c:pt>
                <c:pt idx="26">
                  <c:v>110.8</c:v>
                </c:pt>
                <c:pt idx="27">
                  <c:v>104.4</c:v>
                </c:pt>
                <c:pt idx="28">
                  <c:v>114.7</c:v>
                </c:pt>
                <c:pt idx="29">
                  <c:v>114.8</c:v>
                </c:pt>
                <c:pt idx="30">
                  <c:v>116.3</c:v>
                </c:pt>
              </c:numCache>
            </c:numRef>
          </c:val>
          <c:smooth val="0"/>
          <c:extLst>
            <c:ext xmlns:c16="http://schemas.microsoft.com/office/drawing/2014/chart" uri="{C3380CC4-5D6E-409C-BE32-E72D297353CC}">
              <c16:uniqueId val="{00000000-74FA-4863-9C8E-3BA009DA8108}"/>
            </c:ext>
          </c:extLst>
        </c:ser>
        <c:ser>
          <c:idx val="1"/>
          <c:order val="1"/>
          <c:tx>
            <c:strRef>
              <c:f>Usluge!$H$2</c:f>
              <c:strCache>
                <c:ptCount val="1"/>
                <c:pt idx="0">
                  <c:v>Десезонирани подаци</c:v>
                </c:pt>
              </c:strCache>
            </c:strRef>
          </c:tx>
          <c:spPr>
            <a:ln w="22225" cap="rnd">
              <a:solidFill>
                <a:srgbClr val="25AAE1"/>
              </a:solidFill>
              <a:round/>
            </a:ln>
            <a:effectLst/>
          </c:spPr>
          <c:marker>
            <c:symbol val="none"/>
          </c:marker>
          <c:cat>
            <c:numRef>
              <c:f>Usluge!$A$102:$A$132</c:f>
              <c:numCache>
                <c:formatCode>yyyy</c:formatCode>
                <c:ptCount val="31"/>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numCache>
            </c:numRef>
          </c:cat>
          <c:val>
            <c:numRef>
              <c:f>Usluge!$P$102:$P$132</c:f>
              <c:numCache>
                <c:formatCode>0.0</c:formatCode>
                <c:ptCount val="31"/>
                <c:pt idx="0">
                  <c:v>89.271303524999993</c:v>
                </c:pt>
                <c:pt idx="1">
                  <c:v>91.981342326999993</c:v>
                </c:pt>
                <c:pt idx="2">
                  <c:v>89.166877190999998</c:v>
                </c:pt>
                <c:pt idx="3">
                  <c:v>89.304654546999998</c:v>
                </c:pt>
                <c:pt idx="4">
                  <c:v>89.329898975999996</c:v>
                </c:pt>
                <c:pt idx="5">
                  <c:v>90.053194366</c:v>
                </c:pt>
                <c:pt idx="6">
                  <c:v>91.501821074999995</c:v>
                </c:pt>
                <c:pt idx="7">
                  <c:v>90.189753061000005</c:v>
                </c:pt>
                <c:pt idx="8">
                  <c:v>91.815960578000002</c:v>
                </c:pt>
                <c:pt idx="9">
                  <c:v>91.821358296</c:v>
                </c:pt>
                <c:pt idx="10">
                  <c:v>92.979600305999995</c:v>
                </c:pt>
                <c:pt idx="11">
                  <c:v>94.150244342999997</c:v>
                </c:pt>
                <c:pt idx="12">
                  <c:v>99.287092142000006</c:v>
                </c:pt>
                <c:pt idx="13">
                  <c:v>97.922882825000002</c:v>
                </c:pt>
                <c:pt idx="14">
                  <c:v>98.562030065000002</c:v>
                </c:pt>
                <c:pt idx="15">
                  <c:v>98.914916872999996</c:v>
                </c:pt>
                <c:pt idx="16">
                  <c:v>99.970389496999999</c:v>
                </c:pt>
                <c:pt idx="17">
                  <c:v>99.368461543999999</c:v>
                </c:pt>
                <c:pt idx="18">
                  <c:v>98.978762685000007</c:v>
                </c:pt>
                <c:pt idx="19">
                  <c:v>101.28739869899999</c:v>
                </c:pt>
                <c:pt idx="20">
                  <c:v>101.50253983</c:v>
                </c:pt>
                <c:pt idx="21">
                  <c:v>101.40594726400001</c:v>
                </c:pt>
                <c:pt idx="22">
                  <c:v>102.259040368</c:v>
                </c:pt>
                <c:pt idx="23">
                  <c:v>103.47557110699999</c:v>
                </c:pt>
                <c:pt idx="24">
                  <c:v>103.712174322</c:v>
                </c:pt>
                <c:pt idx="25">
                  <c:v>105.666915047</c:v>
                </c:pt>
                <c:pt idx="26">
                  <c:v>113.186984415</c:v>
                </c:pt>
                <c:pt idx="27">
                  <c:v>106.171961913</c:v>
                </c:pt>
                <c:pt idx="28">
                  <c:v>106.966544739</c:v>
                </c:pt>
                <c:pt idx="29">
                  <c:v>108.478752215</c:v>
                </c:pt>
                <c:pt idx="30">
                  <c:v>108.936910442</c:v>
                </c:pt>
              </c:numCache>
            </c:numRef>
          </c:val>
          <c:smooth val="0"/>
          <c:extLst>
            <c:ext xmlns:c16="http://schemas.microsoft.com/office/drawing/2014/chart" uri="{C3380CC4-5D6E-409C-BE32-E72D297353CC}">
              <c16:uniqueId val="{00000001-74FA-4863-9C8E-3BA009DA8108}"/>
            </c:ext>
          </c:extLst>
        </c:ser>
        <c:ser>
          <c:idx val="2"/>
          <c:order val="2"/>
          <c:tx>
            <c:strRef>
              <c:f>Usluge!$I$2</c:f>
              <c:strCache>
                <c:ptCount val="1"/>
                <c:pt idx="0">
                  <c:v>Тренд циклус</c:v>
                </c:pt>
              </c:strCache>
            </c:strRef>
          </c:tx>
          <c:spPr>
            <a:ln w="25400" cap="rnd">
              <a:solidFill>
                <a:srgbClr val="FF0000"/>
              </a:solidFill>
              <a:round/>
            </a:ln>
            <a:effectLst/>
          </c:spPr>
          <c:marker>
            <c:symbol val="none"/>
          </c:marker>
          <c:cat>
            <c:numRef>
              <c:f>Usluge!$A$102:$A$132</c:f>
              <c:numCache>
                <c:formatCode>yyyy</c:formatCode>
                <c:ptCount val="31"/>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numCache>
            </c:numRef>
          </c:cat>
          <c:val>
            <c:numRef>
              <c:f>Usluge!$Q$102:$Q$132</c:f>
              <c:numCache>
                <c:formatCode>0.0</c:formatCode>
                <c:ptCount val="31"/>
                <c:pt idx="0">
                  <c:v>88.462337891000004</c:v>
                </c:pt>
                <c:pt idx="1">
                  <c:v>88.825151969999993</c:v>
                </c:pt>
                <c:pt idx="2">
                  <c:v>89.122480132999996</c:v>
                </c:pt>
                <c:pt idx="3">
                  <c:v>89.418891424999998</c:v>
                </c:pt>
                <c:pt idx="4">
                  <c:v>89.734671277999993</c:v>
                </c:pt>
                <c:pt idx="5">
                  <c:v>90.086015497000005</c:v>
                </c:pt>
                <c:pt idx="6">
                  <c:v>90.475662576999994</c:v>
                </c:pt>
                <c:pt idx="7">
                  <c:v>90.914692985000002</c:v>
                </c:pt>
                <c:pt idx="8">
                  <c:v>91.451707077999998</c:v>
                </c:pt>
                <c:pt idx="9">
                  <c:v>92.210872777999995</c:v>
                </c:pt>
                <c:pt idx="10">
                  <c:v>93.234659008999998</c:v>
                </c:pt>
                <c:pt idx="11">
                  <c:v>94.514540386999997</c:v>
                </c:pt>
                <c:pt idx="12">
                  <c:v>95.940407015000005</c:v>
                </c:pt>
                <c:pt idx="13">
                  <c:v>97.253616936</c:v>
                </c:pt>
                <c:pt idx="14">
                  <c:v>98.266322125000002</c:v>
                </c:pt>
                <c:pt idx="15">
                  <c:v>98.975662403000001</c:v>
                </c:pt>
                <c:pt idx="16">
                  <c:v>99.426809276</c:v>
                </c:pt>
                <c:pt idx="17">
                  <c:v>99.754250189000004</c:v>
                </c:pt>
                <c:pt idx="18">
                  <c:v>100.101887832</c:v>
                </c:pt>
                <c:pt idx="19">
                  <c:v>100.53950365</c:v>
                </c:pt>
                <c:pt idx="20">
                  <c:v>101.09666973500001</c:v>
                </c:pt>
                <c:pt idx="21">
                  <c:v>101.765655935</c:v>
                </c:pt>
                <c:pt idx="22">
                  <c:v>102.523854355</c:v>
                </c:pt>
                <c:pt idx="23">
                  <c:v>103.31005308500001</c:v>
                </c:pt>
                <c:pt idx="24">
                  <c:v>104.09323656799999</c:v>
                </c:pt>
                <c:pt idx="25">
                  <c:v>104.884424626</c:v>
                </c:pt>
                <c:pt idx="26">
                  <c:v>105.694302693</c:v>
                </c:pt>
                <c:pt idx="27">
                  <c:v>106.503032761</c:v>
                </c:pt>
                <c:pt idx="28">
                  <c:v>107.339189115</c:v>
                </c:pt>
                <c:pt idx="29">
                  <c:v>108.208558049</c:v>
                </c:pt>
                <c:pt idx="30">
                  <c:v>109.087126256</c:v>
                </c:pt>
              </c:numCache>
            </c:numRef>
          </c:val>
          <c:smooth val="0"/>
          <c:extLst>
            <c:ext xmlns:c16="http://schemas.microsoft.com/office/drawing/2014/chart" uri="{C3380CC4-5D6E-409C-BE32-E72D297353CC}">
              <c16:uniqueId val="{00000002-74FA-4863-9C8E-3BA009DA8108}"/>
            </c:ext>
          </c:extLst>
        </c:ser>
        <c:ser>
          <c:idx val="3"/>
          <c:order val="3"/>
          <c:spPr>
            <a:ln w="28575" cap="rnd">
              <a:noFill/>
              <a:round/>
            </a:ln>
            <a:effectLst/>
          </c:spPr>
          <c:marker>
            <c:symbol val="square"/>
            <c:size val="2"/>
            <c:spPr>
              <a:solidFill>
                <a:sysClr val="window" lastClr="FFFFFF"/>
              </a:solidFill>
              <a:ln w="9525">
                <a:noFill/>
              </a:ln>
              <a:effectLst/>
            </c:spPr>
          </c:marker>
          <c:dLbls>
            <c:dLbl>
              <c:idx val="0"/>
              <c:layout>
                <c:manualLayout>
                  <c:x val="0.11157905702801479"/>
                  <c:y val="3.655991498916712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4FA-4863-9C8E-3BA009DA8108}"/>
                </c:ext>
              </c:extLst>
            </c:dLbl>
            <c:dLbl>
              <c:idx val="12"/>
              <c:layout>
                <c:manualLayout>
                  <c:x val="0.11598920035767296"/>
                  <c:y val="3.655991498916712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74FA-4863-9C8E-3BA009DA8108}"/>
                </c:ext>
              </c:extLst>
            </c:dLbl>
            <c:dLbl>
              <c:idx val="24"/>
              <c:layout>
                <c:manualLayout>
                  <c:x val="3.7288194444444443E-2"/>
                  <c:y val="4.579608585858585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74FA-4863-9C8E-3BA009DA8108}"/>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Usluge!$A$102:$A$132</c:f>
              <c:numCache>
                <c:formatCode>yyyy</c:formatCode>
                <c:ptCount val="31"/>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numCache>
            </c:numRef>
          </c:cat>
          <c:val>
            <c:numRef>
              <c:f>Usluge!$B$102:$B$132</c:f>
              <c:numCache>
                <c:formatCode>General</c:formatCode>
                <c:ptCount val="31"/>
                <c:pt idx="0">
                  <c:v>70</c:v>
                </c:pt>
                <c:pt idx="12">
                  <c:v>70</c:v>
                </c:pt>
                <c:pt idx="24">
                  <c:v>70</c:v>
                </c:pt>
              </c:numCache>
            </c:numRef>
          </c:val>
          <c:smooth val="0"/>
          <c:extLst>
            <c:ext xmlns:c16="http://schemas.microsoft.com/office/drawing/2014/chart" uri="{C3380CC4-5D6E-409C-BE32-E72D297353CC}">
              <c16:uniqueId val="{00000006-74FA-4863-9C8E-3BA009DA8108}"/>
            </c:ext>
          </c:extLst>
        </c:ser>
        <c:dLbls>
          <c:showLegendKey val="0"/>
          <c:showVal val="0"/>
          <c:showCatName val="0"/>
          <c:showSerName val="0"/>
          <c:showPercent val="0"/>
          <c:showBubbleSize val="0"/>
        </c:dLbls>
        <c:marker val="1"/>
        <c:smooth val="0"/>
        <c:axId val="305765232"/>
        <c:axId val="305765792"/>
      </c:lineChart>
      <c:lineChart>
        <c:grouping val="standard"/>
        <c:varyColors val="0"/>
        <c:ser>
          <c:idx val="4"/>
          <c:order val="4"/>
          <c:spPr>
            <a:ln w="28575" cap="rnd">
              <a:no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en-US"/>
              </a:p>
            </c:txPr>
            <c:dLblPos val="t"/>
            <c:showLegendKey val="0"/>
            <c:showVal val="0"/>
            <c:showCatName val="1"/>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Usluge!$E$102:$E$132</c:f>
              <c:strCache>
                <c:ptCount val="31"/>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pt idx="21">
                  <c:v>X</c:v>
                </c:pt>
                <c:pt idx="22">
                  <c:v>XI</c:v>
                </c:pt>
                <c:pt idx="23">
                  <c:v>XII</c:v>
                </c:pt>
                <c:pt idx="24">
                  <c:v>I</c:v>
                </c:pt>
                <c:pt idx="25">
                  <c:v>II</c:v>
                </c:pt>
                <c:pt idx="26">
                  <c:v>III</c:v>
                </c:pt>
                <c:pt idx="27">
                  <c:v>IV</c:v>
                </c:pt>
                <c:pt idx="28">
                  <c:v>V</c:v>
                </c:pt>
                <c:pt idx="29">
                  <c:v>VI</c:v>
                </c:pt>
                <c:pt idx="30">
                  <c:v>VII</c:v>
                </c:pt>
              </c:strCache>
            </c:strRef>
          </c:cat>
          <c:val>
            <c:numRef>
              <c:f>Usluge!$C$102:$C$132</c:f>
              <c:numCache>
                <c:formatCode>General</c:formatCode>
                <c:ptCount val="31"/>
                <c:pt idx="0">
                  <c:v>70</c:v>
                </c:pt>
                <c:pt idx="1">
                  <c:v>70</c:v>
                </c:pt>
                <c:pt idx="2">
                  <c:v>70</c:v>
                </c:pt>
                <c:pt idx="3">
                  <c:v>70</c:v>
                </c:pt>
                <c:pt idx="4">
                  <c:v>70</c:v>
                </c:pt>
                <c:pt idx="5">
                  <c:v>70</c:v>
                </c:pt>
                <c:pt idx="6">
                  <c:v>70</c:v>
                </c:pt>
                <c:pt idx="7">
                  <c:v>70</c:v>
                </c:pt>
                <c:pt idx="8">
                  <c:v>70</c:v>
                </c:pt>
                <c:pt idx="9">
                  <c:v>70</c:v>
                </c:pt>
                <c:pt idx="10">
                  <c:v>70</c:v>
                </c:pt>
                <c:pt idx="11">
                  <c:v>70</c:v>
                </c:pt>
                <c:pt idx="12">
                  <c:v>70</c:v>
                </c:pt>
                <c:pt idx="13">
                  <c:v>70</c:v>
                </c:pt>
                <c:pt idx="14">
                  <c:v>70</c:v>
                </c:pt>
                <c:pt idx="15">
                  <c:v>70</c:v>
                </c:pt>
                <c:pt idx="16">
                  <c:v>70</c:v>
                </c:pt>
                <c:pt idx="17">
                  <c:v>70</c:v>
                </c:pt>
                <c:pt idx="18">
                  <c:v>70</c:v>
                </c:pt>
                <c:pt idx="19">
                  <c:v>70</c:v>
                </c:pt>
                <c:pt idx="20">
                  <c:v>70</c:v>
                </c:pt>
                <c:pt idx="21">
                  <c:v>70</c:v>
                </c:pt>
                <c:pt idx="22">
                  <c:v>70</c:v>
                </c:pt>
                <c:pt idx="23">
                  <c:v>70</c:v>
                </c:pt>
                <c:pt idx="24">
                  <c:v>70</c:v>
                </c:pt>
                <c:pt idx="25">
                  <c:v>70</c:v>
                </c:pt>
                <c:pt idx="26">
                  <c:v>70</c:v>
                </c:pt>
                <c:pt idx="27">
                  <c:v>70</c:v>
                </c:pt>
                <c:pt idx="28">
                  <c:v>70</c:v>
                </c:pt>
                <c:pt idx="29">
                  <c:v>70</c:v>
                </c:pt>
                <c:pt idx="30">
                  <c:v>70</c:v>
                </c:pt>
              </c:numCache>
            </c:numRef>
          </c:val>
          <c:smooth val="0"/>
          <c:extLst>
            <c:ext xmlns:c16="http://schemas.microsoft.com/office/drawing/2014/chart" uri="{C3380CC4-5D6E-409C-BE32-E72D297353CC}">
              <c16:uniqueId val="{00000007-74FA-4863-9C8E-3BA009DA8108}"/>
            </c:ext>
          </c:extLst>
        </c:ser>
        <c:dLbls>
          <c:showLegendKey val="0"/>
          <c:showVal val="0"/>
          <c:showCatName val="0"/>
          <c:showSerName val="0"/>
          <c:showPercent val="0"/>
          <c:showBubbleSize val="0"/>
        </c:dLbls>
        <c:marker val="1"/>
        <c:smooth val="0"/>
        <c:axId val="305019088"/>
        <c:axId val="305018528"/>
      </c:lineChart>
      <c:dateAx>
        <c:axId val="305765232"/>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en-US"/>
          </a:p>
        </c:txPr>
        <c:crossAx val="305765792"/>
        <c:crosses val="autoZero"/>
        <c:auto val="1"/>
        <c:lblOffset val="0"/>
        <c:baseTimeUnit val="months"/>
        <c:majorUnit val="12"/>
        <c:majorTimeUnit val="months"/>
      </c:dateAx>
      <c:valAx>
        <c:axId val="305765792"/>
        <c:scaling>
          <c:orientation val="minMax"/>
          <c:min val="7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05765232"/>
        <c:crosses val="autoZero"/>
        <c:crossBetween val="midCat"/>
        <c:majorUnit val="10"/>
      </c:valAx>
      <c:valAx>
        <c:axId val="305018528"/>
        <c:scaling>
          <c:orientation val="minMax"/>
          <c:max val="110"/>
          <c:min val="70"/>
        </c:scaling>
        <c:delete val="0"/>
        <c:axPos val="r"/>
        <c:numFmt formatCode="General" sourceLinked="1"/>
        <c:majorTickMark val="out"/>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05019088"/>
        <c:crosses val="max"/>
        <c:crossBetween val="midCat"/>
        <c:majorUnit val="10"/>
      </c:valAx>
      <c:catAx>
        <c:axId val="305019088"/>
        <c:scaling>
          <c:orientation val="minMax"/>
        </c:scaling>
        <c:delete val="0"/>
        <c:axPos val="t"/>
        <c:numFmt formatCode="General" sourceLinked="1"/>
        <c:majorTickMark val="out"/>
        <c:minorTickMark val="none"/>
        <c:tickLblPos val="none"/>
        <c:spPr>
          <a:noFill/>
          <a:ln w="9525" cap="flat" cmpd="sng" algn="ctr">
            <a:no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05018528"/>
        <c:crosses val="max"/>
        <c:auto val="1"/>
        <c:lblAlgn val="ctr"/>
        <c:lblOffset val="100"/>
        <c:noMultiLvlLbl val="0"/>
      </c:cat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en-US"/>
    </a:p>
  </c:txPr>
  <c:externalData r:id="rId4">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0"/>
          <c:order val="0"/>
          <c:tx>
            <c:strRef>
              <c:f>Usluge!$G$2</c:f>
              <c:strCache>
                <c:ptCount val="1"/>
                <c:pt idx="0">
                  <c:v>Оригинални подаци</c:v>
                </c:pt>
              </c:strCache>
            </c:strRef>
          </c:tx>
          <c:spPr>
            <a:ln w="12700" cap="rnd">
              <a:solidFill>
                <a:srgbClr val="7F3F98"/>
              </a:solidFill>
              <a:prstDash val="sysDash"/>
              <a:round/>
            </a:ln>
            <a:effectLst/>
          </c:spPr>
          <c:marker>
            <c:symbol val="none"/>
          </c:marker>
          <c:cat>
            <c:numRef>
              <c:f>Usluge!$Z$102:$Z$133</c:f>
              <c:numCache>
                <c:formatCode>yyyy</c:formatCode>
                <c:ptCount val="32"/>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pt idx="31">
                  <c:v>43678</c:v>
                </c:pt>
              </c:numCache>
            </c:numRef>
          </c:cat>
          <c:val>
            <c:numRef>
              <c:f>Usluge!$W$102:$W$133</c:f>
              <c:numCache>
                <c:formatCode>0.0</c:formatCode>
                <c:ptCount val="32"/>
                <c:pt idx="0">
                  <c:v>63.095190787999996</c:v>
                </c:pt>
                <c:pt idx="1">
                  <c:v>66.211351781000005</c:v>
                </c:pt>
                <c:pt idx="2">
                  <c:v>71.091760663000002</c:v>
                </c:pt>
                <c:pt idx="3">
                  <c:v>82.523125547999996</c:v>
                </c:pt>
                <c:pt idx="4">
                  <c:v>102.503239307</c:v>
                </c:pt>
                <c:pt idx="5">
                  <c:v>104.08818325999999</c:v>
                </c:pt>
                <c:pt idx="6">
                  <c:v>127.001683679</c:v>
                </c:pt>
                <c:pt idx="7">
                  <c:v>139.03882594300001</c:v>
                </c:pt>
                <c:pt idx="8">
                  <c:v>94.584432070000005</c:v>
                </c:pt>
                <c:pt idx="9">
                  <c:v>88.667916367000004</c:v>
                </c:pt>
                <c:pt idx="10">
                  <c:v>62.025922379000001</c:v>
                </c:pt>
                <c:pt idx="11">
                  <c:v>69.226485612000005</c:v>
                </c:pt>
                <c:pt idx="12">
                  <c:v>70.666701085</c:v>
                </c:pt>
                <c:pt idx="13">
                  <c:v>75.021665892000001</c:v>
                </c:pt>
                <c:pt idx="14">
                  <c:v>76.244274512000004</c:v>
                </c:pt>
                <c:pt idx="15">
                  <c:v>91.879577592000004</c:v>
                </c:pt>
                <c:pt idx="16">
                  <c:v>118.70293204799999</c:v>
                </c:pt>
                <c:pt idx="17">
                  <c:v>118.715271243</c:v>
                </c:pt>
                <c:pt idx="18">
                  <c:v>140.361176392</c:v>
                </c:pt>
                <c:pt idx="19">
                  <c:v>162.75475966799999</c:v>
                </c:pt>
                <c:pt idx="20">
                  <c:v>105.827881291</c:v>
                </c:pt>
                <c:pt idx="21">
                  <c:v>96.312305038000005</c:v>
                </c:pt>
                <c:pt idx="22">
                  <c:v>70.287270824000004</c:v>
                </c:pt>
                <c:pt idx="23">
                  <c:v>73.226184415000006</c:v>
                </c:pt>
                <c:pt idx="24">
                  <c:v>70.846647685999997</c:v>
                </c:pt>
                <c:pt idx="25">
                  <c:v>78.113919694000003</c:v>
                </c:pt>
                <c:pt idx="26">
                  <c:v>81.597814420000006</c:v>
                </c:pt>
                <c:pt idx="27">
                  <c:v>99.805454159999996</c:v>
                </c:pt>
                <c:pt idx="28">
                  <c:v>125.980101119</c:v>
                </c:pt>
                <c:pt idx="29">
                  <c:v>127.069806321</c:v>
                </c:pt>
                <c:pt idx="30">
                  <c:v>147.812765133</c:v>
                </c:pt>
                <c:pt idx="31">
                  <c:v>167.45882088100001</c:v>
                </c:pt>
              </c:numCache>
            </c:numRef>
          </c:val>
          <c:smooth val="0"/>
          <c:extLst>
            <c:ext xmlns:c16="http://schemas.microsoft.com/office/drawing/2014/chart" uri="{C3380CC4-5D6E-409C-BE32-E72D297353CC}">
              <c16:uniqueId val="{00000000-6EDE-4EF5-91DA-00A09A59922A}"/>
            </c:ext>
          </c:extLst>
        </c:ser>
        <c:ser>
          <c:idx val="1"/>
          <c:order val="1"/>
          <c:tx>
            <c:strRef>
              <c:f>Usluge!$H$2</c:f>
              <c:strCache>
                <c:ptCount val="1"/>
                <c:pt idx="0">
                  <c:v>Десезонирани подаци</c:v>
                </c:pt>
              </c:strCache>
            </c:strRef>
          </c:tx>
          <c:spPr>
            <a:ln w="22225" cap="rnd">
              <a:solidFill>
                <a:srgbClr val="25AAE1"/>
              </a:solidFill>
              <a:round/>
            </a:ln>
            <a:effectLst/>
          </c:spPr>
          <c:marker>
            <c:symbol val="none"/>
          </c:marker>
          <c:cat>
            <c:numRef>
              <c:f>Usluge!$Z$102:$Z$133</c:f>
              <c:numCache>
                <c:formatCode>yyyy</c:formatCode>
                <c:ptCount val="32"/>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pt idx="31">
                  <c:v>43678</c:v>
                </c:pt>
              </c:numCache>
            </c:numRef>
          </c:cat>
          <c:val>
            <c:numRef>
              <c:f>Usluge!$X$102:$X$133</c:f>
              <c:numCache>
                <c:formatCode>0.0</c:formatCode>
                <c:ptCount val="32"/>
                <c:pt idx="0">
                  <c:v>83.239545164000006</c:v>
                </c:pt>
                <c:pt idx="1">
                  <c:v>86.196697112999999</c:v>
                </c:pt>
                <c:pt idx="2">
                  <c:v>90.719832584000002</c:v>
                </c:pt>
                <c:pt idx="3">
                  <c:v>88.113292031</c:v>
                </c:pt>
                <c:pt idx="4">
                  <c:v>87.721876170000002</c:v>
                </c:pt>
                <c:pt idx="5">
                  <c:v>89.795451009000004</c:v>
                </c:pt>
                <c:pt idx="6">
                  <c:v>90.363217270000007</c:v>
                </c:pt>
                <c:pt idx="7">
                  <c:v>88.520992868999997</c:v>
                </c:pt>
                <c:pt idx="8">
                  <c:v>88.808270038000003</c:v>
                </c:pt>
                <c:pt idx="9">
                  <c:v>92.643320411999994</c:v>
                </c:pt>
                <c:pt idx="10">
                  <c:v>91.194001670000006</c:v>
                </c:pt>
                <c:pt idx="11">
                  <c:v>93.238313703000003</c:v>
                </c:pt>
                <c:pt idx="12">
                  <c:v>94.071804921999998</c:v>
                </c:pt>
                <c:pt idx="13">
                  <c:v>97.574413790999998</c:v>
                </c:pt>
                <c:pt idx="14">
                  <c:v>97.923029666999994</c:v>
                </c:pt>
                <c:pt idx="15">
                  <c:v>98.289222496999997</c:v>
                </c:pt>
                <c:pt idx="16">
                  <c:v>102.204197327</c:v>
                </c:pt>
                <c:pt idx="17">
                  <c:v>99.845103397000003</c:v>
                </c:pt>
                <c:pt idx="18">
                  <c:v>100.39722949999999</c:v>
                </c:pt>
                <c:pt idx="19">
                  <c:v>102.461097458</c:v>
                </c:pt>
                <c:pt idx="20">
                  <c:v>100.794087158</c:v>
                </c:pt>
                <c:pt idx="21">
                  <c:v>100.70380398499999</c:v>
                </c:pt>
                <c:pt idx="22">
                  <c:v>102.305378328</c:v>
                </c:pt>
                <c:pt idx="23">
                  <c:v>101.403524531</c:v>
                </c:pt>
                <c:pt idx="24">
                  <c:v>96.103597588</c:v>
                </c:pt>
                <c:pt idx="25">
                  <c:v>103.326602644</c:v>
                </c:pt>
                <c:pt idx="26">
                  <c:v>103.61153961700001</c:v>
                </c:pt>
                <c:pt idx="27">
                  <c:v>106.24875011100001</c:v>
                </c:pt>
                <c:pt idx="28">
                  <c:v>105.22301967600001</c:v>
                </c:pt>
                <c:pt idx="29">
                  <c:v>106.746518743</c:v>
                </c:pt>
                <c:pt idx="30">
                  <c:v>105.71658044900001</c:v>
                </c:pt>
                <c:pt idx="31">
                  <c:v>105.404703501</c:v>
                </c:pt>
              </c:numCache>
            </c:numRef>
          </c:val>
          <c:smooth val="0"/>
          <c:extLst>
            <c:ext xmlns:c16="http://schemas.microsoft.com/office/drawing/2014/chart" uri="{C3380CC4-5D6E-409C-BE32-E72D297353CC}">
              <c16:uniqueId val="{00000001-6EDE-4EF5-91DA-00A09A59922A}"/>
            </c:ext>
          </c:extLst>
        </c:ser>
        <c:ser>
          <c:idx val="2"/>
          <c:order val="2"/>
          <c:tx>
            <c:strRef>
              <c:f>Usluge!$I$2</c:f>
              <c:strCache>
                <c:ptCount val="1"/>
                <c:pt idx="0">
                  <c:v>Тренд циклус</c:v>
                </c:pt>
              </c:strCache>
            </c:strRef>
          </c:tx>
          <c:spPr>
            <a:ln w="25400" cap="rnd">
              <a:solidFill>
                <a:srgbClr val="FF0000"/>
              </a:solidFill>
              <a:round/>
            </a:ln>
            <a:effectLst/>
          </c:spPr>
          <c:marker>
            <c:symbol val="none"/>
          </c:marker>
          <c:cat>
            <c:numRef>
              <c:f>Usluge!$Z$102:$Z$133</c:f>
              <c:numCache>
                <c:formatCode>yyyy</c:formatCode>
                <c:ptCount val="32"/>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pt idx="31">
                  <c:v>43678</c:v>
                </c:pt>
              </c:numCache>
            </c:numRef>
          </c:cat>
          <c:val>
            <c:numRef>
              <c:f>Usluge!$Y$102:$Y$133</c:f>
              <c:numCache>
                <c:formatCode>0.0</c:formatCode>
                <c:ptCount val="32"/>
                <c:pt idx="0">
                  <c:v>84.354345413999994</c:v>
                </c:pt>
                <c:pt idx="1">
                  <c:v>85.570908433</c:v>
                </c:pt>
                <c:pt idx="2">
                  <c:v>86.792360234</c:v>
                </c:pt>
                <c:pt idx="3">
                  <c:v>87.807435697000003</c:v>
                </c:pt>
                <c:pt idx="4">
                  <c:v>88.514850475000003</c:v>
                </c:pt>
                <c:pt idx="5">
                  <c:v>88.984722743999995</c:v>
                </c:pt>
                <c:pt idx="6">
                  <c:v>89.296544163999997</c:v>
                </c:pt>
                <c:pt idx="7">
                  <c:v>89.608022578000003</c:v>
                </c:pt>
                <c:pt idx="8">
                  <c:v>90.106523938999999</c:v>
                </c:pt>
                <c:pt idx="9">
                  <c:v>90.891193971999996</c:v>
                </c:pt>
                <c:pt idx="10">
                  <c:v>91.947403034999994</c:v>
                </c:pt>
                <c:pt idx="11">
                  <c:v>93.313352887999997</c:v>
                </c:pt>
                <c:pt idx="12">
                  <c:v>94.908722581000006</c:v>
                </c:pt>
                <c:pt idx="13">
                  <c:v>96.484409288999998</c:v>
                </c:pt>
                <c:pt idx="14">
                  <c:v>97.928697530999997</c:v>
                </c:pt>
                <c:pt idx="15">
                  <c:v>99.195742495999994</c:v>
                </c:pt>
                <c:pt idx="16">
                  <c:v>100.145318553</c:v>
                </c:pt>
                <c:pt idx="17">
                  <c:v>100.722034497</c:v>
                </c:pt>
                <c:pt idx="18">
                  <c:v>101.029062377</c:v>
                </c:pt>
                <c:pt idx="19">
                  <c:v>101.16818861900001</c:v>
                </c:pt>
                <c:pt idx="20">
                  <c:v>101.274012083</c:v>
                </c:pt>
                <c:pt idx="21">
                  <c:v>101.383305057</c:v>
                </c:pt>
                <c:pt idx="22">
                  <c:v>101.642005451</c:v>
                </c:pt>
                <c:pt idx="23">
                  <c:v>102.08655509800001</c:v>
                </c:pt>
                <c:pt idx="24">
                  <c:v>102.702326973</c:v>
                </c:pt>
                <c:pt idx="25">
                  <c:v>103.516965759</c:v>
                </c:pt>
                <c:pt idx="26">
                  <c:v>104.371850763</c:v>
                </c:pt>
                <c:pt idx="27">
                  <c:v>105.08943917800001</c:v>
                </c:pt>
                <c:pt idx="28">
                  <c:v>105.598076862</c:v>
                </c:pt>
                <c:pt idx="29">
                  <c:v>105.85843239800001</c:v>
                </c:pt>
                <c:pt idx="30">
                  <c:v>105.914230721</c:v>
                </c:pt>
                <c:pt idx="31">
                  <c:v>105.924949074</c:v>
                </c:pt>
              </c:numCache>
            </c:numRef>
          </c:val>
          <c:smooth val="0"/>
          <c:extLst>
            <c:ext xmlns:c16="http://schemas.microsoft.com/office/drawing/2014/chart" uri="{C3380CC4-5D6E-409C-BE32-E72D297353CC}">
              <c16:uniqueId val="{00000002-6EDE-4EF5-91DA-00A09A59922A}"/>
            </c:ext>
          </c:extLst>
        </c:ser>
        <c:ser>
          <c:idx val="3"/>
          <c:order val="3"/>
          <c:spPr>
            <a:ln w="28575" cap="rnd">
              <a:noFill/>
              <a:round/>
            </a:ln>
            <a:effectLst/>
          </c:spPr>
          <c:marker>
            <c:symbol val="square"/>
            <c:size val="2"/>
            <c:spPr>
              <a:solidFill>
                <a:sysClr val="window" lastClr="FFFFFF"/>
              </a:solidFill>
              <a:ln w="9525">
                <a:noFill/>
              </a:ln>
              <a:effectLst/>
            </c:spPr>
          </c:marker>
          <c:dLbls>
            <c:dLbl>
              <c:idx val="0"/>
              <c:layout>
                <c:manualLayout>
                  <c:x val="0.11156829211122586"/>
                  <c:y val="3.655991498916712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EDE-4EF5-91DA-00A09A59922A}"/>
                </c:ext>
              </c:extLst>
            </c:dLbl>
            <c:dLbl>
              <c:idx val="12"/>
              <c:layout>
                <c:manualLayout>
                  <c:x val="0.11156829211122597"/>
                  <c:y val="3.655991498916712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6EDE-4EF5-91DA-00A09A59922A}"/>
                </c:ext>
              </c:extLst>
            </c:dLbl>
            <c:dLbl>
              <c:idx val="24"/>
              <c:layout>
                <c:manualLayout>
                  <c:x val="3.776899153889373E-2"/>
                  <c:y val="4.579608585858585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6EDE-4EF5-91DA-00A09A59922A}"/>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Usluge!$Z$102:$Z$133</c:f>
              <c:numCache>
                <c:formatCode>yyyy</c:formatCode>
                <c:ptCount val="32"/>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pt idx="31">
                  <c:v>43678</c:v>
                </c:pt>
              </c:numCache>
            </c:numRef>
          </c:cat>
          <c:val>
            <c:numRef>
              <c:f>Usluge!$AA$102:$AA$133</c:f>
              <c:numCache>
                <c:formatCode>General</c:formatCode>
                <c:ptCount val="32"/>
                <c:pt idx="0">
                  <c:v>40</c:v>
                </c:pt>
                <c:pt idx="12">
                  <c:v>40</c:v>
                </c:pt>
                <c:pt idx="24">
                  <c:v>40</c:v>
                </c:pt>
              </c:numCache>
            </c:numRef>
          </c:val>
          <c:smooth val="0"/>
          <c:extLst>
            <c:ext xmlns:c16="http://schemas.microsoft.com/office/drawing/2014/chart" uri="{C3380CC4-5D6E-409C-BE32-E72D297353CC}">
              <c16:uniqueId val="{00000006-6EDE-4EF5-91DA-00A09A59922A}"/>
            </c:ext>
          </c:extLst>
        </c:ser>
        <c:dLbls>
          <c:showLegendKey val="0"/>
          <c:showVal val="0"/>
          <c:showCatName val="0"/>
          <c:showSerName val="0"/>
          <c:showPercent val="0"/>
          <c:showBubbleSize val="0"/>
        </c:dLbls>
        <c:marker val="1"/>
        <c:smooth val="0"/>
        <c:axId val="319072992"/>
        <c:axId val="319073552"/>
      </c:lineChart>
      <c:lineChart>
        <c:grouping val="standard"/>
        <c:varyColors val="0"/>
        <c:ser>
          <c:idx val="4"/>
          <c:order val="4"/>
          <c:spPr>
            <a:ln w="28575" cap="rnd">
              <a:no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en-US"/>
              </a:p>
            </c:txPr>
            <c:dLblPos val="t"/>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strRef>
              <c:f>Usluge!$E$102:$E$133</c:f>
              <c:strCache>
                <c:ptCount val="32"/>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pt idx="21">
                  <c:v>X</c:v>
                </c:pt>
                <c:pt idx="22">
                  <c:v>XI</c:v>
                </c:pt>
                <c:pt idx="23">
                  <c:v>XII</c:v>
                </c:pt>
                <c:pt idx="24">
                  <c:v>I</c:v>
                </c:pt>
                <c:pt idx="25">
                  <c:v>II</c:v>
                </c:pt>
                <c:pt idx="26">
                  <c:v>III</c:v>
                </c:pt>
                <c:pt idx="27">
                  <c:v>IV</c:v>
                </c:pt>
                <c:pt idx="28">
                  <c:v>V</c:v>
                </c:pt>
                <c:pt idx="29">
                  <c:v>VI</c:v>
                </c:pt>
                <c:pt idx="30">
                  <c:v>VII</c:v>
                </c:pt>
                <c:pt idx="31">
                  <c:v>VIII</c:v>
                </c:pt>
              </c:strCache>
            </c:strRef>
          </c:cat>
          <c:val>
            <c:numRef>
              <c:f>Usluge!$AB$102:$AB$133</c:f>
              <c:numCache>
                <c:formatCode>General</c:formatCode>
                <c:ptCount val="32"/>
                <c:pt idx="0">
                  <c:v>40</c:v>
                </c:pt>
                <c:pt idx="1">
                  <c:v>40</c:v>
                </c:pt>
                <c:pt idx="2">
                  <c:v>40</c:v>
                </c:pt>
                <c:pt idx="3">
                  <c:v>40</c:v>
                </c:pt>
                <c:pt idx="4">
                  <c:v>40</c:v>
                </c:pt>
                <c:pt idx="5">
                  <c:v>40</c:v>
                </c:pt>
                <c:pt idx="6">
                  <c:v>40</c:v>
                </c:pt>
                <c:pt idx="7">
                  <c:v>40</c:v>
                </c:pt>
                <c:pt idx="8">
                  <c:v>40</c:v>
                </c:pt>
                <c:pt idx="9">
                  <c:v>40</c:v>
                </c:pt>
                <c:pt idx="10">
                  <c:v>40</c:v>
                </c:pt>
                <c:pt idx="11">
                  <c:v>40</c:v>
                </c:pt>
                <c:pt idx="12">
                  <c:v>40</c:v>
                </c:pt>
                <c:pt idx="13">
                  <c:v>40</c:v>
                </c:pt>
                <c:pt idx="14">
                  <c:v>40</c:v>
                </c:pt>
                <c:pt idx="15">
                  <c:v>40</c:v>
                </c:pt>
                <c:pt idx="16">
                  <c:v>40</c:v>
                </c:pt>
                <c:pt idx="17">
                  <c:v>40</c:v>
                </c:pt>
                <c:pt idx="18">
                  <c:v>40</c:v>
                </c:pt>
                <c:pt idx="19">
                  <c:v>40</c:v>
                </c:pt>
                <c:pt idx="20">
                  <c:v>40</c:v>
                </c:pt>
                <c:pt idx="21">
                  <c:v>40</c:v>
                </c:pt>
                <c:pt idx="22">
                  <c:v>40</c:v>
                </c:pt>
                <c:pt idx="23">
                  <c:v>40</c:v>
                </c:pt>
                <c:pt idx="24">
                  <c:v>40</c:v>
                </c:pt>
                <c:pt idx="25">
                  <c:v>40</c:v>
                </c:pt>
                <c:pt idx="26">
                  <c:v>40</c:v>
                </c:pt>
                <c:pt idx="27">
                  <c:v>40</c:v>
                </c:pt>
                <c:pt idx="28">
                  <c:v>40</c:v>
                </c:pt>
                <c:pt idx="29">
                  <c:v>40</c:v>
                </c:pt>
                <c:pt idx="30">
                  <c:v>40</c:v>
                </c:pt>
                <c:pt idx="31">
                  <c:v>40</c:v>
                </c:pt>
              </c:numCache>
            </c:numRef>
          </c:val>
          <c:smooth val="0"/>
          <c:extLst>
            <c:ext xmlns:c16="http://schemas.microsoft.com/office/drawing/2014/chart" uri="{C3380CC4-5D6E-409C-BE32-E72D297353CC}">
              <c16:uniqueId val="{00000007-6EDE-4EF5-91DA-00A09A59922A}"/>
            </c:ext>
          </c:extLst>
        </c:ser>
        <c:dLbls>
          <c:showLegendKey val="0"/>
          <c:showVal val="0"/>
          <c:showCatName val="0"/>
          <c:showSerName val="0"/>
          <c:showPercent val="0"/>
          <c:showBubbleSize val="0"/>
        </c:dLbls>
        <c:marker val="1"/>
        <c:smooth val="0"/>
        <c:axId val="319074672"/>
        <c:axId val="319074112"/>
      </c:lineChart>
      <c:dateAx>
        <c:axId val="319072992"/>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en-US"/>
          </a:p>
        </c:txPr>
        <c:crossAx val="319073552"/>
        <c:crosses val="autoZero"/>
        <c:auto val="1"/>
        <c:lblOffset val="0"/>
        <c:baseTimeUnit val="months"/>
        <c:majorUnit val="12"/>
        <c:majorTimeUnit val="months"/>
      </c:dateAx>
      <c:valAx>
        <c:axId val="319073552"/>
        <c:scaling>
          <c:orientation val="minMax"/>
          <c:min val="4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19072992"/>
        <c:crosses val="autoZero"/>
        <c:crossBetween val="midCat"/>
      </c:valAx>
      <c:valAx>
        <c:axId val="319074112"/>
        <c:scaling>
          <c:orientation val="minMax"/>
          <c:max val="160"/>
          <c:min val="40"/>
        </c:scaling>
        <c:delete val="0"/>
        <c:axPos val="r"/>
        <c:numFmt formatCode="General" sourceLinked="1"/>
        <c:majorTickMark val="out"/>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19074672"/>
        <c:crosses val="max"/>
        <c:crossBetween val="midCat"/>
        <c:majorUnit val="20"/>
      </c:valAx>
      <c:catAx>
        <c:axId val="319074672"/>
        <c:scaling>
          <c:orientation val="minMax"/>
        </c:scaling>
        <c:delete val="0"/>
        <c:axPos val="t"/>
        <c:numFmt formatCode="General" sourceLinked="1"/>
        <c:majorTickMark val="out"/>
        <c:minorTickMark val="none"/>
        <c:tickLblPos val="none"/>
        <c:spPr>
          <a:noFill/>
          <a:ln w="9525" cap="flat" cmpd="sng" algn="ctr">
            <a:no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19074112"/>
        <c:crosses val="max"/>
        <c:auto val="1"/>
        <c:lblAlgn val="ctr"/>
        <c:lblOffset val="100"/>
        <c:noMultiLvlLbl val="0"/>
      </c:cat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en-US"/>
    </a:p>
  </c:txPr>
  <c:externalData r:id="rId4">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458489959993E-2"/>
          <c:y val="4.3657418359185789E-2"/>
          <c:w val="0.88461960155100949"/>
          <c:h val="0.86149917955534527"/>
        </c:manualLayout>
      </c:layout>
      <c:lineChart>
        <c:grouping val="standard"/>
        <c:varyColors val="0"/>
        <c:ser>
          <c:idx val="0"/>
          <c:order val="0"/>
          <c:tx>
            <c:strRef>
              <c:f>'BoP_izvoz usluga'!$G$2</c:f>
              <c:strCache>
                <c:ptCount val="1"/>
                <c:pt idx="0">
                  <c:v>Оригинални подаци</c:v>
                </c:pt>
              </c:strCache>
            </c:strRef>
          </c:tx>
          <c:spPr>
            <a:ln w="12700" cap="rnd">
              <a:solidFill>
                <a:srgbClr val="7F3F98"/>
              </a:solidFill>
              <a:prstDash val="sysDash"/>
              <a:round/>
            </a:ln>
            <a:effectLst/>
          </c:spPr>
          <c:marker>
            <c:symbol val="none"/>
          </c:marker>
          <c:cat>
            <c:numRef>
              <c:f>'BoP_izvoz usluga'!$A$66:$A$96</c:f>
              <c:numCache>
                <c:formatCode>yyyy</c:formatCode>
                <c:ptCount val="31"/>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numCache>
            </c:numRef>
          </c:cat>
          <c:val>
            <c:numRef>
              <c:f>'BoP_izvoz usluga'!$G$66:$G$96</c:f>
              <c:numCache>
                <c:formatCode>0.0</c:formatCode>
                <c:ptCount val="31"/>
                <c:pt idx="0">
                  <c:v>74.846287039512035</c:v>
                </c:pt>
                <c:pt idx="1">
                  <c:v>74.737525634522839</c:v>
                </c:pt>
                <c:pt idx="2">
                  <c:v>90.863897182876258</c:v>
                </c:pt>
                <c:pt idx="3">
                  <c:v>85.486375565811571</c:v>
                </c:pt>
                <c:pt idx="4">
                  <c:v>96.254685489048299</c:v>
                </c:pt>
                <c:pt idx="5">
                  <c:v>102.77429599489611</c:v>
                </c:pt>
                <c:pt idx="6">
                  <c:v>101.02828728134561</c:v>
                </c:pt>
                <c:pt idx="7">
                  <c:v>104.62491271754209</c:v>
                </c:pt>
                <c:pt idx="8">
                  <c:v>96.349336978640949</c:v>
                </c:pt>
                <c:pt idx="9">
                  <c:v>102.5064562392279</c:v>
                </c:pt>
                <c:pt idx="10">
                  <c:v>94.719603783048427</c:v>
                </c:pt>
                <c:pt idx="11">
                  <c:v>97.17086425914151</c:v>
                </c:pt>
                <c:pt idx="12">
                  <c:v>85.792346368014734</c:v>
                </c:pt>
                <c:pt idx="13">
                  <c:v>79.776330531945831</c:v>
                </c:pt>
                <c:pt idx="14">
                  <c:v>93.663043359075246</c:v>
                </c:pt>
                <c:pt idx="15">
                  <c:v>95.030565907036234</c:v>
                </c:pt>
                <c:pt idx="16">
                  <c:v>103.77267138619526</c:v>
                </c:pt>
                <c:pt idx="17">
                  <c:v>99.772043837018444</c:v>
                </c:pt>
                <c:pt idx="18">
                  <c:v>111.09610671142084</c:v>
                </c:pt>
                <c:pt idx="19">
                  <c:v>111.69057690860926</c:v>
                </c:pt>
                <c:pt idx="20">
                  <c:v>101.33758484406141</c:v>
                </c:pt>
                <c:pt idx="21">
                  <c:v>114.12747067870754</c:v>
                </c:pt>
                <c:pt idx="22">
                  <c:v>101.77002328217854</c:v>
                </c:pt>
                <c:pt idx="23">
                  <c:v>102.17123618573667</c:v>
                </c:pt>
                <c:pt idx="24">
                  <c:v>98.396735306282309</c:v>
                </c:pt>
                <c:pt idx="25">
                  <c:v>90.647676938696122</c:v>
                </c:pt>
                <c:pt idx="26">
                  <c:v>94.825836406741956</c:v>
                </c:pt>
                <c:pt idx="27">
                  <c:v>100.07231019183351</c:v>
                </c:pt>
                <c:pt idx="28">
                  <c:v>112.98864105302971</c:v>
                </c:pt>
                <c:pt idx="29">
                  <c:v>100.4531805446087</c:v>
                </c:pt>
                <c:pt idx="30">
                  <c:v>129.91270989576878</c:v>
                </c:pt>
              </c:numCache>
            </c:numRef>
          </c:val>
          <c:smooth val="0"/>
          <c:extLst>
            <c:ext xmlns:c16="http://schemas.microsoft.com/office/drawing/2014/chart" uri="{C3380CC4-5D6E-409C-BE32-E72D297353CC}">
              <c16:uniqueId val="{00000000-9472-46E1-A7D6-EF279B619BBC}"/>
            </c:ext>
          </c:extLst>
        </c:ser>
        <c:ser>
          <c:idx val="2"/>
          <c:order val="1"/>
          <c:tx>
            <c:strRef>
              <c:f>'BoP_izvoz usluga'!$I$2</c:f>
              <c:strCache>
                <c:ptCount val="1"/>
                <c:pt idx="0">
                  <c:v>Тренд циклус</c:v>
                </c:pt>
              </c:strCache>
            </c:strRef>
          </c:tx>
          <c:spPr>
            <a:ln w="22225" cap="rnd">
              <a:solidFill>
                <a:srgbClr val="25AAE1"/>
              </a:solidFill>
              <a:round/>
            </a:ln>
            <a:effectLst/>
          </c:spPr>
          <c:marker>
            <c:symbol val="none"/>
          </c:marker>
          <c:cat>
            <c:numRef>
              <c:f>'BoP_izvoz usluga'!$A$66:$A$96</c:f>
              <c:numCache>
                <c:formatCode>yyyy</c:formatCode>
                <c:ptCount val="31"/>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numCache>
            </c:numRef>
          </c:cat>
          <c:val>
            <c:numRef>
              <c:f>'BoP_izvoz usluga'!$I$66:$I$96</c:f>
              <c:numCache>
                <c:formatCode>0.0</c:formatCode>
                <c:ptCount val="31"/>
                <c:pt idx="0">
                  <c:v>81.789392046144471</c:v>
                </c:pt>
                <c:pt idx="1">
                  <c:v>91.600973871618265</c:v>
                </c:pt>
                <c:pt idx="2">
                  <c:v>92.764794945115767</c:v>
                </c:pt>
                <c:pt idx="3">
                  <c:v>93.020192177710413</c:v>
                </c:pt>
                <c:pt idx="4">
                  <c:v>94.749923629916793</c:v>
                </c:pt>
                <c:pt idx="5">
                  <c:v>97.529466532659313</c:v>
                </c:pt>
                <c:pt idx="6">
                  <c:v>94.384577090849007</c:v>
                </c:pt>
                <c:pt idx="7">
                  <c:v>95.156602858375621</c:v>
                </c:pt>
                <c:pt idx="8">
                  <c:v>94.080125498397422</c:v>
                </c:pt>
                <c:pt idx="9">
                  <c:v>95.235065493172854</c:v>
                </c:pt>
                <c:pt idx="10">
                  <c:v>95.19016368579517</c:v>
                </c:pt>
                <c:pt idx="11">
                  <c:v>97.593769336195237</c:v>
                </c:pt>
                <c:pt idx="12">
                  <c:v>96.552479517871788</c:v>
                </c:pt>
                <c:pt idx="13">
                  <c:v>98.156671558714081</c:v>
                </c:pt>
                <c:pt idx="14">
                  <c:v>98.690138815612599</c:v>
                </c:pt>
                <c:pt idx="15">
                  <c:v>100.13165640704972</c:v>
                </c:pt>
                <c:pt idx="16">
                  <c:v>99.73799870500649</c:v>
                </c:pt>
                <c:pt idx="17">
                  <c:v>98.7528822402423</c:v>
                </c:pt>
                <c:pt idx="18">
                  <c:v>98.513888168339307</c:v>
                </c:pt>
                <c:pt idx="19">
                  <c:v>102.92775007076339</c:v>
                </c:pt>
                <c:pt idx="20">
                  <c:v>102.23850447409981</c:v>
                </c:pt>
                <c:pt idx="21">
                  <c:v>103.98322611075427</c:v>
                </c:pt>
                <c:pt idx="22">
                  <c:v>101.33315867218812</c:v>
                </c:pt>
                <c:pt idx="23">
                  <c:v>102.07180527843671</c:v>
                </c:pt>
                <c:pt idx="24">
                  <c:v>110.86756451825217</c:v>
                </c:pt>
                <c:pt idx="25">
                  <c:v>106.69954505880473</c:v>
                </c:pt>
                <c:pt idx="26">
                  <c:v>103.70855142992905</c:v>
                </c:pt>
                <c:pt idx="27">
                  <c:v>100.49987874514279</c:v>
                </c:pt>
                <c:pt idx="28">
                  <c:v>109.20670548331863</c:v>
                </c:pt>
                <c:pt idx="29">
                  <c:v>102.73104744876461</c:v>
                </c:pt>
                <c:pt idx="30">
                  <c:v>113.14599255303769</c:v>
                </c:pt>
              </c:numCache>
            </c:numRef>
          </c:val>
          <c:smooth val="0"/>
          <c:extLst>
            <c:ext xmlns:c16="http://schemas.microsoft.com/office/drawing/2014/chart" uri="{C3380CC4-5D6E-409C-BE32-E72D297353CC}">
              <c16:uniqueId val="{00000001-9472-46E1-A7D6-EF279B619BBC}"/>
            </c:ext>
          </c:extLst>
        </c:ser>
        <c:ser>
          <c:idx val="1"/>
          <c:order val="2"/>
          <c:tx>
            <c:strRef>
              <c:f>'BoP_izvoz usluga'!$H$2</c:f>
              <c:strCache>
                <c:ptCount val="1"/>
                <c:pt idx="0">
                  <c:v>Десезонирани подаци</c:v>
                </c:pt>
              </c:strCache>
            </c:strRef>
          </c:tx>
          <c:spPr>
            <a:ln w="25400" cap="rnd">
              <a:solidFill>
                <a:srgbClr val="FF0000"/>
              </a:solidFill>
              <a:round/>
            </a:ln>
            <a:effectLst/>
          </c:spPr>
          <c:marker>
            <c:symbol val="none"/>
          </c:marker>
          <c:cat>
            <c:numRef>
              <c:f>'BoP_izvoz usluga'!$A$66:$A$96</c:f>
              <c:numCache>
                <c:formatCode>yyyy</c:formatCode>
                <c:ptCount val="31"/>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numCache>
            </c:numRef>
          </c:cat>
          <c:val>
            <c:numRef>
              <c:f>'BoP_izvoz usluga'!$H$66:$H$96</c:f>
              <c:numCache>
                <c:formatCode>0.0</c:formatCode>
                <c:ptCount val="31"/>
                <c:pt idx="0">
                  <c:v>89.290121333673198</c:v>
                </c:pt>
                <c:pt idx="1">
                  <c:v>91.123812002552825</c:v>
                </c:pt>
                <c:pt idx="2">
                  <c:v>92.721288848774108</c:v>
                </c:pt>
                <c:pt idx="3">
                  <c:v>93.947372348915238</c:v>
                </c:pt>
                <c:pt idx="4">
                  <c:v>94.777812474322545</c:v>
                </c:pt>
                <c:pt idx="5">
                  <c:v>95.190705302694553</c:v>
                </c:pt>
                <c:pt idx="6">
                  <c:v>95.253472997438209</c:v>
                </c:pt>
                <c:pt idx="7">
                  <c:v>95.135683832099303</c:v>
                </c:pt>
                <c:pt idx="8">
                  <c:v>95.075046990483713</c:v>
                </c:pt>
                <c:pt idx="9">
                  <c:v>95.209839162191471</c:v>
                </c:pt>
                <c:pt idx="10">
                  <c:v>95.661875705303814</c:v>
                </c:pt>
                <c:pt idx="11">
                  <c:v>96.440956455222533</c:v>
                </c:pt>
                <c:pt idx="12">
                  <c:v>97.363460775397243</c:v>
                </c:pt>
                <c:pt idx="13">
                  <c:v>98.113903308626391</c:v>
                </c:pt>
                <c:pt idx="14">
                  <c:v>98.655222570375145</c:v>
                </c:pt>
                <c:pt idx="15">
                  <c:v>99.002960368218353</c:v>
                </c:pt>
                <c:pt idx="16">
                  <c:v>99.380368352645093</c:v>
                </c:pt>
                <c:pt idx="17">
                  <c:v>99.902962739061095</c:v>
                </c:pt>
                <c:pt idx="18">
                  <c:v>100.5463766698341</c:v>
                </c:pt>
                <c:pt idx="19">
                  <c:v>101.16738363607838</c:v>
                </c:pt>
                <c:pt idx="20">
                  <c:v>101.81335942355715</c:v>
                </c:pt>
                <c:pt idx="21">
                  <c:v>102.41862054978071</c:v>
                </c:pt>
                <c:pt idx="22">
                  <c:v>102.8789578304315</c:v>
                </c:pt>
                <c:pt idx="23">
                  <c:v>103.2800497707662</c:v>
                </c:pt>
                <c:pt idx="24">
                  <c:v>103.74252173260062</c:v>
                </c:pt>
                <c:pt idx="25">
                  <c:v>104.4491661587484</c:v>
                </c:pt>
                <c:pt idx="26">
                  <c:v>105.40850120260779</c:v>
                </c:pt>
                <c:pt idx="27">
                  <c:v>106.49404226593177</c:v>
                </c:pt>
                <c:pt idx="28">
                  <c:v>107.64077319943074</c:v>
                </c:pt>
                <c:pt idx="29">
                  <c:v>108.80399590488919</c:v>
                </c:pt>
                <c:pt idx="30">
                  <c:v>109.98154749683798</c:v>
                </c:pt>
              </c:numCache>
            </c:numRef>
          </c:val>
          <c:smooth val="0"/>
          <c:extLst>
            <c:ext xmlns:c16="http://schemas.microsoft.com/office/drawing/2014/chart" uri="{C3380CC4-5D6E-409C-BE32-E72D297353CC}">
              <c16:uniqueId val="{00000002-9472-46E1-A7D6-EF279B619BBC}"/>
            </c:ext>
          </c:extLst>
        </c:ser>
        <c:ser>
          <c:idx val="3"/>
          <c:order val="3"/>
          <c:spPr>
            <a:ln w="28575" cap="rnd">
              <a:noFill/>
              <a:round/>
            </a:ln>
            <a:effectLst/>
          </c:spPr>
          <c:marker>
            <c:symbol val="square"/>
            <c:size val="2"/>
            <c:spPr>
              <a:solidFill>
                <a:sysClr val="window" lastClr="FFFFFF"/>
              </a:solidFill>
              <a:ln w="9525">
                <a:noFill/>
              </a:ln>
              <a:effectLst/>
            </c:spPr>
          </c:marker>
          <c:dLbls>
            <c:dLbl>
              <c:idx val="0"/>
              <c:layout>
                <c:manualLayout>
                  <c:x val="0.1223984929116495"/>
                  <c:y val="3.687983208107570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9472-46E1-A7D6-EF279B619BBC}"/>
                </c:ext>
              </c:extLst>
            </c:dLbl>
            <c:dLbl>
              <c:idx val="12"/>
              <c:layout>
                <c:manualLayout>
                  <c:x val="0.11368620267560263"/>
                  <c:y val="3.687983208107570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9472-46E1-A7D6-EF279B619BBC}"/>
                </c:ext>
              </c:extLst>
            </c:dLbl>
            <c:dLbl>
              <c:idx val="24"/>
              <c:layout>
                <c:manualLayout>
                  <c:x val="3.1308368007396982E-2"/>
                  <c:y val="4.3155747540196646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9472-46E1-A7D6-EF279B619BBC}"/>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'BoP_izvoz usluga'!$A$66:$A$96</c:f>
              <c:numCache>
                <c:formatCode>yyyy</c:formatCode>
                <c:ptCount val="31"/>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numCache>
            </c:numRef>
          </c:cat>
          <c:val>
            <c:numRef>
              <c:f>'BoP_izvoz usluga'!$B$66:$B$96</c:f>
              <c:numCache>
                <c:formatCode>General</c:formatCode>
                <c:ptCount val="31"/>
                <c:pt idx="0">
                  <c:v>60</c:v>
                </c:pt>
                <c:pt idx="12">
                  <c:v>60</c:v>
                </c:pt>
                <c:pt idx="24">
                  <c:v>60</c:v>
                </c:pt>
              </c:numCache>
            </c:numRef>
          </c:val>
          <c:smooth val="0"/>
          <c:extLst>
            <c:ext xmlns:c16="http://schemas.microsoft.com/office/drawing/2014/chart" uri="{C3380CC4-5D6E-409C-BE32-E72D297353CC}">
              <c16:uniqueId val="{00000006-9472-46E1-A7D6-EF279B619BBC}"/>
            </c:ext>
          </c:extLst>
        </c:ser>
        <c:dLbls>
          <c:showLegendKey val="0"/>
          <c:showVal val="0"/>
          <c:showCatName val="0"/>
          <c:showSerName val="0"/>
          <c:showPercent val="0"/>
          <c:showBubbleSize val="0"/>
        </c:dLbls>
        <c:marker val="1"/>
        <c:smooth val="0"/>
        <c:axId val="260746240"/>
        <c:axId val="320023856"/>
      </c:lineChart>
      <c:lineChart>
        <c:grouping val="standard"/>
        <c:varyColors val="0"/>
        <c:ser>
          <c:idx val="4"/>
          <c:order val="4"/>
          <c:spPr>
            <a:ln w="28575" cap="rnd">
              <a:no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en-US"/>
              </a:p>
            </c:txPr>
            <c:dLblPos val="t"/>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strRef>
              <c:f>'BoP_izvoz usluga'!$E$66:$E$96</c:f>
              <c:strCache>
                <c:ptCount val="31"/>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pt idx="21">
                  <c:v>X</c:v>
                </c:pt>
                <c:pt idx="22">
                  <c:v>XI</c:v>
                </c:pt>
                <c:pt idx="23">
                  <c:v>XII</c:v>
                </c:pt>
                <c:pt idx="24">
                  <c:v>I</c:v>
                </c:pt>
                <c:pt idx="25">
                  <c:v>II</c:v>
                </c:pt>
                <c:pt idx="26">
                  <c:v>III</c:v>
                </c:pt>
                <c:pt idx="27">
                  <c:v>IV</c:v>
                </c:pt>
                <c:pt idx="28">
                  <c:v>V</c:v>
                </c:pt>
                <c:pt idx="29">
                  <c:v>VI</c:v>
                </c:pt>
                <c:pt idx="30">
                  <c:v>VII</c:v>
                </c:pt>
              </c:strCache>
            </c:strRef>
          </c:cat>
          <c:val>
            <c:numRef>
              <c:f>'BoP_izvoz usluga'!$C$66:$C$96</c:f>
              <c:numCache>
                <c:formatCode>General</c:formatCode>
                <c:ptCount val="31"/>
                <c:pt idx="0">
                  <c:v>60</c:v>
                </c:pt>
                <c:pt idx="1">
                  <c:v>60</c:v>
                </c:pt>
                <c:pt idx="2">
                  <c:v>60</c:v>
                </c:pt>
                <c:pt idx="3">
                  <c:v>60</c:v>
                </c:pt>
                <c:pt idx="4">
                  <c:v>60</c:v>
                </c:pt>
                <c:pt idx="5">
                  <c:v>60</c:v>
                </c:pt>
                <c:pt idx="6">
                  <c:v>60</c:v>
                </c:pt>
                <c:pt idx="7">
                  <c:v>60</c:v>
                </c:pt>
                <c:pt idx="8">
                  <c:v>60</c:v>
                </c:pt>
                <c:pt idx="9">
                  <c:v>60</c:v>
                </c:pt>
                <c:pt idx="10">
                  <c:v>60</c:v>
                </c:pt>
                <c:pt idx="11">
                  <c:v>60</c:v>
                </c:pt>
                <c:pt idx="12">
                  <c:v>60</c:v>
                </c:pt>
                <c:pt idx="13">
                  <c:v>60</c:v>
                </c:pt>
                <c:pt idx="14">
                  <c:v>60</c:v>
                </c:pt>
                <c:pt idx="15">
                  <c:v>60</c:v>
                </c:pt>
                <c:pt idx="16">
                  <c:v>60</c:v>
                </c:pt>
                <c:pt idx="17">
                  <c:v>60</c:v>
                </c:pt>
                <c:pt idx="18">
                  <c:v>60</c:v>
                </c:pt>
                <c:pt idx="19">
                  <c:v>60</c:v>
                </c:pt>
                <c:pt idx="20">
                  <c:v>60</c:v>
                </c:pt>
                <c:pt idx="21">
                  <c:v>60</c:v>
                </c:pt>
                <c:pt idx="22">
                  <c:v>60</c:v>
                </c:pt>
                <c:pt idx="23">
                  <c:v>60</c:v>
                </c:pt>
                <c:pt idx="24">
                  <c:v>60</c:v>
                </c:pt>
                <c:pt idx="25">
                  <c:v>60</c:v>
                </c:pt>
                <c:pt idx="26">
                  <c:v>60</c:v>
                </c:pt>
                <c:pt idx="27">
                  <c:v>60</c:v>
                </c:pt>
                <c:pt idx="28">
                  <c:v>60</c:v>
                </c:pt>
                <c:pt idx="29">
                  <c:v>60</c:v>
                </c:pt>
                <c:pt idx="30">
                  <c:v>60</c:v>
                </c:pt>
              </c:numCache>
            </c:numRef>
          </c:val>
          <c:smooth val="0"/>
          <c:extLst>
            <c:ext xmlns:c16="http://schemas.microsoft.com/office/drawing/2014/chart" uri="{C3380CC4-5D6E-409C-BE32-E72D297353CC}">
              <c16:uniqueId val="{00000007-9472-46E1-A7D6-EF279B619BBC}"/>
            </c:ext>
          </c:extLst>
        </c:ser>
        <c:dLbls>
          <c:showLegendKey val="0"/>
          <c:showVal val="0"/>
          <c:showCatName val="0"/>
          <c:showSerName val="0"/>
          <c:showPercent val="0"/>
          <c:showBubbleSize val="0"/>
        </c:dLbls>
        <c:marker val="1"/>
        <c:smooth val="0"/>
        <c:axId val="320024976"/>
        <c:axId val="320024416"/>
      </c:lineChart>
      <c:dateAx>
        <c:axId val="260746240"/>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en-US"/>
          </a:p>
        </c:txPr>
        <c:crossAx val="320023856"/>
        <c:crosses val="autoZero"/>
        <c:auto val="1"/>
        <c:lblOffset val="0"/>
        <c:baseTimeUnit val="months"/>
      </c:dateAx>
      <c:valAx>
        <c:axId val="320023856"/>
        <c:scaling>
          <c:orientation val="minMax"/>
          <c:min val="6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260746240"/>
        <c:crosses val="autoZero"/>
        <c:crossBetween val="midCat"/>
        <c:majorUnit val="10"/>
      </c:valAx>
      <c:valAx>
        <c:axId val="320024416"/>
        <c:scaling>
          <c:orientation val="minMax"/>
          <c:max val="130"/>
          <c:min val="60"/>
        </c:scaling>
        <c:delete val="0"/>
        <c:axPos val="r"/>
        <c:numFmt formatCode="General" sourceLinked="1"/>
        <c:majorTickMark val="out"/>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20024976"/>
        <c:crosses val="max"/>
        <c:crossBetween val="midCat"/>
      </c:valAx>
      <c:catAx>
        <c:axId val="320024976"/>
        <c:scaling>
          <c:orientation val="minMax"/>
        </c:scaling>
        <c:delete val="0"/>
        <c:axPos val="t"/>
        <c:numFmt formatCode="General" sourceLinked="1"/>
        <c:majorTickMark val="none"/>
        <c:minorTickMark val="none"/>
        <c:tickLblPos val="none"/>
        <c:spPr>
          <a:noFill/>
          <a:ln w="9525" cap="flat" cmpd="sng" algn="ctr">
            <a:no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20024416"/>
        <c:crosses val="max"/>
        <c:auto val="1"/>
        <c:lblAlgn val="ctr"/>
        <c:lblOffset val="100"/>
        <c:noMultiLvlLbl val="0"/>
      </c:cat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en-US"/>
    </a:p>
  </c:txPr>
  <c:externalData r:id="rId4">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3.9500937320235463E-2"/>
          <c:w val="0.88461960155100949"/>
          <c:h val="0.86149917955534527"/>
        </c:manualLayout>
      </c:layout>
      <c:lineChart>
        <c:grouping val="standard"/>
        <c:varyColors val="0"/>
        <c:ser>
          <c:idx val="0"/>
          <c:order val="0"/>
          <c:tx>
            <c:strRef>
              <c:f>'BoP_izvoz usluga'!$G$2</c:f>
              <c:strCache>
                <c:ptCount val="1"/>
                <c:pt idx="0">
                  <c:v>Оригинални подаци</c:v>
                </c:pt>
              </c:strCache>
            </c:strRef>
          </c:tx>
          <c:spPr>
            <a:ln w="12700" cap="rnd">
              <a:solidFill>
                <a:srgbClr val="7F3F98"/>
              </a:solidFill>
              <a:prstDash val="sysDash"/>
              <a:round/>
            </a:ln>
            <a:effectLst/>
          </c:spPr>
          <c:marker>
            <c:symbol val="none"/>
          </c:marker>
          <c:cat>
            <c:numRef>
              <c:f>'BoP_izvoz usluga'!$A$66:$A$96</c:f>
              <c:numCache>
                <c:formatCode>yyyy</c:formatCode>
                <c:ptCount val="31"/>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numCache>
            </c:numRef>
          </c:cat>
          <c:val>
            <c:numRef>
              <c:f>'BoP_izvoz usluga'!$R$66:$R$96</c:f>
              <c:numCache>
                <c:formatCode>0.0</c:formatCode>
                <c:ptCount val="31"/>
                <c:pt idx="0">
                  <c:v>69.488849054750503</c:v>
                </c:pt>
                <c:pt idx="1">
                  <c:v>51.098296412878639</c:v>
                </c:pt>
                <c:pt idx="2">
                  <c:v>65.457866905626105</c:v>
                </c:pt>
                <c:pt idx="3">
                  <c:v>69.298160142212311</c:v>
                </c:pt>
                <c:pt idx="4">
                  <c:v>78.42615131496224</c:v>
                </c:pt>
                <c:pt idx="5">
                  <c:v>90.913911457667055</c:v>
                </c:pt>
                <c:pt idx="6">
                  <c:v>124.37227173161264</c:v>
                </c:pt>
                <c:pt idx="7">
                  <c:v>143.57963466131631</c:v>
                </c:pt>
                <c:pt idx="8">
                  <c:v>95.29759882890842</c:v>
                </c:pt>
                <c:pt idx="9">
                  <c:v>96.666612402610411</c:v>
                </c:pt>
                <c:pt idx="10">
                  <c:v>92.004684081599592</c:v>
                </c:pt>
                <c:pt idx="11">
                  <c:v>98.630575251094271</c:v>
                </c:pt>
                <c:pt idx="12">
                  <c:v>84.334294095439645</c:v>
                </c:pt>
                <c:pt idx="13">
                  <c:v>57.825250134646907</c:v>
                </c:pt>
                <c:pt idx="14">
                  <c:v>66.991483308245137</c:v>
                </c:pt>
                <c:pt idx="15">
                  <c:v>81.937129715460046</c:v>
                </c:pt>
                <c:pt idx="16">
                  <c:v>102.5472661420374</c:v>
                </c:pt>
                <c:pt idx="17">
                  <c:v>87.39575301247983</c:v>
                </c:pt>
                <c:pt idx="18">
                  <c:v>144.93338862582888</c:v>
                </c:pt>
                <c:pt idx="19">
                  <c:v>159.03005773632546</c:v>
                </c:pt>
                <c:pt idx="20">
                  <c:v>98.971288838314379</c:v>
                </c:pt>
                <c:pt idx="21">
                  <c:v>106.25846523891637</c:v>
                </c:pt>
                <c:pt idx="22">
                  <c:v>97.190869245320471</c:v>
                </c:pt>
                <c:pt idx="23">
                  <c:v>112.5847539069855</c:v>
                </c:pt>
                <c:pt idx="24">
                  <c:v>92.470229682333027</c:v>
                </c:pt>
                <c:pt idx="25">
                  <c:v>62.059458494624543</c:v>
                </c:pt>
                <c:pt idx="26">
                  <c:v>75.90710591517022</c:v>
                </c:pt>
                <c:pt idx="27">
                  <c:v>88.028079037456777</c:v>
                </c:pt>
                <c:pt idx="28">
                  <c:v>97.210440579840565</c:v>
                </c:pt>
                <c:pt idx="29">
                  <c:v>96.171664676001555</c:v>
                </c:pt>
                <c:pt idx="30">
                  <c:v>161.03585044795167</c:v>
                </c:pt>
              </c:numCache>
            </c:numRef>
          </c:val>
          <c:smooth val="0"/>
          <c:extLst>
            <c:ext xmlns:c16="http://schemas.microsoft.com/office/drawing/2014/chart" uri="{C3380CC4-5D6E-409C-BE32-E72D297353CC}">
              <c16:uniqueId val="{00000000-1ECD-4735-AFB2-E7DE63CBDD82}"/>
            </c:ext>
          </c:extLst>
        </c:ser>
        <c:ser>
          <c:idx val="2"/>
          <c:order val="1"/>
          <c:tx>
            <c:strRef>
              <c:f>'BoP_izvoz usluga'!$I$2</c:f>
              <c:strCache>
                <c:ptCount val="1"/>
                <c:pt idx="0">
                  <c:v>Тренд циклус</c:v>
                </c:pt>
              </c:strCache>
            </c:strRef>
          </c:tx>
          <c:spPr>
            <a:ln w="22225" cap="rnd">
              <a:solidFill>
                <a:srgbClr val="25AAE1"/>
              </a:solidFill>
              <a:round/>
            </a:ln>
            <a:effectLst/>
          </c:spPr>
          <c:marker>
            <c:symbol val="none"/>
          </c:marker>
          <c:cat>
            <c:numRef>
              <c:f>'BoP_izvoz usluga'!$A$66:$A$96</c:f>
              <c:numCache>
                <c:formatCode>yyyy</c:formatCode>
                <c:ptCount val="31"/>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numCache>
            </c:numRef>
          </c:cat>
          <c:val>
            <c:numRef>
              <c:f>'BoP_izvoz usluga'!$T$66:$T$96</c:f>
              <c:numCache>
                <c:formatCode>0.0</c:formatCode>
                <c:ptCount val="31"/>
                <c:pt idx="0">
                  <c:v>77.781779561118256</c:v>
                </c:pt>
                <c:pt idx="1">
                  <c:v>86.469954104750997</c:v>
                </c:pt>
                <c:pt idx="2">
                  <c:v>86.266475482542774</c:v>
                </c:pt>
                <c:pt idx="3">
                  <c:v>89.334850822266219</c:v>
                </c:pt>
                <c:pt idx="4">
                  <c:v>85.264559560335002</c:v>
                </c:pt>
                <c:pt idx="5">
                  <c:v>94.60221747955913</c:v>
                </c:pt>
                <c:pt idx="6">
                  <c:v>89.127362381110657</c:v>
                </c:pt>
                <c:pt idx="7">
                  <c:v>89.124735873529431</c:v>
                </c:pt>
                <c:pt idx="8">
                  <c:v>97.803088749079933</c:v>
                </c:pt>
                <c:pt idx="9">
                  <c:v>94.152722273760389</c:v>
                </c:pt>
                <c:pt idx="10">
                  <c:v>91.375784676211438</c:v>
                </c:pt>
                <c:pt idx="11">
                  <c:v>92.613511598164493</c:v>
                </c:pt>
                <c:pt idx="12">
                  <c:v>96.688483047053253</c:v>
                </c:pt>
                <c:pt idx="13">
                  <c:v>96.312910811350719</c:v>
                </c:pt>
                <c:pt idx="14">
                  <c:v>91.161816142933944</c:v>
                </c:pt>
                <c:pt idx="15">
                  <c:v>100.96976300275193</c:v>
                </c:pt>
                <c:pt idx="16">
                  <c:v>108.67000496492227</c:v>
                </c:pt>
                <c:pt idx="17">
                  <c:v>96.963065772442903</c:v>
                </c:pt>
                <c:pt idx="18">
                  <c:v>99.071844781778253</c:v>
                </c:pt>
                <c:pt idx="19">
                  <c:v>102.56779764595102</c:v>
                </c:pt>
                <c:pt idx="20">
                  <c:v>100.74364703968818</c:v>
                </c:pt>
                <c:pt idx="21">
                  <c:v>100.90095003251835</c:v>
                </c:pt>
                <c:pt idx="22">
                  <c:v>100.59441467431502</c:v>
                </c:pt>
                <c:pt idx="23">
                  <c:v>102.46868240602505</c:v>
                </c:pt>
                <c:pt idx="24">
                  <c:v>105.64136596089809</c:v>
                </c:pt>
                <c:pt idx="25">
                  <c:v>97.528674377710431</c:v>
                </c:pt>
                <c:pt idx="26">
                  <c:v>107.92827104576834</c:v>
                </c:pt>
                <c:pt idx="27">
                  <c:v>104.18204904466742</c:v>
                </c:pt>
                <c:pt idx="28">
                  <c:v>107.79744093169242</c:v>
                </c:pt>
                <c:pt idx="29">
                  <c:v>107.08462786497459</c:v>
                </c:pt>
                <c:pt idx="30">
                  <c:v>108.64102382671096</c:v>
                </c:pt>
              </c:numCache>
            </c:numRef>
          </c:val>
          <c:smooth val="0"/>
          <c:extLst>
            <c:ext xmlns:c16="http://schemas.microsoft.com/office/drawing/2014/chart" uri="{C3380CC4-5D6E-409C-BE32-E72D297353CC}">
              <c16:uniqueId val="{00000001-1ECD-4735-AFB2-E7DE63CBDD82}"/>
            </c:ext>
          </c:extLst>
        </c:ser>
        <c:ser>
          <c:idx val="1"/>
          <c:order val="2"/>
          <c:tx>
            <c:strRef>
              <c:f>'BoP_izvoz usluga'!$H$2</c:f>
              <c:strCache>
                <c:ptCount val="1"/>
                <c:pt idx="0">
                  <c:v>Десезонирани подаци</c:v>
                </c:pt>
              </c:strCache>
            </c:strRef>
          </c:tx>
          <c:spPr>
            <a:ln w="25400" cap="rnd">
              <a:solidFill>
                <a:srgbClr val="FF0000"/>
              </a:solidFill>
              <a:round/>
            </a:ln>
            <a:effectLst/>
          </c:spPr>
          <c:marker>
            <c:symbol val="none"/>
          </c:marker>
          <c:cat>
            <c:numRef>
              <c:f>'BoP_izvoz usluga'!$A$66:$A$96</c:f>
              <c:numCache>
                <c:formatCode>yyyy</c:formatCode>
                <c:ptCount val="31"/>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numCache>
            </c:numRef>
          </c:cat>
          <c:val>
            <c:numRef>
              <c:f>'BoP_izvoz usluga'!$S$66:$S$96</c:f>
              <c:numCache>
                <c:formatCode>0.0</c:formatCode>
                <c:ptCount val="31"/>
                <c:pt idx="0">
                  <c:v>84.417077201080531</c:v>
                </c:pt>
                <c:pt idx="1">
                  <c:v>85.363483710819878</c:v>
                </c:pt>
                <c:pt idx="2">
                  <c:v>86.452036950497913</c:v>
                </c:pt>
                <c:pt idx="3">
                  <c:v>87.639166141240594</c:v>
                </c:pt>
                <c:pt idx="4">
                  <c:v>88.860311689819028</c:v>
                </c:pt>
                <c:pt idx="5">
                  <c:v>89.929046948753708</c:v>
                </c:pt>
                <c:pt idx="6">
                  <c:v>90.780141971655809</c:v>
                </c:pt>
                <c:pt idx="7">
                  <c:v>91.535947819427079</c:v>
                </c:pt>
                <c:pt idx="8">
                  <c:v>92.217350050431492</c:v>
                </c:pt>
                <c:pt idx="9">
                  <c:v>92.771541297955906</c:v>
                </c:pt>
                <c:pt idx="10">
                  <c:v>93.341176610388246</c:v>
                </c:pt>
                <c:pt idx="11">
                  <c:v>94.153110008631018</c:v>
                </c:pt>
                <c:pt idx="12">
                  <c:v>95.278009966915121</c:v>
                </c:pt>
                <c:pt idx="13">
                  <c:v>96.398835927924267</c:v>
                </c:pt>
                <c:pt idx="14">
                  <c:v>97.52658690995267</c:v>
                </c:pt>
                <c:pt idx="15">
                  <c:v>98.511033265618593</c:v>
                </c:pt>
                <c:pt idx="16">
                  <c:v>99.186568318991789</c:v>
                </c:pt>
                <c:pt idx="17">
                  <c:v>99.629443189270958</c:v>
                </c:pt>
                <c:pt idx="18">
                  <c:v>99.948492679039859</c:v>
                </c:pt>
                <c:pt idx="19">
                  <c:v>100.29493436428996</c:v>
                </c:pt>
                <c:pt idx="20">
                  <c:v>100.65574630273544</c:v>
                </c:pt>
                <c:pt idx="21">
                  <c:v>101.22368856866305</c:v>
                </c:pt>
                <c:pt idx="22">
                  <c:v>101.96194166264839</c:v>
                </c:pt>
                <c:pt idx="23">
                  <c:v>102.75939200789018</c:v>
                </c:pt>
                <c:pt idx="24">
                  <c:v>103.63465926706502</c:v>
                </c:pt>
                <c:pt idx="25">
                  <c:v>104.57748338353669</c:v>
                </c:pt>
                <c:pt idx="26">
                  <c:v>105.45700995161201</c:v>
                </c:pt>
                <c:pt idx="27">
                  <c:v>106.23289507795901</c:v>
                </c:pt>
                <c:pt idx="28">
                  <c:v>106.97924570877238</c:v>
                </c:pt>
                <c:pt idx="29">
                  <c:v>107.71557990193894</c:v>
                </c:pt>
                <c:pt idx="30">
                  <c:v>108.57847085736459</c:v>
                </c:pt>
              </c:numCache>
            </c:numRef>
          </c:val>
          <c:smooth val="0"/>
          <c:extLst>
            <c:ext xmlns:c16="http://schemas.microsoft.com/office/drawing/2014/chart" uri="{C3380CC4-5D6E-409C-BE32-E72D297353CC}">
              <c16:uniqueId val="{00000002-1ECD-4735-AFB2-E7DE63CBDD82}"/>
            </c:ext>
          </c:extLst>
        </c:ser>
        <c:ser>
          <c:idx val="3"/>
          <c:order val="3"/>
          <c:spPr>
            <a:ln w="28575" cap="rnd">
              <a:noFill/>
              <a:round/>
            </a:ln>
            <a:effectLst/>
          </c:spPr>
          <c:marker>
            <c:symbol val="square"/>
            <c:size val="2"/>
            <c:spPr>
              <a:solidFill>
                <a:sysClr val="window" lastClr="FFFFFF"/>
              </a:solidFill>
              <a:ln w="9525">
                <a:noFill/>
              </a:ln>
              <a:effectLst/>
            </c:spPr>
          </c:marker>
          <c:dLbls>
            <c:dLbl>
              <c:idx val="0"/>
              <c:layout>
                <c:manualLayout>
                  <c:x val="0.12648373983739838"/>
                  <c:y val="4.3155747540196646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1ECD-4735-AFB2-E7DE63CBDD82}"/>
                </c:ext>
              </c:extLst>
            </c:dLbl>
            <c:dLbl>
              <c:idx val="12"/>
              <c:layout>
                <c:manualLayout>
                  <c:x val="0.12218157181571808"/>
                  <c:y val="4.3155747540196646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1ECD-4735-AFB2-E7DE63CBDD82}"/>
                </c:ext>
              </c:extLst>
            </c:dLbl>
            <c:dLbl>
              <c:idx val="24"/>
              <c:layout>
                <c:manualLayout>
                  <c:x val="3.249932249322493E-2"/>
                  <c:y val="4.3155747540196646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1ECD-4735-AFB2-E7DE63CBDD82}"/>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'BoP_izvoz usluga'!$A$66:$A$96</c:f>
              <c:numCache>
                <c:formatCode>yyyy</c:formatCode>
                <c:ptCount val="31"/>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numCache>
            </c:numRef>
          </c:cat>
          <c:val>
            <c:numRef>
              <c:f>'BoP_izvoz usluga'!$O$66:$O$96</c:f>
              <c:numCache>
                <c:formatCode>General</c:formatCode>
                <c:ptCount val="31"/>
                <c:pt idx="0">
                  <c:v>40</c:v>
                </c:pt>
                <c:pt idx="12">
                  <c:v>40</c:v>
                </c:pt>
                <c:pt idx="24">
                  <c:v>40</c:v>
                </c:pt>
              </c:numCache>
            </c:numRef>
          </c:val>
          <c:smooth val="0"/>
          <c:extLst>
            <c:ext xmlns:c16="http://schemas.microsoft.com/office/drawing/2014/chart" uri="{C3380CC4-5D6E-409C-BE32-E72D297353CC}">
              <c16:uniqueId val="{00000006-1ECD-4735-AFB2-E7DE63CBDD82}"/>
            </c:ext>
          </c:extLst>
        </c:ser>
        <c:dLbls>
          <c:showLegendKey val="0"/>
          <c:showVal val="0"/>
          <c:showCatName val="0"/>
          <c:showSerName val="0"/>
          <c:showPercent val="0"/>
          <c:showBubbleSize val="0"/>
        </c:dLbls>
        <c:marker val="1"/>
        <c:smooth val="0"/>
        <c:axId val="320029456"/>
        <c:axId val="320030016"/>
      </c:lineChart>
      <c:lineChart>
        <c:grouping val="standard"/>
        <c:varyColors val="0"/>
        <c:ser>
          <c:idx val="4"/>
          <c:order val="4"/>
          <c:spPr>
            <a:ln w="28575" cap="rnd">
              <a:no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en-US"/>
              </a:p>
            </c:txPr>
            <c:dLblPos val="t"/>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strRef>
              <c:f>'BoP_izvoz usluga'!$E$66:$E$96</c:f>
              <c:strCache>
                <c:ptCount val="31"/>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pt idx="21">
                  <c:v>X</c:v>
                </c:pt>
                <c:pt idx="22">
                  <c:v>XI</c:v>
                </c:pt>
                <c:pt idx="23">
                  <c:v>XII</c:v>
                </c:pt>
                <c:pt idx="24">
                  <c:v>I</c:v>
                </c:pt>
                <c:pt idx="25">
                  <c:v>II</c:v>
                </c:pt>
                <c:pt idx="26">
                  <c:v>III</c:v>
                </c:pt>
                <c:pt idx="27">
                  <c:v>IV</c:v>
                </c:pt>
                <c:pt idx="28">
                  <c:v>V</c:v>
                </c:pt>
                <c:pt idx="29">
                  <c:v>VI</c:v>
                </c:pt>
                <c:pt idx="30">
                  <c:v>VII</c:v>
                </c:pt>
              </c:strCache>
            </c:strRef>
          </c:cat>
          <c:val>
            <c:numRef>
              <c:f>'BoP_izvoz usluga'!$P$66:$P$96</c:f>
              <c:numCache>
                <c:formatCode>General</c:formatCode>
                <c:ptCount val="31"/>
                <c:pt idx="0">
                  <c:v>40</c:v>
                </c:pt>
                <c:pt idx="1">
                  <c:v>40</c:v>
                </c:pt>
                <c:pt idx="2">
                  <c:v>40</c:v>
                </c:pt>
                <c:pt idx="3">
                  <c:v>40</c:v>
                </c:pt>
                <c:pt idx="4">
                  <c:v>40</c:v>
                </c:pt>
                <c:pt idx="5">
                  <c:v>40</c:v>
                </c:pt>
                <c:pt idx="6">
                  <c:v>40</c:v>
                </c:pt>
                <c:pt idx="7">
                  <c:v>40</c:v>
                </c:pt>
                <c:pt idx="8">
                  <c:v>40</c:v>
                </c:pt>
                <c:pt idx="9">
                  <c:v>40</c:v>
                </c:pt>
                <c:pt idx="10">
                  <c:v>40</c:v>
                </c:pt>
                <c:pt idx="11">
                  <c:v>40</c:v>
                </c:pt>
                <c:pt idx="12">
                  <c:v>40</c:v>
                </c:pt>
                <c:pt idx="13">
                  <c:v>40</c:v>
                </c:pt>
                <c:pt idx="14">
                  <c:v>40</c:v>
                </c:pt>
                <c:pt idx="15">
                  <c:v>40</c:v>
                </c:pt>
                <c:pt idx="16">
                  <c:v>40</c:v>
                </c:pt>
                <c:pt idx="17">
                  <c:v>40</c:v>
                </c:pt>
                <c:pt idx="18">
                  <c:v>40</c:v>
                </c:pt>
                <c:pt idx="19">
                  <c:v>40</c:v>
                </c:pt>
                <c:pt idx="20">
                  <c:v>40</c:v>
                </c:pt>
                <c:pt idx="21">
                  <c:v>40</c:v>
                </c:pt>
                <c:pt idx="22">
                  <c:v>40</c:v>
                </c:pt>
                <c:pt idx="23">
                  <c:v>40</c:v>
                </c:pt>
                <c:pt idx="24">
                  <c:v>40</c:v>
                </c:pt>
                <c:pt idx="25">
                  <c:v>40</c:v>
                </c:pt>
                <c:pt idx="26">
                  <c:v>40</c:v>
                </c:pt>
                <c:pt idx="27">
                  <c:v>40</c:v>
                </c:pt>
                <c:pt idx="28">
                  <c:v>40</c:v>
                </c:pt>
                <c:pt idx="29">
                  <c:v>40</c:v>
                </c:pt>
                <c:pt idx="30">
                  <c:v>40</c:v>
                </c:pt>
              </c:numCache>
            </c:numRef>
          </c:val>
          <c:smooth val="0"/>
          <c:extLst>
            <c:ext xmlns:c16="http://schemas.microsoft.com/office/drawing/2014/chart" uri="{C3380CC4-5D6E-409C-BE32-E72D297353CC}">
              <c16:uniqueId val="{00000007-1ECD-4735-AFB2-E7DE63CBDD82}"/>
            </c:ext>
          </c:extLst>
        </c:ser>
        <c:dLbls>
          <c:showLegendKey val="0"/>
          <c:showVal val="0"/>
          <c:showCatName val="0"/>
          <c:showSerName val="0"/>
          <c:showPercent val="0"/>
          <c:showBubbleSize val="0"/>
        </c:dLbls>
        <c:marker val="1"/>
        <c:smooth val="0"/>
        <c:axId val="320031136"/>
        <c:axId val="320030576"/>
      </c:lineChart>
      <c:dateAx>
        <c:axId val="3200294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en-US"/>
          </a:p>
        </c:txPr>
        <c:crossAx val="320030016"/>
        <c:crosses val="autoZero"/>
        <c:auto val="1"/>
        <c:lblOffset val="0"/>
        <c:baseTimeUnit val="months"/>
      </c:dateAx>
      <c:valAx>
        <c:axId val="320030016"/>
        <c:scaling>
          <c:orientation val="minMax"/>
          <c:max val="170"/>
          <c:min val="4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20029456"/>
        <c:crosses val="autoZero"/>
        <c:crossBetween val="midCat"/>
      </c:valAx>
      <c:valAx>
        <c:axId val="320030576"/>
        <c:scaling>
          <c:orientation val="minMax"/>
          <c:max val="170"/>
          <c:min val="40"/>
        </c:scaling>
        <c:delete val="0"/>
        <c:axPos val="r"/>
        <c:numFmt formatCode="General" sourceLinked="1"/>
        <c:majorTickMark val="out"/>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20031136"/>
        <c:crosses val="max"/>
        <c:crossBetween val="midCat"/>
      </c:valAx>
      <c:catAx>
        <c:axId val="320031136"/>
        <c:scaling>
          <c:orientation val="minMax"/>
        </c:scaling>
        <c:delete val="0"/>
        <c:axPos val="t"/>
        <c:numFmt formatCode="General" sourceLinked="1"/>
        <c:majorTickMark val="none"/>
        <c:minorTickMark val="none"/>
        <c:tickLblPos val="none"/>
        <c:spPr>
          <a:noFill/>
          <a:ln w="9525" cap="flat" cmpd="sng" algn="ctr">
            <a:no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320030576"/>
        <c:crosses val="max"/>
        <c:auto val="1"/>
        <c:lblAlgn val="ctr"/>
        <c:lblOffset val="100"/>
        <c:noMultiLvlLbl val="0"/>
      </c:cat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en-US"/>
    </a:p>
  </c:txPr>
  <c:externalData r:id="rId4">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3.9500937320235463E-2"/>
          <c:w val="0.88461960155100949"/>
          <c:h val="0.83288687626493041"/>
        </c:manualLayout>
      </c:layout>
      <c:lineChart>
        <c:grouping val="standard"/>
        <c:varyColors val="0"/>
        <c:ser>
          <c:idx val="0"/>
          <c:order val="0"/>
          <c:tx>
            <c:strRef>
              <c:f>'BoP_izvoz usluga'!$G$2</c:f>
              <c:strCache>
                <c:ptCount val="1"/>
                <c:pt idx="0">
                  <c:v>Оригинални подаци</c:v>
                </c:pt>
              </c:strCache>
            </c:strRef>
          </c:tx>
          <c:spPr>
            <a:ln w="12700" cap="rnd">
              <a:solidFill>
                <a:srgbClr val="7F3F98"/>
              </a:solidFill>
              <a:prstDash val="sysDash"/>
              <a:round/>
            </a:ln>
            <a:effectLst/>
          </c:spPr>
          <c:marker>
            <c:symbol val="none"/>
          </c:marker>
          <c:cat>
            <c:numRef>
              <c:f>'BoP_izvoz usluga'!$A$66:$A$96</c:f>
              <c:numCache>
                <c:formatCode>yyyy</c:formatCode>
                <c:ptCount val="31"/>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numCache>
            </c:numRef>
          </c:cat>
          <c:val>
            <c:numRef>
              <c:f>'BoP_izvoz usluga'!$AC$66:$AC$96</c:f>
              <c:numCache>
                <c:formatCode>0.0</c:formatCode>
                <c:ptCount val="31"/>
                <c:pt idx="0">
                  <c:v>62.711417367643676</c:v>
                </c:pt>
                <c:pt idx="1">
                  <c:v>68.624978751219174</c:v>
                </c:pt>
                <c:pt idx="2">
                  <c:v>75.892625262396081</c:v>
                </c:pt>
                <c:pt idx="3">
                  <c:v>68.096443279665777</c:v>
                </c:pt>
                <c:pt idx="4">
                  <c:v>76.373613428929019</c:v>
                </c:pt>
                <c:pt idx="5">
                  <c:v>80.691550791760463</c:v>
                </c:pt>
                <c:pt idx="6">
                  <c:v>88.076295573646931</c:v>
                </c:pt>
                <c:pt idx="7">
                  <c:v>75.784931602594412</c:v>
                </c:pt>
                <c:pt idx="8">
                  <c:v>72.415572175666654</c:v>
                </c:pt>
                <c:pt idx="9">
                  <c:v>96.913163273809204</c:v>
                </c:pt>
                <c:pt idx="10">
                  <c:v>79.351990688496954</c:v>
                </c:pt>
                <c:pt idx="11">
                  <c:v>105.81040503382741</c:v>
                </c:pt>
                <c:pt idx="12">
                  <c:v>83.986433039317646</c:v>
                </c:pt>
                <c:pt idx="13">
                  <c:v>78.882984652787471</c:v>
                </c:pt>
                <c:pt idx="14">
                  <c:v>103.69276917029704</c:v>
                </c:pt>
                <c:pt idx="15">
                  <c:v>98.042235407663199</c:v>
                </c:pt>
                <c:pt idx="16">
                  <c:v>93.144918684694815</c:v>
                </c:pt>
                <c:pt idx="17">
                  <c:v>88.141234141956431</c:v>
                </c:pt>
                <c:pt idx="18">
                  <c:v>107.58803625914466</c:v>
                </c:pt>
                <c:pt idx="19">
                  <c:v>110.33203357582096</c:v>
                </c:pt>
                <c:pt idx="20">
                  <c:v>93.70896958011221</c:v>
                </c:pt>
                <c:pt idx="21">
                  <c:v>112.68978100347493</c:v>
                </c:pt>
                <c:pt idx="22">
                  <c:v>106.70929103826549</c:v>
                </c:pt>
                <c:pt idx="23">
                  <c:v>123.08131344646505</c:v>
                </c:pt>
                <c:pt idx="24">
                  <c:v>104.49967476209758</c:v>
                </c:pt>
                <c:pt idx="25">
                  <c:v>114.9459287429339</c:v>
                </c:pt>
                <c:pt idx="26">
                  <c:v>124.26910476472376</c:v>
                </c:pt>
                <c:pt idx="27">
                  <c:v>129.5687143573258</c:v>
                </c:pt>
                <c:pt idx="28">
                  <c:v>120.56551512260016</c:v>
                </c:pt>
                <c:pt idx="29">
                  <c:v>119.98445903663186</c:v>
                </c:pt>
                <c:pt idx="30">
                  <c:v>134.30548483048113</c:v>
                </c:pt>
              </c:numCache>
            </c:numRef>
          </c:val>
          <c:smooth val="0"/>
          <c:extLst>
            <c:ext xmlns:c16="http://schemas.microsoft.com/office/drawing/2014/chart" uri="{C3380CC4-5D6E-409C-BE32-E72D297353CC}">
              <c16:uniqueId val="{00000000-3F1A-4C10-965D-4565C720E6F4}"/>
            </c:ext>
          </c:extLst>
        </c:ser>
        <c:ser>
          <c:idx val="2"/>
          <c:order val="1"/>
          <c:tx>
            <c:strRef>
              <c:f>'BoP_izvoz usluga'!$I$2</c:f>
              <c:strCache>
                <c:ptCount val="1"/>
                <c:pt idx="0">
                  <c:v>Тренд циклус</c:v>
                </c:pt>
              </c:strCache>
            </c:strRef>
          </c:tx>
          <c:spPr>
            <a:ln w="22225" cap="rnd">
              <a:solidFill>
                <a:srgbClr val="25AAE1"/>
              </a:solidFill>
              <a:round/>
            </a:ln>
            <a:effectLst/>
          </c:spPr>
          <c:marker>
            <c:symbol val="none"/>
          </c:marker>
          <c:cat>
            <c:numRef>
              <c:f>'BoP_izvoz usluga'!$A$66:$A$96</c:f>
              <c:numCache>
                <c:formatCode>yyyy</c:formatCode>
                <c:ptCount val="31"/>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numCache>
            </c:numRef>
          </c:cat>
          <c:val>
            <c:numRef>
              <c:f>'BoP_izvoz usluga'!$AE$66:$AE$96</c:f>
              <c:numCache>
                <c:formatCode>0.0</c:formatCode>
                <c:ptCount val="31"/>
                <c:pt idx="0">
                  <c:v>67.351839829471217</c:v>
                </c:pt>
                <c:pt idx="1">
                  <c:v>72.606065769364477</c:v>
                </c:pt>
                <c:pt idx="2">
                  <c:v>70.780597277392232</c:v>
                </c:pt>
                <c:pt idx="3">
                  <c:v>68.294476886248148</c:v>
                </c:pt>
                <c:pt idx="4">
                  <c:v>84.298782253851812</c:v>
                </c:pt>
                <c:pt idx="5">
                  <c:v>77.245915825957596</c:v>
                </c:pt>
                <c:pt idx="6">
                  <c:v>89.997590451628795</c:v>
                </c:pt>
                <c:pt idx="7">
                  <c:v>76.736888988326669</c:v>
                </c:pt>
                <c:pt idx="8">
                  <c:v>74.535618259801808</c:v>
                </c:pt>
                <c:pt idx="9">
                  <c:v>88.89415218941582</c:v>
                </c:pt>
                <c:pt idx="10">
                  <c:v>83.502430372566508</c:v>
                </c:pt>
                <c:pt idx="11">
                  <c:v>92.223999058593023</c:v>
                </c:pt>
                <c:pt idx="12">
                  <c:v>95.056589462042723</c:v>
                </c:pt>
                <c:pt idx="13">
                  <c:v>88.253679588848343</c:v>
                </c:pt>
                <c:pt idx="14">
                  <c:v>96.487187829509267</c:v>
                </c:pt>
                <c:pt idx="15">
                  <c:v>96.35880020113197</c:v>
                </c:pt>
                <c:pt idx="16">
                  <c:v>95.963763608220731</c:v>
                </c:pt>
                <c:pt idx="17">
                  <c:v>90.596164944472051</c:v>
                </c:pt>
                <c:pt idx="18">
                  <c:v>104.51123422374643</c:v>
                </c:pt>
                <c:pt idx="19">
                  <c:v>111.62606351820912</c:v>
                </c:pt>
                <c:pt idx="20">
                  <c:v>101.15905002901322</c:v>
                </c:pt>
                <c:pt idx="21">
                  <c:v>104.48346191009773</c:v>
                </c:pt>
                <c:pt idx="22">
                  <c:v>105.12154715782192</c:v>
                </c:pt>
                <c:pt idx="23">
                  <c:v>108.55697562160211</c:v>
                </c:pt>
                <c:pt idx="24">
                  <c:v>109.78136742955215</c:v>
                </c:pt>
                <c:pt idx="25">
                  <c:v>120.07923764433555</c:v>
                </c:pt>
                <c:pt idx="26">
                  <c:v>122.09914171425308</c:v>
                </c:pt>
                <c:pt idx="27">
                  <c:v>123.04959585798007</c:v>
                </c:pt>
                <c:pt idx="28">
                  <c:v>125.61282783321045</c:v>
                </c:pt>
                <c:pt idx="29">
                  <c:v>129.53262166432947</c:v>
                </c:pt>
                <c:pt idx="30">
                  <c:v>132.12436738084105</c:v>
                </c:pt>
              </c:numCache>
            </c:numRef>
          </c:val>
          <c:smooth val="0"/>
          <c:extLst>
            <c:ext xmlns:c16="http://schemas.microsoft.com/office/drawing/2014/chart" uri="{C3380CC4-5D6E-409C-BE32-E72D297353CC}">
              <c16:uniqueId val="{00000001-3F1A-4C10-965D-4565C720E6F4}"/>
            </c:ext>
          </c:extLst>
        </c:ser>
        <c:ser>
          <c:idx val="1"/>
          <c:order val="2"/>
          <c:tx>
            <c:strRef>
              <c:f>'BoP_izvoz usluga'!$H$2</c:f>
              <c:strCache>
                <c:ptCount val="1"/>
                <c:pt idx="0">
                  <c:v>Десезонирани подаци</c:v>
                </c:pt>
              </c:strCache>
            </c:strRef>
          </c:tx>
          <c:spPr>
            <a:ln w="25400" cap="rnd">
              <a:solidFill>
                <a:srgbClr val="FF0000"/>
              </a:solidFill>
              <a:round/>
            </a:ln>
            <a:effectLst/>
          </c:spPr>
          <c:marker>
            <c:symbol val="none"/>
          </c:marker>
          <c:cat>
            <c:numRef>
              <c:f>'BoP_izvoz usluga'!$A$66:$A$96</c:f>
              <c:numCache>
                <c:formatCode>yyyy</c:formatCode>
                <c:ptCount val="31"/>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numCache>
            </c:numRef>
          </c:cat>
          <c:val>
            <c:numRef>
              <c:f>'BoP_izvoz usluga'!$AD$66:$AD$96</c:f>
              <c:numCache>
                <c:formatCode>0.0</c:formatCode>
                <c:ptCount val="31"/>
                <c:pt idx="0">
                  <c:v>69.084123993435497</c:v>
                </c:pt>
                <c:pt idx="1">
                  <c:v>70.591672783758497</c:v>
                </c:pt>
                <c:pt idx="2">
                  <c:v>72.522230956963099</c:v>
                </c:pt>
                <c:pt idx="3">
                  <c:v>74.352541803882872</c:v>
                </c:pt>
                <c:pt idx="4">
                  <c:v>75.981983189413796</c:v>
                </c:pt>
                <c:pt idx="5">
                  <c:v>77.335550411684906</c:v>
                </c:pt>
                <c:pt idx="6">
                  <c:v>78.490631897974808</c:v>
                </c:pt>
                <c:pt idx="7">
                  <c:v>79.998227934218264</c:v>
                </c:pt>
                <c:pt idx="8">
                  <c:v>81.996757049171023</c:v>
                </c:pt>
                <c:pt idx="9">
                  <c:v>84.397399607499466</c:v>
                </c:pt>
                <c:pt idx="10">
                  <c:v>87.101029285343543</c:v>
                </c:pt>
                <c:pt idx="11">
                  <c:v>89.846323731566301</c:v>
                </c:pt>
                <c:pt idx="12">
                  <c:v>91.915572713209585</c:v>
                </c:pt>
                <c:pt idx="13">
                  <c:v>93.243879881921742</c:v>
                </c:pt>
                <c:pt idx="14">
                  <c:v>94.095333967302068</c:v>
                </c:pt>
                <c:pt idx="15">
                  <c:v>94.918479486237601</c:v>
                </c:pt>
                <c:pt idx="16">
                  <c:v>95.942777675785749</c:v>
                </c:pt>
                <c:pt idx="17">
                  <c:v>97.17414187153598</c:v>
                </c:pt>
                <c:pt idx="18">
                  <c:v>98.752823286080925</c:v>
                </c:pt>
                <c:pt idx="19">
                  <c:v>100.29156965737805</c:v>
                </c:pt>
                <c:pt idx="20">
                  <c:v>101.84454528450331</c:v>
                </c:pt>
                <c:pt idx="21">
                  <c:v>103.78114590117852</c:v>
                </c:pt>
                <c:pt idx="22">
                  <c:v>106.17198180223403</c:v>
                </c:pt>
                <c:pt idx="23">
                  <c:v>109.16224064331657</c:v>
                </c:pt>
                <c:pt idx="24">
                  <c:v>112.76075948084399</c:v>
                </c:pt>
                <c:pt idx="25">
                  <c:v>116.68006326149485</c:v>
                </c:pt>
                <c:pt idx="26">
                  <c:v>120.33556407471774</c:v>
                </c:pt>
                <c:pt idx="27">
                  <c:v>123.76003893053684</c:v>
                </c:pt>
                <c:pt idx="28">
                  <c:v>126.79713139413423</c:v>
                </c:pt>
                <c:pt idx="29">
                  <c:v>129.64885241938484</c:v>
                </c:pt>
                <c:pt idx="30">
                  <c:v>132.56947277515181</c:v>
                </c:pt>
              </c:numCache>
            </c:numRef>
          </c:val>
          <c:smooth val="0"/>
          <c:extLst>
            <c:ext xmlns:c16="http://schemas.microsoft.com/office/drawing/2014/chart" uri="{C3380CC4-5D6E-409C-BE32-E72D297353CC}">
              <c16:uniqueId val="{00000002-3F1A-4C10-965D-4565C720E6F4}"/>
            </c:ext>
          </c:extLst>
        </c:ser>
        <c:ser>
          <c:idx val="3"/>
          <c:order val="3"/>
          <c:spPr>
            <a:ln w="28575" cap="rnd">
              <a:noFill/>
              <a:round/>
            </a:ln>
            <a:effectLst/>
          </c:spPr>
          <c:marker>
            <c:symbol val="square"/>
            <c:size val="2"/>
            <c:spPr>
              <a:solidFill>
                <a:sysClr val="window" lastClr="FFFFFF"/>
              </a:solidFill>
              <a:ln w="9525">
                <a:noFill/>
              </a:ln>
              <a:effectLst/>
            </c:spPr>
          </c:marker>
          <c:dLbls>
            <c:dLbl>
              <c:idx val="0"/>
              <c:layout>
                <c:manualLayout>
                  <c:x val="0.11787940379403794"/>
                  <c:y val="4.3155747540196646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3F1A-4C10-965D-4565C720E6F4}"/>
                </c:ext>
              </c:extLst>
            </c:dLbl>
            <c:dLbl>
              <c:idx val="12"/>
              <c:layout>
                <c:manualLayout>
                  <c:x val="0.12218157181571808"/>
                  <c:y val="4.3155747540196646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3F1A-4C10-965D-4565C720E6F4}"/>
                </c:ext>
              </c:extLst>
            </c:dLbl>
            <c:dLbl>
              <c:idx val="24"/>
              <c:layout>
                <c:manualLayout>
                  <c:x val="2.8197154471544559E-2"/>
                  <c:y val="4.3155747540196646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3F1A-4C10-965D-4565C720E6F4}"/>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'BoP_izvoz usluga'!$A$66:$A$96</c:f>
              <c:numCache>
                <c:formatCode>yyyy</c:formatCode>
                <c:ptCount val="31"/>
                <c:pt idx="0">
                  <c:v>42736</c:v>
                </c:pt>
                <c:pt idx="1">
                  <c:v>42767</c:v>
                </c:pt>
                <c:pt idx="2">
                  <c:v>42795</c:v>
                </c:pt>
                <c:pt idx="3">
                  <c:v>42826</c:v>
                </c:pt>
                <c:pt idx="4">
                  <c:v>42856</c:v>
                </c:pt>
                <c:pt idx="5">
                  <c:v>42887</c:v>
                </c:pt>
                <c:pt idx="6">
                  <c:v>42917</c:v>
                </c:pt>
                <c:pt idx="7">
                  <c:v>42948</c:v>
                </c:pt>
                <c:pt idx="8">
                  <c:v>42979</c:v>
                </c:pt>
                <c:pt idx="9">
                  <c:v>43009</c:v>
                </c:pt>
                <c:pt idx="10">
                  <c:v>43040</c:v>
                </c:pt>
                <c:pt idx="11">
                  <c:v>43070</c:v>
                </c:pt>
                <c:pt idx="12">
                  <c:v>43101</c:v>
                </c:pt>
                <c:pt idx="13">
                  <c:v>43132</c:v>
                </c:pt>
                <c:pt idx="14">
                  <c:v>43160</c:v>
                </c:pt>
                <c:pt idx="15">
                  <c:v>43191</c:v>
                </c:pt>
                <c:pt idx="16">
                  <c:v>43221</c:v>
                </c:pt>
                <c:pt idx="17">
                  <c:v>43252</c:v>
                </c:pt>
                <c:pt idx="18">
                  <c:v>43282</c:v>
                </c:pt>
                <c:pt idx="19">
                  <c:v>43313</c:v>
                </c:pt>
                <c:pt idx="20">
                  <c:v>43344</c:v>
                </c:pt>
                <c:pt idx="21">
                  <c:v>43374</c:v>
                </c:pt>
                <c:pt idx="22">
                  <c:v>43405</c:v>
                </c:pt>
                <c:pt idx="23">
                  <c:v>43435</c:v>
                </c:pt>
                <c:pt idx="24">
                  <c:v>43466</c:v>
                </c:pt>
                <c:pt idx="25">
                  <c:v>43497</c:v>
                </c:pt>
                <c:pt idx="26">
                  <c:v>43525</c:v>
                </c:pt>
                <c:pt idx="27">
                  <c:v>43556</c:v>
                </c:pt>
                <c:pt idx="28">
                  <c:v>43586</c:v>
                </c:pt>
                <c:pt idx="29">
                  <c:v>43617</c:v>
                </c:pt>
                <c:pt idx="30">
                  <c:v>43647</c:v>
                </c:pt>
              </c:numCache>
            </c:numRef>
          </c:cat>
          <c:val>
            <c:numRef>
              <c:f>'BoP_izvoz usluga'!$Z$66:$Z$96</c:f>
              <c:numCache>
                <c:formatCode>General</c:formatCode>
                <c:ptCount val="31"/>
                <c:pt idx="0">
                  <c:v>50</c:v>
                </c:pt>
                <c:pt idx="12">
                  <c:v>50</c:v>
                </c:pt>
                <c:pt idx="24">
                  <c:v>50</c:v>
                </c:pt>
              </c:numCache>
            </c:numRef>
          </c:val>
          <c:smooth val="0"/>
          <c:extLst>
            <c:ext xmlns:c16="http://schemas.microsoft.com/office/drawing/2014/chart" uri="{C3380CC4-5D6E-409C-BE32-E72D297353CC}">
              <c16:uniqueId val="{00000006-3F1A-4C10-965D-4565C720E6F4}"/>
            </c:ext>
          </c:extLst>
        </c:ser>
        <c:dLbls>
          <c:showLegendKey val="0"/>
          <c:showVal val="0"/>
          <c:showCatName val="0"/>
          <c:showSerName val="0"/>
          <c:showPercent val="0"/>
          <c:showBubbleSize val="0"/>
        </c:dLbls>
        <c:marker val="1"/>
        <c:smooth val="0"/>
        <c:axId val="267912160"/>
        <c:axId val="267912720"/>
      </c:lineChart>
      <c:lineChart>
        <c:grouping val="standard"/>
        <c:varyColors val="0"/>
        <c:ser>
          <c:idx val="4"/>
          <c:order val="4"/>
          <c:spPr>
            <a:ln w="28575" cap="rnd">
              <a:no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en-US"/>
              </a:p>
            </c:txPr>
            <c:dLblPos val="t"/>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strRef>
              <c:f>'BoP_izvoz usluga'!$E$66:$E$96</c:f>
              <c:strCache>
                <c:ptCount val="31"/>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pt idx="21">
                  <c:v>X</c:v>
                </c:pt>
                <c:pt idx="22">
                  <c:v>XI</c:v>
                </c:pt>
                <c:pt idx="23">
                  <c:v>XII</c:v>
                </c:pt>
                <c:pt idx="24">
                  <c:v>I</c:v>
                </c:pt>
                <c:pt idx="25">
                  <c:v>II</c:v>
                </c:pt>
                <c:pt idx="26">
                  <c:v>III</c:v>
                </c:pt>
                <c:pt idx="27">
                  <c:v>IV</c:v>
                </c:pt>
                <c:pt idx="28">
                  <c:v>V</c:v>
                </c:pt>
                <c:pt idx="29">
                  <c:v>VI</c:v>
                </c:pt>
                <c:pt idx="30">
                  <c:v>VII</c:v>
                </c:pt>
              </c:strCache>
            </c:strRef>
          </c:cat>
          <c:val>
            <c:numRef>
              <c:f>'BoP_izvoz usluga'!$AA$66:$AA$96</c:f>
              <c:numCache>
                <c:formatCode>General</c:formatCode>
                <c:ptCount val="31"/>
                <c:pt idx="0">
                  <c:v>50</c:v>
                </c:pt>
                <c:pt idx="1">
                  <c:v>50</c:v>
                </c:pt>
                <c:pt idx="2">
                  <c:v>50</c:v>
                </c:pt>
                <c:pt idx="3">
                  <c:v>50</c:v>
                </c:pt>
                <c:pt idx="4">
                  <c:v>50</c:v>
                </c:pt>
                <c:pt idx="5">
                  <c:v>50</c:v>
                </c:pt>
                <c:pt idx="6">
                  <c:v>50</c:v>
                </c:pt>
                <c:pt idx="7">
                  <c:v>50</c:v>
                </c:pt>
                <c:pt idx="8">
                  <c:v>50</c:v>
                </c:pt>
                <c:pt idx="9">
                  <c:v>50</c:v>
                </c:pt>
                <c:pt idx="10">
                  <c:v>50</c:v>
                </c:pt>
                <c:pt idx="11">
                  <c:v>50</c:v>
                </c:pt>
                <c:pt idx="12">
                  <c:v>50</c:v>
                </c:pt>
                <c:pt idx="13">
                  <c:v>50</c:v>
                </c:pt>
                <c:pt idx="14">
                  <c:v>50</c:v>
                </c:pt>
                <c:pt idx="15">
                  <c:v>50</c:v>
                </c:pt>
                <c:pt idx="16">
                  <c:v>50</c:v>
                </c:pt>
                <c:pt idx="17">
                  <c:v>50</c:v>
                </c:pt>
                <c:pt idx="18">
                  <c:v>50</c:v>
                </c:pt>
                <c:pt idx="19">
                  <c:v>50</c:v>
                </c:pt>
                <c:pt idx="20">
                  <c:v>50</c:v>
                </c:pt>
                <c:pt idx="21">
                  <c:v>50</c:v>
                </c:pt>
                <c:pt idx="22">
                  <c:v>50</c:v>
                </c:pt>
                <c:pt idx="23">
                  <c:v>50</c:v>
                </c:pt>
                <c:pt idx="24">
                  <c:v>50</c:v>
                </c:pt>
                <c:pt idx="25">
                  <c:v>50</c:v>
                </c:pt>
                <c:pt idx="26">
                  <c:v>50</c:v>
                </c:pt>
                <c:pt idx="27">
                  <c:v>50</c:v>
                </c:pt>
                <c:pt idx="28">
                  <c:v>50</c:v>
                </c:pt>
                <c:pt idx="29">
                  <c:v>50</c:v>
                </c:pt>
                <c:pt idx="30">
                  <c:v>50</c:v>
                </c:pt>
              </c:numCache>
            </c:numRef>
          </c:val>
          <c:smooth val="0"/>
          <c:extLst>
            <c:ext xmlns:c16="http://schemas.microsoft.com/office/drawing/2014/chart" uri="{C3380CC4-5D6E-409C-BE32-E72D297353CC}">
              <c16:uniqueId val="{00000007-3F1A-4C10-965D-4565C720E6F4}"/>
            </c:ext>
          </c:extLst>
        </c:ser>
        <c:dLbls>
          <c:showLegendKey val="0"/>
          <c:showVal val="0"/>
          <c:showCatName val="0"/>
          <c:showSerName val="0"/>
          <c:showPercent val="0"/>
          <c:showBubbleSize val="0"/>
        </c:dLbls>
        <c:marker val="1"/>
        <c:smooth val="0"/>
        <c:axId val="267913840"/>
        <c:axId val="267913280"/>
      </c:lineChart>
      <c:dateAx>
        <c:axId val="267912160"/>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en-US"/>
          </a:p>
        </c:txPr>
        <c:crossAx val="267912720"/>
        <c:crosses val="autoZero"/>
        <c:auto val="1"/>
        <c:lblOffset val="0"/>
        <c:baseTimeUnit val="months"/>
      </c:dateAx>
      <c:valAx>
        <c:axId val="267912720"/>
        <c:scaling>
          <c:orientation val="minMax"/>
          <c:min val="5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267912160"/>
        <c:crosses val="autoZero"/>
        <c:crossBetween val="midCat"/>
      </c:valAx>
      <c:valAx>
        <c:axId val="267913280"/>
        <c:scaling>
          <c:orientation val="minMax"/>
          <c:max val="130"/>
          <c:min val="50"/>
        </c:scaling>
        <c:delete val="0"/>
        <c:axPos val="r"/>
        <c:numFmt formatCode="General" sourceLinked="1"/>
        <c:majorTickMark val="out"/>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267913840"/>
        <c:crosses val="max"/>
        <c:crossBetween val="midCat"/>
      </c:valAx>
      <c:catAx>
        <c:axId val="267913840"/>
        <c:scaling>
          <c:orientation val="minMax"/>
        </c:scaling>
        <c:delete val="0"/>
        <c:axPos val="t"/>
        <c:numFmt formatCode="General" sourceLinked="1"/>
        <c:majorTickMark val="none"/>
        <c:minorTickMark val="none"/>
        <c:tickLblPos val="none"/>
        <c:spPr>
          <a:noFill/>
          <a:ln w="9525" cap="flat" cmpd="sng" algn="ctr">
            <a:no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267913280"/>
        <c:crosses val="max"/>
        <c:auto val="1"/>
        <c:lblAlgn val="ctr"/>
        <c:lblOffset val="100"/>
        <c:noMultiLvlLbl val="0"/>
      </c:cat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en-US"/>
    </a:p>
  </c:txPr>
  <c:externalData r:id="rId4">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0253935185185188E-2"/>
          <c:y val="4.6197089947089945E-2"/>
          <c:w val="0.90740810185185183"/>
          <c:h val="0.65459160052910048"/>
        </c:manualLayout>
      </c:layout>
      <c:barChart>
        <c:barDir val="col"/>
        <c:grouping val="stacked"/>
        <c:varyColors val="0"/>
        <c:ser>
          <c:idx val="0"/>
          <c:order val="0"/>
          <c:tx>
            <c:strRef>
              <c:f>IPAS_doprinosi!$D$11</c:f>
              <c:strCache>
                <c:ptCount val="1"/>
                <c:pt idx="0">
                  <c:v>Пољопривреда</c:v>
                </c:pt>
              </c:strCache>
            </c:strRef>
          </c:tx>
          <c:spPr>
            <a:solidFill>
              <a:srgbClr val="10103C"/>
            </a:solidFill>
            <a:ln>
              <a:noFill/>
            </a:ln>
            <a:effectLst/>
          </c:spPr>
          <c:invertIfNegative val="0"/>
          <c:cat>
            <c:multiLvlStrRef>
              <c:f>IPAS_doprinosi!$A$19:$B$31</c:f>
              <c:multiLvlStrCache>
                <c:ptCount val="13"/>
                <c:lvl>
                  <c:pt idx="0">
                    <c:v>VIII</c:v>
                  </c:pt>
                  <c:pt idx="1">
                    <c:v>IX</c:v>
                  </c:pt>
                  <c:pt idx="2">
                    <c:v>X</c:v>
                  </c:pt>
                  <c:pt idx="3">
                    <c:v>XI</c:v>
                  </c:pt>
                  <c:pt idx="4">
                    <c:v>XII</c:v>
                  </c:pt>
                  <c:pt idx="5">
                    <c:v>I</c:v>
                  </c:pt>
                  <c:pt idx="6">
                    <c:v>II</c:v>
                  </c:pt>
                  <c:pt idx="7">
                    <c:v>III</c:v>
                  </c:pt>
                  <c:pt idx="8">
                    <c:v>IV</c:v>
                  </c:pt>
                  <c:pt idx="9">
                    <c:v>V</c:v>
                  </c:pt>
                  <c:pt idx="10">
                    <c:v>VI</c:v>
                  </c:pt>
                  <c:pt idx="11">
                    <c:v>VII</c:v>
                  </c:pt>
                  <c:pt idx="12">
                    <c:v>VIII</c:v>
                  </c:pt>
                </c:lvl>
                <c:lvl>
                  <c:pt idx="0">
                    <c:v>2018</c:v>
                  </c:pt>
                  <c:pt idx="5">
                    <c:v>2019</c:v>
                  </c:pt>
                </c:lvl>
              </c:multiLvlStrCache>
            </c:multiLvlStrRef>
          </c:cat>
          <c:val>
            <c:numRef>
              <c:f>IPAS_doprinosi!$D$19:$D$31</c:f>
              <c:numCache>
                <c:formatCode>0.0</c:formatCode>
                <c:ptCount val="13"/>
                <c:pt idx="0">
                  <c:v>1.2926239342979735</c:v>
                </c:pt>
                <c:pt idx="1">
                  <c:v>1.2354108311937659</c:v>
                </c:pt>
                <c:pt idx="2">
                  <c:v>1.0051841738954566</c:v>
                </c:pt>
                <c:pt idx="3">
                  <c:v>1.0056648311280947</c:v>
                </c:pt>
                <c:pt idx="4">
                  <c:v>1.0269061186652866</c:v>
                </c:pt>
                <c:pt idx="5">
                  <c:v>7.0289774550326561E-2</c:v>
                </c:pt>
                <c:pt idx="6">
                  <c:v>0.11850578645016981</c:v>
                </c:pt>
                <c:pt idx="7">
                  <c:v>0.12904005919341646</c:v>
                </c:pt>
                <c:pt idx="8">
                  <c:v>-1.9032650402894681E-2</c:v>
                </c:pt>
                <c:pt idx="9">
                  <c:v>4.9166737313451406E-2</c:v>
                </c:pt>
                <c:pt idx="10">
                  <c:v>5.9930537245217269E-2</c:v>
                </c:pt>
                <c:pt idx="11">
                  <c:v>-9.6498060867716312E-2</c:v>
                </c:pt>
                <c:pt idx="12">
                  <c:v>-9.3938939647451286E-2</c:v>
                </c:pt>
              </c:numCache>
            </c:numRef>
          </c:val>
          <c:extLst>
            <c:ext xmlns:c16="http://schemas.microsoft.com/office/drawing/2014/chart" uri="{C3380CC4-5D6E-409C-BE32-E72D297353CC}">
              <c16:uniqueId val="{00000000-80C7-4AA1-9AF5-27AF01524C9E}"/>
            </c:ext>
          </c:extLst>
        </c:ser>
        <c:ser>
          <c:idx val="1"/>
          <c:order val="1"/>
          <c:tx>
            <c:strRef>
              <c:f>IPAS_doprinosi!$E$11</c:f>
              <c:strCache>
                <c:ptCount val="1"/>
                <c:pt idx="0">
                  <c:v>Индустрија</c:v>
                </c:pt>
              </c:strCache>
            </c:strRef>
          </c:tx>
          <c:spPr>
            <a:solidFill>
              <a:srgbClr val="2183C4"/>
            </a:solidFill>
            <a:ln>
              <a:noFill/>
            </a:ln>
            <a:effectLst/>
          </c:spPr>
          <c:invertIfNegative val="0"/>
          <c:cat>
            <c:multiLvlStrRef>
              <c:f>IPAS_doprinosi!$A$19:$B$31</c:f>
              <c:multiLvlStrCache>
                <c:ptCount val="13"/>
                <c:lvl>
                  <c:pt idx="0">
                    <c:v>VIII</c:v>
                  </c:pt>
                  <c:pt idx="1">
                    <c:v>IX</c:v>
                  </c:pt>
                  <c:pt idx="2">
                    <c:v>X</c:v>
                  </c:pt>
                  <c:pt idx="3">
                    <c:v>XI</c:v>
                  </c:pt>
                  <c:pt idx="4">
                    <c:v>XII</c:v>
                  </c:pt>
                  <c:pt idx="5">
                    <c:v>I</c:v>
                  </c:pt>
                  <c:pt idx="6">
                    <c:v>II</c:v>
                  </c:pt>
                  <c:pt idx="7">
                    <c:v>III</c:v>
                  </c:pt>
                  <c:pt idx="8">
                    <c:v>IV</c:v>
                  </c:pt>
                  <c:pt idx="9">
                    <c:v>V</c:v>
                  </c:pt>
                  <c:pt idx="10">
                    <c:v>VI</c:v>
                  </c:pt>
                  <c:pt idx="11">
                    <c:v>VII</c:v>
                  </c:pt>
                  <c:pt idx="12">
                    <c:v>VIII</c:v>
                  </c:pt>
                </c:lvl>
                <c:lvl>
                  <c:pt idx="0">
                    <c:v>2018</c:v>
                  </c:pt>
                  <c:pt idx="5">
                    <c:v>2019</c:v>
                  </c:pt>
                </c:lvl>
              </c:multiLvlStrCache>
            </c:multiLvlStrRef>
          </c:cat>
          <c:val>
            <c:numRef>
              <c:f>IPAS_doprinosi!$E$19:$E$31</c:f>
              <c:numCache>
                <c:formatCode>0.0</c:formatCode>
                <c:ptCount val="13"/>
                <c:pt idx="0">
                  <c:v>-0.4966987725816856</c:v>
                </c:pt>
                <c:pt idx="1">
                  <c:v>-0.37384531762557166</c:v>
                </c:pt>
                <c:pt idx="2">
                  <c:v>3.3766382393630771E-2</c:v>
                </c:pt>
                <c:pt idx="3">
                  <c:v>-0.47560124724541603</c:v>
                </c:pt>
                <c:pt idx="4">
                  <c:v>-1.1992665923676304</c:v>
                </c:pt>
                <c:pt idx="5">
                  <c:v>-0.7814054539143821</c:v>
                </c:pt>
                <c:pt idx="6">
                  <c:v>0.20340636090007586</c:v>
                </c:pt>
                <c:pt idx="7">
                  <c:v>-0.33212984703640469</c:v>
                </c:pt>
                <c:pt idx="8">
                  <c:v>-9.3454602550322591E-2</c:v>
                </c:pt>
                <c:pt idx="9">
                  <c:v>-0.27067977365556084</c:v>
                </c:pt>
                <c:pt idx="10">
                  <c:v>-1.0030974369977046</c:v>
                </c:pt>
                <c:pt idx="11">
                  <c:v>0.71953279868753828</c:v>
                </c:pt>
                <c:pt idx="12">
                  <c:v>0.1635163069590776</c:v>
                </c:pt>
              </c:numCache>
            </c:numRef>
          </c:val>
          <c:extLst>
            <c:ext xmlns:c16="http://schemas.microsoft.com/office/drawing/2014/chart" uri="{C3380CC4-5D6E-409C-BE32-E72D297353CC}">
              <c16:uniqueId val="{00000001-80C7-4AA1-9AF5-27AF01524C9E}"/>
            </c:ext>
          </c:extLst>
        </c:ser>
        <c:ser>
          <c:idx val="2"/>
          <c:order val="2"/>
          <c:tx>
            <c:strRef>
              <c:f>IPAS_doprinosi!$F$11</c:f>
              <c:strCache>
                <c:ptCount val="1"/>
                <c:pt idx="0">
                  <c:v>Грађевинарство</c:v>
                </c:pt>
              </c:strCache>
            </c:strRef>
          </c:tx>
          <c:spPr>
            <a:solidFill>
              <a:srgbClr val="51BBE7"/>
            </a:solidFill>
            <a:ln>
              <a:noFill/>
            </a:ln>
            <a:effectLst/>
          </c:spPr>
          <c:invertIfNegative val="0"/>
          <c:cat>
            <c:multiLvlStrRef>
              <c:f>IPAS_doprinosi!$A$19:$B$31</c:f>
              <c:multiLvlStrCache>
                <c:ptCount val="13"/>
                <c:lvl>
                  <c:pt idx="0">
                    <c:v>VIII</c:v>
                  </c:pt>
                  <c:pt idx="1">
                    <c:v>IX</c:v>
                  </c:pt>
                  <c:pt idx="2">
                    <c:v>X</c:v>
                  </c:pt>
                  <c:pt idx="3">
                    <c:v>XI</c:v>
                  </c:pt>
                  <c:pt idx="4">
                    <c:v>XII</c:v>
                  </c:pt>
                  <c:pt idx="5">
                    <c:v>I</c:v>
                  </c:pt>
                  <c:pt idx="6">
                    <c:v>II</c:v>
                  </c:pt>
                  <c:pt idx="7">
                    <c:v>III</c:v>
                  </c:pt>
                  <c:pt idx="8">
                    <c:v>IV</c:v>
                  </c:pt>
                  <c:pt idx="9">
                    <c:v>V</c:v>
                  </c:pt>
                  <c:pt idx="10">
                    <c:v>VI</c:v>
                  </c:pt>
                  <c:pt idx="11">
                    <c:v>VII</c:v>
                  </c:pt>
                  <c:pt idx="12">
                    <c:v>VIII</c:v>
                  </c:pt>
                </c:lvl>
                <c:lvl>
                  <c:pt idx="0">
                    <c:v>2018</c:v>
                  </c:pt>
                  <c:pt idx="5">
                    <c:v>2019</c:v>
                  </c:pt>
                </c:lvl>
              </c:multiLvlStrCache>
            </c:multiLvlStrRef>
          </c:cat>
          <c:val>
            <c:numRef>
              <c:f>IPAS_doprinosi!$F$19:$F$31</c:f>
              <c:numCache>
                <c:formatCode>0.0</c:formatCode>
                <c:ptCount val="13"/>
                <c:pt idx="0">
                  <c:v>0.54213523198255265</c:v>
                </c:pt>
                <c:pt idx="1">
                  <c:v>0.35016717985498569</c:v>
                </c:pt>
                <c:pt idx="2">
                  <c:v>0.42625930902255149</c:v>
                </c:pt>
                <c:pt idx="3">
                  <c:v>0.23128435345816725</c:v>
                </c:pt>
                <c:pt idx="4">
                  <c:v>-0.18870495556608827</c:v>
                </c:pt>
                <c:pt idx="5">
                  <c:v>0.14588545233416381</c:v>
                </c:pt>
                <c:pt idx="6">
                  <c:v>0.35328529301104028</c:v>
                </c:pt>
                <c:pt idx="7">
                  <c:v>0.52669808266351203</c:v>
                </c:pt>
                <c:pt idx="8">
                  <c:v>0.49777357605771033</c:v>
                </c:pt>
                <c:pt idx="9">
                  <c:v>0.47561548792304814</c:v>
                </c:pt>
                <c:pt idx="10">
                  <c:v>1.2561538362344722</c:v>
                </c:pt>
                <c:pt idx="11">
                  <c:v>0.88036013277627578</c:v>
                </c:pt>
                <c:pt idx="12">
                  <c:v>1.1165885523353098</c:v>
                </c:pt>
              </c:numCache>
            </c:numRef>
          </c:val>
          <c:extLst>
            <c:ext xmlns:c16="http://schemas.microsoft.com/office/drawing/2014/chart" uri="{C3380CC4-5D6E-409C-BE32-E72D297353CC}">
              <c16:uniqueId val="{00000002-80C7-4AA1-9AF5-27AF01524C9E}"/>
            </c:ext>
          </c:extLst>
        </c:ser>
        <c:ser>
          <c:idx val="3"/>
          <c:order val="3"/>
          <c:tx>
            <c:strRef>
              <c:f>IPAS_doprinosi!$G$11</c:f>
              <c:strCache>
                <c:ptCount val="1"/>
                <c:pt idx="0">
                  <c:v>Услуге</c:v>
                </c:pt>
              </c:strCache>
            </c:strRef>
          </c:tx>
          <c:spPr>
            <a:solidFill>
              <a:srgbClr val="90CAE2"/>
            </a:solidFill>
            <a:ln>
              <a:noFill/>
            </a:ln>
            <a:effectLst/>
          </c:spPr>
          <c:invertIfNegative val="0"/>
          <c:cat>
            <c:multiLvlStrRef>
              <c:f>IPAS_doprinosi!$A$19:$B$31</c:f>
              <c:multiLvlStrCache>
                <c:ptCount val="13"/>
                <c:lvl>
                  <c:pt idx="0">
                    <c:v>VIII</c:v>
                  </c:pt>
                  <c:pt idx="1">
                    <c:v>IX</c:v>
                  </c:pt>
                  <c:pt idx="2">
                    <c:v>X</c:v>
                  </c:pt>
                  <c:pt idx="3">
                    <c:v>XI</c:v>
                  </c:pt>
                  <c:pt idx="4">
                    <c:v>XII</c:v>
                  </c:pt>
                  <c:pt idx="5">
                    <c:v>I</c:v>
                  </c:pt>
                  <c:pt idx="6">
                    <c:v>II</c:v>
                  </c:pt>
                  <c:pt idx="7">
                    <c:v>III</c:v>
                  </c:pt>
                  <c:pt idx="8">
                    <c:v>IV</c:v>
                  </c:pt>
                  <c:pt idx="9">
                    <c:v>V</c:v>
                  </c:pt>
                  <c:pt idx="10">
                    <c:v>VI</c:v>
                  </c:pt>
                  <c:pt idx="11">
                    <c:v>VII</c:v>
                  </c:pt>
                  <c:pt idx="12">
                    <c:v>VIII</c:v>
                  </c:pt>
                </c:lvl>
                <c:lvl>
                  <c:pt idx="0">
                    <c:v>2018</c:v>
                  </c:pt>
                  <c:pt idx="5">
                    <c:v>2019</c:v>
                  </c:pt>
                </c:lvl>
              </c:multiLvlStrCache>
            </c:multiLvlStrRef>
          </c:cat>
          <c:val>
            <c:numRef>
              <c:f>IPAS_doprinosi!$G$19:$G$31</c:f>
              <c:numCache>
                <c:formatCode>0.0</c:formatCode>
                <c:ptCount val="13"/>
                <c:pt idx="0">
                  <c:v>2.0524011867329581</c:v>
                </c:pt>
                <c:pt idx="1">
                  <c:v>1.8559158439373633</c:v>
                </c:pt>
                <c:pt idx="2">
                  <c:v>2.1120791839038748</c:v>
                </c:pt>
                <c:pt idx="3">
                  <c:v>1.8987421326594909</c:v>
                </c:pt>
                <c:pt idx="4">
                  <c:v>2.6322979419822672</c:v>
                </c:pt>
                <c:pt idx="5">
                  <c:v>1.1535372076875285</c:v>
                </c:pt>
                <c:pt idx="6">
                  <c:v>2.9670662497208933</c:v>
                </c:pt>
                <c:pt idx="7">
                  <c:v>1.9735236517171257</c:v>
                </c:pt>
                <c:pt idx="8">
                  <c:v>2.4527994526352441</c:v>
                </c:pt>
                <c:pt idx="9">
                  <c:v>2.2041523502644207</c:v>
                </c:pt>
                <c:pt idx="10">
                  <c:v>1.396434201215131</c:v>
                </c:pt>
                <c:pt idx="11">
                  <c:v>2.3055760010977338</c:v>
                </c:pt>
                <c:pt idx="12">
                  <c:v>2.0147887904199338</c:v>
                </c:pt>
              </c:numCache>
            </c:numRef>
          </c:val>
          <c:extLst>
            <c:ext xmlns:c16="http://schemas.microsoft.com/office/drawing/2014/chart" uri="{C3380CC4-5D6E-409C-BE32-E72D297353CC}">
              <c16:uniqueId val="{00000003-80C7-4AA1-9AF5-27AF01524C9E}"/>
            </c:ext>
          </c:extLst>
        </c:ser>
        <c:ser>
          <c:idx val="4"/>
          <c:order val="4"/>
          <c:tx>
            <c:strRef>
              <c:f>IPAS_doprinosi!$H$11</c:f>
              <c:strCache>
                <c:ptCount val="1"/>
                <c:pt idx="0">
                  <c:v>Нето порези</c:v>
                </c:pt>
              </c:strCache>
            </c:strRef>
          </c:tx>
          <c:spPr>
            <a:solidFill>
              <a:srgbClr val="C9E4EB"/>
            </a:solidFill>
            <a:ln>
              <a:noFill/>
            </a:ln>
            <a:effectLst/>
          </c:spPr>
          <c:invertIfNegative val="0"/>
          <c:cat>
            <c:multiLvlStrRef>
              <c:f>IPAS_doprinosi!$A$19:$B$31</c:f>
              <c:multiLvlStrCache>
                <c:ptCount val="13"/>
                <c:lvl>
                  <c:pt idx="0">
                    <c:v>VIII</c:v>
                  </c:pt>
                  <c:pt idx="1">
                    <c:v>IX</c:v>
                  </c:pt>
                  <c:pt idx="2">
                    <c:v>X</c:v>
                  </c:pt>
                  <c:pt idx="3">
                    <c:v>XI</c:v>
                  </c:pt>
                  <c:pt idx="4">
                    <c:v>XII</c:v>
                  </c:pt>
                  <c:pt idx="5">
                    <c:v>I</c:v>
                  </c:pt>
                  <c:pt idx="6">
                    <c:v>II</c:v>
                  </c:pt>
                  <c:pt idx="7">
                    <c:v>III</c:v>
                  </c:pt>
                  <c:pt idx="8">
                    <c:v>IV</c:v>
                  </c:pt>
                  <c:pt idx="9">
                    <c:v>V</c:v>
                  </c:pt>
                  <c:pt idx="10">
                    <c:v>VI</c:v>
                  </c:pt>
                  <c:pt idx="11">
                    <c:v>VII</c:v>
                  </c:pt>
                  <c:pt idx="12">
                    <c:v>VIII</c:v>
                  </c:pt>
                </c:lvl>
                <c:lvl>
                  <c:pt idx="0">
                    <c:v>2018</c:v>
                  </c:pt>
                  <c:pt idx="5">
                    <c:v>2019</c:v>
                  </c:pt>
                </c:lvl>
              </c:multiLvlStrCache>
            </c:multiLvlStrRef>
          </c:cat>
          <c:val>
            <c:numRef>
              <c:f>IPAS_doprinosi!$H$19:$H$31</c:f>
              <c:numCache>
                <c:formatCode>0.0</c:formatCode>
                <c:ptCount val="13"/>
                <c:pt idx="0">
                  <c:v>0.60277323474882738</c:v>
                </c:pt>
                <c:pt idx="1">
                  <c:v>0.56381417787664312</c:v>
                </c:pt>
                <c:pt idx="2">
                  <c:v>0.5968327729302344</c:v>
                </c:pt>
                <c:pt idx="3">
                  <c:v>0.58315368902854048</c:v>
                </c:pt>
                <c:pt idx="4">
                  <c:v>0.53447055589526549</c:v>
                </c:pt>
                <c:pt idx="5">
                  <c:v>0.58957320905714605</c:v>
                </c:pt>
                <c:pt idx="6">
                  <c:v>0.58352619273235828</c:v>
                </c:pt>
                <c:pt idx="7">
                  <c:v>0.54628698183234436</c:v>
                </c:pt>
                <c:pt idx="8">
                  <c:v>0.64429748961624356</c:v>
                </c:pt>
                <c:pt idx="9">
                  <c:v>0.56949346401811995</c:v>
                </c:pt>
                <c:pt idx="10">
                  <c:v>0.54104558937066394</c:v>
                </c:pt>
                <c:pt idx="11">
                  <c:v>0.60385667492499928</c:v>
                </c:pt>
                <c:pt idx="12">
                  <c:v>0.57876377443477489</c:v>
                </c:pt>
              </c:numCache>
            </c:numRef>
          </c:val>
          <c:extLst>
            <c:ext xmlns:c16="http://schemas.microsoft.com/office/drawing/2014/chart" uri="{C3380CC4-5D6E-409C-BE32-E72D297353CC}">
              <c16:uniqueId val="{00000004-80C7-4AA1-9AF5-27AF01524C9E}"/>
            </c:ext>
          </c:extLst>
        </c:ser>
        <c:dLbls>
          <c:showLegendKey val="0"/>
          <c:showVal val="0"/>
          <c:showCatName val="0"/>
          <c:showSerName val="0"/>
          <c:showPercent val="0"/>
          <c:showBubbleSize val="0"/>
        </c:dLbls>
        <c:gapWidth val="60"/>
        <c:overlap val="100"/>
        <c:axId val="270930864"/>
        <c:axId val="270931424"/>
      </c:barChart>
      <c:lineChart>
        <c:grouping val="standard"/>
        <c:varyColors val="0"/>
        <c:ser>
          <c:idx val="5"/>
          <c:order val="5"/>
          <c:tx>
            <c:strRef>
              <c:f>IPAS_doprinosi!$C$11</c:f>
              <c:strCache>
                <c:ptCount val="1"/>
                <c:pt idx="0">
                  <c:v>БДП</c:v>
                </c:pt>
              </c:strCache>
            </c:strRef>
          </c:tx>
          <c:spPr>
            <a:ln w="22225" cap="rnd">
              <a:solidFill>
                <a:srgbClr val="FF0000"/>
              </a:solidFill>
              <a:round/>
            </a:ln>
            <a:effectLst/>
          </c:spPr>
          <c:marker>
            <c:symbol val="none"/>
          </c:marker>
          <c:dLbls>
            <c:spPr>
              <a:noFill/>
              <a:ln>
                <a:noFill/>
              </a:ln>
              <a:effectLst/>
            </c:spPr>
            <c:txPr>
              <a:bodyPr rot="0" spcFirstLastPara="1" vertOverflow="ellipsis" vert="horz" wrap="square" anchor="ctr" anchorCtr="1"/>
              <a:lstStyle/>
              <a:p>
                <a:pPr>
                  <a:defRPr sz="750" b="1" i="0" u="none" strike="noStrike" kern="1200" baseline="0">
                    <a:solidFill>
                      <a:srgbClr val="FF0000"/>
                    </a:solidFill>
                    <a:latin typeface="+mn-lt"/>
                    <a:ea typeface="+mn-ea"/>
                    <a:cs typeface="Arial" panose="020B0604020202020204" pitchFamily="34" charset="0"/>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IPAS_doprinosi!$A$19:$B$31</c:f>
              <c:multiLvlStrCache>
                <c:ptCount val="13"/>
                <c:lvl>
                  <c:pt idx="0">
                    <c:v>VIII</c:v>
                  </c:pt>
                  <c:pt idx="1">
                    <c:v>IX</c:v>
                  </c:pt>
                  <c:pt idx="2">
                    <c:v>X</c:v>
                  </c:pt>
                  <c:pt idx="3">
                    <c:v>XI</c:v>
                  </c:pt>
                  <c:pt idx="4">
                    <c:v>XII</c:v>
                  </c:pt>
                  <c:pt idx="5">
                    <c:v>I</c:v>
                  </c:pt>
                  <c:pt idx="6">
                    <c:v>II</c:v>
                  </c:pt>
                  <c:pt idx="7">
                    <c:v>III</c:v>
                  </c:pt>
                  <c:pt idx="8">
                    <c:v>IV</c:v>
                  </c:pt>
                  <c:pt idx="9">
                    <c:v>V</c:v>
                  </c:pt>
                  <c:pt idx="10">
                    <c:v>VI</c:v>
                  </c:pt>
                  <c:pt idx="11">
                    <c:v>VII</c:v>
                  </c:pt>
                  <c:pt idx="12">
                    <c:v>VIII</c:v>
                  </c:pt>
                </c:lvl>
                <c:lvl>
                  <c:pt idx="0">
                    <c:v>2018</c:v>
                  </c:pt>
                  <c:pt idx="5">
                    <c:v>2019</c:v>
                  </c:pt>
                </c:lvl>
              </c:multiLvlStrCache>
            </c:multiLvlStrRef>
          </c:cat>
          <c:val>
            <c:numRef>
              <c:f>IPAS_doprinosi!$C$19:$C$31</c:f>
              <c:numCache>
                <c:formatCode>0.0</c:formatCode>
                <c:ptCount val="13"/>
                <c:pt idx="0">
                  <c:v>3.9932348151805659</c:v>
                </c:pt>
                <c:pt idx="1">
                  <c:v>3.6314627152371921</c:v>
                </c:pt>
                <c:pt idx="2">
                  <c:v>4.1741218221457332</c:v>
                </c:pt>
                <c:pt idx="3">
                  <c:v>3.2432437590288479</c:v>
                </c:pt>
                <c:pt idx="4">
                  <c:v>2.8057030686090534</c:v>
                </c:pt>
                <c:pt idx="5">
                  <c:v>1.1778801897147682</c:v>
                </c:pt>
                <c:pt idx="6">
                  <c:v>4.2257898828145644</c:v>
                </c:pt>
                <c:pt idx="7">
                  <c:v>2.843418928370014</c:v>
                </c:pt>
                <c:pt idx="8">
                  <c:v>3.4823832653559608</c:v>
                </c:pt>
                <c:pt idx="9">
                  <c:v>3.027748265863424</c:v>
                </c:pt>
                <c:pt idx="10">
                  <c:v>2.2504667270677725</c:v>
                </c:pt>
                <c:pt idx="11">
                  <c:v>4.4128275466187947</c:v>
                </c:pt>
                <c:pt idx="12">
                  <c:v>3.7797184845016187</c:v>
                </c:pt>
              </c:numCache>
            </c:numRef>
          </c:val>
          <c:smooth val="0"/>
          <c:extLst>
            <c:ext xmlns:c16="http://schemas.microsoft.com/office/drawing/2014/chart" uri="{C3380CC4-5D6E-409C-BE32-E72D297353CC}">
              <c16:uniqueId val="{00000005-80C7-4AA1-9AF5-27AF01524C9E}"/>
            </c:ext>
          </c:extLst>
        </c:ser>
        <c:dLbls>
          <c:showLegendKey val="0"/>
          <c:showVal val="0"/>
          <c:showCatName val="0"/>
          <c:showSerName val="0"/>
          <c:showPercent val="0"/>
          <c:showBubbleSize val="0"/>
        </c:dLbls>
        <c:marker val="1"/>
        <c:smooth val="0"/>
        <c:axId val="270930864"/>
        <c:axId val="270931424"/>
      </c:lineChart>
      <c:catAx>
        <c:axId val="270930864"/>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en-US"/>
          </a:p>
        </c:txPr>
        <c:crossAx val="270931424"/>
        <c:crosses val="autoZero"/>
        <c:auto val="1"/>
        <c:lblAlgn val="ctr"/>
        <c:lblOffset val="0"/>
        <c:noMultiLvlLbl val="0"/>
      </c:catAx>
      <c:valAx>
        <c:axId val="270931424"/>
        <c:scaling>
          <c:orientation val="minMax"/>
          <c:max val="6"/>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en-US"/>
          </a:p>
        </c:txPr>
        <c:crossAx val="270930864"/>
        <c:crosses val="autoZero"/>
        <c:crossBetween val="between"/>
      </c:valAx>
      <c:spPr>
        <a:noFill/>
        <a:ln>
          <a:noFill/>
        </a:ln>
        <a:effectLst/>
      </c:spPr>
    </c:plotArea>
    <c:legend>
      <c:legendPos val="b"/>
      <c:layout>
        <c:manualLayout>
          <c:xMode val="edge"/>
          <c:yMode val="edge"/>
          <c:x val="7.1965223097112854E-2"/>
          <c:y val="0.84188729654707517"/>
          <c:w val="0.88171770195392241"/>
          <c:h val="0.15250475684372333"/>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en-US"/>
        </a:p>
      </c:txPr>
    </c:legend>
    <c:plotVisOnly val="1"/>
    <c:dispBlanksAs val="gap"/>
    <c:showDLblsOverMax val="0"/>
  </c:chart>
  <c:spPr>
    <a:noFill/>
    <a:ln w="9525" cap="flat" cmpd="sng" algn="ctr">
      <a:noFill/>
      <a:round/>
    </a:ln>
    <a:effectLst/>
  </c:spPr>
  <c:txPr>
    <a:bodyPr/>
    <a:lstStyle/>
    <a:p>
      <a:pPr>
        <a:defRPr sz="750">
          <a:solidFill>
            <a:schemeClr val="tx2"/>
          </a:solidFill>
          <a:latin typeface="+mn-lt"/>
          <a:cs typeface="Arial" panose="020B0604020202020204" pitchFamily="34" charset="0"/>
        </a:defRPr>
      </a:pPr>
      <a:endParaRPr lang="en-US"/>
    </a:p>
  </c:txPr>
  <c:externalData r:id="rId4">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0253935185185188E-2"/>
          <c:y val="4.6197089947089945E-2"/>
          <c:w val="0.90740810185185183"/>
          <c:h val="0.69238921957671962"/>
        </c:manualLayout>
      </c:layout>
      <c:barChart>
        <c:barDir val="col"/>
        <c:grouping val="stacked"/>
        <c:varyColors val="0"/>
        <c:ser>
          <c:idx val="2"/>
          <c:order val="0"/>
          <c:tx>
            <c:strRef>
              <c:f>BDP_doprinosi!$R$9</c:f>
              <c:strCache>
                <c:ptCount val="1"/>
                <c:pt idx="0">
                  <c:v>Приватна потрошња</c:v>
                </c:pt>
              </c:strCache>
            </c:strRef>
          </c:tx>
          <c:spPr>
            <a:solidFill>
              <a:srgbClr val="10103C"/>
            </a:solidFill>
            <a:ln>
              <a:noFill/>
            </a:ln>
            <a:effectLst/>
          </c:spPr>
          <c:invertIfNegative val="0"/>
          <c:cat>
            <c:numRef>
              <c:f>BDP_doprinosi!$AB$6:$AG$6</c:f>
              <c:numCache>
                <c:formatCode>General</c:formatCode>
                <c:ptCount val="6"/>
                <c:pt idx="0">
                  <c:v>2017</c:v>
                </c:pt>
                <c:pt idx="1">
                  <c:v>2018</c:v>
                </c:pt>
                <c:pt idx="2">
                  <c:v>2019</c:v>
                </c:pt>
                <c:pt idx="3">
                  <c:v>2020</c:v>
                </c:pt>
                <c:pt idx="4">
                  <c:v>2021</c:v>
                </c:pt>
                <c:pt idx="5">
                  <c:v>2022</c:v>
                </c:pt>
              </c:numCache>
            </c:numRef>
          </c:cat>
          <c:val>
            <c:numRef>
              <c:f>BDP_doprinosi!$AB$9:$AG$9</c:f>
              <c:numCache>
                <c:formatCode>0.0</c:formatCode>
                <c:ptCount val="6"/>
                <c:pt idx="0">
                  <c:v>1.3723474722652036</c:v>
                </c:pt>
                <c:pt idx="1">
                  <c:v>2.1660440700416093</c:v>
                </c:pt>
                <c:pt idx="2">
                  <c:v>2.3847076164796177</c:v>
                </c:pt>
                <c:pt idx="3">
                  <c:v>2.656988915886656</c:v>
                </c:pt>
                <c:pt idx="4">
                  <c:v>2.4706656029316214</c:v>
                </c:pt>
                <c:pt idx="5">
                  <c:v>2.5161319494648957</c:v>
                </c:pt>
              </c:numCache>
            </c:numRef>
          </c:val>
          <c:extLst>
            <c:ext xmlns:c16="http://schemas.microsoft.com/office/drawing/2014/chart" uri="{C3380CC4-5D6E-409C-BE32-E72D297353CC}">
              <c16:uniqueId val="{00000000-7304-43F1-B6F0-4E09613B7444}"/>
            </c:ext>
          </c:extLst>
        </c:ser>
        <c:ser>
          <c:idx val="1"/>
          <c:order val="1"/>
          <c:tx>
            <c:strRef>
              <c:f>BDP_doprinosi!$R$8</c:f>
              <c:strCache>
                <c:ptCount val="1"/>
                <c:pt idx="0">
                  <c:v>Инвестиције</c:v>
                </c:pt>
              </c:strCache>
            </c:strRef>
          </c:tx>
          <c:spPr>
            <a:solidFill>
              <a:srgbClr val="29489A"/>
            </a:solidFill>
            <a:ln>
              <a:noFill/>
            </a:ln>
            <a:effectLst/>
          </c:spPr>
          <c:invertIfNegative val="0"/>
          <c:cat>
            <c:numRef>
              <c:f>BDP_doprinosi!$AB$6:$AG$6</c:f>
              <c:numCache>
                <c:formatCode>General</c:formatCode>
                <c:ptCount val="6"/>
                <c:pt idx="0">
                  <c:v>2017</c:v>
                </c:pt>
                <c:pt idx="1">
                  <c:v>2018</c:v>
                </c:pt>
                <c:pt idx="2">
                  <c:v>2019</c:v>
                </c:pt>
                <c:pt idx="3">
                  <c:v>2020</c:v>
                </c:pt>
                <c:pt idx="4">
                  <c:v>2021</c:v>
                </c:pt>
                <c:pt idx="5">
                  <c:v>2022</c:v>
                </c:pt>
              </c:numCache>
            </c:numRef>
          </c:cat>
          <c:val>
            <c:numRef>
              <c:f>BDP_doprinosi!$AB$8:$AG$8</c:f>
              <c:numCache>
                <c:formatCode>0.0</c:formatCode>
                <c:ptCount val="6"/>
                <c:pt idx="0">
                  <c:v>1.2445876782473857</c:v>
                </c:pt>
                <c:pt idx="1">
                  <c:v>3.1643807049366908</c:v>
                </c:pt>
                <c:pt idx="2">
                  <c:v>1.923699459237918</c:v>
                </c:pt>
                <c:pt idx="3">
                  <c:v>1.4659623410288898</c:v>
                </c:pt>
                <c:pt idx="4">
                  <c:v>1.2748234050255076</c:v>
                </c:pt>
                <c:pt idx="5">
                  <c:v>1.3637509901735809</c:v>
                </c:pt>
              </c:numCache>
            </c:numRef>
          </c:val>
          <c:extLst>
            <c:ext xmlns:c16="http://schemas.microsoft.com/office/drawing/2014/chart" uri="{C3380CC4-5D6E-409C-BE32-E72D297353CC}">
              <c16:uniqueId val="{00000001-7304-43F1-B6F0-4E09613B7444}"/>
            </c:ext>
          </c:extLst>
        </c:ser>
        <c:ser>
          <c:idx val="3"/>
          <c:order val="2"/>
          <c:tx>
            <c:strRef>
              <c:f>BDP_doprinosi!$R$10</c:f>
              <c:strCache>
                <c:ptCount val="1"/>
                <c:pt idx="0">
                  <c:v>Државна потрошња</c:v>
                </c:pt>
              </c:strCache>
            </c:strRef>
          </c:tx>
          <c:spPr>
            <a:solidFill>
              <a:srgbClr val="2183C4"/>
            </a:solidFill>
            <a:ln>
              <a:noFill/>
            </a:ln>
            <a:effectLst/>
          </c:spPr>
          <c:invertIfNegative val="0"/>
          <c:cat>
            <c:numRef>
              <c:f>BDP_doprinosi!$AB$6:$AG$6</c:f>
              <c:numCache>
                <c:formatCode>General</c:formatCode>
                <c:ptCount val="6"/>
                <c:pt idx="0">
                  <c:v>2017</c:v>
                </c:pt>
                <c:pt idx="1">
                  <c:v>2018</c:v>
                </c:pt>
                <c:pt idx="2">
                  <c:v>2019</c:v>
                </c:pt>
                <c:pt idx="3">
                  <c:v>2020</c:v>
                </c:pt>
                <c:pt idx="4">
                  <c:v>2021</c:v>
                </c:pt>
                <c:pt idx="5">
                  <c:v>2022</c:v>
                </c:pt>
              </c:numCache>
            </c:numRef>
          </c:cat>
          <c:val>
            <c:numRef>
              <c:f>BDP_doprinosi!$AB$10:$AG$10</c:f>
              <c:numCache>
                <c:formatCode>0.0</c:formatCode>
                <c:ptCount val="6"/>
                <c:pt idx="0">
                  <c:v>0.5233260241867046</c:v>
                </c:pt>
                <c:pt idx="1">
                  <c:v>0.59034965492144909</c:v>
                </c:pt>
                <c:pt idx="2">
                  <c:v>0.71742913348924353</c:v>
                </c:pt>
                <c:pt idx="3">
                  <c:v>0.26397015769501436</c:v>
                </c:pt>
                <c:pt idx="4">
                  <c:v>0.22327475838369773</c:v>
                </c:pt>
                <c:pt idx="5">
                  <c:v>6.6916369894286315E-2</c:v>
                </c:pt>
              </c:numCache>
            </c:numRef>
          </c:val>
          <c:extLst>
            <c:ext xmlns:c16="http://schemas.microsoft.com/office/drawing/2014/chart" uri="{C3380CC4-5D6E-409C-BE32-E72D297353CC}">
              <c16:uniqueId val="{00000002-7304-43F1-B6F0-4E09613B7444}"/>
            </c:ext>
          </c:extLst>
        </c:ser>
        <c:ser>
          <c:idx val="0"/>
          <c:order val="3"/>
          <c:tx>
            <c:strRef>
              <c:f>BDP_doprinosi!$R$12</c:f>
              <c:strCache>
                <c:ptCount val="1"/>
                <c:pt idx="0">
                  <c:v>Нето извоз</c:v>
                </c:pt>
              </c:strCache>
            </c:strRef>
          </c:tx>
          <c:spPr>
            <a:solidFill>
              <a:srgbClr val="51BBE7"/>
            </a:solidFill>
            <a:ln>
              <a:noFill/>
            </a:ln>
            <a:effectLst/>
          </c:spPr>
          <c:invertIfNegative val="0"/>
          <c:cat>
            <c:numRef>
              <c:f>BDP_doprinosi!$AB$6:$AG$6</c:f>
              <c:numCache>
                <c:formatCode>General</c:formatCode>
                <c:ptCount val="6"/>
                <c:pt idx="0">
                  <c:v>2017</c:v>
                </c:pt>
                <c:pt idx="1">
                  <c:v>2018</c:v>
                </c:pt>
                <c:pt idx="2">
                  <c:v>2019</c:v>
                </c:pt>
                <c:pt idx="3">
                  <c:v>2020</c:v>
                </c:pt>
                <c:pt idx="4">
                  <c:v>2021</c:v>
                </c:pt>
                <c:pt idx="5">
                  <c:v>2022</c:v>
                </c:pt>
              </c:numCache>
            </c:numRef>
          </c:cat>
          <c:val>
            <c:numRef>
              <c:f>BDP_doprinosi!$AB$12:$AG$12</c:f>
              <c:numCache>
                <c:formatCode>0.0</c:formatCode>
                <c:ptCount val="6"/>
                <c:pt idx="0">
                  <c:v>-1.965799687788198</c:v>
                </c:pt>
                <c:pt idx="1">
                  <c:v>-2.4329540482813177</c:v>
                </c:pt>
                <c:pt idx="2">
                  <c:v>-1.4672309130428935</c:v>
                </c:pt>
                <c:pt idx="3">
                  <c:v>-0.3929967896547269</c:v>
                </c:pt>
                <c:pt idx="4">
                  <c:v>-1.858999130419876E-2</c:v>
                </c:pt>
                <c:pt idx="5">
                  <c:v>1.8388664182718921E-3</c:v>
                </c:pt>
              </c:numCache>
            </c:numRef>
          </c:val>
          <c:extLst>
            <c:ext xmlns:c16="http://schemas.microsoft.com/office/drawing/2014/chart" uri="{C3380CC4-5D6E-409C-BE32-E72D297353CC}">
              <c16:uniqueId val="{00000003-7304-43F1-B6F0-4E09613B7444}"/>
            </c:ext>
          </c:extLst>
        </c:ser>
        <c:ser>
          <c:idx val="4"/>
          <c:order val="4"/>
          <c:tx>
            <c:strRef>
              <c:f>BDP_doprinosi!$R$11</c:f>
              <c:strCache>
                <c:ptCount val="1"/>
                <c:pt idx="0">
                  <c:v>Промена у залихама</c:v>
                </c:pt>
              </c:strCache>
            </c:strRef>
          </c:tx>
          <c:spPr>
            <a:solidFill>
              <a:srgbClr val="9ED1E6"/>
            </a:solidFill>
            <a:ln>
              <a:noFill/>
            </a:ln>
            <a:effectLst/>
          </c:spPr>
          <c:invertIfNegative val="0"/>
          <c:cat>
            <c:numRef>
              <c:f>BDP_doprinosi!$AB$6:$AG$6</c:f>
              <c:numCache>
                <c:formatCode>General</c:formatCode>
                <c:ptCount val="6"/>
                <c:pt idx="0">
                  <c:v>2017</c:v>
                </c:pt>
                <c:pt idx="1">
                  <c:v>2018</c:v>
                </c:pt>
                <c:pt idx="2">
                  <c:v>2019</c:v>
                </c:pt>
                <c:pt idx="3">
                  <c:v>2020</c:v>
                </c:pt>
                <c:pt idx="4">
                  <c:v>2021</c:v>
                </c:pt>
                <c:pt idx="5">
                  <c:v>2022</c:v>
                </c:pt>
              </c:numCache>
            </c:numRef>
          </c:cat>
          <c:val>
            <c:numRef>
              <c:f>BDP_doprinosi!$AB$11:$AG$11</c:f>
              <c:numCache>
                <c:formatCode>0.0</c:formatCode>
                <c:ptCount val="6"/>
                <c:pt idx="0">
                  <c:v>0.87484436035218782</c:v>
                </c:pt>
                <c:pt idx="1">
                  <c:v>0.90441175768081172</c:v>
                </c:pt>
                <c:pt idx="2">
                  <c:v>-4.8605296163899719E-2</c:v>
                </c:pt>
                <c:pt idx="3">
                  <c:v>6.0753750441651525E-3</c:v>
                </c:pt>
                <c:pt idx="4">
                  <c:v>4.9826224963375007E-2</c:v>
                </c:pt>
                <c:pt idx="5">
                  <c:v>4.1361824048960286E-2</c:v>
                </c:pt>
              </c:numCache>
            </c:numRef>
          </c:val>
          <c:extLst>
            <c:ext xmlns:c16="http://schemas.microsoft.com/office/drawing/2014/chart" uri="{C3380CC4-5D6E-409C-BE32-E72D297353CC}">
              <c16:uniqueId val="{00000004-7304-43F1-B6F0-4E09613B7444}"/>
            </c:ext>
          </c:extLst>
        </c:ser>
        <c:dLbls>
          <c:showLegendKey val="0"/>
          <c:showVal val="0"/>
          <c:showCatName val="0"/>
          <c:showSerName val="0"/>
          <c:showPercent val="0"/>
          <c:showBubbleSize val="0"/>
        </c:dLbls>
        <c:gapWidth val="60"/>
        <c:overlap val="100"/>
        <c:axId val="677490544"/>
        <c:axId val="677491104"/>
      </c:barChart>
      <c:lineChart>
        <c:grouping val="standard"/>
        <c:varyColors val="0"/>
        <c:ser>
          <c:idx val="5"/>
          <c:order val="5"/>
          <c:tx>
            <c:strRef>
              <c:f>BDP_doprinosi!$R$13</c:f>
              <c:strCache>
                <c:ptCount val="1"/>
                <c:pt idx="0">
                  <c:v>Реални раст БДП</c:v>
                </c:pt>
              </c:strCache>
            </c:strRef>
          </c:tx>
          <c:spPr>
            <a:ln w="25400" cap="rnd">
              <a:solidFill>
                <a:srgbClr val="FF0000"/>
              </a:solidFill>
              <a:round/>
            </a:ln>
            <a:effectLst/>
          </c:spPr>
          <c:marker>
            <c:symbol val="none"/>
          </c:marker>
          <c:dLbls>
            <c:dLbl>
              <c:idx val="0"/>
              <c:layout>
                <c:manualLayout>
                  <c:x val="-3.8217592592592595E-2"/>
                  <c:y val="2.519841269841269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7304-43F1-B6F0-4E09613B7444}"/>
                </c:ext>
              </c:extLst>
            </c:dLbl>
            <c:dLbl>
              <c:idx val="1"/>
              <c:dLblPos val="b"/>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7304-43F1-B6F0-4E09613B7444}"/>
                </c:ext>
              </c:extLst>
            </c:dLbl>
            <c:spPr>
              <a:noFill/>
              <a:ln>
                <a:noFill/>
              </a:ln>
              <a:effectLst/>
            </c:spPr>
            <c:txPr>
              <a:bodyPr rot="0" spcFirstLastPara="1" vertOverflow="ellipsis" vert="horz" wrap="square" anchor="ctr" anchorCtr="1"/>
              <a:lstStyle/>
              <a:p>
                <a:pPr>
                  <a:defRPr sz="750" b="1" i="0" u="none" strike="noStrike" kern="1200" baseline="0">
                    <a:solidFill>
                      <a:srgbClr val="FF0000"/>
                    </a:solidFill>
                    <a:latin typeface="+mn-lt"/>
                    <a:ea typeface="+mn-ea"/>
                    <a:cs typeface="Arial" panose="020B0604020202020204" pitchFamily="34" charset="0"/>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BDP_doprinosi!$AB$6:$AG$6</c:f>
              <c:numCache>
                <c:formatCode>General</c:formatCode>
                <c:ptCount val="6"/>
                <c:pt idx="0">
                  <c:v>2017</c:v>
                </c:pt>
                <c:pt idx="1">
                  <c:v>2018</c:v>
                </c:pt>
                <c:pt idx="2">
                  <c:v>2019</c:v>
                </c:pt>
                <c:pt idx="3">
                  <c:v>2020</c:v>
                </c:pt>
                <c:pt idx="4">
                  <c:v>2021</c:v>
                </c:pt>
                <c:pt idx="5">
                  <c:v>2022</c:v>
                </c:pt>
              </c:numCache>
            </c:numRef>
          </c:cat>
          <c:val>
            <c:numRef>
              <c:f>BDP_doprinosi!$AB$13:$AG$13</c:f>
              <c:numCache>
                <c:formatCode>0.0</c:formatCode>
                <c:ptCount val="6"/>
                <c:pt idx="0">
                  <c:v>2.0493058472632839</c:v>
                </c:pt>
                <c:pt idx="1">
                  <c:v>4.3899999999999997</c:v>
                </c:pt>
                <c:pt idx="2">
                  <c:v>3.5099999999999865</c:v>
                </c:pt>
                <c:pt idx="3">
                  <c:v>3.9999999999999978</c:v>
                </c:pt>
                <c:pt idx="4">
                  <c:v>4.0000000000000027</c:v>
                </c:pt>
                <c:pt idx="5">
                  <c:v>3.9899999999999953</c:v>
                </c:pt>
              </c:numCache>
            </c:numRef>
          </c:val>
          <c:smooth val="0"/>
          <c:extLst>
            <c:ext xmlns:c16="http://schemas.microsoft.com/office/drawing/2014/chart" uri="{C3380CC4-5D6E-409C-BE32-E72D297353CC}">
              <c16:uniqueId val="{00000007-7304-43F1-B6F0-4E09613B7444}"/>
            </c:ext>
          </c:extLst>
        </c:ser>
        <c:dLbls>
          <c:showLegendKey val="0"/>
          <c:showVal val="0"/>
          <c:showCatName val="0"/>
          <c:showSerName val="0"/>
          <c:showPercent val="0"/>
          <c:showBubbleSize val="0"/>
        </c:dLbls>
        <c:marker val="1"/>
        <c:smooth val="0"/>
        <c:axId val="677490544"/>
        <c:axId val="677491104"/>
      </c:lineChart>
      <c:catAx>
        <c:axId val="677490544"/>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en-US"/>
          </a:p>
        </c:txPr>
        <c:crossAx val="677491104"/>
        <c:crosses val="autoZero"/>
        <c:auto val="1"/>
        <c:lblAlgn val="ctr"/>
        <c:lblOffset val="100"/>
        <c:noMultiLvlLbl val="0"/>
      </c:catAx>
      <c:valAx>
        <c:axId val="677491104"/>
        <c:scaling>
          <c:orientation val="minMax"/>
          <c:max val="8"/>
          <c:min val="-4"/>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en-US"/>
          </a:p>
        </c:txPr>
        <c:crossAx val="677490544"/>
        <c:crosses val="autoZero"/>
        <c:crossBetween val="between"/>
      </c:valAx>
      <c:spPr>
        <a:noFill/>
        <a:ln>
          <a:noFill/>
        </a:ln>
        <a:effectLst/>
      </c:spPr>
    </c:plotArea>
    <c:legend>
      <c:legendPos val="b"/>
      <c:layout>
        <c:manualLayout>
          <c:xMode val="edge"/>
          <c:yMode val="edge"/>
          <c:x val="2.1039297171186931E-2"/>
          <c:y val="0.81984683421421634"/>
          <c:w val="0.94910177894429859"/>
          <c:h val="0.154936106269159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en-US"/>
        </a:p>
      </c:txPr>
    </c:legend>
    <c:plotVisOnly val="1"/>
    <c:dispBlanksAs val="gap"/>
    <c:showDLblsOverMax val="0"/>
  </c:chart>
  <c:spPr>
    <a:solidFill>
      <a:sysClr val="window" lastClr="FFFFFF"/>
    </a:solidFill>
    <a:ln w="9525" cap="flat" cmpd="sng" algn="ctr">
      <a:noFill/>
      <a:round/>
    </a:ln>
    <a:effectLst/>
  </c:spPr>
  <c:txPr>
    <a:bodyPr/>
    <a:lstStyle/>
    <a:p>
      <a:pPr>
        <a:defRPr sz="750">
          <a:solidFill>
            <a:schemeClr val="tx2"/>
          </a:solidFill>
          <a:latin typeface="+mn-lt"/>
          <a:cs typeface="Arial" panose="020B0604020202020204" pitchFamily="34" charset="0"/>
        </a:defRPr>
      </a:pPr>
      <a:endParaRPr lang="en-US"/>
    </a:p>
  </c:txPr>
  <c:externalData r:id="rId4">
    <c:autoUpdate val="0"/>
  </c:externalData>
  <c:userShapes r:id="rId5"/>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0253935185185188E-2"/>
          <c:y val="4.6197089947089945E-2"/>
          <c:w val="0.90740810185185183"/>
          <c:h val="0.69238921957671962"/>
        </c:manualLayout>
      </c:layout>
      <c:barChart>
        <c:barDir val="col"/>
        <c:grouping val="stacked"/>
        <c:varyColors val="0"/>
        <c:ser>
          <c:idx val="0"/>
          <c:order val="0"/>
          <c:tx>
            <c:strRef>
              <c:f>BDP_doprinosi!$R$34</c:f>
              <c:strCache>
                <c:ptCount val="1"/>
                <c:pt idx="0">
                  <c:v>Пољопривреда</c:v>
                </c:pt>
              </c:strCache>
            </c:strRef>
          </c:tx>
          <c:spPr>
            <a:solidFill>
              <a:srgbClr val="10103C"/>
            </a:solidFill>
            <a:ln>
              <a:noFill/>
            </a:ln>
            <a:effectLst/>
          </c:spPr>
          <c:invertIfNegative val="0"/>
          <c:cat>
            <c:numRef>
              <c:f>BDP_doprinosi!$AB$6:$AG$6</c:f>
              <c:numCache>
                <c:formatCode>General</c:formatCode>
                <c:ptCount val="6"/>
                <c:pt idx="0">
                  <c:v>2017</c:v>
                </c:pt>
                <c:pt idx="1">
                  <c:v>2018</c:v>
                </c:pt>
                <c:pt idx="2">
                  <c:v>2019</c:v>
                </c:pt>
                <c:pt idx="3">
                  <c:v>2020</c:v>
                </c:pt>
                <c:pt idx="4">
                  <c:v>2021</c:v>
                </c:pt>
                <c:pt idx="5">
                  <c:v>2022</c:v>
                </c:pt>
              </c:numCache>
            </c:numRef>
          </c:cat>
          <c:val>
            <c:numRef>
              <c:f>BDP_doprinosi!$AB$34:$AG$34</c:f>
              <c:numCache>
                <c:formatCode>0.0</c:formatCode>
                <c:ptCount val="6"/>
                <c:pt idx="0">
                  <c:v>-0.76470000000000005</c:v>
                </c:pt>
                <c:pt idx="1">
                  <c:v>0.9150311165652637</c:v>
                </c:pt>
                <c:pt idx="2">
                  <c:v>0</c:v>
                </c:pt>
                <c:pt idx="3">
                  <c:v>-0.17361408397129927</c:v>
                </c:pt>
                <c:pt idx="4">
                  <c:v>4.0923319793234832E-2</c:v>
                </c:pt>
                <c:pt idx="5">
                  <c:v>3.4722816794259863E-2</c:v>
                </c:pt>
              </c:numCache>
            </c:numRef>
          </c:val>
          <c:extLst>
            <c:ext xmlns:c16="http://schemas.microsoft.com/office/drawing/2014/chart" uri="{C3380CC4-5D6E-409C-BE32-E72D297353CC}">
              <c16:uniqueId val="{00000000-7E8D-4805-A2D5-233FD8C7BAC9}"/>
            </c:ext>
          </c:extLst>
        </c:ser>
        <c:ser>
          <c:idx val="1"/>
          <c:order val="1"/>
          <c:tx>
            <c:strRef>
              <c:f>BDP_doprinosi!$R$35</c:f>
              <c:strCache>
                <c:ptCount val="1"/>
                <c:pt idx="0">
                  <c:v>Индустрија</c:v>
                </c:pt>
              </c:strCache>
            </c:strRef>
          </c:tx>
          <c:spPr>
            <a:solidFill>
              <a:srgbClr val="29489A"/>
            </a:solidFill>
            <a:ln>
              <a:noFill/>
            </a:ln>
            <a:effectLst/>
          </c:spPr>
          <c:invertIfNegative val="0"/>
          <c:cat>
            <c:numRef>
              <c:f>BDP_doprinosi!$AB$6:$AG$6</c:f>
              <c:numCache>
                <c:formatCode>General</c:formatCode>
                <c:ptCount val="6"/>
                <c:pt idx="0">
                  <c:v>2017</c:v>
                </c:pt>
                <c:pt idx="1">
                  <c:v>2018</c:v>
                </c:pt>
                <c:pt idx="2">
                  <c:v>2019</c:v>
                </c:pt>
                <c:pt idx="3">
                  <c:v>2020</c:v>
                </c:pt>
                <c:pt idx="4">
                  <c:v>2021</c:v>
                </c:pt>
                <c:pt idx="5">
                  <c:v>2022</c:v>
                </c:pt>
              </c:numCache>
            </c:numRef>
          </c:cat>
          <c:val>
            <c:numRef>
              <c:f>BDP_doprinosi!$AB$35:$AG$35</c:f>
              <c:numCache>
                <c:formatCode>0.0</c:formatCode>
                <c:ptCount val="6"/>
                <c:pt idx="0">
                  <c:v>0.61990000000000001</c:v>
                </c:pt>
                <c:pt idx="1">
                  <c:v>0.22110679624142274</c:v>
                </c:pt>
                <c:pt idx="2">
                  <c:v>6.4020288256310884E-2</c:v>
                </c:pt>
                <c:pt idx="3">
                  <c:v>0.91762413167378931</c:v>
                </c:pt>
                <c:pt idx="4">
                  <c:v>1.0029845160155371</c:v>
                </c:pt>
                <c:pt idx="5">
                  <c:v>1.0542007466205858</c:v>
                </c:pt>
              </c:numCache>
            </c:numRef>
          </c:val>
          <c:extLst>
            <c:ext xmlns:c16="http://schemas.microsoft.com/office/drawing/2014/chart" uri="{C3380CC4-5D6E-409C-BE32-E72D297353CC}">
              <c16:uniqueId val="{00000001-7E8D-4805-A2D5-233FD8C7BAC9}"/>
            </c:ext>
          </c:extLst>
        </c:ser>
        <c:ser>
          <c:idx val="2"/>
          <c:order val="2"/>
          <c:tx>
            <c:strRef>
              <c:f>BDP_doprinosi!$R$36</c:f>
              <c:strCache>
                <c:ptCount val="1"/>
                <c:pt idx="0">
                  <c:v>Грађевинарство</c:v>
                </c:pt>
              </c:strCache>
            </c:strRef>
          </c:tx>
          <c:spPr>
            <a:solidFill>
              <a:srgbClr val="2183C4"/>
            </a:solidFill>
            <a:ln>
              <a:noFill/>
            </a:ln>
            <a:effectLst/>
          </c:spPr>
          <c:invertIfNegative val="0"/>
          <c:cat>
            <c:numRef>
              <c:f>BDP_doprinosi!$AB$6:$AG$6</c:f>
              <c:numCache>
                <c:formatCode>General</c:formatCode>
                <c:ptCount val="6"/>
                <c:pt idx="0">
                  <c:v>2017</c:v>
                </c:pt>
                <c:pt idx="1">
                  <c:v>2018</c:v>
                </c:pt>
                <c:pt idx="2">
                  <c:v>2019</c:v>
                </c:pt>
                <c:pt idx="3">
                  <c:v>2020</c:v>
                </c:pt>
                <c:pt idx="4">
                  <c:v>2021</c:v>
                </c:pt>
                <c:pt idx="5">
                  <c:v>2022</c:v>
                </c:pt>
              </c:numCache>
            </c:numRef>
          </c:cat>
          <c:val>
            <c:numRef>
              <c:f>BDP_doprinosi!$AB$36:$AG$36</c:f>
              <c:numCache>
                <c:formatCode>0.0</c:formatCode>
                <c:ptCount val="6"/>
                <c:pt idx="0">
                  <c:v>0.22289999999999999</c:v>
                </c:pt>
                <c:pt idx="1">
                  <c:v>0.52477243892168401</c:v>
                </c:pt>
                <c:pt idx="2">
                  <c:v>0.83512100065112382</c:v>
                </c:pt>
                <c:pt idx="3">
                  <c:v>0.41302179923506666</c:v>
                </c:pt>
                <c:pt idx="4">
                  <c:v>0.29501557088219049</c:v>
                </c:pt>
                <c:pt idx="5">
                  <c:v>0.27232206542971427</c:v>
                </c:pt>
              </c:numCache>
            </c:numRef>
          </c:val>
          <c:extLst>
            <c:ext xmlns:c16="http://schemas.microsoft.com/office/drawing/2014/chart" uri="{C3380CC4-5D6E-409C-BE32-E72D297353CC}">
              <c16:uniqueId val="{00000002-7E8D-4805-A2D5-233FD8C7BAC9}"/>
            </c:ext>
          </c:extLst>
        </c:ser>
        <c:ser>
          <c:idx val="3"/>
          <c:order val="3"/>
          <c:tx>
            <c:strRef>
              <c:f>BDP_doprinosi!$R$37</c:f>
              <c:strCache>
                <c:ptCount val="1"/>
                <c:pt idx="0">
                  <c:v>Услуге</c:v>
                </c:pt>
              </c:strCache>
            </c:strRef>
          </c:tx>
          <c:spPr>
            <a:solidFill>
              <a:srgbClr val="51BBE7"/>
            </a:solidFill>
            <a:ln>
              <a:noFill/>
            </a:ln>
            <a:effectLst/>
          </c:spPr>
          <c:invertIfNegative val="0"/>
          <c:cat>
            <c:numRef>
              <c:f>BDP_doprinosi!$AB$6:$AG$6</c:f>
              <c:numCache>
                <c:formatCode>General</c:formatCode>
                <c:ptCount val="6"/>
                <c:pt idx="0">
                  <c:v>2017</c:v>
                </c:pt>
                <c:pt idx="1">
                  <c:v>2018</c:v>
                </c:pt>
                <c:pt idx="2">
                  <c:v>2019</c:v>
                </c:pt>
                <c:pt idx="3">
                  <c:v>2020</c:v>
                </c:pt>
                <c:pt idx="4">
                  <c:v>2021</c:v>
                </c:pt>
                <c:pt idx="5">
                  <c:v>2022</c:v>
                </c:pt>
              </c:numCache>
            </c:numRef>
          </c:cat>
          <c:val>
            <c:numRef>
              <c:f>BDP_doprinosi!$AB$37:$AG$37</c:f>
              <c:numCache>
                <c:formatCode>0.0</c:formatCode>
                <c:ptCount val="6"/>
                <c:pt idx="0">
                  <c:v>1.6859999999999999</c:v>
                </c:pt>
                <c:pt idx="1">
                  <c:v>2.1279356633128277</c:v>
                </c:pt>
                <c:pt idx="2">
                  <c:v>1.9894451692241333</c:v>
                </c:pt>
                <c:pt idx="3">
                  <c:v>2.1934908276060958</c:v>
                </c:pt>
                <c:pt idx="4">
                  <c:v>2.0710634325769184</c:v>
                </c:pt>
                <c:pt idx="5">
                  <c:v>2.0654521769714145</c:v>
                </c:pt>
              </c:numCache>
            </c:numRef>
          </c:val>
          <c:extLst>
            <c:ext xmlns:c16="http://schemas.microsoft.com/office/drawing/2014/chart" uri="{C3380CC4-5D6E-409C-BE32-E72D297353CC}">
              <c16:uniqueId val="{00000003-7E8D-4805-A2D5-233FD8C7BAC9}"/>
            </c:ext>
          </c:extLst>
        </c:ser>
        <c:ser>
          <c:idx val="4"/>
          <c:order val="4"/>
          <c:tx>
            <c:strRef>
              <c:f>BDP_doprinosi!$R$38</c:f>
              <c:strCache>
                <c:ptCount val="1"/>
                <c:pt idx="0">
                  <c:v>Нето порези</c:v>
                </c:pt>
              </c:strCache>
            </c:strRef>
          </c:tx>
          <c:spPr>
            <a:solidFill>
              <a:srgbClr val="9ED1E6"/>
            </a:solidFill>
            <a:ln>
              <a:noFill/>
            </a:ln>
            <a:effectLst/>
          </c:spPr>
          <c:invertIfNegative val="0"/>
          <c:cat>
            <c:numRef>
              <c:f>BDP_doprinosi!$AB$6:$AG$6</c:f>
              <c:numCache>
                <c:formatCode>General</c:formatCode>
                <c:ptCount val="6"/>
                <c:pt idx="0">
                  <c:v>2017</c:v>
                </c:pt>
                <c:pt idx="1">
                  <c:v>2018</c:v>
                </c:pt>
                <c:pt idx="2">
                  <c:v>2019</c:v>
                </c:pt>
                <c:pt idx="3">
                  <c:v>2020</c:v>
                </c:pt>
                <c:pt idx="4">
                  <c:v>2021</c:v>
                </c:pt>
                <c:pt idx="5">
                  <c:v>2022</c:v>
                </c:pt>
              </c:numCache>
            </c:numRef>
          </c:cat>
          <c:val>
            <c:numRef>
              <c:f>BDP_doprinosi!$AB$38:$AG$38</c:f>
              <c:numCache>
                <c:formatCode>0.0</c:formatCode>
                <c:ptCount val="6"/>
                <c:pt idx="0">
                  <c:v>0.2848</c:v>
                </c:pt>
                <c:pt idx="1">
                  <c:v>0.60338822758682409</c:v>
                </c:pt>
                <c:pt idx="2">
                  <c:v>0.57491569780647556</c:v>
                </c:pt>
                <c:pt idx="3">
                  <c:v>0.61380705383456069</c:v>
                </c:pt>
                <c:pt idx="4">
                  <c:v>0.55800641257687333</c:v>
                </c:pt>
                <c:pt idx="5">
                  <c:v>0.52418784211766889</c:v>
                </c:pt>
              </c:numCache>
            </c:numRef>
          </c:val>
          <c:extLst>
            <c:ext xmlns:c16="http://schemas.microsoft.com/office/drawing/2014/chart" uri="{C3380CC4-5D6E-409C-BE32-E72D297353CC}">
              <c16:uniqueId val="{00000004-7E8D-4805-A2D5-233FD8C7BAC9}"/>
            </c:ext>
          </c:extLst>
        </c:ser>
        <c:dLbls>
          <c:showLegendKey val="0"/>
          <c:showVal val="0"/>
          <c:showCatName val="0"/>
          <c:showSerName val="0"/>
          <c:showPercent val="0"/>
          <c:showBubbleSize val="0"/>
        </c:dLbls>
        <c:gapWidth val="60"/>
        <c:overlap val="100"/>
        <c:axId val="677503424"/>
        <c:axId val="677503984"/>
      </c:barChart>
      <c:lineChart>
        <c:grouping val="standard"/>
        <c:varyColors val="0"/>
        <c:ser>
          <c:idx val="5"/>
          <c:order val="5"/>
          <c:tx>
            <c:strRef>
              <c:f>BDP_doprinosi!$R$39</c:f>
              <c:strCache>
                <c:ptCount val="1"/>
                <c:pt idx="0">
                  <c:v>Реални раст БДП</c:v>
                </c:pt>
              </c:strCache>
            </c:strRef>
          </c:tx>
          <c:spPr>
            <a:ln w="25400" cap="rnd">
              <a:solidFill>
                <a:srgbClr val="FF0000"/>
              </a:solidFill>
              <a:round/>
            </a:ln>
            <a:effectLst/>
          </c:spPr>
          <c:marker>
            <c:symbol val="none"/>
          </c:marker>
          <c:dLbls>
            <c:dLbl>
              <c:idx val="0"/>
              <c:dLblPos val="b"/>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7E8D-4805-A2D5-233FD8C7BAC9}"/>
                </c:ext>
              </c:extLst>
            </c:dLbl>
            <c:spPr>
              <a:noFill/>
              <a:ln>
                <a:noFill/>
              </a:ln>
              <a:effectLst/>
            </c:spPr>
            <c:txPr>
              <a:bodyPr rot="0" spcFirstLastPara="1" vertOverflow="ellipsis" vert="horz" wrap="square" anchor="ctr" anchorCtr="1"/>
              <a:lstStyle/>
              <a:p>
                <a:pPr>
                  <a:defRPr sz="750" b="1" i="0" u="none" strike="noStrike" kern="1200" baseline="0">
                    <a:solidFill>
                      <a:srgbClr val="FF0000"/>
                    </a:solidFill>
                    <a:latin typeface="+mn-lt"/>
                    <a:ea typeface="+mn-ea"/>
                    <a:cs typeface="Arial" panose="020B0604020202020204" pitchFamily="34" charset="0"/>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BDP_doprinosi!$AB$33:$AG$33</c:f>
              <c:numCache>
                <c:formatCode>General</c:formatCode>
                <c:ptCount val="6"/>
                <c:pt idx="0">
                  <c:v>2017</c:v>
                </c:pt>
                <c:pt idx="1">
                  <c:v>2018</c:v>
                </c:pt>
                <c:pt idx="2">
                  <c:v>2019</c:v>
                </c:pt>
                <c:pt idx="3">
                  <c:v>2020</c:v>
                </c:pt>
                <c:pt idx="4">
                  <c:v>2021</c:v>
                </c:pt>
                <c:pt idx="5">
                  <c:v>2022</c:v>
                </c:pt>
              </c:numCache>
            </c:numRef>
          </c:cat>
          <c:val>
            <c:numRef>
              <c:f>BDP_doprinosi!$AB$39:$AG$39</c:f>
              <c:numCache>
                <c:formatCode>0.0</c:formatCode>
                <c:ptCount val="6"/>
                <c:pt idx="0">
                  <c:v>2.04</c:v>
                </c:pt>
                <c:pt idx="1">
                  <c:v>4.3922342426280343</c:v>
                </c:pt>
                <c:pt idx="2">
                  <c:v>3.4529479162502428</c:v>
                </c:pt>
                <c:pt idx="3">
                  <c:v>3.9526805462702184</c:v>
                </c:pt>
                <c:pt idx="4">
                  <c:v>4.0267175475386772</c:v>
                </c:pt>
                <c:pt idx="5">
                  <c:v>4.0267175475386772</c:v>
                </c:pt>
              </c:numCache>
            </c:numRef>
          </c:val>
          <c:smooth val="0"/>
          <c:extLst>
            <c:ext xmlns:c16="http://schemas.microsoft.com/office/drawing/2014/chart" uri="{C3380CC4-5D6E-409C-BE32-E72D297353CC}">
              <c16:uniqueId val="{00000006-7E8D-4805-A2D5-233FD8C7BAC9}"/>
            </c:ext>
          </c:extLst>
        </c:ser>
        <c:dLbls>
          <c:showLegendKey val="0"/>
          <c:showVal val="0"/>
          <c:showCatName val="0"/>
          <c:showSerName val="0"/>
          <c:showPercent val="0"/>
          <c:showBubbleSize val="0"/>
        </c:dLbls>
        <c:marker val="1"/>
        <c:smooth val="0"/>
        <c:axId val="677503424"/>
        <c:axId val="677503984"/>
      </c:lineChart>
      <c:catAx>
        <c:axId val="677503424"/>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en-US"/>
          </a:p>
        </c:txPr>
        <c:crossAx val="677503984"/>
        <c:crosses val="autoZero"/>
        <c:auto val="1"/>
        <c:lblAlgn val="ctr"/>
        <c:lblOffset val="100"/>
        <c:noMultiLvlLbl val="0"/>
      </c:catAx>
      <c:valAx>
        <c:axId val="677503984"/>
        <c:scaling>
          <c:orientation val="minMax"/>
          <c:max val="6"/>
          <c:min val="-2"/>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en-US"/>
          </a:p>
        </c:txPr>
        <c:crossAx val="677503424"/>
        <c:crosses val="autoZero"/>
        <c:crossBetween val="between"/>
        <c:majorUnit val="2"/>
      </c:valAx>
      <c:spPr>
        <a:noFill/>
        <a:ln>
          <a:noFill/>
        </a:ln>
        <a:effectLst/>
      </c:spPr>
    </c:plotArea>
    <c:legend>
      <c:legendPos val="b"/>
      <c:layout>
        <c:manualLayout>
          <c:xMode val="edge"/>
          <c:yMode val="edge"/>
          <c:x val="5.7127442403032962E-2"/>
          <c:y val="0.83627910052910048"/>
          <c:w val="0.89882400116652106"/>
          <c:h val="0.1637206807482398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en-US"/>
        </a:p>
      </c:txPr>
    </c:legend>
    <c:plotVisOnly val="1"/>
    <c:dispBlanksAs val="gap"/>
    <c:showDLblsOverMax val="0"/>
  </c:chart>
  <c:spPr>
    <a:solidFill>
      <a:sysClr val="window" lastClr="FFFFFF"/>
    </a:solidFill>
    <a:ln w="9525" cap="flat" cmpd="sng" algn="ctr">
      <a:noFill/>
      <a:round/>
    </a:ln>
    <a:effectLst/>
  </c:spPr>
  <c:txPr>
    <a:bodyPr/>
    <a:lstStyle/>
    <a:p>
      <a:pPr>
        <a:defRPr sz="750">
          <a:solidFill>
            <a:schemeClr val="tx2"/>
          </a:solidFill>
          <a:latin typeface="+mn-lt"/>
          <a:cs typeface="Arial" panose="020B0604020202020204" pitchFamily="34" charset="0"/>
        </a:defRPr>
      </a:pPr>
      <a:endParaRPr lang="en-US"/>
    </a:p>
  </c:txPr>
  <c:externalData r:id="rId4">
    <c:autoUpdate val="0"/>
  </c:externalData>
  <c:userShapes r:id="rId5"/>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0253890798861412E-2"/>
          <c:y val="9.5036966533029524E-2"/>
          <c:w val="0.90740810185185183"/>
          <c:h val="0.58088975694444445"/>
        </c:manualLayout>
      </c:layout>
      <c:barChart>
        <c:barDir val="col"/>
        <c:grouping val="stacked"/>
        <c:varyColors val="0"/>
        <c:ser>
          <c:idx val="2"/>
          <c:order val="0"/>
          <c:tx>
            <c:strRef>
              <c:f>'nepoljoprivredni BDP'!$D$5</c:f>
              <c:strCache>
                <c:ptCount val="1"/>
                <c:pt idx="0">
                  <c:v>Допринос фактора рада, п.п.</c:v>
                </c:pt>
              </c:strCache>
            </c:strRef>
          </c:tx>
          <c:spPr>
            <a:solidFill>
              <a:srgbClr val="10103C"/>
            </a:solidFill>
            <a:ln>
              <a:noFill/>
            </a:ln>
            <a:effectLst/>
          </c:spPr>
          <c:invertIfNegative val="0"/>
          <c:cat>
            <c:numRef>
              <c:f>'nepoljoprivredni BDP'!$B$8:$B$13</c:f>
              <c:numCache>
                <c:formatCode>General</c:formatCode>
                <c:ptCount val="6"/>
                <c:pt idx="0">
                  <c:v>2017</c:v>
                </c:pt>
                <c:pt idx="1">
                  <c:v>2018</c:v>
                </c:pt>
                <c:pt idx="2">
                  <c:v>2019</c:v>
                </c:pt>
                <c:pt idx="3">
                  <c:v>2020</c:v>
                </c:pt>
                <c:pt idx="4">
                  <c:v>2021</c:v>
                </c:pt>
                <c:pt idx="5">
                  <c:v>2022</c:v>
                </c:pt>
              </c:numCache>
            </c:numRef>
          </c:cat>
          <c:val>
            <c:numRef>
              <c:f>'nepoljoprivredni BDP'!$D$8:$D$13</c:f>
              <c:numCache>
                <c:formatCode>0.0</c:formatCode>
                <c:ptCount val="6"/>
                <c:pt idx="0">
                  <c:v>1.6223968370262953</c:v>
                </c:pt>
                <c:pt idx="1">
                  <c:v>1.2777861318862171</c:v>
                </c:pt>
                <c:pt idx="2">
                  <c:v>1.999799964721696</c:v>
                </c:pt>
                <c:pt idx="3">
                  <c:v>1.0416810991031777</c:v>
                </c:pt>
                <c:pt idx="4">
                  <c:v>0.71127322500291301</c:v>
                </c:pt>
                <c:pt idx="5">
                  <c:v>0.59684402098906575</c:v>
                </c:pt>
              </c:numCache>
            </c:numRef>
          </c:val>
          <c:extLst>
            <c:ext xmlns:c16="http://schemas.microsoft.com/office/drawing/2014/chart" uri="{C3380CC4-5D6E-409C-BE32-E72D297353CC}">
              <c16:uniqueId val="{00000000-F670-4CDD-892F-0243B631ADBF}"/>
            </c:ext>
          </c:extLst>
        </c:ser>
        <c:ser>
          <c:idx val="1"/>
          <c:order val="1"/>
          <c:tx>
            <c:strRef>
              <c:f>'nepoljoprivredni BDP'!$E$5</c:f>
              <c:strCache>
                <c:ptCount val="1"/>
                <c:pt idx="0">
                  <c:v>Допринос капитала, п.п.</c:v>
                </c:pt>
              </c:strCache>
            </c:strRef>
          </c:tx>
          <c:spPr>
            <a:solidFill>
              <a:srgbClr val="29489A"/>
            </a:solidFill>
            <a:ln>
              <a:noFill/>
            </a:ln>
            <a:effectLst/>
          </c:spPr>
          <c:invertIfNegative val="0"/>
          <c:cat>
            <c:numRef>
              <c:f>'nepoljoprivredni BDP'!$B$8:$B$13</c:f>
              <c:numCache>
                <c:formatCode>General</c:formatCode>
                <c:ptCount val="6"/>
                <c:pt idx="0">
                  <c:v>2017</c:v>
                </c:pt>
                <c:pt idx="1">
                  <c:v>2018</c:v>
                </c:pt>
                <c:pt idx="2">
                  <c:v>2019</c:v>
                </c:pt>
                <c:pt idx="3">
                  <c:v>2020</c:v>
                </c:pt>
                <c:pt idx="4">
                  <c:v>2021</c:v>
                </c:pt>
                <c:pt idx="5">
                  <c:v>2022</c:v>
                </c:pt>
              </c:numCache>
            </c:numRef>
          </c:cat>
          <c:val>
            <c:numRef>
              <c:f>'nepoljoprivredni BDP'!$E$8:$E$13</c:f>
              <c:numCache>
                <c:formatCode>0.0</c:formatCode>
                <c:ptCount val="6"/>
                <c:pt idx="0">
                  <c:v>0.77462037637002545</c:v>
                </c:pt>
                <c:pt idx="1">
                  <c:v>0.95620425879738391</c:v>
                </c:pt>
                <c:pt idx="2">
                  <c:v>1.0660381380605555</c:v>
                </c:pt>
                <c:pt idx="3">
                  <c:v>1.1765049052099741</c:v>
                </c:pt>
                <c:pt idx="4">
                  <c:v>1.2831762073657957</c:v>
                </c:pt>
                <c:pt idx="5">
                  <c:v>1.3881971844227414</c:v>
                </c:pt>
              </c:numCache>
            </c:numRef>
          </c:val>
          <c:extLst>
            <c:ext xmlns:c16="http://schemas.microsoft.com/office/drawing/2014/chart" uri="{C3380CC4-5D6E-409C-BE32-E72D297353CC}">
              <c16:uniqueId val="{00000001-F670-4CDD-892F-0243B631ADBF}"/>
            </c:ext>
          </c:extLst>
        </c:ser>
        <c:ser>
          <c:idx val="3"/>
          <c:order val="2"/>
          <c:tx>
            <c:strRef>
              <c:f>'nepoljoprivredni BDP'!$F$5</c:f>
              <c:strCache>
                <c:ptCount val="1"/>
                <c:pt idx="0">
                  <c:v>ТФП, п.п.</c:v>
                </c:pt>
              </c:strCache>
            </c:strRef>
          </c:tx>
          <c:spPr>
            <a:solidFill>
              <a:srgbClr val="51BBE7"/>
            </a:solidFill>
            <a:ln>
              <a:noFill/>
            </a:ln>
            <a:effectLst/>
          </c:spPr>
          <c:invertIfNegative val="0"/>
          <c:cat>
            <c:numRef>
              <c:f>'nepoljoprivredni BDP'!$B$8:$B$13</c:f>
              <c:numCache>
                <c:formatCode>General</c:formatCode>
                <c:ptCount val="6"/>
                <c:pt idx="0">
                  <c:v>2017</c:v>
                </c:pt>
                <c:pt idx="1">
                  <c:v>2018</c:v>
                </c:pt>
                <c:pt idx="2">
                  <c:v>2019</c:v>
                </c:pt>
                <c:pt idx="3">
                  <c:v>2020</c:v>
                </c:pt>
                <c:pt idx="4">
                  <c:v>2021</c:v>
                </c:pt>
                <c:pt idx="5">
                  <c:v>2022</c:v>
                </c:pt>
              </c:numCache>
            </c:numRef>
          </c:cat>
          <c:val>
            <c:numRef>
              <c:f>'nepoljoprivredni BDP'!$F$8:$F$13</c:f>
              <c:numCache>
                <c:formatCode>0.0</c:formatCode>
                <c:ptCount val="6"/>
                <c:pt idx="0">
                  <c:v>0.37029135378100814</c:v>
                </c:pt>
                <c:pt idx="1">
                  <c:v>1.0413902121923311</c:v>
                </c:pt>
                <c:pt idx="2">
                  <c:v>0.57802505363641832</c:v>
                </c:pt>
                <c:pt idx="3">
                  <c:v>1.6646014617787011</c:v>
                </c:pt>
                <c:pt idx="4">
                  <c:v>2.0181853012799253</c:v>
                </c:pt>
                <c:pt idx="5">
                  <c:v>2.0832164640295812</c:v>
                </c:pt>
              </c:numCache>
            </c:numRef>
          </c:val>
          <c:extLst>
            <c:ext xmlns:c16="http://schemas.microsoft.com/office/drawing/2014/chart" uri="{C3380CC4-5D6E-409C-BE32-E72D297353CC}">
              <c16:uniqueId val="{00000002-F670-4CDD-892F-0243B631ADBF}"/>
            </c:ext>
          </c:extLst>
        </c:ser>
        <c:dLbls>
          <c:showLegendKey val="0"/>
          <c:showVal val="0"/>
          <c:showCatName val="0"/>
          <c:showSerName val="0"/>
          <c:showPercent val="0"/>
          <c:showBubbleSize val="0"/>
        </c:dLbls>
        <c:gapWidth val="60"/>
        <c:overlap val="100"/>
        <c:axId val="448470000"/>
        <c:axId val="448470560"/>
      </c:barChart>
      <c:lineChart>
        <c:grouping val="standard"/>
        <c:varyColors val="0"/>
        <c:ser>
          <c:idx val="0"/>
          <c:order val="3"/>
          <c:tx>
            <c:strRef>
              <c:f>'nepoljoprivredni BDP'!$C$5</c:f>
              <c:strCache>
                <c:ptCount val="1"/>
                <c:pt idx="0">
                  <c:v>Раст потенцијалног БДП, %</c:v>
                </c:pt>
              </c:strCache>
            </c:strRef>
          </c:tx>
          <c:spPr>
            <a:ln w="28575" cap="rnd">
              <a:solidFill>
                <a:srgbClr val="FF0000"/>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rgbClr val="FF0000"/>
                    </a:solidFill>
                    <a:latin typeface="+mn-lt"/>
                    <a:ea typeface="+mn-ea"/>
                    <a:cs typeface="Arial" panose="020B0604020202020204" pitchFamily="34" charset="0"/>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'nepoljoprivredni BDP'!$B$8:$B$13</c:f>
              <c:numCache>
                <c:formatCode>General</c:formatCode>
                <c:ptCount val="6"/>
                <c:pt idx="0">
                  <c:v>2017</c:v>
                </c:pt>
                <c:pt idx="1">
                  <c:v>2018</c:v>
                </c:pt>
                <c:pt idx="2">
                  <c:v>2019</c:v>
                </c:pt>
                <c:pt idx="3">
                  <c:v>2020</c:v>
                </c:pt>
                <c:pt idx="4">
                  <c:v>2021</c:v>
                </c:pt>
                <c:pt idx="5">
                  <c:v>2022</c:v>
                </c:pt>
              </c:numCache>
            </c:numRef>
          </c:cat>
          <c:val>
            <c:numRef>
              <c:f>'nepoljoprivredni BDP'!$C$8:$C$13</c:f>
              <c:numCache>
                <c:formatCode>0.0</c:formatCode>
                <c:ptCount val="6"/>
                <c:pt idx="0">
                  <c:v>2.767308567177329</c:v>
                </c:pt>
                <c:pt idx="1">
                  <c:v>3.2753806028759325</c:v>
                </c:pt>
                <c:pt idx="2">
                  <c:v>3.6438631564186696</c:v>
                </c:pt>
                <c:pt idx="3">
                  <c:v>3.8827874660918527</c:v>
                </c:pt>
                <c:pt idx="4">
                  <c:v>4.0126347336486345</c:v>
                </c:pt>
                <c:pt idx="5">
                  <c:v>4.0682576694413886</c:v>
                </c:pt>
              </c:numCache>
            </c:numRef>
          </c:val>
          <c:smooth val="0"/>
          <c:extLst>
            <c:ext xmlns:c16="http://schemas.microsoft.com/office/drawing/2014/chart" uri="{C3380CC4-5D6E-409C-BE32-E72D297353CC}">
              <c16:uniqueId val="{00000003-F670-4CDD-892F-0243B631ADBF}"/>
            </c:ext>
          </c:extLst>
        </c:ser>
        <c:dLbls>
          <c:showLegendKey val="0"/>
          <c:showVal val="0"/>
          <c:showCatName val="0"/>
          <c:showSerName val="0"/>
          <c:showPercent val="0"/>
          <c:showBubbleSize val="0"/>
        </c:dLbls>
        <c:marker val="1"/>
        <c:smooth val="0"/>
        <c:axId val="448470000"/>
        <c:axId val="448470560"/>
      </c:lineChart>
      <c:catAx>
        <c:axId val="448470000"/>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en-US"/>
          </a:p>
        </c:txPr>
        <c:crossAx val="448470560"/>
        <c:crossesAt val="0"/>
        <c:auto val="1"/>
        <c:lblAlgn val="ctr"/>
        <c:lblOffset val="100"/>
        <c:noMultiLvlLbl val="0"/>
      </c:catAx>
      <c:valAx>
        <c:axId val="448470560"/>
        <c:scaling>
          <c:orientation val="minMax"/>
          <c:min val="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en-US"/>
          </a:p>
        </c:txPr>
        <c:crossAx val="448470000"/>
        <c:crosses val="autoZero"/>
        <c:crossBetween val="between"/>
        <c:majorUnit val="1"/>
        <c:minorUnit val="0.2"/>
      </c:valAx>
      <c:spPr>
        <a:noFill/>
        <a:ln>
          <a:noFill/>
        </a:ln>
        <a:effectLst/>
      </c:spPr>
    </c:plotArea>
    <c:legend>
      <c:legendPos val="b"/>
      <c:layout>
        <c:manualLayout>
          <c:xMode val="edge"/>
          <c:yMode val="edge"/>
          <c:x val="1.4346234889652889E-3"/>
          <c:y val="0.79209678819444451"/>
          <c:w val="0.99827437063324831"/>
          <c:h val="0.19444878472222224"/>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en-US"/>
        </a:p>
      </c:txPr>
    </c:legend>
    <c:plotVisOnly val="1"/>
    <c:dispBlanksAs val="gap"/>
    <c:showDLblsOverMax val="0"/>
  </c:chart>
  <c:spPr>
    <a:solidFill>
      <a:sysClr val="window" lastClr="FFFFFF"/>
    </a:solidFill>
    <a:ln w="9525" cap="flat" cmpd="sng" algn="ctr">
      <a:noFill/>
      <a:round/>
    </a:ln>
    <a:effectLst/>
  </c:spPr>
  <c:txPr>
    <a:bodyPr/>
    <a:lstStyle/>
    <a:p>
      <a:pPr>
        <a:defRPr sz="750">
          <a:solidFill>
            <a:schemeClr val="tx2"/>
          </a:solidFill>
          <a:latin typeface="+mn-lt"/>
          <a:cs typeface="Arial" panose="020B0604020202020204" pitchFamily="34" charset="0"/>
        </a:defRPr>
      </a:pPr>
      <a:endParaRPr lang="en-US"/>
    </a:p>
  </c:txPr>
  <c:externalData r:id="rId4">
    <c:autoUpdate val="0"/>
  </c:externalData>
  <c:userShapes r:id="rId5"/>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2.6672863808690581E-2"/>
          <c:y val="0.10225565087946097"/>
          <c:w val="0.96452464275298921"/>
          <c:h val="0.7363283320928169"/>
        </c:manualLayout>
      </c:layout>
      <c:barChart>
        <c:barDir val="col"/>
        <c:grouping val="clustered"/>
        <c:varyColors val="0"/>
        <c:ser>
          <c:idx val="0"/>
          <c:order val="0"/>
          <c:tx>
            <c:strRef>
              <c:f>'Trziste rada'!$Q$9</c:f>
              <c:strCache>
                <c:ptCount val="1"/>
                <c:pt idx="0">
                  <c:v>I 2018</c:v>
                </c:pt>
              </c:strCache>
            </c:strRef>
          </c:tx>
          <c:spPr>
            <a:solidFill>
              <a:srgbClr val="29489A"/>
            </a:solidFill>
            <a:ln>
              <a:noFill/>
            </a:ln>
            <a:effectLst/>
          </c:spPr>
          <c:invertIfNegative val="0"/>
          <c:dLbls>
            <c:dLbl>
              <c:idx val="0"/>
              <c:spPr>
                <a:noFill/>
                <a:ln>
                  <a:noFill/>
                </a:ln>
                <a:effectLst/>
              </c:spPr>
              <c:txPr>
                <a:bodyPr rot="-5400000" spcFirstLastPara="1" vertOverflow="ellipsis" wrap="square" anchor="ctr" anchorCtr="1"/>
                <a:lstStyle/>
                <a:p>
                  <a:pPr>
                    <a:defRPr sz="750" b="0" i="0" u="none" strike="noStrike" kern="1200" baseline="0">
                      <a:solidFill>
                        <a:sysClr val="windowText" lastClr="000000"/>
                      </a:solidFill>
                      <a:latin typeface="+mn-lt"/>
                      <a:ea typeface="+mn-ea"/>
                      <a:cs typeface="+mn-cs"/>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9324-4D8F-B3E5-C480250866A3}"/>
                </c:ext>
              </c:extLst>
            </c:dLbl>
            <c:spPr>
              <a:noFill/>
              <a:ln>
                <a:noFill/>
              </a:ln>
              <a:effectLst/>
            </c:spPr>
            <c:txPr>
              <a:bodyPr rot="-5400000" spcFirstLastPara="1" vertOverflow="ellipsis" wrap="square" anchor="ctr" anchorCtr="1"/>
              <a:lstStyle/>
              <a:p>
                <a:pPr>
                  <a:defRPr sz="750" b="0" i="0" u="none" strike="noStrike" kern="1200" baseline="0">
                    <a:solidFill>
                      <a:schemeClr val="bg1"/>
                    </a:solidFill>
                    <a:latin typeface="+mn-lt"/>
                    <a:ea typeface="+mn-ea"/>
                    <a:cs typeface="+mn-cs"/>
                  </a:defRPr>
                </a:pPr>
                <a:endParaRPr lang="en-U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'Trziste rada'!$R$8:$T$8</c:f>
              <c:strCache>
                <c:ptCount val="3"/>
                <c:pt idx="0">
                  <c:v>Стопа незапослености</c:v>
                </c:pt>
                <c:pt idx="1">
                  <c:v>Стопа запослености</c:v>
                </c:pt>
                <c:pt idx="2">
                  <c:v>Стопа неактивности</c:v>
                </c:pt>
              </c:strCache>
            </c:strRef>
          </c:cat>
          <c:val>
            <c:numRef>
              <c:f>'Trziste rada'!$R$9:$T$9</c:f>
              <c:numCache>
                <c:formatCode>0.0%</c:formatCode>
                <c:ptCount val="3"/>
                <c:pt idx="0">
                  <c:v>0.14799999999999999</c:v>
                </c:pt>
                <c:pt idx="1">
                  <c:v>0.45100000000000001</c:v>
                </c:pt>
                <c:pt idx="2">
                  <c:v>0.47099999999999997</c:v>
                </c:pt>
              </c:numCache>
            </c:numRef>
          </c:val>
          <c:extLst>
            <c:ext xmlns:c16="http://schemas.microsoft.com/office/drawing/2014/chart" uri="{C3380CC4-5D6E-409C-BE32-E72D297353CC}">
              <c16:uniqueId val="{00000001-9324-4D8F-B3E5-C480250866A3}"/>
            </c:ext>
          </c:extLst>
        </c:ser>
        <c:ser>
          <c:idx val="1"/>
          <c:order val="1"/>
          <c:tx>
            <c:strRef>
              <c:f>'Trziste rada'!$Q$10</c:f>
              <c:strCache>
                <c:ptCount val="1"/>
                <c:pt idx="0">
                  <c:v>II 2018</c:v>
                </c:pt>
              </c:strCache>
            </c:strRef>
          </c:tx>
          <c:spPr>
            <a:solidFill>
              <a:srgbClr val="29489A"/>
            </a:solidFill>
            <a:ln>
              <a:noFill/>
            </a:ln>
            <a:effectLst/>
          </c:spPr>
          <c:invertIfNegative val="0"/>
          <c:dLbls>
            <c:dLbl>
              <c:idx val="0"/>
              <c:spPr>
                <a:noFill/>
                <a:ln>
                  <a:noFill/>
                </a:ln>
                <a:effectLst/>
              </c:spPr>
              <c:txPr>
                <a:bodyPr rot="-5400000" spcFirstLastPara="1" vertOverflow="ellipsis" wrap="square" anchor="ctr" anchorCtr="1"/>
                <a:lstStyle/>
                <a:p>
                  <a:pPr>
                    <a:defRPr sz="750" b="0" i="0" u="none" strike="noStrike" kern="1200" baseline="0">
                      <a:solidFill>
                        <a:sysClr val="windowText" lastClr="000000"/>
                      </a:solidFill>
                      <a:latin typeface="+mn-lt"/>
                      <a:ea typeface="+mn-ea"/>
                      <a:cs typeface="+mn-cs"/>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9324-4D8F-B3E5-C480250866A3}"/>
                </c:ext>
              </c:extLst>
            </c:dLbl>
            <c:spPr>
              <a:noFill/>
              <a:ln>
                <a:noFill/>
              </a:ln>
              <a:effectLst/>
            </c:spPr>
            <c:txPr>
              <a:bodyPr rot="-5400000" spcFirstLastPara="1" vertOverflow="ellipsis" wrap="square" anchor="ctr" anchorCtr="1"/>
              <a:lstStyle/>
              <a:p>
                <a:pPr>
                  <a:defRPr sz="750" b="0" i="0" u="none" strike="noStrike" kern="1200" baseline="0">
                    <a:solidFill>
                      <a:schemeClr val="bg1"/>
                    </a:solidFill>
                    <a:latin typeface="+mn-lt"/>
                    <a:ea typeface="+mn-ea"/>
                    <a:cs typeface="+mn-cs"/>
                  </a:defRPr>
                </a:pPr>
                <a:endParaRPr lang="en-U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'Trziste rada'!$R$8:$T$8</c:f>
              <c:strCache>
                <c:ptCount val="3"/>
                <c:pt idx="0">
                  <c:v>Стопа незапослености</c:v>
                </c:pt>
                <c:pt idx="1">
                  <c:v>Стопа запослености</c:v>
                </c:pt>
                <c:pt idx="2">
                  <c:v>Стопа неактивности</c:v>
                </c:pt>
              </c:strCache>
            </c:strRef>
          </c:cat>
          <c:val>
            <c:numRef>
              <c:f>'Trziste rada'!$R$10:$T$10</c:f>
              <c:numCache>
                <c:formatCode>0.0%</c:formatCode>
                <c:ptCount val="3"/>
                <c:pt idx="0">
                  <c:v>0.11899999999999999</c:v>
                </c:pt>
                <c:pt idx="1">
                  <c:v>0.48599999999999999</c:v>
                </c:pt>
                <c:pt idx="2">
                  <c:v>0.44800000000000001</c:v>
                </c:pt>
              </c:numCache>
            </c:numRef>
          </c:val>
          <c:extLst>
            <c:ext xmlns:c16="http://schemas.microsoft.com/office/drawing/2014/chart" uri="{C3380CC4-5D6E-409C-BE32-E72D297353CC}">
              <c16:uniqueId val="{00000003-9324-4D8F-B3E5-C480250866A3}"/>
            </c:ext>
          </c:extLst>
        </c:ser>
        <c:ser>
          <c:idx val="2"/>
          <c:order val="2"/>
          <c:tx>
            <c:strRef>
              <c:f>'Trziste rada'!$Q$11</c:f>
              <c:strCache>
                <c:ptCount val="1"/>
                <c:pt idx="0">
                  <c:v>I 2019</c:v>
                </c:pt>
              </c:strCache>
            </c:strRef>
          </c:tx>
          <c:spPr>
            <a:solidFill>
              <a:srgbClr val="FF0000"/>
            </a:solidFill>
            <a:ln>
              <a:noFill/>
            </a:ln>
            <a:effectLst/>
          </c:spPr>
          <c:invertIfNegative val="0"/>
          <c:dLbls>
            <c:dLbl>
              <c:idx val="0"/>
              <c:spPr>
                <a:noFill/>
                <a:ln>
                  <a:noFill/>
                </a:ln>
                <a:effectLst/>
              </c:spPr>
              <c:txPr>
                <a:bodyPr rot="-5400000" spcFirstLastPara="1" vertOverflow="ellipsis" wrap="square" lIns="38100" tIns="19050" rIns="38100" bIns="19050" anchor="ctr" anchorCtr="1">
                  <a:spAutoFit/>
                </a:bodyPr>
                <a:lstStyle/>
                <a:p>
                  <a:pPr>
                    <a:defRPr sz="750" b="0" i="0" u="none" strike="noStrike" kern="1200" baseline="0">
                      <a:solidFill>
                        <a:sysClr val="windowText" lastClr="000000"/>
                      </a:solidFill>
                      <a:latin typeface="+mn-lt"/>
                      <a:ea typeface="+mn-ea"/>
                      <a:cs typeface="+mn-cs"/>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9324-4D8F-B3E5-C480250866A3}"/>
                </c:ext>
              </c:extLst>
            </c:dLbl>
            <c:spPr>
              <a:noFill/>
              <a:ln>
                <a:noFill/>
              </a:ln>
              <a:effectLst/>
            </c:spPr>
            <c:txPr>
              <a:bodyPr rot="-5400000" spcFirstLastPara="1" vertOverflow="ellipsis" wrap="square" lIns="38100" tIns="19050" rIns="38100" bIns="19050" anchor="ctr" anchorCtr="1">
                <a:spAutoFit/>
              </a:bodyPr>
              <a:lstStyle/>
              <a:p>
                <a:pPr>
                  <a:defRPr sz="750" b="0" i="0" u="none" strike="noStrike" kern="1200" baseline="0">
                    <a:solidFill>
                      <a:schemeClr val="bg1"/>
                    </a:solidFill>
                    <a:latin typeface="+mn-lt"/>
                    <a:ea typeface="+mn-ea"/>
                    <a:cs typeface="+mn-cs"/>
                  </a:defRPr>
                </a:pPr>
                <a:endParaRPr lang="en-U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'Trziste rada'!$R$8:$T$8</c:f>
              <c:strCache>
                <c:ptCount val="3"/>
                <c:pt idx="0">
                  <c:v>Стопа незапослености</c:v>
                </c:pt>
                <c:pt idx="1">
                  <c:v>Стопа запослености</c:v>
                </c:pt>
                <c:pt idx="2">
                  <c:v>Стопа неактивности</c:v>
                </c:pt>
              </c:strCache>
            </c:strRef>
          </c:cat>
          <c:val>
            <c:numRef>
              <c:f>'Trziste rada'!$R$11:$T$11</c:f>
              <c:numCache>
                <c:formatCode>0.0%</c:formatCode>
                <c:ptCount val="3"/>
                <c:pt idx="0">
                  <c:v>0.121</c:v>
                </c:pt>
                <c:pt idx="1">
                  <c:v>0.47399999999999998</c:v>
                </c:pt>
                <c:pt idx="2">
                  <c:v>0.46100000000000002</c:v>
                </c:pt>
              </c:numCache>
            </c:numRef>
          </c:val>
          <c:extLst>
            <c:ext xmlns:c16="http://schemas.microsoft.com/office/drawing/2014/chart" uri="{C3380CC4-5D6E-409C-BE32-E72D297353CC}">
              <c16:uniqueId val="{00000005-9324-4D8F-B3E5-C480250866A3}"/>
            </c:ext>
          </c:extLst>
        </c:ser>
        <c:ser>
          <c:idx val="3"/>
          <c:order val="3"/>
          <c:tx>
            <c:strRef>
              <c:f>'Trziste rada'!$Q$12</c:f>
              <c:strCache>
                <c:ptCount val="1"/>
                <c:pt idx="0">
                  <c:v>II 2019</c:v>
                </c:pt>
              </c:strCache>
            </c:strRef>
          </c:tx>
          <c:spPr>
            <a:solidFill>
              <a:srgbClr val="FF0000"/>
            </a:solidFill>
            <a:ln>
              <a:noFill/>
            </a:ln>
            <a:effectLst/>
          </c:spPr>
          <c:invertIfNegative val="0"/>
          <c:dLbls>
            <c:dLbl>
              <c:idx val="0"/>
              <c:spPr>
                <a:noFill/>
                <a:ln>
                  <a:noFill/>
                </a:ln>
                <a:effectLst/>
              </c:spPr>
              <c:txPr>
                <a:bodyPr rot="-5400000" spcFirstLastPara="1" vertOverflow="ellipsis" wrap="square" lIns="38100" tIns="19050" rIns="38100" bIns="19050" anchor="ctr" anchorCtr="1">
                  <a:spAutoFit/>
                </a:bodyPr>
                <a:lstStyle/>
                <a:p>
                  <a:pPr>
                    <a:defRPr sz="750" b="0" i="0" u="none" strike="noStrike" kern="1200" baseline="0">
                      <a:solidFill>
                        <a:sysClr val="windowText" lastClr="000000"/>
                      </a:solidFill>
                      <a:latin typeface="+mn-lt"/>
                      <a:ea typeface="+mn-ea"/>
                      <a:cs typeface="+mn-cs"/>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9324-4D8F-B3E5-C480250866A3}"/>
                </c:ext>
              </c:extLst>
            </c:dLbl>
            <c:spPr>
              <a:noFill/>
              <a:ln>
                <a:noFill/>
              </a:ln>
              <a:effectLst/>
            </c:spPr>
            <c:txPr>
              <a:bodyPr rot="-5400000" spcFirstLastPara="1" vertOverflow="ellipsis" wrap="square" lIns="38100" tIns="19050" rIns="38100" bIns="19050" anchor="ctr" anchorCtr="1">
                <a:spAutoFit/>
              </a:bodyPr>
              <a:lstStyle/>
              <a:p>
                <a:pPr>
                  <a:defRPr sz="750" b="0" i="0" u="none" strike="noStrike" kern="1200" baseline="0">
                    <a:solidFill>
                      <a:schemeClr val="bg1"/>
                    </a:solidFill>
                    <a:latin typeface="+mn-lt"/>
                    <a:ea typeface="+mn-ea"/>
                    <a:cs typeface="+mn-cs"/>
                  </a:defRPr>
                </a:pPr>
                <a:endParaRPr lang="en-U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'Trziste rada'!$R$8:$T$8</c:f>
              <c:strCache>
                <c:ptCount val="3"/>
                <c:pt idx="0">
                  <c:v>Стопа незапослености</c:v>
                </c:pt>
                <c:pt idx="1">
                  <c:v>Стопа запослености</c:v>
                </c:pt>
                <c:pt idx="2">
                  <c:v>Стопа неактивности</c:v>
                </c:pt>
              </c:strCache>
            </c:strRef>
          </c:cat>
          <c:val>
            <c:numRef>
              <c:f>'Trziste rada'!$R$12:$T$12</c:f>
              <c:numCache>
                <c:formatCode>0.0%</c:formatCode>
                <c:ptCount val="3"/>
                <c:pt idx="0">
                  <c:v>0.10299999999999999</c:v>
                </c:pt>
                <c:pt idx="1">
                  <c:v>0.49199999999999999</c:v>
                </c:pt>
                <c:pt idx="2">
                  <c:v>0.45200000000000001</c:v>
                </c:pt>
              </c:numCache>
            </c:numRef>
          </c:val>
          <c:extLst>
            <c:ext xmlns:c16="http://schemas.microsoft.com/office/drawing/2014/chart" uri="{C3380CC4-5D6E-409C-BE32-E72D297353CC}">
              <c16:uniqueId val="{00000007-9324-4D8F-B3E5-C480250866A3}"/>
            </c:ext>
          </c:extLst>
        </c:ser>
        <c:dLbls>
          <c:showLegendKey val="0"/>
          <c:showVal val="0"/>
          <c:showCatName val="0"/>
          <c:showSerName val="0"/>
          <c:showPercent val="0"/>
          <c:showBubbleSize val="0"/>
        </c:dLbls>
        <c:gapWidth val="80"/>
        <c:overlap val="-9"/>
        <c:axId val="203301056"/>
        <c:axId val="203301616"/>
      </c:barChart>
      <c:catAx>
        <c:axId val="203301056"/>
        <c:scaling>
          <c:orientation val="minMax"/>
        </c:scaling>
        <c:delete val="0"/>
        <c:axPos val="b"/>
        <c:numFmt formatCode="General" sourceLinked="1"/>
        <c:majorTickMark val="none"/>
        <c:minorTickMark val="none"/>
        <c:tickLblPos val="high"/>
        <c:spPr>
          <a:noFill/>
          <a:ln w="6350" cap="flat" cmpd="sng" algn="ctr">
            <a:no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203301616"/>
        <c:crosses val="autoZero"/>
        <c:auto val="1"/>
        <c:lblAlgn val="ctr"/>
        <c:lblOffset val="100"/>
        <c:noMultiLvlLbl val="0"/>
      </c:catAx>
      <c:valAx>
        <c:axId val="203301616"/>
        <c:scaling>
          <c:orientation val="minMax"/>
          <c:max val="0.5"/>
        </c:scaling>
        <c:delete val="1"/>
        <c:axPos val="l"/>
        <c:numFmt formatCode="0.0%" sourceLinked="1"/>
        <c:majorTickMark val="out"/>
        <c:minorTickMark val="none"/>
        <c:tickLblPos val="nextTo"/>
        <c:crossAx val="203301056"/>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en-US"/>
    </a:p>
  </c:txPr>
  <c:externalData r:id="rId4">
    <c:autoUpdate val="0"/>
  </c:externalData>
  <c:userShapes r:id="rId5"/>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1932779235928838E-2"/>
          <c:y val="3.4704172213499848E-2"/>
          <c:w val="0.80891221930592005"/>
          <c:h val="0.58910532316894804"/>
        </c:manualLayout>
      </c:layout>
      <c:barChart>
        <c:barDir val="col"/>
        <c:grouping val="stacked"/>
        <c:varyColors val="0"/>
        <c:ser>
          <c:idx val="0"/>
          <c:order val="0"/>
          <c:tx>
            <c:strRef>
              <c:f>NPL!$S$4</c:f>
              <c:strCache>
                <c:ptCount val="1"/>
                <c:pt idx="0">
                  <c:v>Привреда</c:v>
                </c:pt>
              </c:strCache>
            </c:strRef>
          </c:tx>
          <c:spPr>
            <a:solidFill>
              <a:srgbClr val="10103C"/>
            </a:solidFill>
            <a:ln>
              <a:noFill/>
            </a:ln>
            <a:effectLst/>
          </c:spPr>
          <c:invertIfNegative val="0"/>
          <c:cat>
            <c:strRef>
              <c:f>NPL!$Q$5:$Q$12</c:f>
              <c:strCache>
                <c:ptCount val="8"/>
                <c:pt idx="0">
                  <c:v>2013</c:v>
                </c:pt>
                <c:pt idx="1">
                  <c:v>2014</c:v>
                </c:pt>
                <c:pt idx="2">
                  <c:v>2015</c:v>
                </c:pt>
                <c:pt idx="3">
                  <c:v>2016</c:v>
                </c:pt>
                <c:pt idx="4">
                  <c:v>2017</c:v>
                </c:pt>
                <c:pt idx="5">
                  <c:v>2018</c:v>
                </c:pt>
                <c:pt idx="6">
                  <c:v>VI 2019</c:v>
                </c:pt>
                <c:pt idx="7">
                  <c:v>VIII 2019</c:v>
                </c:pt>
              </c:strCache>
            </c:strRef>
          </c:cat>
          <c:val>
            <c:numRef>
              <c:f>NPL!$S$5:$S$12</c:f>
              <c:numCache>
                <c:formatCode>#,##0</c:formatCode>
                <c:ptCount val="8"/>
                <c:pt idx="0">
                  <c:v>238.4</c:v>
                </c:pt>
                <c:pt idx="1">
                  <c:v>248.4</c:v>
                </c:pt>
                <c:pt idx="2" formatCode="0">
                  <c:v>216.8</c:v>
                </c:pt>
                <c:pt idx="3" formatCode="0">
                  <c:v>172.8</c:v>
                </c:pt>
                <c:pt idx="4" formatCode="0">
                  <c:v>107.6</c:v>
                </c:pt>
                <c:pt idx="5" formatCode="0">
                  <c:v>56.849434000000002</c:v>
                </c:pt>
                <c:pt idx="6" formatCode="0">
                  <c:v>53.2</c:v>
                </c:pt>
              </c:numCache>
            </c:numRef>
          </c:val>
          <c:extLst>
            <c:ext xmlns:c16="http://schemas.microsoft.com/office/drawing/2014/chart" uri="{C3380CC4-5D6E-409C-BE32-E72D297353CC}">
              <c16:uniqueId val="{00000000-4EDE-4AA6-A65B-F3C3FAB0E0D5}"/>
            </c:ext>
          </c:extLst>
        </c:ser>
        <c:ser>
          <c:idx val="1"/>
          <c:order val="1"/>
          <c:tx>
            <c:strRef>
              <c:f>NPL!$T$4</c:f>
              <c:strCache>
                <c:ptCount val="1"/>
                <c:pt idx="0">
                  <c:v>Становништво</c:v>
                </c:pt>
              </c:strCache>
            </c:strRef>
          </c:tx>
          <c:spPr>
            <a:solidFill>
              <a:srgbClr val="2183C4"/>
            </a:solidFill>
            <a:ln>
              <a:noFill/>
            </a:ln>
            <a:effectLst/>
          </c:spPr>
          <c:invertIfNegative val="0"/>
          <c:cat>
            <c:strRef>
              <c:f>NPL!$Q$5:$Q$12</c:f>
              <c:strCache>
                <c:ptCount val="8"/>
                <c:pt idx="0">
                  <c:v>2013</c:v>
                </c:pt>
                <c:pt idx="1">
                  <c:v>2014</c:v>
                </c:pt>
                <c:pt idx="2">
                  <c:v>2015</c:v>
                </c:pt>
                <c:pt idx="3">
                  <c:v>2016</c:v>
                </c:pt>
                <c:pt idx="4">
                  <c:v>2017</c:v>
                </c:pt>
                <c:pt idx="5">
                  <c:v>2018</c:v>
                </c:pt>
                <c:pt idx="6">
                  <c:v>VI 2019</c:v>
                </c:pt>
                <c:pt idx="7">
                  <c:v>VIII 2019</c:v>
                </c:pt>
              </c:strCache>
            </c:strRef>
          </c:cat>
          <c:val>
            <c:numRef>
              <c:f>NPL!$T$5:$T$12</c:f>
              <c:numCache>
                <c:formatCode>#,##0</c:formatCode>
                <c:ptCount val="8"/>
                <c:pt idx="0">
                  <c:v>56.7</c:v>
                </c:pt>
                <c:pt idx="1">
                  <c:v>66.400000000000006</c:v>
                </c:pt>
                <c:pt idx="2" formatCode="0">
                  <c:v>73.400000000000006</c:v>
                </c:pt>
                <c:pt idx="3" formatCode="0">
                  <c:v>69.2</c:v>
                </c:pt>
                <c:pt idx="4" formatCode="0">
                  <c:v>45.4</c:v>
                </c:pt>
                <c:pt idx="5" formatCode="0">
                  <c:v>39.608241</c:v>
                </c:pt>
                <c:pt idx="6" formatCode="0">
                  <c:v>41.2</c:v>
                </c:pt>
              </c:numCache>
            </c:numRef>
          </c:val>
          <c:extLst>
            <c:ext xmlns:c16="http://schemas.microsoft.com/office/drawing/2014/chart" uri="{C3380CC4-5D6E-409C-BE32-E72D297353CC}">
              <c16:uniqueId val="{00000001-4EDE-4AA6-A65B-F3C3FAB0E0D5}"/>
            </c:ext>
          </c:extLst>
        </c:ser>
        <c:ser>
          <c:idx val="2"/>
          <c:order val="2"/>
          <c:tx>
            <c:strRef>
              <c:f>NPL!$U$4</c:f>
              <c:strCache>
                <c:ptCount val="1"/>
                <c:pt idx="0">
                  <c:v>Остали</c:v>
                </c:pt>
              </c:strCache>
            </c:strRef>
          </c:tx>
          <c:spPr>
            <a:solidFill>
              <a:srgbClr val="51BBE7"/>
            </a:solidFill>
            <a:ln>
              <a:noFill/>
            </a:ln>
            <a:effectLst/>
          </c:spPr>
          <c:invertIfNegative val="0"/>
          <c:cat>
            <c:strRef>
              <c:f>NPL!$Q$5:$Q$12</c:f>
              <c:strCache>
                <c:ptCount val="8"/>
                <c:pt idx="0">
                  <c:v>2013</c:v>
                </c:pt>
                <c:pt idx="1">
                  <c:v>2014</c:v>
                </c:pt>
                <c:pt idx="2">
                  <c:v>2015</c:v>
                </c:pt>
                <c:pt idx="3">
                  <c:v>2016</c:v>
                </c:pt>
                <c:pt idx="4">
                  <c:v>2017</c:v>
                </c:pt>
                <c:pt idx="5">
                  <c:v>2018</c:v>
                </c:pt>
                <c:pt idx="6">
                  <c:v>VI 2019</c:v>
                </c:pt>
                <c:pt idx="7">
                  <c:v>VIII 2019</c:v>
                </c:pt>
              </c:strCache>
            </c:strRef>
          </c:cat>
          <c:val>
            <c:numRef>
              <c:f>NPL!$U$5:$U$12</c:f>
              <c:numCache>
                <c:formatCode>#,##0</c:formatCode>
                <c:ptCount val="8"/>
                <c:pt idx="0">
                  <c:v>100.2</c:v>
                </c:pt>
                <c:pt idx="1">
                  <c:v>106.4</c:v>
                </c:pt>
                <c:pt idx="2" formatCode="0">
                  <c:v>134.4</c:v>
                </c:pt>
                <c:pt idx="3" formatCode="0">
                  <c:v>103.8</c:v>
                </c:pt>
                <c:pt idx="4" formatCode="0">
                  <c:v>51.9</c:v>
                </c:pt>
                <c:pt idx="5" formatCode="0">
                  <c:v>34.192292000000002</c:v>
                </c:pt>
                <c:pt idx="6" formatCode="0">
                  <c:v>28.3</c:v>
                </c:pt>
              </c:numCache>
            </c:numRef>
          </c:val>
          <c:extLst>
            <c:ext xmlns:c16="http://schemas.microsoft.com/office/drawing/2014/chart" uri="{C3380CC4-5D6E-409C-BE32-E72D297353CC}">
              <c16:uniqueId val="{00000002-4EDE-4AA6-A65B-F3C3FAB0E0D5}"/>
            </c:ext>
          </c:extLst>
        </c:ser>
        <c:dLbls>
          <c:showLegendKey val="0"/>
          <c:showVal val="0"/>
          <c:showCatName val="0"/>
          <c:showSerName val="0"/>
          <c:showPercent val="0"/>
          <c:showBubbleSize val="0"/>
        </c:dLbls>
        <c:gapWidth val="40"/>
        <c:overlap val="100"/>
        <c:axId val="681492448"/>
        <c:axId val="681493008"/>
      </c:barChart>
      <c:lineChart>
        <c:grouping val="standard"/>
        <c:varyColors val="0"/>
        <c:ser>
          <c:idx val="3"/>
          <c:order val="3"/>
          <c:tx>
            <c:strRef>
              <c:f>NPL!$V$4</c:f>
              <c:strCache>
                <c:ptCount val="1"/>
                <c:pt idx="0">
                  <c:v>NPL % (бруто)</c:v>
                </c:pt>
              </c:strCache>
            </c:strRef>
          </c:tx>
          <c:spPr>
            <a:ln w="25400" cap="rnd">
              <a:solidFill>
                <a:srgbClr val="FF0000"/>
              </a:solidFill>
              <a:round/>
            </a:ln>
            <a:effectLst/>
          </c:spPr>
          <c:marker>
            <c:symbol val="none"/>
          </c:marker>
          <c:dLbls>
            <c:dLbl>
              <c:idx val="7"/>
              <c:layout>
                <c:manualLayout>
                  <c:x val="-7.4085739282589852E-2"/>
                  <c:y val="-6.503017676240052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EDE-4AA6-A65B-F3C3FAB0E0D5}"/>
                </c:ext>
              </c:extLst>
            </c:dLbl>
            <c:spPr>
              <a:noFill/>
              <a:ln>
                <a:noFill/>
              </a:ln>
              <a:effectLst/>
            </c:spPr>
            <c:txPr>
              <a:bodyPr rot="0" spcFirstLastPara="1" vertOverflow="ellipsis" vert="horz" wrap="square" anchor="ctr" anchorCtr="1"/>
              <a:lstStyle/>
              <a:p>
                <a:pPr>
                  <a:defRPr sz="750" b="1" i="0" u="none" strike="noStrike" kern="1200" baseline="0">
                    <a:solidFill>
                      <a:srgbClr val="FF0000"/>
                    </a:solidFill>
                    <a:latin typeface="+mn-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NPL!$Q$5:$Q$12</c:f>
              <c:strCache>
                <c:ptCount val="8"/>
                <c:pt idx="0">
                  <c:v>2013</c:v>
                </c:pt>
                <c:pt idx="1">
                  <c:v>2014</c:v>
                </c:pt>
                <c:pt idx="2">
                  <c:v>2015</c:v>
                </c:pt>
                <c:pt idx="3">
                  <c:v>2016</c:v>
                </c:pt>
                <c:pt idx="4">
                  <c:v>2017</c:v>
                </c:pt>
                <c:pt idx="5">
                  <c:v>2018</c:v>
                </c:pt>
                <c:pt idx="6">
                  <c:v>VI 2019</c:v>
                </c:pt>
                <c:pt idx="7">
                  <c:v>VIII 2019</c:v>
                </c:pt>
              </c:strCache>
            </c:strRef>
          </c:cat>
          <c:val>
            <c:numRef>
              <c:f>NPL!$V$5:$V$12</c:f>
              <c:numCache>
                <c:formatCode>0.0%</c:formatCode>
                <c:ptCount val="8"/>
                <c:pt idx="0">
                  <c:v>0.2137</c:v>
                </c:pt>
                <c:pt idx="1">
                  <c:v>0.21539999999999998</c:v>
                </c:pt>
                <c:pt idx="2">
                  <c:v>0.216</c:v>
                </c:pt>
                <c:pt idx="3">
                  <c:v>0.17030000000000001</c:v>
                </c:pt>
                <c:pt idx="4">
                  <c:v>9.8500000000000004E-2</c:v>
                </c:pt>
                <c:pt idx="5">
                  <c:v>5.7000000000000002E-2</c:v>
                </c:pt>
                <c:pt idx="6">
                  <c:v>5.2000000000000005E-2</c:v>
                </c:pt>
                <c:pt idx="7">
                  <c:v>4.9000000000000002E-2</c:v>
                </c:pt>
              </c:numCache>
            </c:numRef>
          </c:val>
          <c:smooth val="0"/>
          <c:extLst>
            <c:ext xmlns:c16="http://schemas.microsoft.com/office/drawing/2014/chart" uri="{C3380CC4-5D6E-409C-BE32-E72D297353CC}">
              <c16:uniqueId val="{00000003-4EDE-4AA6-A65B-F3C3FAB0E0D5}"/>
            </c:ext>
          </c:extLst>
        </c:ser>
        <c:dLbls>
          <c:showLegendKey val="0"/>
          <c:showVal val="0"/>
          <c:showCatName val="0"/>
          <c:showSerName val="0"/>
          <c:showPercent val="0"/>
          <c:showBubbleSize val="0"/>
        </c:dLbls>
        <c:marker val="1"/>
        <c:smooth val="0"/>
        <c:axId val="681494128"/>
        <c:axId val="681493568"/>
      </c:lineChart>
      <c:catAx>
        <c:axId val="681492448"/>
        <c:scaling>
          <c:orientation val="minMax"/>
        </c:scaling>
        <c:delete val="0"/>
        <c:axPos val="b"/>
        <c:numFmt formatCode="General" sourceLinked="1"/>
        <c:majorTickMark val="none"/>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681493008"/>
        <c:crosses val="autoZero"/>
        <c:auto val="1"/>
        <c:lblAlgn val="ctr"/>
        <c:lblOffset val="100"/>
        <c:noMultiLvlLbl val="0"/>
      </c:catAx>
      <c:valAx>
        <c:axId val="681493008"/>
        <c:scaling>
          <c:orientation val="minMax"/>
          <c:max val="450"/>
          <c:min val="0"/>
        </c:scaling>
        <c:delete val="0"/>
        <c:axPos val="l"/>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681492448"/>
        <c:crosses val="autoZero"/>
        <c:crossBetween val="between"/>
        <c:majorUnit val="100"/>
      </c:valAx>
      <c:valAx>
        <c:axId val="681493568"/>
        <c:scaling>
          <c:orientation val="minMax"/>
          <c:min val="0"/>
        </c:scaling>
        <c:delete val="0"/>
        <c:axPos val="r"/>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681494128"/>
        <c:crosses val="max"/>
        <c:crossBetween val="between"/>
      </c:valAx>
      <c:catAx>
        <c:axId val="681494128"/>
        <c:scaling>
          <c:orientation val="minMax"/>
        </c:scaling>
        <c:delete val="1"/>
        <c:axPos val="b"/>
        <c:numFmt formatCode="General" sourceLinked="1"/>
        <c:majorTickMark val="out"/>
        <c:minorTickMark val="none"/>
        <c:tickLblPos val="nextTo"/>
        <c:crossAx val="681493568"/>
        <c:crosses val="autoZero"/>
        <c:auto val="1"/>
        <c:lblAlgn val="ctr"/>
        <c:lblOffset val="100"/>
        <c:noMultiLvlLbl val="0"/>
      </c:catAx>
      <c:spPr>
        <a:noFill/>
        <a:ln>
          <a:noFill/>
        </a:ln>
        <a:effectLst/>
      </c:spPr>
    </c:plotArea>
    <c:legend>
      <c:legendPos val="b"/>
      <c:layout>
        <c:manualLayout>
          <c:xMode val="edge"/>
          <c:yMode val="edge"/>
          <c:x val="0"/>
          <c:y val="0.8284539110397402"/>
          <c:w val="1"/>
          <c:h val="0.1715460889602598"/>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en-US"/>
    </a:p>
  </c:txPr>
  <c:externalData r:id="rId4">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6067586007101372E-2"/>
          <c:y val="5.6338028169014086E-2"/>
          <c:w val="0.79899510791436967"/>
          <c:h val="0.65544933643857894"/>
        </c:manualLayout>
      </c:layout>
      <c:barChart>
        <c:barDir val="col"/>
        <c:grouping val="clustered"/>
        <c:varyColors val="0"/>
        <c:ser>
          <c:idx val="1"/>
          <c:order val="1"/>
          <c:tx>
            <c:strRef>
              <c:f>'Devizni kurs'!$U$2</c:f>
              <c:strCache>
                <c:ptCount val="1"/>
                <c:pt idx="0">
                  <c:v>Интервенције НБС, нето, мил. евра (десна скала)</c:v>
                </c:pt>
              </c:strCache>
            </c:strRef>
          </c:tx>
          <c:spPr>
            <a:solidFill>
              <a:srgbClr val="29489A"/>
            </a:solidFill>
            <a:ln>
              <a:noFill/>
            </a:ln>
            <a:effectLst/>
          </c:spPr>
          <c:invertIfNegative val="0"/>
          <c:cat>
            <c:numRef>
              <c:f>'Devizni kurs'!$V$39:$V$107</c:f>
              <c:numCache>
                <c:formatCode>yyyy</c:formatCode>
                <c:ptCount val="69"/>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43526</c:v>
                </c:pt>
                <c:pt idx="64">
                  <c:v>43527</c:v>
                </c:pt>
                <c:pt idx="65">
                  <c:v>43528</c:v>
                </c:pt>
                <c:pt idx="66">
                  <c:v>43529</c:v>
                </c:pt>
                <c:pt idx="67">
                  <c:v>43530</c:v>
                </c:pt>
                <c:pt idx="68">
                  <c:v>43531</c:v>
                </c:pt>
              </c:numCache>
            </c:numRef>
          </c:cat>
          <c:val>
            <c:numRef>
              <c:f>'Devizni kurs'!$U$39:$U$107</c:f>
              <c:numCache>
                <c:formatCode>General</c:formatCode>
                <c:ptCount val="69"/>
                <c:pt idx="0">
                  <c:v>330</c:v>
                </c:pt>
                <c:pt idx="1">
                  <c:v>280</c:v>
                </c:pt>
                <c:pt idx="2">
                  <c:v>190</c:v>
                </c:pt>
                <c:pt idx="3">
                  <c:v>-110</c:v>
                </c:pt>
                <c:pt idx="4">
                  <c:v>-20</c:v>
                </c:pt>
                <c:pt idx="5" formatCode="0">
                  <c:v>-40</c:v>
                </c:pt>
                <c:pt idx="6">
                  <c:v>30</c:v>
                </c:pt>
                <c:pt idx="7">
                  <c:v>60</c:v>
                </c:pt>
                <c:pt idx="8">
                  <c:v>135</c:v>
                </c:pt>
                <c:pt idx="9">
                  <c:v>140</c:v>
                </c:pt>
                <c:pt idx="10">
                  <c:v>250</c:v>
                </c:pt>
                <c:pt idx="11">
                  <c:v>375</c:v>
                </c:pt>
                <c:pt idx="12">
                  <c:v>90</c:v>
                </c:pt>
                <c:pt idx="13">
                  <c:v>-140</c:v>
                </c:pt>
                <c:pt idx="14">
                  <c:v>-120</c:v>
                </c:pt>
                <c:pt idx="15">
                  <c:v>-110</c:v>
                </c:pt>
                <c:pt idx="16">
                  <c:v>0</c:v>
                </c:pt>
                <c:pt idx="17">
                  <c:v>-10</c:v>
                </c:pt>
                <c:pt idx="18">
                  <c:v>-230</c:v>
                </c:pt>
                <c:pt idx="19">
                  <c:v>-130</c:v>
                </c:pt>
                <c:pt idx="20">
                  <c:v>-80</c:v>
                </c:pt>
                <c:pt idx="21">
                  <c:v>-60</c:v>
                </c:pt>
                <c:pt idx="22">
                  <c:v>0</c:v>
                </c:pt>
                <c:pt idx="23">
                  <c:v>270</c:v>
                </c:pt>
                <c:pt idx="24">
                  <c:v>290</c:v>
                </c:pt>
                <c:pt idx="25">
                  <c:v>100</c:v>
                </c:pt>
                <c:pt idx="26">
                  <c:v>175</c:v>
                </c:pt>
                <c:pt idx="27">
                  <c:v>140</c:v>
                </c:pt>
                <c:pt idx="28">
                  <c:v>65</c:v>
                </c:pt>
                <c:pt idx="29">
                  <c:v>50</c:v>
                </c:pt>
                <c:pt idx="30">
                  <c:v>-355</c:v>
                </c:pt>
                <c:pt idx="31">
                  <c:v>-90</c:v>
                </c:pt>
                <c:pt idx="32">
                  <c:v>-30</c:v>
                </c:pt>
                <c:pt idx="33">
                  <c:v>-135</c:v>
                </c:pt>
                <c:pt idx="34">
                  <c:v>-60</c:v>
                </c:pt>
                <c:pt idx="35">
                  <c:v>10</c:v>
                </c:pt>
                <c:pt idx="36">
                  <c:v>225</c:v>
                </c:pt>
                <c:pt idx="37">
                  <c:v>105</c:v>
                </c:pt>
                <c:pt idx="38">
                  <c:v>15</c:v>
                </c:pt>
                <c:pt idx="39">
                  <c:v>-40</c:v>
                </c:pt>
                <c:pt idx="40">
                  <c:v>-120</c:v>
                </c:pt>
                <c:pt idx="41">
                  <c:v>-345</c:v>
                </c:pt>
                <c:pt idx="42">
                  <c:v>-165</c:v>
                </c:pt>
                <c:pt idx="43">
                  <c:v>-290</c:v>
                </c:pt>
                <c:pt idx="44">
                  <c:v>-150</c:v>
                </c:pt>
                <c:pt idx="45">
                  <c:v>-15</c:v>
                </c:pt>
                <c:pt idx="46">
                  <c:v>-50</c:v>
                </c:pt>
                <c:pt idx="47">
                  <c:v>135</c:v>
                </c:pt>
                <c:pt idx="48">
                  <c:v>180</c:v>
                </c:pt>
                <c:pt idx="49">
                  <c:v>-180</c:v>
                </c:pt>
                <c:pt idx="50">
                  <c:v>-400</c:v>
                </c:pt>
                <c:pt idx="51">
                  <c:v>-205</c:v>
                </c:pt>
                <c:pt idx="52">
                  <c:v>-220</c:v>
                </c:pt>
                <c:pt idx="53">
                  <c:v>-365</c:v>
                </c:pt>
                <c:pt idx="54">
                  <c:v>-220</c:v>
                </c:pt>
                <c:pt idx="55">
                  <c:v>-190</c:v>
                </c:pt>
                <c:pt idx="56">
                  <c:v>5</c:v>
                </c:pt>
                <c:pt idx="57">
                  <c:v>30</c:v>
                </c:pt>
                <c:pt idx="58">
                  <c:v>-15</c:v>
                </c:pt>
                <c:pt idx="59">
                  <c:v>0</c:v>
                </c:pt>
                <c:pt idx="60">
                  <c:v>130</c:v>
                </c:pt>
                <c:pt idx="61">
                  <c:v>-30</c:v>
                </c:pt>
                <c:pt idx="62">
                  <c:v>-135</c:v>
                </c:pt>
                <c:pt idx="63">
                  <c:v>-75</c:v>
                </c:pt>
                <c:pt idx="64" formatCode="0">
                  <c:v>-110</c:v>
                </c:pt>
                <c:pt idx="65" formatCode="0">
                  <c:v>-735</c:v>
                </c:pt>
                <c:pt idx="66" formatCode="0">
                  <c:v>-645</c:v>
                </c:pt>
                <c:pt idx="67" formatCode="0">
                  <c:v>-105</c:v>
                </c:pt>
                <c:pt idx="68" formatCode="0">
                  <c:v>-410</c:v>
                </c:pt>
              </c:numCache>
            </c:numRef>
          </c:val>
          <c:extLst>
            <c:ext xmlns:c16="http://schemas.microsoft.com/office/drawing/2014/chart" uri="{C3380CC4-5D6E-409C-BE32-E72D297353CC}">
              <c16:uniqueId val="{00000000-D4FC-4C5F-A2A2-F3BF3B88F44D}"/>
            </c:ext>
          </c:extLst>
        </c:ser>
        <c:dLbls>
          <c:showLegendKey val="0"/>
          <c:showVal val="0"/>
          <c:showCatName val="0"/>
          <c:showSerName val="0"/>
          <c:showPercent val="0"/>
          <c:showBubbleSize val="0"/>
        </c:dLbls>
        <c:gapWidth val="30"/>
        <c:axId val="681482368"/>
        <c:axId val="681481808"/>
      </c:barChart>
      <c:lineChart>
        <c:grouping val="standard"/>
        <c:varyColors val="0"/>
        <c:ser>
          <c:idx val="0"/>
          <c:order val="0"/>
          <c:tx>
            <c:strRef>
              <c:f>'Devizni kurs'!$T$2</c:f>
              <c:strCache>
                <c:ptCount val="1"/>
                <c:pt idx="0">
                  <c:v>Просечан девизни курс ЕУР/РСД</c:v>
                </c:pt>
              </c:strCache>
            </c:strRef>
          </c:tx>
          <c:spPr>
            <a:ln w="22225" cap="rnd">
              <a:solidFill>
                <a:srgbClr val="FF0000"/>
              </a:solidFill>
              <a:round/>
            </a:ln>
            <a:effectLst/>
          </c:spPr>
          <c:marker>
            <c:symbol val="none"/>
          </c:marker>
          <c:cat>
            <c:numRef>
              <c:f>'Devizni kurs'!$V$39:$V$107</c:f>
              <c:numCache>
                <c:formatCode>yyyy</c:formatCode>
                <c:ptCount val="69"/>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43526</c:v>
                </c:pt>
                <c:pt idx="64">
                  <c:v>43527</c:v>
                </c:pt>
                <c:pt idx="65">
                  <c:v>43528</c:v>
                </c:pt>
                <c:pt idx="66">
                  <c:v>43529</c:v>
                </c:pt>
                <c:pt idx="67">
                  <c:v>43530</c:v>
                </c:pt>
                <c:pt idx="68">
                  <c:v>43531</c:v>
                </c:pt>
              </c:numCache>
            </c:numRef>
          </c:cat>
          <c:val>
            <c:numRef>
              <c:f>'Devizni kurs'!$T$39:$T$107</c:f>
              <c:numCache>
                <c:formatCode>0.00</c:formatCode>
                <c:ptCount val="69"/>
                <c:pt idx="0">
                  <c:v>115.50068000000002</c:v>
                </c:pt>
                <c:pt idx="1">
                  <c:v>115.89948421052632</c:v>
                </c:pt>
                <c:pt idx="2">
                  <c:v>115.84343333333334</c:v>
                </c:pt>
                <c:pt idx="3">
                  <c:v>115.5407</c:v>
                </c:pt>
                <c:pt idx="4">
                  <c:v>115.65779999999999</c:v>
                </c:pt>
                <c:pt idx="5">
                  <c:v>115.5341</c:v>
                </c:pt>
                <c:pt idx="6">
                  <c:v>116.22490000000001</c:v>
                </c:pt>
                <c:pt idx="7">
                  <c:v>117.3078</c:v>
                </c:pt>
                <c:pt idx="8">
                  <c:v>118.61799999999999</c:v>
                </c:pt>
                <c:pt idx="9">
                  <c:v>119.3497</c:v>
                </c:pt>
                <c:pt idx="10">
                  <c:v>119.9829</c:v>
                </c:pt>
                <c:pt idx="11" formatCode="General">
                  <c:v>121.53</c:v>
                </c:pt>
                <c:pt idx="12" formatCode="General">
                  <c:v>122.62</c:v>
                </c:pt>
                <c:pt idx="13" formatCode="General">
                  <c:v>121.58</c:v>
                </c:pt>
                <c:pt idx="14" formatCode="General">
                  <c:v>120.47</c:v>
                </c:pt>
                <c:pt idx="15" formatCode="General">
                  <c:v>120.17</c:v>
                </c:pt>
                <c:pt idx="16" formatCode="General">
                  <c:v>120.59</c:v>
                </c:pt>
                <c:pt idx="17">
                  <c:v>120.55517727272726</c:v>
                </c:pt>
                <c:pt idx="18">
                  <c:v>120.21342173913044</c:v>
                </c:pt>
                <c:pt idx="19">
                  <c:v>120.22183333333331</c:v>
                </c:pt>
                <c:pt idx="20">
                  <c:v>120.18703181818181</c:v>
                </c:pt>
                <c:pt idx="21">
                  <c:v>120.07991818181817</c:v>
                </c:pt>
                <c:pt idx="22">
                  <c:v>120.65054000000001</c:v>
                </c:pt>
                <c:pt idx="23" formatCode="General">
                  <c:v>121.75174782608696</c:v>
                </c:pt>
                <c:pt idx="24" formatCode="General">
                  <c:v>122.54524736842107</c:v>
                </c:pt>
                <c:pt idx="25" formatCode="General">
                  <c:v>122.87654736842104</c:v>
                </c:pt>
                <c:pt idx="26" formatCode="General">
                  <c:v>123.13206956521738</c:v>
                </c:pt>
                <c:pt idx="27" formatCode="General">
                  <c:v>122.80799500000001</c:v>
                </c:pt>
                <c:pt idx="28" formatCode="General">
                  <c:v>122.82450500000002</c:v>
                </c:pt>
                <c:pt idx="29">
                  <c:v>123.40000909090909</c:v>
                </c:pt>
                <c:pt idx="30" formatCode="General">
                  <c:v>123.34886190476189</c:v>
                </c:pt>
                <c:pt idx="31" formatCode="General">
                  <c:v>123.30531739130437</c:v>
                </c:pt>
                <c:pt idx="32" formatCode="General">
                  <c:v>123.23121818181816</c:v>
                </c:pt>
                <c:pt idx="33" formatCode="General">
                  <c:v>123.17817142857142</c:v>
                </c:pt>
                <c:pt idx="34" formatCode="General">
                  <c:v>123.18741904761906</c:v>
                </c:pt>
                <c:pt idx="35" formatCode="General">
                  <c:v>123.42</c:v>
                </c:pt>
                <c:pt idx="36">
                  <c:v>123.8</c:v>
                </c:pt>
                <c:pt idx="37" formatCode="General">
                  <c:v>123.94</c:v>
                </c:pt>
                <c:pt idx="38" formatCode="General">
                  <c:v>123.89</c:v>
                </c:pt>
                <c:pt idx="39" formatCode="General">
                  <c:v>123.66</c:v>
                </c:pt>
                <c:pt idx="40" formatCode="General">
                  <c:v>123.05</c:v>
                </c:pt>
                <c:pt idx="41" formatCode="General">
                  <c:v>122.02</c:v>
                </c:pt>
                <c:pt idx="42" formatCode="General">
                  <c:v>120.42</c:v>
                </c:pt>
                <c:pt idx="43" formatCode="General">
                  <c:v>119.57</c:v>
                </c:pt>
                <c:pt idx="44">
                  <c:v>119.2957</c:v>
                </c:pt>
                <c:pt idx="45" formatCode="0.0000">
                  <c:v>119.2818</c:v>
                </c:pt>
                <c:pt idx="46" formatCode="0.0000">
                  <c:v>118.89884545454547</c:v>
                </c:pt>
                <c:pt idx="47" formatCode="0.0000">
                  <c:v>119.13943333333332</c:v>
                </c:pt>
                <c:pt idx="48" formatCode="0.0000">
                  <c:v>118.61770952380952</c:v>
                </c:pt>
                <c:pt idx="49" formatCode="0.0000">
                  <c:v>118.39149999999999</c:v>
                </c:pt>
                <c:pt idx="50" formatCode="0.0000">
                  <c:v>118.2688</c:v>
                </c:pt>
                <c:pt idx="51" formatCode="0.0000">
                  <c:v>118.19159999999999</c:v>
                </c:pt>
                <c:pt idx="52" formatCode="0.0000">
                  <c:v>118.18894761904762</c:v>
                </c:pt>
                <c:pt idx="53" formatCode="0.0000">
                  <c:v>118.13484285714287</c:v>
                </c:pt>
                <c:pt idx="54" formatCode="0.0000">
                  <c:v>118.04732272727273</c:v>
                </c:pt>
                <c:pt idx="55" formatCode="0.0000">
                  <c:v>118.10411304347828</c:v>
                </c:pt>
                <c:pt idx="56" formatCode="0.0000">
                  <c:v>118.278565</c:v>
                </c:pt>
                <c:pt idx="57" formatCode="0.0000">
                  <c:v>118.43672608695648</c:v>
                </c:pt>
                <c:pt idx="58" formatCode="0.0000">
                  <c:v>118.34287619047618</c:v>
                </c:pt>
                <c:pt idx="59" formatCode="0.0000">
                  <c:v>118.27724285714282</c:v>
                </c:pt>
                <c:pt idx="60" formatCode="0.0000">
                  <c:v>118.41</c:v>
                </c:pt>
                <c:pt idx="61" formatCode="0.0000">
                  <c:v>118.24</c:v>
                </c:pt>
                <c:pt idx="62" formatCode="0.0000">
                  <c:v>118.04</c:v>
                </c:pt>
                <c:pt idx="63" formatCode="0.0000">
                  <c:v>117.99384000000001</c:v>
                </c:pt>
                <c:pt idx="64" formatCode="0.0000">
                  <c:v>117.96471904761906</c:v>
                </c:pt>
                <c:pt idx="65" formatCode="0.0000">
                  <c:v>117.93766999999998</c:v>
                </c:pt>
                <c:pt idx="66" formatCode="0.0000">
                  <c:v>117.78454782608696</c:v>
                </c:pt>
                <c:pt idx="67" formatCode="0.0000">
                  <c:v>117.77699545454547</c:v>
                </c:pt>
                <c:pt idx="68" formatCode="0.0000">
                  <c:v>117.59582857142856</c:v>
                </c:pt>
              </c:numCache>
            </c:numRef>
          </c:val>
          <c:smooth val="0"/>
          <c:extLst>
            <c:ext xmlns:c16="http://schemas.microsoft.com/office/drawing/2014/chart" uri="{C3380CC4-5D6E-409C-BE32-E72D297353CC}">
              <c16:uniqueId val="{00000001-D4FC-4C5F-A2A2-F3BF3B88F44D}"/>
            </c:ext>
          </c:extLst>
        </c:ser>
        <c:ser>
          <c:idx val="2"/>
          <c:order val="2"/>
          <c:spPr>
            <a:ln w="28575" cap="rnd">
              <a:noFill/>
              <a:round/>
            </a:ln>
            <a:effectLst/>
          </c:spPr>
          <c:marker>
            <c:symbol val="square"/>
            <c:size val="2"/>
            <c:spPr>
              <a:solidFill>
                <a:schemeClr val="bg1"/>
              </a:solidFill>
              <a:ln w="9525">
                <a:noFill/>
              </a:ln>
              <a:effectLst/>
            </c:spPr>
          </c:marker>
          <c:dLbls>
            <c:dLbl>
              <c:idx val="0"/>
              <c:layout>
                <c:manualLayout>
                  <c:x val="1.3095967343448053E-2"/>
                  <c:y val="3.8385734396996718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D4FC-4C5F-A2A2-F3BF3B88F44D}"/>
                </c:ext>
              </c:extLst>
            </c:dLbl>
            <c:dLbl>
              <c:idx val="12"/>
              <c:layout>
                <c:manualLayout>
                  <c:x val="1.3092019207378276E-2"/>
                  <c:y val="3.8385734396996718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4FC-4C5F-A2A2-F3BF3B88F44D}"/>
                </c:ext>
              </c:extLst>
            </c:dLbl>
            <c:dLbl>
              <c:idx val="24"/>
              <c:layout>
                <c:manualLayout>
                  <c:x val="1.3095967343447982E-2"/>
                  <c:y val="3.8385734396996718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D4FC-4C5F-A2A2-F3BF3B88F44D}"/>
                </c:ext>
              </c:extLst>
            </c:dLbl>
            <c:dLbl>
              <c:idx val="36"/>
              <c:layout>
                <c:manualLayout>
                  <c:x val="1.3092019207378276E-2"/>
                  <c:y val="3.8385734396996718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D4FC-4C5F-A2A2-F3BF3B88F44D}"/>
                </c:ext>
              </c:extLst>
            </c:dLbl>
            <c:dLbl>
              <c:idx val="48"/>
              <c:layout>
                <c:manualLayout>
                  <c:x val="1.6949044444775144E-2"/>
                  <c:y val="3.8385734396996718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D4FC-4C5F-A2A2-F3BF3B88F44D}"/>
                </c:ext>
              </c:extLst>
            </c:dLbl>
            <c:dLbl>
              <c:idx val="60"/>
              <c:layout>
                <c:manualLayout>
                  <c:x val="-6.9150084748260668E-3"/>
                  <c:y val="3.8385734396996718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7-D4FC-4C5F-A2A2-F3BF3B88F44D}"/>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'Devizni kurs'!$V$39:$V$107</c:f>
              <c:numCache>
                <c:formatCode>yyyy</c:formatCode>
                <c:ptCount val="69"/>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43526</c:v>
                </c:pt>
                <c:pt idx="64">
                  <c:v>43527</c:v>
                </c:pt>
                <c:pt idx="65">
                  <c:v>43528</c:v>
                </c:pt>
                <c:pt idx="66">
                  <c:v>43529</c:v>
                </c:pt>
                <c:pt idx="67">
                  <c:v>43530</c:v>
                </c:pt>
                <c:pt idx="68">
                  <c:v>43531</c:v>
                </c:pt>
              </c:numCache>
            </c:numRef>
          </c:cat>
          <c:val>
            <c:numRef>
              <c:f>'Devizni kurs'!$W$39:$W$107</c:f>
              <c:numCache>
                <c:formatCode>General</c:formatCode>
                <c:ptCount val="69"/>
                <c:pt idx="0">
                  <c:v>80</c:v>
                </c:pt>
                <c:pt idx="12">
                  <c:v>80</c:v>
                </c:pt>
                <c:pt idx="24">
                  <c:v>80</c:v>
                </c:pt>
                <c:pt idx="36">
                  <c:v>80</c:v>
                </c:pt>
                <c:pt idx="48">
                  <c:v>80</c:v>
                </c:pt>
                <c:pt idx="60">
                  <c:v>80</c:v>
                </c:pt>
              </c:numCache>
            </c:numRef>
          </c:val>
          <c:smooth val="0"/>
          <c:extLst>
            <c:ext xmlns:c16="http://schemas.microsoft.com/office/drawing/2014/chart" uri="{C3380CC4-5D6E-409C-BE32-E72D297353CC}">
              <c16:uniqueId val="{00000008-D4FC-4C5F-A2A2-F3BF3B88F44D}"/>
            </c:ext>
          </c:extLst>
        </c:ser>
        <c:dLbls>
          <c:showLegendKey val="0"/>
          <c:showVal val="0"/>
          <c:showCatName val="0"/>
          <c:showSerName val="0"/>
          <c:showPercent val="0"/>
          <c:showBubbleSize val="0"/>
        </c:dLbls>
        <c:marker val="1"/>
        <c:smooth val="0"/>
        <c:axId val="681480688"/>
        <c:axId val="681481248"/>
      </c:lineChart>
      <c:catAx>
        <c:axId val="681480688"/>
        <c:scaling>
          <c:orientation val="minMax"/>
        </c:scaling>
        <c:delete val="0"/>
        <c:axPos val="b"/>
        <c:numFmt formatCode="\I\ yyyy" sourceLinked="0"/>
        <c:majorTickMark val="none"/>
        <c:minorTickMark val="none"/>
        <c:tickLblPos val="none"/>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681481248"/>
        <c:crosses val="autoZero"/>
        <c:auto val="0"/>
        <c:lblAlgn val="ctr"/>
        <c:lblOffset val="100"/>
        <c:tickLblSkip val="12"/>
        <c:noMultiLvlLbl val="1"/>
      </c:catAx>
      <c:valAx>
        <c:axId val="681481248"/>
        <c:scaling>
          <c:orientation val="minMax"/>
          <c:max val="140"/>
          <c:min val="8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681480688"/>
        <c:crosses val="autoZero"/>
        <c:crossBetween val="midCat"/>
        <c:majorUnit val="10"/>
      </c:valAx>
      <c:valAx>
        <c:axId val="681481808"/>
        <c:scaling>
          <c:orientation val="minMax"/>
          <c:max val="400"/>
        </c:scaling>
        <c:delete val="0"/>
        <c:axPos val="r"/>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681482368"/>
        <c:crosses val="max"/>
        <c:crossBetween val="between"/>
        <c:majorUnit val="200"/>
      </c:valAx>
      <c:dateAx>
        <c:axId val="681482368"/>
        <c:scaling>
          <c:orientation val="minMax"/>
        </c:scaling>
        <c:delete val="1"/>
        <c:axPos val="b"/>
        <c:numFmt formatCode="yyyy" sourceLinked="1"/>
        <c:majorTickMark val="out"/>
        <c:minorTickMark val="none"/>
        <c:tickLblPos val="nextTo"/>
        <c:crossAx val="681481808"/>
        <c:crosses val="autoZero"/>
        <c:auto val="1"/>
        <c:lblOffset val="100"/>
        <c:baseTimeUnit val="days"/>
      </c:dateAx>
      <c:spPr>
        <a:noFill/>
        <a:ln>
          <a:noFill/>
        </a:ln>
        <a:effectLst/>
      </c:spPr>
    </c:plotArea>
    <c:legend>
      <c:legendPos val="b"/>
      <c:legendEntry>
        <c:idx val="2"/>
        <c:delete val="1"/>
      </c:legendEntry>
      <c:layout>
        <c:manualLayout>
          <c:xMode val="edge"/>
          <c:yMode val="edge"/>
          <c:x val="3.5854845866286351E-2"/>
          <c:y val="0.83348886289975521"/>
          <c:w val="0.94761396709314683"/>
          <c:h val="0.15415967370275899"/>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en-US"/>
    </a:p>
  </c:txPr>
  <c:externalData r:id="rId4">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7488334791484402E-2"/>
          <c:y val="4.9388888888888892E-2"/>
          <c:w val="0.85158573928258963"/>
          <c:h val="0.68513222222222225"/>
        </c:manualLayout>
      </c:layout>
      <c:barChart>
        <c:barDir val="col"/>
        <c:grouping val="clustered"/>
        <c:varyColors val="0"/>
        <c:ser>
          <c:idx val="1"/>
          <c:order val="1"/>
          <c:tx>
            <c:strRef>
              <c:f>'Stednja i rezerve'!$U$2</c:f>
              <c:strCache>
                <c:ptCount val="1"/>
                <c:pt idx="0">
                  <c:v>Девизне резерве НБС </c:v>
                </c:pt>
              </c:strCache>
            </c:strRef>
          </c:tx>
          <c:spPr>
            <a:solidFill>
              <a:srgbClr val="9ED1E6"/>
            </a:solidFill>
            <a:ln>
              <a:noFill/>
            </a:ln>
            <a:effectLst/>
          </c:spPr>
          <c:invertIfNegative val="0"/>
          <c:cat>
            <c:numRef>
              <c:f>'Stednja i rezerve'!$V$27:$V$94</c:f>
              <c:numCache>
                <c:formatCode>yyyy</c:formatCode>
                <c:ptCount val="68"/>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43557</c:v>
                </c:pt>
                <c:pt idx="65">
                  <c:v>43558</c:v>
                </c:pt>
                <c:pt idx="66">
                  <c:v>43559</c:v>
                </c:pt>
                <c:pt idx="67">
                  <c:v>43560</c:v>
                </c:pt>
              </c:numCache>
            </c:numRef>
          </c:cat>
          <c:val>
            <c:numRef>
              <c:f>'Stednja i rezerve'!$U$27:$U$94</c:f>
              <c:numCache>
                <c:formatCode>0.000</c:formatCode>
                <c:ptCount val="68"/>
                <c:pt idx="0">
                  <c:v>11.125999999999999</c:v>
                </c:pt>
                <c:pt idx="1">
                  <c:v>10.832000000000001</c:v>
                </c:pt>
                <c:pt idx="2">
                  <c:v>10.428000000000001</c:v>
                </c:pt>
                <c:pt idx="3">
                  <c:v>10.448</c:v>
                </c:pt>
                <c:pt idx="4">
                  <c:v>10.37</c:v>
                </c:pt>
                <c:pt idx="5">
                  <c:v>10.125</c:v>
                </c:pt>
                <c:pt idx="6">
                  <c:v>10.122999999999999</c:v>
                </c:pt>
                <c:pt idx="7">
                  <c:v>10.949</c:v>
                </c:pt>
                <c:pt idx="8">
                  <c:v>10.878</c:v>
                </c:pt>
                <c:pt idx="9">
                  <c:v>10.714</c:v>
                </c:pt>
                <c:pt idx="10">
                  <c:v>10.271000000000001</c:v>
                </c:pt>
                <c:pt idx="11">
                  <c:v>9.907</c:v>
                </c:pt>
                <c:pt idx="12">
                  <c:v>10.048999999999999</c:v>
                </c:pt>
                <c:pt idx="13">
                  <c:v>10.313000000000001</c:v>
                </c:pt>
                <c:pt idx="14">
                  <c:v>10.515000000000001</c:v>
                </c:pt>
                <c:pt idx="15">
                  <c:v>10.534000000000001</c:v>
                </c:pt>
                <c:pt idx="16">
                  <c:v>10.545</c:v>
                </c:pt>
                <c:pt idx="17">
                  <c:v>10.292999999999999</c:v>
                </c:pt>
                <c:pt idx="18">
                  <c:v>10.631</c:v>
                </c:pt>
                <c:pt idx="19">
                  <c:v>10.61</c:v>
                </c:pt>
                <c:pt idx="20">
                  <c:v>10.510999999999999</c:v>
                </c:pt>
                <c:pt idx="21">
                  <c:v>10.673999999999999</c:v>
                </c:pt>
                <c:pt idx="22">
                  <c:v>10.746</c:v>
                </c:pt>
                <c:pt idx="23">
                  <c:v>10.378</c:v>
                </c:pt>
                <c:pt idx="24">
                  <c:v>10.1045</c:v>
                </c:pt>
                <c:pt idx="25">
                  <c:v>9.8507999999999996</c:v>
                </c:pt>
                <c:pt idx="26">
                  <c:v>9.5008999999999997</c:v>
                </c:pt>
                <c:pt idx="27">
                  <c:v>9.3379999999999992</c:v>
                </c:pt>
                <c:pt idx="28">
                  <c:v>9.2639999999999993</c:v>
                </c:pt>
                <c:pt idx="29">
                  <c:v>9.2910000000000004</c:v>
                </c:pt>
                <c:pt idx="30">
                  <c:v>9.6059999999999999</c:v>
                </c:pt>
                <c:pt idx="31">
                  <c:v>9.5839999999999996</c:v>
                </c:pt>
                <c:pt idx="32">
                  <c:v>9.5519999999999996</c:v>
                </c:pt>
                <c:pt idx="33">
                  <c:v>9.7070000000000007</c:v>
                </c:pt>
                <c:pt idx="34">
                  <c:v>9.8179999999999996</c:v>
                </c:pt>
                <c:pt idx="35">
                  <c:v>10.205</c:v>
                </c:pt>
                <c:pt idx="36">
                  <c:v>9.8539999999999992</c:v>
                </c:pt>
                <c:pt idx="37">
                  <c:v>9.7590000000000003</c:v>
                </c:pt>
                <c:pt idx="38">
                  <c:v>9.73</c:v>
                </c:pt>
                <c:pt idx="39">
                  <c:v>9.4090000000000007</c:v>
                </c:pt>
                <c:pt idx="40">
                  <c:v>9.4920000000000009</c:v>
                </c:pt>
                <c:pt idx="41">
                  <c:v>9.67</c:v>
                </c:pt>
                <c:pt idx="42">
                  <c:v>9.9480000000000004</c:v>
                </c:pt>
                <c:pt idx="43">
                  <c:v>10.278</c:v>
                </c:pt>
                <c:pt idx="44">
                  <c:v>10.635999999999999</c:v>
                </c:pt>
                <c:pt idx="45">
                  <c:v>10.76</c:v>
                </c:pt>
                <c:pt idx="46">
                  <c:v>10.105</c:v>
                </c:pt>
                <c:pt idx="47">
                  <c:v>9.9617000000000004</c:v>
                </c:pt>
                <c:pt idx="48">
                  <c:v>9.6477000000000004</c:v>
                </c:pt>
                <c:pt idx="49">
                  <c:v>9.7910000000000004</c:v>
                </c:pt>
                <c:pt idx="50">
                  <c:v>10.234999999999999</c:v>
                </c:pt>
                <c:pt idx="51">
                  <c:v>10.43</c:v>
                </c:pt>
                <c:pt idx="52">
                  <c:v>10.882999999999999</c:v>
                </c:pt>
                <c:pt idx="53">
                  <c:v>11.103999999999999</c:v>
                </c:pt>
                <c:pt idx="54">
                  <c:v>11.403</c:v>
                </c:pt>
                <c:pt idx="55">
                  <c:v>11.326000000000001</c:v>
                </c:pt>
                <c:pt idx="56">
                  <c:v>11.17249</c:v>
                </c:pt>
                <c:pt idx="57">
                  <c:v>11.5504</c:v>
                </c:pt>
                <c:pt idx="58">
                  <c:v>11.627000000000001</c:v>
                </c:pt>
                <c:pt idx="59">
                  <c:v>11.262</c:v>
                </c:pt>
                <c:pt idx="60">
                  <c:v>11.346</c:v>
                </c:pt>
                <c:pt idx="61">
                  <c:v>11.398</c:v>
                </c:pt>
                <c:pt idx="62">
                  <c:v>11.44</c:v>
                </c:pt>
                <c:pt idx="63">
                  <c:v>11.336</c:v>
                </c:pt>
                <c:pt idx="64">
                  <c:v>11.6556</c:v>
                </c:pt>
                <c:pt idx="65">
                  <c:v>12.146000000000001</c:v>
                </c:pt>
                <c:pt idx="66">
                  <c:v>12.758419999999999</c:v>
                </c:pt>
                <c:pt idx="67">
                  <c:v>13.0999</c:v>
                </c:pt>
              </c:numCache>
            </c:numRef>
          </c:val>
          <c:extLst>
            <c:ext xmlns:c16="http://schemas.microsoft.com/office/drawing/2014/chart" uri="{C3380CC4-5D6E-409C-BE32-E72D297353CC}">
              <c16:uniqueId val="{00000000-B364-4EBA-B209-2DC8B61B66F3}"/>
            </c:ext>
          </c:extLst>
        </c:ser>
        <c:dLbls>
          <c:showLegendKey val="0"/>
          <c:showVal val="0"/>
          <c:showCatName val="0"/>
          <c:showSerName val="0"/>
          <c:showPercent val="0"/>
          <c:showBubbleSize val="0"/>
        </c:dLbls>
        <c:gapWidth val="100"/>
        <c:axId val="679688688"/>
        <c:axId val="679689248"/>
      </c:barChart>
      <c:lineChart>
        <c:grouping val="standard"/>
        <c:varyColors val="0"/>
        <c:ser>
          <c:idx val="0"/>
          <c:order val="0"/>
          <c:tx>
            <c:strRef>
              <c:f>'Stednja i rezerve'!$T$2</c:f>
              <c:strCache>
                <c:ptCount val="1"/>
                <c:pt idx="0">
                  <c:v>Девизна штедња становништва</c:v>
                </c:pt>
              </c:strCache>
            </c:strRef>
          </c:tx>
          <c:spPr>
            <a:ln w="22225" cap="rnd">
              <a:solidFill>
                <a:srgbClr val="FF0000"/>
              </a:solidFill>
              <a:round/>
            </a:ln>
            <a:effectLst/>
          </c:spPr>
          <c:marker>
            <c:symbol val="none"/>
          </c:marker>
          <c:cat>
            <c:numRef>
              <c:f>'Stednja i rezerve'!$V$27:$V$94</c:f>
              <c:numCache>
                <c:formatCode>yyyy</c:formatCode>
                <c:ptCount val="68"/>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43557</c:v>
                </c:pt>
                <c:pt idx="65">
                  <c:v>43558</c:v>
                </c:pt>
                <c:pt idx="66">
                  <c:v>43559</c:v>
                </c:pt>
                <c:pt idx="67">
                  <c:v>43560</c:v>
                </c:pt>
              </c:numCache>
            </c:numRef>
          </c:cat>
          <c:val>
            <c:numRef>
              <c:f>'Stednja i rezerve'!$T$27:$T$94</c:f>
              <c:numCache>
                <c:formatCode>0.000</c:formatCode>
                <c:ptCount val="68"/>
                <c:pt idx="0">
                  <c:v>8.3740000000000006</c:v>
                </c:pt>
                <c:pt idx="1">
                  <c:v>8.4179999999999993</c:v>
                </c:pt>
                <c:pt idx="2">
                  <c:v>8.4039999999999999</c:v>
                </c:pt>
                <c:pt idx="3">
                  <c:v>8.4369999999999994</c:v>
                </c:pt>
                <c:pt idx="4">
                  <c:v>8.4329999999999998</c:v>
                </c:pt>
                <c:pt idx="5">
                  <c:v>8.4860000000000007</c:v>
                </c:pt>
                <c:pt idx="6">
                  <c:v>8.4960000000000004</c:v>
                </c:pt>
                <c:pt idx="7">
                  <c:v>8.4890000000000008</c:v>
                </c:pt>
                <c:pt idx="8">
                  <c:v>8.4890000000000008</c:v>
                </c:pt>
                <c:pt idx="9">
                  <c:v>8.5120000000000005</c:v>
                </c:pt>
                <c:pt idx="10">
                  <c:v>8.4830000000000005</c:v>
                </c:pt>
                <c:pt idx="11">
                  <c:v>8.5250000000000004</c:v>
                </c:pt>
                <c:pt idx="12">
                  <c:v>8.6050000000000004</c:v>
                </c:pt>
                <c:pt idx="13">
                  <c:v>8.61</c:v>
                </c:pt>
                <c:pt idx="14">
                  <c:v>8.6419999999999995</c:v>
                </c:pt>
                <c:pt idx="15">
                  <c:v>8.6389999999999993</c:v>
                </c:pt>
                <c:pt idx="16">
                  <c:v>8.6349999999999998</c:v>
                </c:pt>
                <c:pt idx="17">
                  <c:v>8.67</c:v>
                </c:pt>
                <c:pt idx="18">
                  <c:v>8.6210000000000004</c:v>
                </c:pt>
                <c:pt idx="19">
                  <c:v>8.6050000000000004</c:v>
                </c:pt>
                <c:pt idx="20">
                  <c:v>8.59</c:v>
                </c:pt>
                <c:pt idx="21">
                  <c:v>8.6039999999999992</c:v>
                </c:pt>
                <c:pt idx="22">
                  <c:v>8.5969999999999995</c:v>
                </c:pt>
                <c:pt idx="23">
                  <c:v>8.6289999999999996</c:v>
                </c:pt>
                <c:pt idx="24">
                  <c:v>8.6264760000000003</c:v>
                </c:pt>
                <c:pt idx="25">
                  <c:v>8.636355</c:v>
                </c:pt>
                <c:pt idx="26">
                  <c:v>8.6437650000000001</c:v>
                </c:pt>
                <c:pt idx="27">
                  <c:v>8.6690000000000005</c:v>
                </c:pt>
                <c:pt idx="28">
                  <c:v>8.7550000000000008</c:v>
                </c:pt>
                <c:pt idx="29">
                  <c:v>8.7959999999999994</c:v>
                </c:pt>
                <c:pt idx="30">
                  <c:v>8.8219999999999992</c:v>
                </c:pt>
                <c:pt idx="31">
                  <c:v>8.8309999999999995</c:v>
                </c:pt>
                <c:pt idx="32">
                  <c:v>8.843</c:v>
                </c:pt>
                <c:pt idx="33">
                  <c:v>8.8960000000000008</c:v>
                </c:pt>
                <c:pt idx="34">
                  <c:v>8.9149999999999991</c:v>
                </c:pt>
                <c:pt idx="35">
                  <c:v>8.9870000000000001</c:v>
                </c:pt>
                <c:pt idx="36">
                  <c:v>9.0310000000000006</c:v>
                </c:pt>
                <c:pt idx="37">
                  <c:v>9.0555649999999996</c:v>
                </c:pt>
                <c:pt idx="38">
                  <c:v>9.0842139999999993</c:v>
                </c:pt>
                <c:pt idx="39">
                  <c:v>9.1143780000000003</c:v>
                </c:pt>
                <c:pt idx="40">
                  <c:v>9.1059999999999999</c:v>
                </c:pt>
                <c:pt idx="41">
                  <c:v>9.1370000000000005</c:v>
                </c:pt>
                <c:pt idx="42">
                  <c:v>9.1780000000000008</c:v>
                </c:pt>
                <c:pt idx="43">
                  <c:v>9.2170000000000005</c:v>
                </c:pt>
                <c:pt idx="44">
                  <c:v>9.2629999999999999</c:v>
                </c:pt>
                <c:pt idx="45">
                  <c:v>9.2880000000000003</c:v>
                </c:pt>
                <c:pt idx="46">
                  <c:v>9.298</c:v>
                </c:pt>
                <c:pt idx="47">
                  <c:v>9.373151</c:v>
                </c:pt>
                <c:pt idx="48">
                  <c:v>9.4209999999999994</c:v>
                </c:pt>
                <c:pt idx="49">
                  <c:v>9.5150000000000006</c:v>
                </c:pt>
                <c:pt idx="50">
                  <c:v>9.5660000000000007</c:v>
                </c:pt>
                <c:pt idx="51">
                  <c:v>9.5939999999999994</c:v>
                </c:pt>
                <c:pt idx="52">
                  <c:v>9.6340000000000003</c:v>
                </c:pt>
                <c:pt idx="53">
                  <c:v>9.6869999999999994</c:v>
                </c:pt>
                <c:pt idx="54">
                  <c:v>9.718</c:v>
                </c:pt>
                <c:pt idx="55">
                  <c:v>9.7629999999999999</c:v>
                </c:pt>
                <c:pt idx="56">
                  <c:v>9.7824939999999998</c:v>
                </c:pt>
                <c:pt idx="57">
                  <c:v>9.8469999999999995</c:v>
                </c:pt>
                <c:pt idx="58">
                  <c:v>9.875</c:v>
                </c:pt>
                <c:pt idx="59">
                  <c:v>9.9550000000000001</c:v>
                </c:pt>
                <c:pt idx="60">
                  <c:v>10.105</c:v>
                </c:pt>
                <c:pt idx="61">
                  <c:v>10.167</c:v>
                </c:pt>
                <c:pt idx="62">
                  <c:v>10.217000000000001</c:v>
                </c:pt>
                <c:pt idx="63">
                  <c:v>10.296316999999998</c:v>
                </c:pt>
                <c:pt idx="64">
                  <c:v>10.341207000000001</c:v>
                </c:pt>
                <c:pt idx="65">
                  <c:v>10.391302</c:v>
                </c:pt>
                <c:pt idx="66">
                  <c:v>10.473566</c:v>
                </c:pt>
                <c:pt idx="67">
                  <c:v>10.546825999999999</c:v>
                </c:pt>
              </c:numCache>
            </c:numRef>
          </c:val>
          <c:smooth val="0"/>
          <c:extLst>
            <c:ext xmlns:c16="http://schemas.microsoft.com/office/drawing/2014/chart" uri="{C3380CC4-5D6E-409C-BE32-E72D297353CC}">
              <c16:uniqueId val="{00000001-B364-4EBA-B209-2DC8B61B66F3}"/>
            </c:ext>
          </c:extLst>
        </c:ser>
        <c:ser>
          <c:idx val="2"/>
          <c:order val="2"/>
          <c:spPr>
            <a:ln w="28575" cap="rnd">
              <a:noFill/>
              <a:round/>
            </a:ln>
            <a:effectLst/>
          </c:spPr>
          <c:marker>
            <c:symbol val="square"/>
            <c:size val="2"/>
            <c:spPr>
              <a:solidFill>
                <a:schemeClr val="bg1"/>
              </a:solidFill>
              <a:ln w="9525">
                <a:noFill/>
              </a:ln>
              <a:effectLst/>
            </c:spPr>
          </c:marker>
          <c:dLbls>
            <c:dLbl>
              <c:idx val="0"/>
              <c:layout>
                <c:manualLayout>
                  <c:x val="1.2184415818605189E-2"/>
                  <c:y val="2.791555519659052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B364-4EBA-B209-2DC8B61B66F3}"/>
                </c:ext>
              </c:extLst>
            </c:dLbl>
            <c:dLbl>
              <c:idx val="12"/>
              <c:layout>
                <c:manualLayout>
                  <c:x val="1.4095725361318133E-2"/>
                  <c:y val="2.8022875907385544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364-4EBA-B209-2DC8B61B66F3}"/>
                </c:ext>
              </c:extLst>
            </c:dLbl>
            <c:dLbl>
              <c:idx val="24"/>
              <c:layout>
                <c:manualLayout>
                  <c:x val="1.4095725361318175E-2"/>
                  <c:y val="2.8022875907385544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B364-4EBA-B209-2DC8B61B66F3}"/>
                </c:ext>
              </c:extLst>
            </c:dLbl>
            <c:dLbl>
              <c:idx val="36"/>
              <c:layout>
                <c:manualLayout>
                  <c:x val="1.8731636589823616E-2"/>
                  <c:y val="2.8022875907385544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B364-4EBA-B209-2DC8B61B66F3}"/>
                </c:ext>
              </c:extLst>
            </c:dLbl>
            <c:dLbl>
              <c:idx val="48"/>
              <c:layout>
                <c:manualLayout>
                  <c:x val="1.2241360869915965E-2"/>
                  <c:y val="2.8022875907385544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B364-4EBA-B209-2DC8B61B66F3}"/>
                </c:ext>
              </c:extLst>
            </c:dLbl>
            <c:dLbl>
              <c:idx val="60"/>
              <c:layout>
                <c:manualLayout>
                  <c:x val="-1.8000510352872728E-2"/>
                  <c:y val="2.8022777777777778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7-B364-4EBA-B209-2DC8B61B66F3}"/>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'Stednja i rezerve'!$V$27:$V$94</c:f>
              <c:numCache>
                <c:formatCode>yyyy</c:formatCode>
                <c:ptCount val="68"/>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43557</c:v>
                </c:pt>
                <c:pt idx="65">
                  <c:v>43558</c:v>
                </c:pt>
                <c:pt idx="66">
                  <c:v>43559</c:v>
                </c:pt>
                <c:pt idx="67">
                  <c:v>43560</c:v>
                </c:pt>
              </c:numCache>
            </c:numRef>
          </c:cat>
          <c:val>
            <c:numRef>
              <c:f>'Stednja i rezerve'!$W$27:$W$94</c:f>
              <c:numCache>
                <c:formatCode>General</c:formatCode>
                <c:ptCount val="68"/>
                <c:pt idx="0">
                  <c:v>7</c:v>
                </c:pt>
                <c:pt idx="12">
                  <c:v>7</c:v>
                </c:pt>
                <c:pt idx="24">
                  <c:v>7</c:v>
                </c:pt>
                <c:pt idx="36">
                  <c:v>7</c:v>
                </c:pt>
                <c:pt idx="48">
                  <c:v>7</c:v>
                </c:pt>
                <c:pt idx="60">
                  <c:v>7</c:v>
                </c:pt>
              </c:numCache>
            </c:numRef>
          </c:val>
          <c:smooth val="0"/>
          <c:extLst>
            <c:ext xmlns:c16="http://schemas.microsoft.com/office/drawing/2014/chart" uri="{C3380CC4-5D6E-409C-BE32-E72D297353CC}">
              <c16:uniqueId val="{00000008-B364-4EBA-B209-2DC8B61B66F3}"/>
            </c:ext>
          </c:extLst>
        </c:ser>
        <c:dLbls>
          <c:showLegendKey val="0"/>
          <c:showVal val="0"/>
          <c:showCatName val="0"/>
          <c:showSerName val="0"/>
          <c:showPercent val="0"/>
          <c:showBubbleSize val="0"/>
        </c:dLbls>
        <c:marker val="1"/>
        <c:smooth val="0"/>
        <c:axId val="679688688"/>
        <c:axId val="679689248"/>
      </c:lineChart>
      <c:catAx>
        <c:axId val="679688688"/>
        <c:scaling>
          <c:orientation val="minMax"/>
        </c:scaling>
        <c:delete val="0"/>
        <c:axPos val="b"/>
        <c:numFmt formatCode="yyyy" sourceLinked="0"/>
        <c:majorTickMark val="none"/>
        <c:minorTickMark val="none"/>
        <c:tickLblPos val="none"/>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679689248"/>
        <c:crosses val="autoZero"/>
        <c:auto val="0"/>
        <c:lblAlgn val="ctr"/>
        <c:lblOffset val="100"/>
        <c:tickLblSkip val="12"/>
        <c:noMultiLvlLbl val="1"/>
      </c:catAx>
      <c:valAx>
        <c:axId val="679689248"/>
        <c:scaling>
          <c:orientation val="minMax"/>
          <c:min val="7"/>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679688688"/>
        <c:crosses val="autoZero"/>
        <c:crossBetween val="midCat"/>
        <c:majorUnit val="1"/>
      </c:valAx>
      <c:spPr>
        <a:noFill/>
        <a:ln>
          <a:noFill/>
        </a:ln>
        <a:effectLst/>
      </c:spPr>
    </c:plotArea>
    <c:legend>
      <c:legendPos val="b"/>
      <c:legendEntry>
        <c:idx val="2"/>
        <c:delete val="1"/>
      </c:legendEntry>
      <c:layout>
        <c:manualLayout>
          <c:xMode val="edge"/>
          <c:yMode val="edge"/>
          <c:x val="5.2835374744823561E-2"/>
          <c:y val="0.81213222222222226"/>
          <c:w val="0.91284740449110524"/>
          <c:h val="0.14553444444444447"/>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en-US"/>
    </a:p>
  </c:txPr>
  <c:externalData r:id="rId4">
    <c:autoUpdate val="0"/>
  </c:externalData>
  <c:userShapes r:id="rId5"/>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40491452991453"/>
          <c:y val="3.9230096237970254E-2"/>
          <c:w val="0.85891310541310539"/>
          <c:h val="0.6289622222222222"/>
        </c:manualLayout>
      </c:layout>
      <c:lineChart>
        <c:grouping val="standard"/>
        <c:varyColors val="0"/>
        <c:ser>
          <c:idx val="1"/>
          <c:order val="0"/>
          <c:tx>
            <c:strRef>
              <c:f>Inflacija!$U$3</c:f>
              <c:strCache>
                <c:ptCount val="1"/>
                <c:pt idx="0">
                  <c:v>Потрошачке цене</c:v>
                </c:pt>
              </c:strCache>
            </c:strRef>
          </c:tx>
          <c:spPr>
            <a:ln w="22225" cap="rnd">
              <a:solidFill>
                <a:srgbClr val="7F3F98"/>
              </a:solidFill>
              <a:round/>
            </a:ln>
            <a:effectLst/>
          </c:spPr>
          <c:marker>
            <c:symbol val="none"/>
          </c:marker>
          <c:cat>
            <c:numRef>
              <c:f>Inflacija!$Y$40:$Y$120</c:f>
              <c:numCache>
                <c:formatCode>yyyy</c:formatCode>
                <c:ptCount val="81"/>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43526</c:v>
                </c:pt>
                <c:pt idx="76">
                  <c:v>43527</c:v>
                </c:pt>
                <c:pt idx="77">
                  <c:v>43528</c:v>
                </c:pt>
                <c:pt idx="78">
                  <c:v>43529</c:v>
                </c:pt>
                <c:pt idx="79">
                  <c:v>43530</c:v>
                </c:pt>
                <c:pt idx="80">
                  <c:v>43531</c:v>
                </c:pt>
              </c:numCache>
            </c:numRef>
          </c:cat>
          <c:val>
            <c:numRef>
              <c:f>Inflacija!$U$40:$U$120</c:f>
              <c:numCache>
                <c:formatCode>0.0</c:formatCode>
                <c:ptCount val="81"/>
                <c:pt idx="0">
                  <c:v>12.753293315144077</c:v>
                </c:pt>
                <c:pt idx="1">
                  <c:v>12.412739988820135</c:v>
                </c:pt>
                <c:pt idx="2">
                  <c:v>11.175774206136737</c:v>
                </c:pt>
                <c:pt idx="3">
                  <c:v>11.4</c:v>
                </c:pt>
                <c:pt idx="4">
                  <c:v>9.9</c:v>
                </c:pt>
                <c:pt idx="5">
                  <c:v>9.8000000000000007</c:v>
                </c:pt>
                <c:pt idx="6">
                  <c:v>8.6</c:v>
                </c:pt>
                <c:pt idx="7" formatCode="General">
                  <c:v>7.3</c:v>
                </c:pt>
                <c:pt idx="8">
                  <c:v>4.8545411542100254</c:v>
                </c:pt>
                <c:pt idx="9">
                  <c:v>2.1686608375517835</c:v>
                </c:pt>
                <c:pt idx="10">
                  <c:v>1.5706806282722425</c:v>
                </c:pt>
                <c:pt idx="11">
                  <c:v>2.2241478913922492</c:v>
                </c:pt>
                <c:pt idx="12" formatCode="General">
                  <c:v>3.1</c:v>
                </c:pt>
                <c:pt idx="13" formatCode="General">
                  <c:v>2.6</c:v>
                </c:pt>
                <c:pt idx="14" formatCode="General">
                  <c:v>2.2999999999999998</c:v>
                </c:pt>
                <c:pt idx="15" formatCode="General">
                  <c:v>2.1</c:v>
                </c:pt>
                <c:pt idx="16">
                  <c:v>2.1</c:v>
                </c:pt>
                <c:pt idx="17" formatCode="General">
                  <c:v>1.3</c:v>
                </c:pt>
                <c:pt idx="18" formatCode="General">
                  <c:v>2.1</c:v>
                </c:pt>
                <c:pt idx="19" formatCode="General">
                  <c:v>1.5</c:v>
                </c:pt>
                <c:pt idx="20" formatCode="General">
                  <c:v>2.1</c:v>
                </c:pt>
                <c:pt idx="21" formatCode="General">
                  <c:v>1.8</c:v>
                </c:pt>
                <c:pt idx="22" formatCode="General">
                  <c:v>2.4</c:v>
                </c:pt>
                <c:pt idx="23" formatCode="General">
                  <c:v>1.7</c:v>
                </c:pt>
                <c:pt idx="24" formatCode="General">
                  <c:v>0.1</c:v>
                </c:pt>
                <c:pt idx="25" formatCode="General">
                  <c:v>0.8</c:v>
                </c:pt>
                <c:pt idx="26" formatCode="General">
                  <c:v>1.9</c:v>
                </c:pt>
                <c:pt idx="27" formatCode="General">
                  <c:v>1.8</c:v>
                </c:pt>
                <c:pt idx="28">
                  <c:v>1.5</c:v>
                </c:pt>
                <c:pt idx="29">
                  <c:v>1.9</c:v>
                </c:pt>
                <c:pt idx="30">
                  <c:v>1</c:v>
                </c:pt>
                <c:pt idx="31" formatCode="General">
                  <c:v>2.1</c:v>
                </c:pt>
                <c:pt idx="32" formatCode="General">
                  <c:v>1.4</c:v>
                </c:pt>
                <c:pt idx="33" formatCode="General">
                  <c:v>1.4</c:v>
                </c:pt>
                <c:pt idx="34" formatCode="General">
                  <c:v>1.3</c:v>
                </c:pt>
                <c:pt idx="35" formatCode="General">
                  <c:v>1.5</c:v>
                </c:pt>
                <c:pt idx="36" formatCode="General">
                  <c:v>2.4</c:v>
                </c:pt>
                <c:pt idx="37" formatCode="General">
                  <c:v>1.5</c:v>
                </c:pt>
                <c:pt idx="38" formatCode="General">
                  <c:v>0.6</c:v>
                </c:pt>
                <c:pt idx="39" formatCode="General">
                  <c:v>0.4</c:v>
                </c:pt>
                <c:pt idx="40">
                  <c:v>0.7</c:v>
                </c:pt>
                <c:pt idx="41">
                  <c:v>0.3</c:v>
                </c:pt>
                <c:pt idx="42">
                  <c:v>1.2</c:v>
                </c:pt>
                <c:pt idx="43" formatCode="General">
                  <c:v>1.2</c:v>
                </c:pt>
                <c:pt idx="44" formatCode="General">
                  <c:v>0.6</c:v>
                </c:pt>
                <c:pt idx="45" formatCode="General">
                  <c:v>1.5</c:v>
                </c:pt>
                <c:pt idx="46" formatCode="General">
                  <c:v>1.5</c:v>
                </c:pt>
                <c:pt idx="47" formatCode="General">
                  <c:v>1.6</c:v>
                </c:pt>
                <c:pt idx="48" formatCode="General">
                  <c:v>2.4</c:v>
                </c:pt>
                <c:pt idx="49" formatCode="General">
                  <c:v>3.2</c:v>
                </c:pt>
                <c:pt idx="50" formatCode="General">
                  <c:v>3.6</c:v>
                </c:pt>
                <c:pt idx="51">
                  <c:v>4</c:v>
                </c:pt>
                <c:pt idx="52">
                  <c:v>3.5</c:v>
                </c:pt>
                <c:pt idx="53">
                  <c:v>3.6</c:v>
                </c:pt>
                <c:pt idx="54">
                  <c:v>3.2</c:v>
                </c:pt>
                <c:pt idx="55" formatCode="General">
                  <c:v>2.5</c:v>
                </c:pt>
                <c:pt idx="56" formatCode="General">
                  <c:v>3.2</c:v>
                </c:pt>
                <c:pt idx="57" formatCode="General">
                  <c:v>2.8</c:v>
                </c:pt>
                <c:pt idx="58" formatCode="General">
                  <c:v>2.8</c:v>
                </c:pt>
                <c:pt idx="59">
                  <c:v>3</c:v>
                </c:pt>
                <c:pt idx="60">
                  <c:v>1.9</c:v>
                </c:pt>
                <c:pt idx="61" formatCode="General">
                  <c:v>1.5</c:v>
                </c:pt>
                <c:pt idx="62" formatCode="General">
                  <c:v>1.4</c:v>
                </c:pt>
                <c:pt idx="63">
                  <c:v>1.1000000000000001</c:v>
                </c:pt>
                <c:pt idx="64" formatCode="General">
                  <c:v>2.1</c:v>
                </c:pt>
                <c:pt idx="65" formatCode="General">
                  <c:v>2.2999999999999998</c:v>
                </c:pt>
                <c:pt idx="66" formatCode="General">
                  <c:v>2.4</c:v>
                </c:pt>
                <c:pt idx="67" formatCode="General">
                  <c:v>2.6</c:v>
                </c:pt>
                <c:pt idx="68" formatCode="General">
                  <c:v>2.1</c:v>
                </c:pt>
                <c:pt idx="69" formatCode="General">
                  <c:v>2.2000000000000002</c:v>
                </c:pt>
                <c:pt idx="70" formatCode="General">
                  <c:v>1.9</c:v>
                </c:pt>
                <c:pt idx="71">
                  <c:v>2</c:v>
                </c:pt>
                <c:pt idx="72">
                  <c:v>2.1</c:v>
                </c:pt>
                <c:pt idx="73">
                  <c:v>2.4</c:v>
                </c:pt>
                <c:pt idx="74" formatCode="General">
                  <c:v>2.8</c:v>
                </c:pt>
                <c:pt idx="75" formatCode="General">
                  <c:v>3.1</c:v>
                </c:pt>
                <c:pt idx="76" formatCode="General">
                  <c:v>2.2000000000000028</c:v>
                </c:pt>
                <c:pt idx="77" formatCode="General">
                  <c:v>1.5</c:v>
                </c:pt>
                <c:pt idx="78" formatCode="General">
                  <c:v>1.5999999999999943</c:v>
                </c:pt>
                <c:pt idx="79" formatCode="General">
                  <c:v>1.2999999999999972</c:v>
                </c:pt>
                <c:pt idx="80" formatCode="General">
                  <c:v>1.1000000000000001</c:v>
                </c:pt>
              </c:numCache>
            </c:numRef>
          </c:val>
          <c:smooth val="0"/>
          <c:extLst>
            <c:ext xmlns:c16="http://schemas.microsoft.com/office/drawing/2014/chart" uri="{C3380CC4-5D6E-409C-BE32-E72D297353CC}">
              <c16:uniqueId val="{00000000-4B4A-4C28-A316-B9B093BED8BD}"/>
            </c:ext>
          </c:extLst>
        </c:ser>
        <c:ser>
          <c:idx val="2"/>
          <c:order val="1"/>
          <c:tx>
            <c:strRef>
              <c:f>Inflacija!$V$3</c:f>
              <c:strCache>
                <c:ptCount val="1"/>
                <c:pt idx="0">
                  <c:v>Циљана инфлација</c:v>
                </c:pt>
              </c:strCache>
            </c:strRef>
          </c:tx>
          <c:spPr>
            <a:ln w="22225" cap="rnd">
              <a:solidFill>
                <a:srgbClr val="FF0000"/>
              </a:solidFill>
              <a:round/>
            </a:ln>
            <a:effectLst/>
          </c:spPr>
          <c:marker>
            <c:symbol val="none"/>
          </c:marker>
          <c:cat>
            <c:numRef>
              <c:f>Inflacija!$Y$40:$Y$120</c:f>
              <c:numCache>
                <c:formatCode>yyyy</c:formatCode>
                <c:ptCount val="81"/>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43526</c:v>
                </c:pt>
                <c:pt idx="76">
                  <c:v>43527</c:v>
                </c:pt>
                <c:pt idx="77">
                  <c:v>43528</c:v>
                </c:pt>
                <c:pt idx="78">
                  <c:v>43529</c:v>
                </c:pt>
                <c:pt idx="79">
                  <c:v>43530</c:v>
                </c:pt>
                <c:pt idx="80">
                  <c:v>43531</c:v>
                </c:pt>
              </c:numCache>
            </c:numRef>
          </c:cat>
          <c:val>
            <c:numRef>
              <c:f>Inflacija!$V$40:$V$120</c:f>
              <c:numCache>
                <c:formatCode>0.0</c:formatCode>
                <c:ptCount val="81"/>
                <c:pt idx="0">
                  <c:v>4</c:v>
                </c:pt>
                <c:pt idx="1">
                  <c:v>4</c:v>
                </c:pt>
                <c:pt idx="2">
                  <c:v>4</c:v>
                </c:pt>
                <c:pt idx="3">
                  <c:v>4</c:v>
                </c:pt>
                <c:pt idx="4">
                  <c:v>4</c:v>
                </c:pt>
                <c:pt idx="5">
                  <c:v>4</c:v>
                </c:pt>
                <c:pt idx="6">
                  <c:v>4</c:v>
                </c:pt>
                <c:pt idx="7">
                  <c:v>4</c:v>
                </c:pt>
                <c:pt idx="8">
                  <c:v>4</c:v>
                </c:pt>
                <c:pt idx="9">
                  <c:v>4</c:v>
                </c:pt>
                <c:pt idx="10">
                  <c:v>4</c:v>
                </c:pt>
                <c:pt idx="11">
                  <c:v>4</c:v>
                </c:pt>
                <c:pt idx="12">
                  <c:v>4</c:v>
                </c:pt>
                <c:pt idx="13">
                  <c:v>4</c:v>
                </c:pt>
                <c:pt idx="14">
                  <c:v>4</c:v>
                </c:pt>
                <c:pt idx="15">
                  <c:v>4</c:v>
                </c:pt>
                <c:pt idx="16">
                  <c:v>4</c:v>
                </c:pt>
                <c:pt idx="17">
                  <c:v>4</c:v>
                </c:pt>
                <c:pt idx="18">
                  <c:v>4</c:v>
                </c:pt>
                <c:pt idx="19">
                  <c:v>4</c:v>
                </c:pt>
                <c:pt idx="20">
                  <c:v>4</c:v>
                </c:pt>
                <c:pt idx="21">
                  <c:v>4</c:v>
                </c:pt>
                <c:pt idx="22">
                  <c:v>4</c:v>
                </c:pt>
                <c:pt idx="23">
                  <c:v>4</c:v>
                </c:pt>
                <c:pt idx="24">
                  <c:v>4</c:v>
                </c:pt>
                <c:pt idx="25">
                  <c:v>4</c:v>
                </c:pt>
                <c:pt idx="26">
                  <c:v>4</c:v>
                </c:pt>
                <c:pt idx="27">
                  <c:v>4</c:v>
                </c:pt>
                <c:pt idx="28">
                  <c:v>4</c:v>
                </c:pt>
                <c:pt idx="29">
                  <c:v>4</c:v>
                </c:pt>
                <c:pt idx="30">
                  <c:v>4</c:v>
                </c:pt>
                <c:pt idx="31">
                  <c:v>4</c:v>
                </c:pt>
                <c:pt idx="32">
                  <c:v>4</c:v>
                </c:pt>
                <c:pt idx="33">
                  <c:v>4</c:v>
                </c:pt>
                <c:pt idx="34">
                  <c:v>4</c:v>
                </c:pt>
                <c:pt idx="35">
                  <c:v>4</c:v>
                </c:pt>
                <c:pt idx="36">
                  <c:v>4</c:v>
                </c:pt>
                <c:pt idx="37">
                  <c:v>4</c:v>
                </c:pt>
                <c:pt idx="38">
                  <c:v>4</c:v>
                </c:pt>
                <c:pt idx="39">
                  <c:v>4</c:v>
                </c:pt>
                <c:pt idx="40">
                  <c:v>4</c:v>
                </c:pt>
                <c:pt idx="41">
                  <c:v>4</c:v>
                </c:pt>
                <c:pt idx="42">
                  <c:v>4</c:v>
                </c:pt>
                <c:pt idx="43">
                  <c:v>4</c:v>
                </c:pt>
                <c:pt idx="44">
                  <c:v>4</c:v>
                </c:pt>
                <c:pt idx="45">
                  <c:v>4</c:v>
                </c:pt>
                <c:pt idx="46">
                  <c:v>4</c:v>
                </c:pt>
                <c:pt idx="47">
                  <c:v>4</c:v>
                </c:pt>
                <c:pt idx="48">
                  <c:v>3</c:v>
                </c:pt>
                <c:pt idx="49">
                  <c:v>3</c:v>
                </c:pt>
                <c:pt idx="50">
                  <c:v>3</c:v>
                </c:pt>
                <c:pt idx="51">
                  <c:v>3</c:v>
                </c:pt>
                <c:pt idx="52">
                  <c:v>3</c:v>
                </c:pt>
                <c:pt idx="53">
                  <c:v>3</c:v>
                </c:pt>
                <c:pt idx="54">
                  <c:v>3</c:v>
                </c:pt>
                <c:pt idx="55">
                  <c:v>3</c:v>
                </c:pt>
                <c:pt idx="56">
                  <c:v>3</c:v>
                </c:pt>
                <c:pt idx="57">
                  <c:v>3</c:v>
                </c:pt>
                <c:pt idx="58">
                  <c:v>3</c:v>
                </c:pt>
                <c:pt idx="59">
                  <c:v>3</c:v>
                </c:pt>
                <c:pt idx="60">
                  <c:v>3</c:v>
                </c:pt>
                <c:pt idx="61">
                  <c:v>3</c:v>
                </c:pt>
                <c:pt idx="62">
                  <c:v>3</c:v>
                </c:pt>
                <c:pt idx="63">
                  <c:v>3</c:v>
                </c:pt>
                <c:pt idx="64">
                  <c:v>3</c:v>
                </c:pt>
                <c:pt idx="65">
                  <c:v>3</c:v>
                </c:pt>
                <c:pt idx="66">
                  <c:v>3</c:v>
                </c:pt>
                <c:pt idx="67">
                  <c:v>3</c:v>
                </c:pt>
                <c:pt idx="68">
                  <c:v>3</c:v>
                </c:pt>
                <c:pt idx="69">
                  <c:v>3</c:v>
                </c:pt>
                <c:pt idx="70">
                  <c:v>3</c:v>
                </c:pt>
                <c:pt idx="71">
                  <c:v>3</c:v>
                </c:pt>
                <c:pt idx="72">
                  <c:v>3</c:v>
                </c:pt>
                <c:pt idx="73">
                  <c:v>3</c:v>
                </c:pt>
                <c:pt idx="74">
                  <c:v>3</c:v>
                </c:pt>
                <c:pt idx="75">
                  <c:v>3</c:v>
                </c:pt>
                <c:pt idx="76">
                  <c:v>3</c:v>
                </c:pt>
                <c:pt idx="77">
                  <c:v>3</c:v>
                </c:pt>
                <c:pt idx="78">
                  <c:v>3</c:v>
                </c:pt>
                <c:pt idx="79">
                  <c:v>3</c:v>
                </c:pt>
                <c:pt idx="80">
                  <c:v>3</c:v>
                </c:pt>
              </c:numCache>
            </c:numRef>
          </c:val>
          <c:smooth val="0"/>
          <c:extLst>
            <c:ext xmlns:c16="http://schemas.microsoft.com/office/drawing/2014/chart" uri="{C3380CC4-5D6E-409C-BE32-E72D297353CC}">
              <c16:uniqueId val="{00000001-4B4A-4C28-A316-B9B093BED8BD}"/>
            </c:ext>
          </c:extLst>
        </c:ser>
        <c:ser>
          <c:idx val="0"/>
          <c:order val="2"/>
          <c:tx>
            <c:strRef>
              <c:f>Inflacija!$T$3</c:f>
              <c:strCache>
                <c:ptCount val="1"/>
                <c:pt idx="0">
                  <c:v>Референтна каматна стопа</c:v>
                </c:pt>
              </c:strCache>
            </c:strRef>
          </c:tx>
          <c:spPr>
            <a:ln w="22225" cap="rnd">
              <a:solidFill>
                <a:srgbClr val="51BBE7"/>
              </a:solidFill>
              <a:round/>
            </a:ln>
            <a:effectLst/>
          </c:spPr>
          <c:marker>
            <c:symbol val="none"/>
          </c:marker>
          <c:cat>
            <c:numRef>
              <c:f>Inflacija!$Y$40:$Y$120</c:f>
              <c:numCache>
                <c:formatCode>yyyy</c:formatCode>
                <c:ptCount val="81"/>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43526</c:v>
                </c:pt>
                <c:pt idx="76">
                  <c:v>43527</c:v>
                </c:pt>
                <c:pt idx="77">
                  <c:v>43528</c:v>
                </c:pt>
                <c:pt idx="78">
                  <c:v>43529</c:v>
                </c:pt>
                <c:pt idx="79">
                  <c:v>43530</c:v>
                </c:pt>
                <c:pt idx="80">
                  <c:v>43531</c:v>
                </c:pt>
              </c:numCache>
            </c:numRef>
          </c:cat>
          <c:val>
            <c:numRef>
              <c:f>Inflacija!$T$40:$T$120</c:f>
              <c:numCache>
                <c:formatCode>0.00</c:formatCode>
                <c:ptCount val="81"/>
                <c:pt idx="0">
                  <c:v>11.5</c:v>
                </c:pt>
                <c:pt idx="1">
                  <c:v>11.75</c:v>
                </c:pt>
                <c:pt idx="2">
                  <c:v>11.75</c:v>
                </c:pt>
                <c:pt idx="3">
                  <c:v>11.75</c:v>
                </c:pt>
                <c:pt idx="4">
                  <c:v>11.25</c:v>
                </c:pt>
                <c:pt idx="5">
                  <c:v>11</c:v>
                </c:pt>
                <c:pt idx="6">
                  <c:v>11</c:v>
                </c:pt>
                <c:pt idx="7">
                  <c:v>11</c:v>
                </c:pt>
                <c:pt idx="8">
                  <c:v>11</c:v>
                </c:pt>
                <c:pt idx="9">
                  <c:v>10.5</c:v>
                </c:pt>
                <c:pt idx="10">
                  <c:v>10</c:v>
                </c:pt>
                <c:pt idx="11">
                  <c:v>9.5</c:v>
                </c:pt>
                <c:pt idx="12">
                  <c:v>9.5</c:v>
                </c:pt>
                <c:pt idx="13">
                  <c:v>9.5</c:v>
                </c:pt>
                <c:pt idx="14">
                  <c:v>9.5</c:v>
                </c:pt>
                <c:pt idx="15">
                  <c:v>9.5</c:v>
                </c:pt>
                <c:pt idx="16">
                  <c:v>9</c:v>
                </c:pt>
                <c:pt idx="17">
                  <c:v>8.5</c:v>
                </c:pt>
                <c:pt idx="18">
                  <c:v>8.5</c:v>
                </c:pt>
                <c:pt idx="19">
                  <c:v>8.5</c:v>
                </c:pt>
                <c:pt idx="20">
                  <c:v>8.5</c:v>
                </c:pt>
                <c:pt idx="21">
                  <c:v>8.5</c:v>
                </c:pt>
                <c:pt idx="22">
                  <c:v>8</c:v>
                </c:pt>
                <c:pt idx="23">
                  <c:v>8</c:v>
                </c:pt>
                <c:pt idx="24">
                  <c:v>8</c:v>
                </c:pt>
                <c:pt idx="25">
                  <c:v>8</c:v>
                </c:pt>
                <c:pt idx="26">
                  <c:v>7.5</c:v>
                </c:pt>
                <c:pt idx="27">
                  <c:v>7</c:v>
                </c:pt>
                <c:pt idx="28">
                  <c:v>6.5</c:v>
                </c:pt>
                <c:pt idx="29">
                  <c:v>6</c:v>
                </c:pt>
                <c:pt idx="30">
                  <c:v>6</c:v>
                </c:pt>
                <c:pt idx="31">
                  <c:v>5.5</c:v>
                </c:pt>
                <c:pt idx="32">
                  <c:v>5</c:v>
                </c:pt>
                <c:pt idx="33">
                  <c:v>4.5</c:v>
                </c:pt>
                <c:pt idx="34">
                  <c:v>4.5</c:v>
                </c:pt>
                <c:pt idx="35">
                  <c:v>4.5</c:v>
                </c:pt>
                <c:pt idx="36">
                  <c:v>4.5</c:v>
                </c:pt>
                <c:pt idx="37">
                  <c:v>4.25</c:v>
                </c:pt>
                <c:pt idx="38">
                  <c:v>4.25</c:v>
                </c:pt>
                <c:pt idx="39">
                  <c:v>4.25</c:v>
                </c:pt>
                <c:pt idx="40">
                  <c:v>4.25</c:v>
                </c:pt>
                <c:pt idx="41">
                  <c:v>4.25</c:v>
                </c:pt>
                <c:pt idx="42">
                  <c:v>4</c:v>
                </c:pt>
                <c:pt idx="43">
                  <c:v>4</c:v>
                </c:pt>
                <c:pt idx="44">
                  <c:v>4</c:v>
                </c:pt>
                <c:pt idx="45">
                  <c:v>4</c:v>
                </c:pt>
                <c:pt idx="46">
                  <c:v>4</c:v>
                </c:pt>
                <c:pt idx="47">
                  <c:v>4</c:v>
                </c:pt>
                <c:pt idx="48">
                  <c:v>4</c:v>
                </c:pt>
                <c:pt idx="49">
                  <c:v>4</c:v>
                </c:pt>
                <c:pt idx="50">
                  <c:v>4</c:v>
                </c:pt>
                <c:pt idx="51">
                  <c:v>4</c:v>
                </c:pt>
                <c:pt idx="52">
                  <c:v>4</c:v>
                </c:pt>
                <c:pt idx="53">
                  <c:v>4</c:v>
                </c:pt>
                <c:pt idx="54">
                  <c:v>4</c:v>
                </c:pt>
                <c:pt idx="55">
                  <c:v>4</c:v>
                </c:pt>
                <c:pt idx="56">
                  <c:v>3.75</c:v>
                </c:pt>
                <c:pt idx="57">
                  <c:v>3.5</c:v>
                </c:pt>
                <c:pt idx="58">
                  <c:v>3.5</c:v>
                </c:pt>
                <c:pt idx="59">
                  <c:v>3.5</c:v>
                </c:pt>
                <c:pt idx="60">
                  <c:v>3.5</c:v>
                </c:pt>
                <c:pt idx="61">
                  <c:v>3.5</c:v>
                </c:pt>
                <c:pt idx="62">
                  <c:v>3.25</c:v>
                </c:pt>
                <c:pt idx="63">
                  <c:v>3</c:v>
                </c:pt>
                <c:pt idx="64">
                  <c:v>3</c:v>
                </c:pt>
                <c:pt idx="65">
                  <c:v>3</c:v>
                </c:pt>
                <c:pt idx="66">
                  <c:v>3</c:v>
                </c:pt>
                <c:pt idx="67">
                  <c:v>3</c:v>
                </c:pt>
                <c:pt idx="68">
                  <c:v>3</c:v>
                </c:pt>
                <c:pt idx="69">
                  <c:v>3</c:v>
                </c:pt>
                <c:pt idx="70">
                  <c:v>3</c:v>
                </c:pt>
                <c:pt idx="71">
                  <c:v>3</c:v>
                </c:pt>
                <c:pt idx="72">
                  <c:v>3</c:v>
                </c:pt>
                <c:pt idx="73">
                  <c:v>3</c:v>
                </c:pt>
                <c:pt idx="74">
                  <c:v>3</c:v>
                </c:pt>
                <c:pt idx="75">
                  <c:v>3</c:v>
                </c:pt>
                <c:pt idx="76">
                  <c:v>3</c:v>
                </c:pt>
                <c:pt idx="77">
                  <c:v>3</c:v>
                </c:pt>
                <c:pt idx="78">
                  <c:v>2.75</c:v>
                </c:pt>
                <c:pt idx="79">
                  <c:v>2.5</c:v>
                </c:pt>
                <c:pt idx="80">
                  <c:v>2.5</c:v>
                </c:pt>
              </c:numCache>
            </c:numRef>
          </c:val>
          <c:smooth val="0"/>
          <c:extLst>
            <c:ext xmlns:c16="http://schemas.microsoft.com/office/drawing/2014/chart" uri="{C3380CC4-5D6E-409C-BE32-E72D297353CC}">
              <c16:uniqueId val="{00000002-4B4A-4C28-A316-B9B093BED8BD}"/>
            </c:ext>
          </c:extLst>
        </c:ser>
        <c:ser>
          <c:idx val="3"/>
          <c:order val="3"/>
          <c:tx>
            <c:strRef>
              <c:f>Inflacija!$W$3</c:f>
              <c:strCache>
                <c:ptCount val="1"/>
                <c:pt idx="0">
                  <c:v>Коридор инфлације</c:v>
                </c:pt>
              </c:strCache>
            </c:strRef>
          </c:tx>
          <c:spPr>
            <a:ln w="12700" cap="rnd">
              <a:solidFill>
                <a:srgbClr val="898989"/>
              </a:solidFill>
              <a:prstDash val="sysDash"/>
              <a:round/>
            </a:ln>
            <a:effectLst/>
          </c:spPr>
          <c:marker>
            <c:symbol val="none"/>
          </c:marker>
          <c:cat>
            <c:numRef>
              <c:f>Inflacija!$Y$40:$Y$120</c:f>
              <c:numCache>
                <c:formatCode>yyyy</c:formatCode>
                <c:ptCount val="81"/>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43526</c:v>
                </c:pt>
                <c:pt idx="76">
                  <c:v>43527</c:v>
                </c:pt>
                <c:pt idx="77">
                  <c:v>43528</c:v>
                </c:pt>
                <c:pt idx="78">
                  <c:v>43529</c:v>
                </c:pt>
                <c:pt idx="79">
                  <c:v>43530</c:v>
                </c:pt>
                <c:pt idx="80">
                  <c:v>43531</c:v>
                </c:pt>
              </c:numCache>
            </c:numRef>
          </c:cat>
          <c:val>
            <c:numRef>
              <c:f>Inflacija!$W$40:$W$120</c:f>
              <c:numCache>
                <c:formatCode>0.0</c:formatCode>
                <c:ptCount val="81"/>
                <c:pt idx="0">
                  <c:v>5.5</c:v>
                </c:pt>
                <c:pt idx="1">
                  <c:v>5.5</c:v>
                </c:pt>
                <c:pt idx="2">
                  <c:v>5.5</c:v>
                </c:pt>
                <c:pt idx="3">
                  <c:v>5.5</c:v>
                </c:pt>
                <c:pt idx="4">
                  <c:v>5.5</c:v>
                </c:pt>
                <c:pt idx="5">
                  <c:v>5.5</c:v>
                </c:pt>
                <c:pt idx="6">
                  <c:v>5.5</c:v>
                </c:pt>
                <c:pt idx="7">
                  <c:v>5.5</c:v>
                </c:pt>
                <c:pt idx="8">
                  <c:v>5.5</c:v>
                </c:pt>
                <c:pt idx="9">
                  <c:v>5.5</c:v>
                </c:pt>
                <c:pt idx="10">
                  <c:v>5.5</c:v>
                </c:pt>
                <c:pt idx="11">
                  <c:v>5.5</c:v>
                </c:pt>
                <c:pt idx="12">
                  <c:v>5.5</c:v>
                </c:pt>
                <c:pt idx="13">
                  <c:v>5.5</c:v>
                </c:pt>
                <c:pt idx="14">
                  <c:v>5.5</c:v>
                </c:pt>
                <c:pt idx="15">
                  <c:v>5.5</c:v>
                </c:pt>
                <c:pt idx="16">
                  <c:v>5.5</c:v>
                </c:pt>
                <c:pt idx="17">
                  <c:v>5.5</c:v>
                </c:pt>
                <c:pt idx="18">
                  <c:v>5.5</c:v>
                </c:pt>
                <c:pt idx="19">
                  <c:v>5.5</c:v>
                </c:pt>
                <c:pt idx="20">
                  <c:v>5.5</c:v>
                </c:pt>
                <c:pt idx="21">
                  <c:v>5.5</c:v>
                </c:pt>
                <c:pt idx="22">
                  <c:v>5.5</c:v>
                </c:pt>
                <c:pt idx="23">
                  <c:v>5.5</c:v>
                </c:pt>
                <c:pt idx="24">
                  <c:v>5.5</c:v>
                </c:pt>
                <c:pt idx="25">
                  <c:v>5.5</c:v>
                </c:pt>
                <c:pt idx="26">
                  <c:v>5.5</c:v>
                </c:pt>
                <c:pt idx="27">
                  <c:v>5.5</c:v>
                </c:pt>
                <c:pt idx="28">
                  <c:v>5.5</c:v>
                </c:pt>
                <c:pt idx="29">
                  <c:v>5.5</c:v>
                </c:pt>
                <c:pt idx="30">
                  <c:v>5.5</c:v>
                </c:pt>
                <c:pt idx="31">
                  <c:v>5.5</c:v>
                </c:pt>
                <c:pt idx="32">
                  <c:v>5.5</c:v>
                </c:pt>
                <c:pt idx="33">
                  <c:v>5.5</c:v>
                </c:pt>
                <c:pt idx="34">
                  <c:v>5.5</c:v>
                </c:pt>
                <c:pt idx="35">
                  <c:v>5.5</c:v>
                </c:pt>
                <c:pt idx="36">
                  <c:v>5.5</c:v>
                </c:pt>
                <c:pt idx="37" formatCode="General">
                  <c:v>5.5</c:v>
                </c:pt>
                <c:pt idx="38" formatCode="General">
                  <c:v>5.5</c:v>
                </c:pt>
                <c:pt idx="39" formatCode="General">
                  <c:v>5.5</c:v>
                </c:pt>
                <c:pt idx="40" formatCode="General">
                  <c:v>5.5</c:v>
                </c:pt>
                <c:pt idx="41" formatCode="General">
                  <c:v>5.5</c:v>
                </c:pt>
                <c:pt idx="42" formatCode="General">
                  <c:v>5.5</c:v>
                </c:pt>
                <c:pt idx="43" formatCode="General">
                  <c:v>5.5</c:v>
                </c:pt>
                <c:pt idx="44" formatCode="General">
                  <c:v>5.5</c:v>
                </c:pt>
                <c:pt idx="45" formatCode="General">
                  <c:v>5.5</c:v>
                </c:pt>
                <c:pt idx="46" formatCode="General">
                  <c:v>5.5</c:v>
                </c:pt>
                <c:pt idx="47" formatCode="General">
                  <c:v>5.5</c:v>
                </c:pt>
                <c:pt idx="48">
                  <c:v>4.5</c:v>
                </c:pt>
                <c:pt idx="49">
                  <c:v>4.5</c:v>
                </c:pt>
                <c:pt idx="50">
                  <c:v>4.5</c:v>
                </c:pt>
                <c:pt idx="51">
                  <c:v>4.5</c:v>
                </c:pt>
                <c:pt idx="52">
                  <c:v>4.5</c:v>
                </c:pt>
                <c:pt idx="53">
                  <c:v>4.5</c:v>
                </c:pt>
                <c:pt idx="54">
                  <c:v>4.5</c:v>
                </c:pt>
                <c:pt idx="55">
                  <c:v>4.5</c:v>
                </c:pt>
                <c:pt idx="56">
                  <c:v>4.5</c:v>
                </c:pt>
                <c:pt idx="57">
                  <c:v>4.5</c:v>
                </c:pt>
                <c:pt idx="58">
                  <c:v>4.5</c:v>
                </c:pt>
                <c:pt idx="59">
                  <c:v>4.5</c:v>
                </c:pt>
                <c:pt idx="60">
                  <c:v>4.5</c:v>
                </c:pt>
                <c:pt idx="61">
                  <c:v>4.5</c:v>
                </c:pt>
                <c:pt idx="62">
                  <c:v>4.5</c:v>
                </c:pt>
                <c:pt idx="63">
                  <c:v>4.5</c:v>
                </c:pt>
                <c:pt idx="64">
                  <c:v>4.5</c:v>
                </c:pt>
                <c:pt idx="65" formatCode="General">
                  <c:v>4.5</c:v>
                </c:pt>
                <c:pt idx="66" formatCode="General">
                  <c:v>4.5</c:v>
                </c:pt>
                <c:pt idx="67" formatCode="General">
                  <c:v>4.5</c:v>
                </c:pt>
                <c:pt idx="68">
                  <c:v>4.5</c:v>
                </c:pt>
                <c:pt idx="69">
                  <c:v>4.5</c:v>
                </c:pt>
                <c:pt idx="70">
                  <c:v>4.5</c:v>
                </c:pt>
                <c:pt idx="71">
                  <c:v>4.5</c:v>
                </c:pt>
                <c:pt idx="72">
                  <c:v>4.5</c:v>
                </c:pt>
                <c:pt idx="73">
                  <c:v>4.5</c:v>
                </c:pt>
                <c:pt idx="74">
                  <c:v>4.5</c:v>
                </c:pt>
                <c:pt idx="75">
                  <c:v>4.5</c:v>
                </c:pt>
                <c:pt idx="76">
                  <c:v>4.5</c:v>
                </c:pt>
                <c:pt idx="77">
                  <c:v>4.5</c:v>
                </c:pt>
                <c:pt idx="78">
                  <c:v>4.5</c:v>
                </c:pt>
                <c:pt idx="79">
                  <c:v>4.5</c:v>
                </c:pt>
                <c:pt idx="80">
                  <c:v>4.5</c:v>
                </c:pt>
              </c:numCache>
            </c:numRef>
          </c:val>
          <c:smooth val="0"/>
          <c:extLst>
            <c:ext xmlns:c16="http://schemas.microsoft.com/office/drawing/2014/chart" uri="{C3380CC4-5D6E-409C-BE32-E72D297353CC}">
              <c16:uniqueId val="{00000003-4B4A-4C28-A316-B9B093BED8BD}"/>
            </c:ext>
          </c:extLst>
        </c:ser>
        <c:ser>
          <c:idx val="4"/>
          <c:order val="4"/>
          <c:tx>
            <c:strRef>
              <c:f>Inflacija!$X$3</c:f>
              <c:strCache>
                <c:ptCount val="1"/>
              </c:strCache>
            </c:strRef>
          </c:tx>
          <c:spPr>
            <a:ln w="12700" cap="rnd">
              <a:solidFill>
                <a:srgbClr val="898989"/>
              </a:solidFill>
              <a:prstDash val="sysDash"/>
              <a:round/>
            </a:ln>
            <a:effectLst/>
          </c:spPr>
          <c:marker>
            <c:symbol val="none"/>
          </c:marker>
          <c:cat>
            <c:numRef>
              <c:f>Inflacija!$Y$40:$Y$120</c:f>
              <c:numCache>
                <c:formatCode>yyyy</c:formatCode>
                <c:ptCount val="81"/>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43526</c:v>
                </c:pt>
                <c:pt idx="76">
                  <c:v>43527</c:v>
                </c:pt>
                <c:pt idx="77">
                  <c:v>43528</c:v>
                </c:pt>
                <c:pt idx="78">
                  <c:v>43529</c:v>
                </c:pt>
                <c:pt idx="79">
                  <c:v>43530</c:v>
                </c:pt>
                <c:pt idx="80">
                  <c:v>43531</c:v>
                </c:pt>
              </c:numCache>
            </c:numRef>
          </c:cat>
          <c:val>
            <c:numRef>
              <c:f>Inflacija!$X$40:$X$120</c:f>
              <c:numCache>
                <c:formatCode>0.0</c:formatCode>
                <c:ptCount val="81"/>
                <c:pt idx="0">
                  <c:v>2.5</c:v>
                </c:pt>
                <c:pt idx="1">
                  <c:v>2.5</c:v>
                </c:pt>
                <c:pt idx="2">
                  <c:v>2.5</c:v>
                </c:pt>
                <c:pt idx="3">
                  <c:v>2.5</c:v>
                </c:pt>
                <c:pt idx="4">
                  <c:v>2.5</c:v>
                </c:pt>
                <c:pt idx="5">
                  <c:v>2.5</c:v>
                </c:pt>
                <c:pt idx="6">
                  <c:v>2.5</c:v>
                </c:pt>
                <c:pt idx="7">
                  <c:v>2.5</c:v>
                </c:pt>
                <c:pt idx="8">
                  <c:v>2.5</c:v>
                </c:pt>
                <c:pt idx="9">
                  <c:v>2.5</c:v>
                </c:pt>
                <c:pt idx="10">
                  <c:v>2.5</c:v>
                </c:pt>
                <c:pt idx="11">
                  <c:v>2.5</c:v>
                </c:pt>
                <c:pt idx="12">
                  <c:v>2.5</c:v>
                </c:pt>
                <c:pt idx="13">
                  <c:v>2.5</c:v>
                </c:pt>
                <c:pt idx="14">
                  <c:v>2.5</c:v>
                </c:pt>
                <c:pt idx="15">
                  <c:v>2.5</c:v>
                </c:pt>
                <c:pt idx="16">
                  <c:v>2.5</c:v>
                </c:pt>
                <c:pt idx="17">
                  <c:v>2.5</c:v>
                </c:pt>
                <c:pt idx="18">
                  <c:v>2.5</c:v>
                </c:pt>
                <c:pt idx="19">
                  <c:v>2.5</c:v>
                </c:pt>
                <c:pt idx="20">
                  <c:v>2.5</c:v>
                </c:pt>
                <c:pt idx="21">
                  <c:v>2.5</c:v>
                </c:pt>
                <c:pt idx="22">
                  <c:v>2.5</c:v>
                </c:pt>
                <c:pt idx="23">
                  <c:v>2.5</c:v>
                </c:pt>
                <c:pt idx="24">
                  <c:v>2.5</c:v>
                </c:pt>
                <c:pt idx="25">
                  <c:v>2.5</c:v>
                </c:pt>
                <c:pt idx="26">
                  <c:v>2.5</c:v>
                </c:pt>
                <c:pt idx="27">
                  <c:v>2.5</c:v>
                </c:pt>
                <c:pt idx="28">
                  <c:v>2.5</c:v>
                </c:pt>
                <c:pt idx="29">
                  <c:v>2.5</c:v>
                </c:pt>
                <c:pt idx="30">
                  <c:v>2.5</c:v>
                </c:pt>
                <c:pt idx="31">
                  <c:v>2.5</c:v>
                </c:pt>
                <c:pt idx="32">
                  <c:v>2.5</c:v>
                </c:pt>
                <c:pt idx="33">
                  <c:v>2.5</c:v>
                </c:pt>
                <c:pt idx="34">
                  <c:v>2.5</c:v>
                </c:pt>
                <c:pt idx="35">
                  <c:v>2.5</c:v>
                </c:pt>
                <c:pt idx="36">
                  <c:v>2.5</c:v>
                </c:pt>
                <c:pt idx="37" formatCode="General">
                  <c:v>2.5</c:v>
                </c:pt>
                <c:pt idx="38" formatCode="General">
                  <c:v>2.5</c:v>
                </c:pt>
                <c:pt idx="39" formatCode="General">
                  <c:v>2.5</c:v>
                </c:pt>
                <c:pt idx="40" formatCode="General">
                  <c:v>2.5</c:v>
                </c:pt>
                <c:pt idx="41" formatCode="General">
                  <c:v>2.5</c:v>
                </c:pt>
                <c:pt idx="42" formatCode="General">
                  <c:v>2.5</c:v>
                </c:pt>
                <c:pt idx="43" formatCode="General">
                  <c:v>2.5</c:v>
                </c:pt>
                <c:pt idx="44" formatCode="General">
                  <c:v>2.5</c:v>
                </c:pt>
                <c:pt idx="45" formatCode="General">
                  <c:v>2.5</c:v>
                </c:pt>
                <c:pt idx="46" formatCode="General">
                  <c:v>2.5</c:v>
                </c:pt>
                <c:pt idx="47" formatCode="General">
                  <c:v>2.5</c:v>
                </c:pt>
                <c:pt idx="48">
                  <c:v>1.5</c:v>
                </c:pt>
                <c:pt idx="49">
                  <c:v>1.5</c:v>
                </c:pt>
                <c:pt idx="50">
                  <c:v>1.5</c:v>
                </c:pt>
                <c:pt idx="51">
                  <c:v>1.5</c:v>
                </c:pt>
                <c:pt idx="52">
                  <c:v>1.5</c:v>
                </c:pt>
                <c:pt idx="53">
                  <c:v>1.5</c:v>
                </c:pt>
                <c:pt idx="54">
                  <c:v>1.5</c:v>
                </c:pt>
                <c:pt idx="55">
                  <c:v>1.5</c:v>
                </c:pt>
                <c:pt idx="56">
                  <c:v>1.5</c:v>
                </c:pt>
                <c:pt idx="57">
                  <c:v>1.5</c:v>
                </c:pt>
                <c:pt idx="58">
                  <c:v>1.5</c:v>
                </c:pt>
                <c:pt idx="59">
                  <c:v>1.5</c:v>
                </c:pt>
                <c:pt idx="60">
                  <c:v>1.5</c:v>
                </c:pt>
                <c:pt idx="61">
                  <c:v>1.5</c:v>
                </c:pt>
                <c:pt idx="62">
                  <c:v>1.5</c:v>
                </c:pt>
                <c:pt idx="63">
                  <c:v>1.5</c:v>
                </c:pt>
                <c:pt idx="64">
                  <c:v>1.5</c:v>
                </c:pt>
                <c:pt idx="65" formatCode="General">
                  <c:v>1.5</c:v>
                </c:pt>
                <c:pt idx="66" formatCode="General">
                  <c:v>1.5</c:v>
                </c:pt>
                <c:pt idx="67" formatCode="General">
                  <c:v>1.5</c:v>
                </c:pt>
                <c:pt idx="68">
                  <c:v>1.5</c:v>
                </c:pt>
                <c:pt idx="69">
                  <c:v>1.5</c:v>
                </c:pt>
                <c:pt idx="70">
                  <c:v>1.5</c:v>
                </c:pt>
                <c:pt idx="71">
                  <c:v>1.5</c:v>
                </c:pt>
                <c:pt idx="72">
                  <c:v>1.5</c:v>
                </c:pt>
                <c:pt idx="73">
                  <c:v>1.5</c:v>
                </c:pt>
                <c:pt idx="74">
                  <c:v>1.5</c:v>
                </c:pt>
                <c:pt idx="75">
                  <c:v>1.5</c:v>
                </c:pt>
                <c:pt idx="76">
                  <c:v>1.5</c:v>
                </c:pt>
                <c:pt idx="77">
                  <c:v>1.5</c:v>
                </c:pt>
                <c:pt idx="78">
                  <c:v>1.5</c:v>
                </c:pt>
                <c:pt idx="79">
                  <c:v>1.5</c:v>
                </c:pt>
                <c:pt idx="80">
                  <c:v>1.5</c:v>
                </c:pt>
              </c:numCache>
            </c:numRef>
          </c:val>
          <c:smooth val="0"/>
          <c:extLst>
            <c:ext xmlns:c16="http://schemas.microsoft.com/office/drawing/2014/chart" uri="{C3380CC4-5D6E-409C-BE32-E72D297353CC}">
              <c16:uniqueId val="{00000004-4B4A-4C28-A316-B9B093BED8BD}"/>
            </c:ext>
          </c:extLst>
        </c:ser>
        <c:ser>
          <c:idx val="5"/>
          <c:order val="5"/>
          <c:spPr>
            <a:ln w="28575" cap="rnd">
              <a:noFill/>
              <a:round/>
            </a:ln>
            <a:effectLst/>
          </c:spPr>
          <c:marker>
            <c:symbol val="square"/>
            <c:size val="2"/>
            <c:spPr>
              <a:solidFill>
                <a:schemeClr val="bg1"/>
              </a:solidFill>
              <a:ln w="9525">
                <a:noFill/>
              </a:ln>
              <a:effectLst/>
            </c:spPr>
          </c:marker>
          <c:dLbls>
            <c:dLbl>
              <c:idx val="0"/>
              <c:layout>
                <c:manualLayout>
                  <c:x val="8.8354700854700852E-4"/>
                  <c:y val="3.59135808455025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B4A-4C28-A316-B9B093BED8BD}"/>
                </c:ext>
              </c:extLst>
            </c:dLbl>
            <c:dLbl>
              <c:idx val="12"/>
              <c:layout>
                <c:manualLayout>
                  <c:x val="-3.6392450142450142E-3"/>
                  <c:y val="3.59135808455025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4B4A-4C28-A316-B9B093BED8BD}"/>
                </c:ext>
              </c:extLst>
            </c:dLbl>
            <c:dLbl>
              <c:idx val="24"/>
              <c:layout>
                <c:manualLayout>
                  <c:x val="-2.6175230937554206E-3"/>
                  <c:y val="3.591339740739474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7-4B4A-4C28-A316-B9B093BED8BD}"/>
                </c:ext>
              </c:extLst>
            </c:dLbl>
            <c:dLbl>
              <c:idx val="36"/>
              <c:layout>
                <c:manualLayout>
                  <c:x val="-3.6263934111286813E-3"/>
                  <c:y val="3.591339740739474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8-4B4A-4C28-A316-B9B093BED8BD}"/>
                </c:ext>
              </c:extLst>
            </c:dLbl>
            <c:dLbl>
              <c:idx val="48"/>
              <c:layout>
                <c:manualLayout>
                  <c:x val="-2.6175230937554206E-3"/>
                  <c:y val="3.591339740739474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9-4B4A-4C28-A316-B9B093BED8BD}"/>
                </c:ext>
              </c:extLst>
            </c:dLbl>
            <c:dLbl>
              <c:idx val="60"/>
              <c:layout>
                <c:manualLayout>
                  <c:x val="-3.6263934111286813E-3"/>
                  <c:y val="3.591339740739474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A-4B4A-4C28-A316-B9B093BED8BD}"/>
                </c:ext>
              </c:extLst>
            </c:dLbl>
            <c:dLbl>
              <c:idx val="72"/>
              <c:layout>
                <c:manualLayout>
                  <c:x val="-1.9056980056980224E-2"/>
                  <c:y val="3.579622340448977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B-4B4A-4C28-A316-B9B093BED8BD}"/>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Inflacija!$Y$40:$Y$120</c:f>
              <c:numCache>
                <c:formatCode>yyyy</c:formatCode>
                <c:ptCount val="81"/>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43526</c:v>
                </c:pt>
                <c:pt idx="76">
                  <c:v>43527</c:v>
                </c:pt>
                <c:pt idx="77">
                  <c:v>43528</c:v>
                </c:pt>
                <c:pt idx="78">
                  <c:v>43529</c:v>
                </c:pt>
                <c:pt idx="79">
                  <c:v>43530</c:v>
                </c:pt>
                <c:pt idx="80">
                  <c:v>43531</c:v>
                </c:pt>
              </c:numCache>
            </c:numRef>
          </c:cat>
          <c:val>
            <c:numRef>
              <c:f>Inflacija!$Z$40:$Z$120</c:f>
              <c:numCache>
                <c:formatCode>General</c:formatCode>
                <c:ptCount val="81"/>
                <c:pt idx="0">
                  <c:v>0</c:v>
                </c:pt>
                <c:pt idx="12">
                  <c:v>0</c:v>
                </c:pt>
                <c:pt idx="24">
                  <c:v>0</c:v>
                </c:pt>
                <c:pt idx="36">
                  <c:v>0</c:v>
                </c:pt>
                <c:pt idx="48">
                  <c:v>0</c:v>
                </c:pt>
                <c:pt idx="60">
                  <c:v>0</c:v>
                </c:pt>
                <c:pt idx="72">
                  <c:v>0</c:v>
                </c:pt>
              </c:numCache>
            </c:numRef>
          </c:val>
          <c:smooth val="0"/>
          <c:extLst>
            <c:ext xmlns:c16="http://schemas.microsoft.com/office/drawing/2014/chart" uri="{C3380CC4-5D6E-409C-BE32-E72D297353CC}">
              <c16:uniqueId val="{0000000C-4B4A-4C28-A316-B9B093BED8BD}"/>
            </c:ext>
          </c:extLst>
        </c:ser>
        <c:dLbls>
          <c:showLegendKey val="0"/>
          <c:showVal val="0"/>
          <c:showCatName val="0"/>
          <c:showSerName val="0"/>
          <c:showPercent val="0"/>
          <c:showBubbleSize val="0"/>
        </c:dLbls>
        <c:smooth val="0"/>
        <c:axId val="678743312"/>
        <c:axId val="678743872"/>
      </c:lineChart>
      <c:catAx>
        <c:axId val="678743312"/>
        <c:scaling>
          <c:orientation val="minMax"/>
        </c:scaling>
        <c:delete val="0"/>
        <c:axPos val="b"/>
        <c:numFmt formatCode="yyyy" sourceLinked="0"/>
        <c:majorTickMark val="none"/>
        <c:minorTickMark val="none"/>
        <c:tickLblPos val="none"/>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678743872"/>
        <c:crosses val="autoZero"/>
        <c:auto val="0"/>
        <c:lblAlgn val="ctr"/>
        <c:lblOffset val="100"/>
        <c:tickLblSkip val="12"/>
        <c:tickMarkSkip val="1"/>
        <c:noMultiLvlLbl val="1"/>
      </c:catAx>
      <c:valAx>
        <c:axId val="678743872"/>
        <c:scaling>
          <c:orientation val="minMax"/>
        </c:scaling>
        <c:delete val="0"/>
        <c:axPos val="l"/>
        <c:title>
          <c:tx>
            <c:rich>
              <a:bodyPr rot="-5400000" spcFirstLastPara="1" vertOverflow="ellipsis" vert="horz" wrap="square" anchor="ctr" anchorCtr="1"/>
              <a:lstStyle/>
              <a:p>
                <a:pPr>
                  <a:defRPr sz="750" b="0" i="0" u="none" strike="noStrike" kern="1200" baseline="0">
                    <a:solidFill>
                      <a:schemeClr val="tx2"/>
                    </a:solidFill>
                    <a:latin typeface="+mn-lt"/>
                    <a:ea typeface="+mn-ea"/>
                    <a:cs typeface="+mn-cs"/>
                  </a:defRPr>
                </a:pPr>
                <a:r>
                  <a:rPr lang="sr-Latn-RS"/>
                  <a:t>%</a:t>
                </a:r>
                <a:endParaRPr lang="en-GB"/>
              </a:p>
            </c:rich>
          </c:tx>
          <c:layout>
            <c:manualLayout>
              <c:xMode val="edge"/>
              <c:yMode val="edge"/>
              <c:x val="8.3333333333333332E-3"/>
              <c:y val="0.34151501895596381"/>
            </c:manualLayout>
          </c:layout>
          <c:overlay val="0"/>
          <c:spPr>
            <a:noFill/>
            <a:ln>
              <a:noFill/>
            </a:ln>
            <a:effectLst/>
          </c:spPr>
          <c:txPr>
            <a:bodyPr rot="-54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678743312"/>
        <c:crosses val="autoZero"/>
        <c:crossBetween val="midCat"/>
        <c:majorUnit val="2"/>
      </c:valAx>
      <c:spPr>
        <a:noFill/>
        <a:ln>
          <a:noFill/>
        </a:ln>
        <a:effectLst/>
      </c:spPr>
    </c:plotArea>
    <c:legend>
      <c:legendPos val="b"/>
      <c:legendEntry>
        <c:idx val="4"/>
        <c:delete val="1"/>
      </c:legendEntry>
      <c:legendEntry>
        <c:idx val="5"/>
        <c:delete val="1"/>
      </c:legendEntry>
      <c:layout>
        <c:manualLayout>
          <c:xMode val="edge"/>
          <c:yMode val="edge"/>
          <c:x val="6.6013357144708795E-2"/>
          <c:y val="0.75916043952839907"/>
          <c:w val="0.89270036496097616"/>
          <c:h val="0.23753777777777776"/>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en-US"/>
    </a:p>
  </c:txPr>
  <c:externalData r:id="rId4">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2336188914802072E-2"/>
          <c:y val="5.633805593782408E-2"/>
          <c:w val="0.88247319524942081"/>
          <c:h val="0.64068107026989318"/>
        </c:manualLayout>
      </c:layout>
      <c:lineChart>
        <c:grouping val="standard"/>
        <c:varyColors val="0"/>
        <c:ser>
          <c:idx val="0"/>
          <c:order val="0"/>
          <c:tx>
            <c:strRef>
              <c:f>'Projekcija inflacije'!$C$5</c:f>
              <c:strCache>
                <c:ptCount val="1"/>
                <c:pt idx="0">
                  <c:v>Инфлација, крај периода</c:v>
                </c:pt>
              </c:strCache>
            </c:strRef>
          </c:tx>
          <c:spPr>
            <a:ln w="22225" cap="rnd">
              <a:solidFill>
                <a:srgbClr val="00A651"/>
              </a:solidFill>
              <a:round/>
            </a:ln>
            <a:effectLst/>
          </c:spPr>
          <c:marker>
            <c:symbol val="none"/>
          </c:marker>
          <c:cat>
            <c:numRef>
              <c:f>'Projekcija inflacije'!$I$4:$R$4</c:f>
              <c:numCache>
                <c:formatCode>General</c:formatCode>
                <c:ptCount val="10"/>
                <c:pt idx="0">
                  <c:v>2013</c:v>
                </c:pt>
                <c:pt idx="1">
                  <c:v>2014</c:v>
                </c:pt>
                <c:pt idx="2">
                  <c:v>2015</c:v>
                </c:pt>
                <c:pt idx="3">
                  <c:v>2016</c:v>
                </c:pt>
                <c:pt idx="4">
                  <c:v>2017</c:v>
                </c:pt>
                <c:pt idx="5">
                  <c:v>2018</c:v>
                </c:pt>
                <c:pt idx="6">
                  <c:v>2019</c:v>
                </c:pt>
                <c:pt idx="7">
                  <c:v>2020</c:v>
                </c:pt>
                <c:pt idx="8">
                  <c:v>2021</c:v>
                </c:pt>
                <c:pt idx="9">
                  <c:v>2022</c:v>
                </c:pt>
              </c:numCache>
            </c:numRef>
          </c:cat>
          <c:val>
            <c:numRef>
              <c:f>'Projekcija inflacije'!$I$5:$R$5</c:f>
              <c:numCache>
                <c:formatCode>0.0</c:formatCode>
                <c:ptCount val="10"/>
                <c:pt idx="0">
                  <c:v>2.2000000000000002</c:v>
                </c:pt>
                <c:pt idx="1">
                  <c:v>1.7</c:v>
                </c:pt>
                <c:pt idx="2">
                  <c:v>1.5</c:v>
                </c:pt>
                <c:pt idx="3">
                  <c:v>1.5</c:v>
                </c:pt>
                <c:pt idx="4">
                  <c:v>3</c:v>
                </c:pt>
                <c:pt idx="5">
                  <c:v>2.6</c:v>
                </c:pt>
                <c:pt idx="6">
                  <c:v>1.6</c:v>
                </c:pt>
                <c:pt idx="7">
                  <c:v>1.9</c:v>
                </c:pt>
                <c:pt idx="8">
                  <c:v>2.2000000000000002</c:v>
                </c:pt>
                <c:pt idx="9">
                  <c:v>2.5</c:v>
                </c:pt>
              </c:numCache>
            </c:numRef>
          </c:val>
          <c:smooth val="0"/>
          <c:extLst>
            <c:ext xmlns:c16="http://schemas.microsoft.com/office/drawing/2014/chart" uri="{C3380CC4-5D6E-409C-BE32-E72D297353CC}">
              <c16:uniqueId val="{00000000-8EE1-4C4C-A904-A9381588AD59}"/>
            </c:ext>
          </c:extLst>
        </c:ser>
        <c:ser>
          <c:idx val="1"/>
          <c:order val="1"/>
          <c:tx>
            <c:strRef>
              <c:f>'Projekcija inflacije'!$C$6</c:f>
              <c:strCache>
                <c:ptCount val="1"/>
                <c:pt idx="0">
                  <c:v>Инфлација, просек периода</c:v>
                </c:pt>
              </c:strCache>
            </c:strRef>
          </c:tx>
          <c:spPr>
            <a:ln w="22225" cap="rnd">
              <a:solidFill>
                <a:srgbClr val="EC008C"/>
              </a:solidFill>
              <a:round/>
            </a:ln>
            <a:effectLst/>
          </c:spPr>
          <c:marker>
            <c:symbol val="none"/>
          </c:marker>
          <c:cat>
            <c:numRef>
              <c:f>'Projekcija inflacije'!$I$4:$R$4</c:f>
              <c:numCache>
                <c:formatCode>General</c:formatCode>
                <c:ptCount val="10"/>
                <c:pt idx="0">
                  <c:v>2013</c:v>
                </c:pt>
                <c:pt idx="1">
                  <c:v>2014</c:v>
                </c:pt>
                <c:pt idx="2">
                  <c:v>2015</c:v>
                </c:pt>
                <c:pt idx="3">
                  <c:v>2016</c:v>
                </c:pt>
                <c:pt idx="4">
                  <c:v>2017</c:v>
                </c:pt>
                <c:pt idx="5">
                  <c:v>2018</c:v>
                </c:pt>
                <c:pt idx="6">
                  <c:v>2019</c:v>
                </c:pt>
                <c:pt idx="7">
                  <c:v>2020</c:v>
                </c:pt>
                <c:pt idx="8">
                  <c:v>2021</c:v>
                </c:pt>
                <c:pt idx="9">
                  <c:v>2022</c:v>
                </c:pt>
              </c:numCache>
            </c:numRef>
          </c:cat>
          <c:val>
            <c:numRef>
              <c:f>'Projekcija inflacije'!$I$6:$R$6</c:f>
              <c:numCache>
                <c:formatCode>0.0</c:formatCode>
                <c:ptCount val="10"/>
                <c:pt idx="0">
                  <c:v>7.8</c:v>
                </c:pt>
                <c:pt idx="1">
                  <c:v>2.9</c:v>
                </c:pt>
                <c:pt idx="2">
                  <c:v>1.9</c:v>
                </c:pt>
                <c:pt idx="3">
                  <c:v>1.2</c:v>
                </c:pt>
                <c:pt idx="4">
                  <c:v>3.1</c:v>
                </c:pt>
                <c:pt idx="5">
                  <c:v>2.1</c:v>
                </c:pt>
                <c:pt idx="6">
                  <c:v>1.9</c:v>
                </c:pt>
                <c:pt idx="7">
                  <c:v>2</c:v>
                </c:pt>
                <c:pt idx="8">
                  <c:v>2.2000000000000002</c:v>
                </c:pt>
                <c:pt idx="9" formatCode="General">
                  <c:v>2.5</c:v>
                </c:pt>
              </c:numCache>
            </c:numRef>
          </c:val>
          <c:smooth val="0"/>
          <c:extLst>
            <c:ext xmlns:c16="http://schemas.microsoft.com/office/drawing/2014/chart" uri="{C3380CC4-5D6E-409C-BE32-E72D297353CC}">
              <c16:uniqueId val="{00000001-8EE1-4C4C-A904-A9381588AD59}"/>
            </c:ext>
          </c:extLst>
        </c:ser>
        <c:ser>
          <c:idx val="2"/>
          <c:order val="2"/>
          <c:tx>
            <c:strRef>
              <c:f>'Projekcija inflacije'!$C$7</c:f>
              <c:strCache>
                <c:ptCount val="1"/>
                <c:pt idx="0">
                  <c:v>Дефлатор БДП</c:v>
                </c:pt>
              </c:strCache>
            </c:strRef>
          </c:tx>
          <c:spPr>
            <a:ln w="22225" cap="rnd">
              <a:solidFill>
                <a:srgbClr val="7F3F98"/>
              </a:solidFill>
              <a:round/>
            </a:ln>
            <a:effectLst/>
          </c:spPr>
          <c:marker>
            <c:symbol val="none"/>
          </c:marker>
          <c:cat>
            <c:numRef>
              <c:f>'Projekcija inflacije'!$I$4:$R$4</c:f>
              <c:numCache>
                <c:formatCode>General</c:formatCode>
                <c:ptCount val="10"/>
                <c:pt idx="0">
                  <c:v>2013</c:v>
                </c:pt>
                <c:pt idx="1">
                  <c:v>2014</c:v>
                </c:pt>
                <c:pt idx="2">
                  <c:v>2015</c:v>
                </c:pt>
                <c:pt idx="3">
                  <c:v>2016</c:v>
                </c:pt>
                <c:pt idx="4">
                  <c:v>2017</c:v>
                </c:pt>
                <c:pt idx="5">
                  <c:v>2018</c:v>
                </c:pt>
                <c:pt idx="6">
                  <c:v>2019</c:v>
                </c:pt>
                <c:pt idx="7">
                  <c:v>2020</c:v>
                </c:pt>
                <c:pt idx="8">
                  <c:v>2021</c:v>
                </c:pt>
                <c:pt idx="9">
                  <c:v>2022</c:v>
                </c:pt>
              </c:numCache>
            </c:numRef>
          </c:cat>
          <c:val>
            <c:numRef>
              <c:f>'Projekcija inflacije'!$I$7:$R$7</c:f>
              <c:numCache>
                <c:formatCode>0.0</c:formatCode>
                <c:ptCount val="10"/>
                <c:pt idx="0">
                  <c:v>5.1254417441595024</c:v>
                </c:pt>
                <c:pt idx="1">
                  <c:v>2.5853813722923604</c:v>
                </c:pt>
                <c:pt idx="2">
                  <c:v>1.8322287082571052</c:v>
                </c:pt>
                <c:pt idx="3">
                  <c:v>1.5</c:v>
                </c:pt>
                <c:pt idx="4">
                  <c:v>3</c:v>
                </c:pt>
                <c:pt idx="5">
                  <c:v>2.4</c:v>
                </c:pt>
                <c:pt idx="6">
                  <c:v>3.3</c:v>
                </c:pt>
                <c:pt idx="7">
                  <c:v>3.4</c:v>
                </c:pt>
                <c:pt idx="8">
                  <c:v>3.4</c:v>
                </c:pt>
                <c:pt idx="9" formatCode="General">
                  <c:v>3.5</c:v>
                </c:pt>
              </c:numCache>
            </c:numRef>
          </c:val>
          <c:smooth val="0"/>
          <c:extLst>
            <c:ext xmlns:c16="http://schemas.microsoft.com/office/drawing/2014/chart" uri="{C3380CC4-5D6E-409C-BE32-E72D297353CC}">
              <c16:uniqueId val="{00000002-8EE1-4C4C-A904-A9381588AD59}"/>
            </c:ext>
          </c:extLst>
        </c:ser>
        <c:ser>
          <c:idx val="3"/>
          <c:order val="3"/>
          <c:spPr>
            <a:ln w="28575" cap="rnd">
              <a:noFill/>
              <a:round/>
            </a:ln>
            <a:effectLst/>
          </c:spPr>
          <c:marker>
            <c:symbol val="square"/>
            <c:size val="2"/>
            <c:spPr>
              <a:solidFill>
                <a:schemeClr val="bg1"/>
              </a:solidFill>
              <a:ln w="9525">
                <a:noFill/>
              </a:ln>
              <a:effectLst/>
            </c:spPr>
          </c:marker>
          <c:dLbls>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en-U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'Projekcija inflacije'!$I$4:$R$4</c:f>
              <c:numCache>
                <c:formatCode>General</c:formatCode>
                <c:ptCount val="10"/>
                <c:pt idx="0">
                  <c:v>2013</c:v>
                </c:pt>
                <c:pt idx="1">
                  <c:v>2014</c:v>
                </c:pt>
                <c:pt idx="2">
                  <c:v>2015</c:v>
                </c:pt>
                <c:pt idx="3">
                  <c:v>2016</c:v>
                </c:pt>
                <c:pt idx="4">
                  <c:v>2017</c:v>
                </c:pt>
                <c:pt idx="5">
                  <c:v>2018</c:v>
                </c:pt>
                <c:pt idx="6">
                  <c:v>2019</c:v>
                </c:pt>
                <c:pt idx="7">
                  <c:v>2020</c:v>
                </c:pt>
                <c:pt idx="8">
                  <c:v>2021</c:v>
                </c:pt>
                <c:pt idx="9">
                  <c:v>2022</c:v>
                </c:pt>
              </c:numCache>
            </c:numRef>
          </c:cat>
          <c:val>
            <c:numRef>
              <c:f>'Projekcija inflacije'!$I$8:$R$8</c:f>
              <c:numCache>
                <c:formatCode>General</c:formatCode>
                <c:ptCount val="10"/>
                <c:pt idx="0">
                  <c:v>0</c:v>
                </c:pt>
                <c:pt idx="1">
                  <c:v>0</c:v>
                </c:pt>
                <c:pt idx="2">
                  <c:v>0</c:v>
                </c:pt>
                <c:pt idx="3">
                  <c:v>0</c:v>
                </c:pt>
                <c:pt idx="4">
                  <c:v>0</c:v>
                </c:pt>
                <c:pt idx="5">
                  <c:v>0</c:v>
                </c:pt>
                <c:pt idx="6">
                  <c:v>0</c:v>
                </c:pt>
                <c:pt idx="7">
                  <c:v>0</c:v>
                </c:pt>
                <c:pt idx="8">
                  <c:v>0</c:v>
                </c:pt>
                <c:pt idx="9">
                  <c:v>0</c:v>
                </c:pt>
              </c:numCache>
            </c:numRef>
          </c:val>
          <c:smooth val="0"/>
          <c:extLst>
            <c:ext xmlns:c16="http://schemas.microsoft.com/office/drawing/2014/chart" uri="{C3380CC4-5D6E-409C-BE32-E72D297353CC}">
              <c16:uniqueId val="{00000003-8EE1-4C4C-A904-A9381588AD59}"/>
            </c:ext>
          </c:extLst>
        </c:ser>
        <c:dLbls>
          <c:showLegendKey val="0"/>
          <c:showVal val="0"/>
          <c:showCatName val="0"/>
          <c:showSerName val="0"/>
          <c:showPercent val="0"/>
          <c:showBubbleSize val="0"/>
        </c:dLbls>
        <c:smooth val="0"/>
        <c:axId val="678763472"/>
        <c:axId val="678764032"/>
      </c:lineChart>
      <c:catAx>
        <c:axId val="678763472"/>
        <c:scaling>
          <c:orientation val="minMax"/>
        </c:scaling>
        <c:delete val="0"/>
        <c:axPos val="b"/>
        <c:numFmt formatCode="General" sourceLinked="1"/>
        <c:majorTickMark val="none"/>
        <c:minorTickMark val="none"/>
        <c:tickLblPos val="none"/>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678764032"/>
        <c:crosses val="autoZero"/>
        <c:auto val="1"/>
        <c:lblAlgn val="ctr"/>
        <c:lblOffset val="100"/>
        <c:noMultiLvlLbl val="0"/>
      </c:catAx>
      <c:valAx>
        <c:axId val="678764032"/>
        <c:scaling>
          <c:orientation val="minMax"/>
          <c:max val="8"/>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678763472"/>
        <c:crosses val="autoZero"/>
        <c:crossBetween val="midCat"/>
        <c:majorUnit val="2"/>
      </c:valAx>
      <c:spPr>
        <a:noFill/>
        <a:ln>
          <a:noFill/>
        </a:ln>
        <a:effectLst/>
      </c:spPr>
    </c:plotArea>
    <c:legend>
      <c:legendPos val="b"/>
      <c:legendEntry>
        <c:idx val="3"/>
        <c:delete val="1"/>
      </c:legendEntry>
      <c:layout>
        <c:manualLayout>
          <c:xMode val="edge"/>
          <c:yMode val="edge"/>
          <c:x val="2.5218401951955399E-3"/>
          <c:y val="0.81351522231044981"/>
          <c:w val="0.99380576517352959"/>
          <c:h val="0.18648477768955027"/>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en-US"/>
    </a:p>
  </c:txPr>
  <c:externalData r:id="rId4">
    <c:autoUpdate val="0"/>
  </c:externalData>
  <c:userShapes r:id="rId5"/>
</c:chartSpace>
</file>

<file path=word/charts/chart3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7488334791484402E-2"/>
          <c:y val="7.7556958176499574E-2"/>
          <c:w val="0.85158573928258963"/>
          <c:h val="0.59528974490705311"/>
        </c:manualLayout>
      </c:layout>
      <c:barChart>
        <c:barDir val="col"/>
        <c:grouping val="stacked"/>
        <c:varyColors val="0"/>
        <c:ser>
          <c:idx val="0"/>
          <c:order val="1"/>
          <c:tx>
            <c:strRef>
              <c:f>'Uvoz_ek. namena'!$B$7</c:f>
              <c:strCache>
                <c:ptCount val="1"/>
                <c:pt idx="0">
                  <c:v>Средства за рад и репродукција</c:v>
                </c:pt>
              </c:strCache>
            </c:strRef>
          </c:tx>
          <c:spPr>
            <a:solidFill>
              <a:srgbClr val="10103C"/>
            </a:solidFill>
            <a:ln>
              <a:noFill/>
            </a:ln>
            <a:effectLst/>
          </c:spPr>
          <c:invertIfNegative val="0"/>
          <c:dLbls>
            <c:spPr>
              <a:noFill/>
              <a:ln>
                <a:noFill/>
              </a:ln>
              <a:effectLst/>
            </c:spPr>
            <c:txPr>
              <a:bodyPr rot="0" spcFirstLastPara="1" vertOverflow="ellipsis" vert="horz" wrap="square" anchor="ctr" anchorCtr="1"/>
              <a:lstStyle/>
              <a:p>
                <a:pPr>
                  <a:defRPr sz="750" b="0" i="0" u="none" strike="noStrike" kern="1200" baseline="0">
                    <a:solidFill>
                      <a:schemeClr val="bg1"/>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'Uvoz_ek. namena'!$C$5:$E$5</c:f>
              <c:strCache>
                <c:ptCount val="3"/>
                <c:pt idx="0">
                  <c:v>2017</c:v>
                </c:pt>
                <c:pt idx="1">
                  <c:v>2018</c:v>
                </c:pt>
                <c:pt idx="2">
                  <c:v>I–VIII 2019</c:v>
                </c:pt>
              </c:strCache>
            </c:strRef>
          </c:cat>
          <c:val>
            <c:numRef>
              <c:f>'Uvoz_ek. namena'!$C$7:$E$7</c:f>
              <c:numCache>
                <c:formatCode>0.0</c:formatCode>
                <c:ptCount val="3"/>
                <c:pt idx="0">
                  <c:v>10.969577184417494</c:v>
                </c:pt>
                <c:pt idx="1">
                  <c:v>8.569808207877923</c:v>
                </c:pt>
                <c:pt idx="2">
                  <c:v>5.22</c:v>
                </c:pt>
              </c:numCache>
            </c:numRef>
          </c:val>
          <c:extLst>
            <c:ext xmlns:c16="http://schemas.microsoft.com/office/drawing/2014/chart" uri="{C3380CC4-5D6E-409C-BE32-E72D297353CC}">
              <c16:uniqueId val="{00000000-4DF7-4665-BB3E-D0F59C54D15E}"/>
            </c:ext>
          </c:extLst>
        </c:ser>
        <c:ser>
          <c:idx val="1"/>
          <c:order val="2"/>
          <c:tx>
            <c:strRef>
              <c:f>'Uvoz_ek. namena'!$B$8</c:f>
              <c:strCache>
                <c:ptCount val="1"/>
                <c:pt idx="0">
                  <c:v>Потрошна роба</c:v>
                </c:pt>
              </c:strCache>
            </c:strRef>
          </c:tx>
          <c:spPr>
            <a:solidFill>
              <a:srgbClr val="2183C4"/>
            </a:solidFill>
            <a:ln>
              <a:noFill/>
            </a:ln>
            <a:effectLst/>
          </c:spPr>
          <c:invertIfNegative val="0"/>
          <c:dLbls>
            <c:spPr>
              <a:noFill/>
              <a:ln>
                <a:noFill/>
              </a:ln>
              <a:effectLst/>
            </c:spPr>
            <c:txPr>
              <a:bodyPr rot="0" spcFirstLastPara="1" vertOverflow="ellipsis" vert="horz" wrap="square" anchor="ctr" anchorCtr="1"/>
              <a:lstStyle/>
              <a:p>
                <a:pPr>
                  <a:defRPr sz="750" b="0" i="0" u="none" strike="noStrike" kern="1200" baseline="0">
                    <a:solidFill>
                      <a:schemeClr val="bg1"/>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'Uvoz_ek. namena'!$C$5:$E$5</c:f>
              <c:strCache>
                <c:ptCount val="3"/>
                <c:pt idx="0">
                  <c:v>2017</c:v>
                </c:pt>
                <c:pt idx="1">
                  <c:v>2018</c:v>
                </c:pt>
                <c:pt idx="2">
                  <c:v>I–VIII 2019</c:v>
                </c:pt>
              </c:strCache>
            </c:strRef>
          </c:cat>
          <c:val>
            <c:numRef>
              <c:f>'Uvoz_ek. namena'!$C$8:$E$8</c:f>
              <c:numCache>
                <c:formatCode>0.0</c:formatCode>
                <c:ptCount val="3"/>
                <c:pt idx="0">
                  <c:v>1.0139551910092843</c:v>
                </c:pt>
                <c:pt idx="1">
                  <c:v>2.1746751907609818</c:v>
                </c:pt>
                <c:pt idx="2">
                  <c:v>2.6107762453946153</c:v>
                </c:pt>
              </c:numCache>
            </c:numRef>
          </c:val>
          <c:extLst>
            <c:ext xmlns:c16="http://schemas.microsoft.com/office/drawing/2014/chart" uri="{C3380CC4-5D6E-409C-BE32-E72D297353CC}">
              <c16:uniqueId val="{00000001-4DF7-4665-BB3E-D0F59C54D15E}"/>
            </c:ext>
          </c:extLst>
        </c:ser>
        <c:ser>
          <c:idx val="2"/>
          <c:order val="3"/>
          <c:tx>
            <c:strRef>
              <c:f>'Uvoz_ek. namena'!$B$9</c:f>
              <c:strCache>
                <c:ptCount val="1"/>
                <c:pt idx="0">
                  <c:v>Некласификовано</c:v>
                </c:pt>
              </c:strCache>
            </c:strRef>
          </c:tx>
          <c:spPr>
            <a:solidFill>
              <a:srgbClr val="51BBE7"/>
            </a:solidFill>
            <a:ln>
              <a:noFill/>
            </a:ln>
            <a:effectLst/>
          </c:spPr>
          <c:invertIfNegative val="0"/>
          <c:dLbls>
            <c:spPr>
              <a:noFill/>
              <a:ln>
                <a:noFill/>
              </a:ln>
              <a:effectLst/>
            </c:spPr>
            <c:txPr>
              <a:bodyPr rot="0" spcFirstLastPara="1" vertOverflow="ellipsis" vert="horz" wrap="square" anchor="ctr" anchorCtr="1"/>
              <a:lstStyle/>
              <a:p>
                <a:pPr>
                  <a:defRPr sz="750" b="0" i="0" u="none" strike="noStrike" kern="1200" baseline="0">
                    <a:solidFill>
                      <a:schemeClr val="bg1"/>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'Uvoz_ek. namena'!$C$5:$E$5</c:f>
              <c:strCache>
                <c:ptCount val="3"/>
                <c:pt idx="0">
                  <c:v>2017</c:v>
                </c:pt>
                <c:pt idx="1">
                  <c:v>2018</c:v>
                </c:pt>
                <c:pt idx="2">
                  <c:v>I–VIII 2019</c:v>
                </c:pt>
              </c:strCache>
            </c:strRef>
          </c:cat>
          <c:val>
            <c:numRef>
              <c:f>'Uvoz_ek. namena'!$C$9:$E$9</c:f>
              <c:numCache>
                <c:formatCode>0.0</c:formatCode>
                <c:ptCount val="3"/>
                <c:pt idx="0">
                  <c:v>1.6571855236673898</c:v>
                </c:pt>
                <c:pt idx="1">
                  <c:v>2.2612909878325405</c:v>
                </c:pt>
                <c:pt idx="2">
                  <c:v>0.88296325574173229</c:v>
                </c:pt>
              </c:numCache>
            </c:numRef>
          </c:val>
          <c:extLst>
            <c:ext xmlns:c16="http://schemas.microsoft.com/office/drawing/2014/chart" uri="{C3380CC4-5D6E-409C-BE32-E72D297353CC}">
              <c16:uniqueId val="{00000002-4DF7-4665-BB3E-D0F59C54D15E}"/>
            </c:ext>
          </c:extLst>
        </c:ser>
        <c:dLbls>
          <c:showLegendKey val="0"/>
          <c:showVal val="0"/>
          <c:showCatName val="0"/>
          <c:showSerName val="0"/>
          <c:showPercent val="0"/>
          <c:showBubbleSize val="0"/>
        </c:dLbls>
        <c:gapWidth val="80"/>
        <c:overlap val="100"/>
        <c:axId val="225336832"/>
        <c:axId val="225337392"/>
      </c:barChart>
      <c:lineChart>
        <c:grouping val="standard"/>
        <c:varyColors val="0"/>
        <c:ser>
          <c:idx val="3"/>
          <c:order val="0"/>
          <c:tx>
            <c:strRef>
              <c:f>'Uvoz_ek. namena'!$B$6</c:f>
              <c:strCache>
                <c:ptCount val="1"/>
                <c:pt idx="0">
                  <c:v>Укупно</c:v>
                </c:pt>
              </c:strCache>
            </c:strRef>
          </c:tx>
          <c:spPr>
            <a:ln w="28575" cap="rnd">
              <a:solidFill>
                <a:srgbClr val="FF0000"/>
              </a:solidFill>
              <a:round/>
            </a:ln>
            <a:effectLst/>
          </c:spPr>
          <c:marker>
            <c:symbol val="none"/>
          </c:marker>
          <c:dLbls>
            <c:spPr>
              <a:noFill/>
              <a:ln>
                <a:noFill/>
              </a:ln>
              <a:effectLst/>
            </c:spPr>
            <c:txPr>
              <a:bodyPr rot="0" spcFirstLastPara="1" vertOverflow="ellipsis" vert="horz" wrap="square" anchor="ctr" anchorCtr="1"/>
              <a:lstStyle/>
              <a:p>
                <a:pPr>
                  <a:defRPr sz="750" b="1" i="0" u="none" strike="noStrike" kern="1200" baseline="0">
                    <a:solidFill>
                      <a:srgbClr val="FF0000"/>
                    </a:solidFill>
                    <a:latin typeface="+mn-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'Uvoz_ek. namena'!$C$5:$E$5</c:f>
              <c:strCache>
                <c:ptCount val="3"/>
                <c:pt idx="0">
                  <c:v>2017</c:v>
                </c:pt>
                <c:pt idx="1">
                  <c:v>2018</c:v>
                </c:pt>
                <c:pt idx="2">
                  <c:v>I–VIII 2019</c:v>
                </c:pt>
              </c:strCache>
            </c:strRef>
          </c:cat>
          <c:val>
            <c:numRef>
              <c:f>'Uvoz_ek. namena'!$C$6:$E$6</c:f>
              <c:numCache>
                <c:formatCode>0.0</c:formatCode>
                <c:ptCount val="3"/>
                <c:pt idx="0">
                  <c:v>13.640132004414824</c:v>
                </c:pt>
                <c:pt idx="1">
                  <c:v>13.006289956692115</c:v>
                </c:pt>
                <c:pt idx="2">
                  <c:v>8.7174094098050574</c:v>
                </c:pt>
              </c:numCache>
            </c:numRef>
          </c:val>
          <c:smooth val="0"/>
          <c:extLst>
            <c:ext xmlns:c16="http://schemas.microsoft.com/office/drawing/2014/chart" uri="{C3380CC4-5D6E-409C-BE32-E72D297353CC}">
              <c16:uniqueId val="{00000003-4DF7-4665-BB3E-D0F59C54D15E}"/>
            </c:ext>
          </c:extLst>
        </c:ser>
        <c:dLbls>
          <c:showLegendKey val="0"/>
          <c:showVal val="0"/>
          <c:showCatName val="0"/>
          <c:showSerName val="0"/>
          <c:showPercent val="0"/>
          <c:showBubbleSize val="0"/>
        </c:dLbls>
        <c:marker val="1"/>
        <c:smooth val="0"/>
        <c:axId val="225336832"/>
        <c:axId val="225337392"/>
      </c:lineChart>
      <c:catAx>
        <c:axId val="225336832"/>
        <c:scaling>
          <c:orientation val="minMax"/>
        </c:scaling>
        <c:delete val="0"/>
        <c:axPos val="b"/>
        <c:numFmt formatCode="General" sourceLinked="1"/>
        <c:majorTickMark val="none"/>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225337392"/>
        <c:crosses val="autoZero"/>
        <c:auto val="1"/>
        <c:lblAlgn val="ctr"/>
        <c:lblOffset val="100"/>
        <c:noMultiLvlLbl val="0"/>
      </c:catAx>
      <c:valAx>
        <c:axId val="225337392"/>
        <c:scaling>
          <c:orientation val="minMax"/>
          <c:max val="14"/>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225336832"/>
        <c:crosses val="autoZero"/>
        <c:crossBetween val="between"/>
        <c:majorUnit val="2"/>
      </c:valAx>
      <c:spPr>
        <a:noFill/>
        <a:ln>
          <a:noFill/>
        </a:ln>
        <a:effectLst/>
      </c:spPr>
    </c:plotArea>
    <c:legend>
      <c:legendPos val="b"/>
      <c:layout>
        <c:manualLayout>
          <c:xMode val="edge"/>
          <c:yMode val="edge"/>
          <c:x val="8.22335228929717E-2"/>
          <c:y val="0.77641727041110542"/>
          <c:w val="0.84016221930592005"/>
          <c:h val="0.21807361111111115"/>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en-US"/>
    </a:p>
  </c:txPr>
  <c:externalData r:id="rId4">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880796150481189"/>
          <c:y val="6.4610866372980913E-2"/>
          <c:w val="0.86246828521434815"/>
          <c:h val="0.77790774565317655"/>
        </c:manualLayout>
      </c:layout>
      <c:areaChart>
        <c:grouping val="standard"/>
        <c:varyColors val="0"/>
        <c:ser>
          <c:idx val="1"/>
          <c:order val="0"/>
          <c:tx>
            <c:strRef>
              <c:f>'Izvoz, uvoz (Q)'!$A$8</c:f>
              <c:strCache>
                <c:ptCount val="1"/>
                <c:pt idx="0">
                  <c:v>Увоз</c:v>
                </c:pt>
              </c:strCache>
            </c:strRef>
          </c:tx>
          <c:spPr>
            <a:solidFill>
              <a:srgbClr val="51BBE7"/>
            </a:solidFill>
            <a:ln>
              <a:noFill/>
            </a:ln>
            <a:effectLst/>
          </c:spPr>
          <c:dLbls>
            <c:dLbl>
              <c:idx val="0"/>
              <c:layout>
                <c:manualLayout>
                  <c:x val="0"/>
                  <c:y val="-0.16203703703703703"/>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0-DD2C-4B44-B04D-57C24898572F}"/>
                </c:ext>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bg1"/>
                    </a:solidFill>
                    <a:latin typeface="+mn-lt"/>
                    <a:ea typeface="+mn-ea"/>
                    <a:cs typeface="+mn-cs"/>
                  </a:defRPr>
                </a:pPr>
                <a:endParaRPr lang="en-U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cat>
            <c:multiLvlStrRef>
              <c:f>'Izvoz, uvoz (Q)'!$K$3:$AF$4</c:f>
              <c:multiLvlStrCache>
                <c:ptCount val="22"/>
                <c:lvl>
                  <c:pt idx="0">
                    <c:v>Q1</c:v>
                  </c:pt>
                  <c:pt idx="1">
                    <c:v>Q2</c:v>
                  </c:pt>
                  <c:pt idx="2">
                    <c:v>Q3</c:v>
                  </c:pt>
                  <c:pt idx="3">
                    <c:v>Q4</c:v>
                  </c:pt>
                  <c:pt idx="4">
                    <c:v>Q1</c:v>
                  </c:pt>
                  <c:pt idx="5">
                    <c:v>Q2</c:v>
                  </c:pt>
                  <c:pt idx="6">
                    <c:v>Q3</c:v>
                  </c:pt>
                  <c:pt idx="7">
                    <c:v>Q4</c:v>
                  </c:pt>
                  <c:pt idx="8">
                    <c:v>Q1</c:v>
                  </c:pt>
                  <c:pt idx="9">
                    <c:v>Q2</c:v>
                  </c:pt>
                  <c:pt idx="10">
                    <c:v>Q3</c:v>
                  </c:pt>
                  <c:pt idx="11">
                    <c:v>Q4</c:v>
                  </c:pt>
                  <c:pt idx="12">
                    <c:v>Q1</c:v>
                  </c:pt>
                  <c:pt idx="13">
                    <c:v>Q2</c:v>
                  </c:pt>
                  <c:pt idx="14">
                    <c:v>Q3</c:v>
                  </c:pt>
                  <c:pt idx="15">
                    <c:v>Q4</c:v>
                  </c:pt>
                  <c:pt idx="16">
                    <c:v>Q1</c:v>
                  </c:pt>
                  <c:pt idx="17">
                    <c:v>Q2</c:v>
                  </c:pt>
                  <c:pt idx="18">
                    <c:v>Q3</c:v>
                  </c:pt>
                  <c:pt idx="19">
                    <c:v>Q4</c:v>
                  </c:pt>
                  <c:pt idx="20">
                    <c:v>Q1</c:v>
                  </c:pt>
                  <c:pt idx="21">
                    <c:v>Q2</c:v>
                  </c:pt>
                </c:lvl>
                <c:lvl>
                  <c:pt idx="0">
                    <c:v>2014</c:v>
                  </c:pt>
                  <c:pt idx="4">
                    <c:v>2015</c:v>
                  </c:pt>
                  <c:pt idx="8">
                    <c:v>2016</c:v>
                  </c:pt>
                  <c:pt idx="12">
                    <c:v>2017</c:v>
                  </c:pt>
                  <c:pt idx="16">
                    <c:v>2018</c:v>
                  </c:pt>
                  <c:pt idx="20">
                    <c:v>2019</c:v>
                  </c:pt>
                </c:lvl>
              </c:multiLvlStrCache>
            </c:multiLvlStrRef>
          </c:cat>
          <c:val>
            <c:numRef>
              <c:f>'Izvoz, uvoz (Q)'!$K$8:$AF$8</c:f>
              <c:numCache>
                <c:formatCode>#,##0.0</c:formatCode>
                <c:ptCount val="22"/>
                <c:pt idx="0">
                  <c:v>3564.8</c:v>
                </c:pt>
                <c:pt idx="1">
                  <c:v>3952.3</c:v>
                </c:pt>
                <c:pt idx="2">
                  <c:v>3928</c:v>
                </c:pt>
                <c:pt idx="3">
                  <c:v>4051.1999999999994</c:v>
                </c:pt>
                <c:pt idx="4">
                  <c:v>3874.8</c:v>
                </c:pt>
                <c:pt idx="5">
                  <c:v>4165.1000000000004</c:v>
                </c:pt>
                <c:pt idx="6">
                  <c:v>4024.4</c:v>
                </c:pt>
                <c:pt idx="7">
                  <c:v>4324.0000000000018</c:v>
                </c:pt>
                <c:pt idx="8">
                  <c:v>3898.7717211190502</c:v>
                </c:pt>
                <c:pt idx="9">
                  <c:v>4458.9206734116106</c:v>
                </c:pt>
                <c:pt idx="10">
                  <c:v>4149.7076054693389</c:v>
                </c:pt>
                <c:pt idx="11">
                  <c:v>4560.5000000000018</c:v>
                </c:pt>
                <c:pt idx="12">
                  <c:v>4507.9792026373398</c:v>
                </c:pt>
                <c:pt idx="13">
                  <c:v>4921.7</c:v>
                </c:pt>
                <c:pt idx="14">
                  <c:v>4707.3999999999996</c:v>
                </c:pt>
                <c:pt idx="15">
                  <c:v>5262</c:v>
                </c:pt>
                <c:pt idx="16">
                  <c:v>5075.8999999999996</c:v>
                </c:pt>
                <c:pt idx="17">
                  <c:v>5458.4</c:v>
                </c:pt>
                <c:pt idx="18">
                  <c:v>5419.0280370379796</c:v>
                </c:pt>
                <c:pt idx="19">
                  <c:v>5965.1062331780504</c:v>
                </c:pt>
                <c:pt idx="20">
                  <c:v>5559.6657617682504</c:v>
                </c:pt>
                <c:pt idx="21">
                  <c:v>5939.9155960669395</c:v>
                </c:pt>
              </c:numCache>
            </c:numRef>
          </c:val>
          <c:extLst>
            <c:ext xmlns:c16="http://schemas.microsoft.com/office/drawing/2014/chart" uri="{C3380CC4-5D6E-409C-BE32-E72D297353CC}">
              <c16:uniqueId val="{00000001-DD2C-4B44-B04D-57C24898572F}"/>
            </c:ext>
          </c:extLst>
        </c:ser>
        <c:ser>
          <c:idx val="0"/>
          <c:order val="1"/>
          <c:tx>
            <c:strRef>
              <c:f>'Izvoz, uvoz (Q)'!$A$7</c:f>
              <c:strCache>
                <c:ptCount val="1"/>
                <c:pt idx="0">
                  <c:v>Извоз</c:v>
                </c:pt>
              </c:strCache>
            </c:strRef>
          </c:tx>
          <c:spPr>
            <a:solidFill>
              <a:srgbClr val="29489A"/>
            </a:solidFill>
            <a:ln>
              <a:noFill/>
            </a:ln>
            <a:effectLst/>
          </c:spPr>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bg1"/>
                    </a:solidFill>
                    <a:latin typeface="+mn-lt"/>
                    <a:ea typeface="+mn-ea"/>
                    <a:cs typeface="+mn-cs"/>
                  </a:defRPr>
                </a:pPr>
                <a:endParaRPr lang="en-U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cat>
            <c:multiLvlStrRef>
              <c:f>'Izvoz, uvoz (Q)'!$K$3:$AF$4</c:f>
              <c:multiLvlStrCache>
                <c:ptCount val="22"/>
                <c:lvl>
                  <c:pt idx="0">
                    <c:v>Q1</c:v>
                  </c:pt>
                  <c:pt idx="1">
                    <c:v>Q2</c:v>
                  </c:pt>
                  <c:pt idx="2">
                    <c:v>Q3</c:v>
                  </c:pt>
                  <c:pt idx="3">
                    <c:v>Q4</c:v>
                  </c:pt>
                  <c:pt idx="4">
                    <c:v>Q1</c:v>
                  </c:pt>
                  <c:pt idx="5">
                    <c:v>Q2</c:v>
                  </c:pt>
                  <c:pt idx="6">
                    <c:v>Q3</c:v>
                  </c:pt>
                  <c:pt idx="7">
                    <c:v>Q4</c:v>
                  </c:pt>
                  <c:pt idx="8">
                    <c:v>Q1</c:v>
                  </c:pt>
                  <c:pt idx="9">
                    <c:v>Q2</c:v>
                  </c:pt>
                  <c:pt idx="10">
                    <c:v>Q3</c:v>
                  </c:pt>
                  <c:pt idx="11">
                    <c:v>Q4</c:v>
                  </c:pt>
                  <c:pt idx="12">
                    <c:v>Q1</c:v>
                  </c:pt>
                  <c:pt idx="13">
                    <c:v>Q2</c:v>
                  </c:pt>
                  <c:pt idx="14">
                    <c:v>Q3</c:v>
                  </c:pt>
                  <c:pt idx="15">
                    <c:v>Q4</c:v>
                  </c:pt>
                  <c:pt idx="16">
                    <c:v>Q1</c:v>
                  </c:pt>
                  <c:pt idx="17">
                    <c:v>Q2</c:v>
                  </c:pt>
                  <c:pt idx="18">
                    <c:v>Q3</c:v>
                  </c:pt>
                  <c:pt idx="19">
                    <c:v>Q4</c:v>
                  </c:pt>
                  <c:pt idx="20">
                    <c:v>Q1</c:v>
                  </c:pt>
                  <c:pt idx="21">
                    <c:v>Q2</c:v>
                  </c:pt>
                </c:lvl>
                <c:lvl>
                  <c:pt idx="0">
                    <c:v>2014</c:v>
                  </c:pt>
                  <c:pt idx="4">
                    <c:v>2015</c:v>
                  </c:pt>
                  <c:pt idx="8">
                    <c:v>2016</c:v>
                  </c:pt>
                  <c:pt idx="12">
                    <c:v>2017</c:v>
                  </c:pt>
                  <c:pt idx="16">
                    <c:v>2018</c:v>
                  </c:pt>
                  <c:pt idx="20">
                    <c:v>2019</c:v>
                  </c:pt>
                </c:lvl>
              </c:multiLvlStrCache>
            </c:multiLvlStrRef>
          </c:cat>
          <c:val>
            <c:numRef>
              <c:f>'Izvoz, uvoz (Q)'!$K$7:$AF$7</c:f>
              <c:numCache>
                <c:formatCode>#,##0.0</c:formatCode>
                <c:ptCount val="22"/>
                <c:pt idx="0">
                  <c:v>2636.4</c:v>
                </c:pt>
                <c:pt idx="1">
                  <c:v>2875.9999999999995</c:v>
                </c:pt>
                <c:pt idx="2">
                  <c:v>2786.2000000000007</c:v>
                </c:pt>
                <c:pt idx="3">
                  <c:v>2859.8999999999987</c:v>
                </c:pt>
                <c:pt idx="4">
                  <c:v>2774.6</c:v>
                </c:pt>
                <c:pt idx="5">
                  <c:v>3194.2</c:v>
                </c:pt>
                <c:pt idx="6">
                  <c:v>3041.8999999999996</c:v>
                </c:pt>
                <c:pt idx="7">
                  <c:v>3029.7000000000007</c:v>
                </c:pt>
                <c:pt idx="8">
                  <c:v>3093.6981629093693</c:v>
                </c:pt>
                <c:pt idx="9">
                  <c:v>3473.8402049835208</c:v>
                </c:pt>
                <c:pt idx="10">
                  <c:v>3353.2616321071091</c:v>
                </c:pt>
                <c:pt idx="11">
                  <c:v>3511.3000000000011</c:v>
                </c:pt>
                <c:pt idx="12">
                  <c:v>3516.5</c:v>
                </c:pt>
                <c:pt idx="13">
                  <c:v>3951.0000000000005</c:v>
                </c:pt>
                <c:pt idx="14">
                  <c:v>3785.8</c:v>
                </c:pt>
                <c:pt idx="15">
                  <c:v>3799.7</c:v>
                </c:pt>
                <c:pt idx="16">
                  <c:v>3829.1</c:v>
                </c:pt>
                <c:pt idx="17">
                  <c:v>4211.6000000000004</c:v>
                </c:pt>
                <c:pt idx="18">
                  <c:v>4091.0561377376503</c:v>
                </c:pt>
                <c:pt idx="19">
                  <c:v>4143.2070628931506</c:v>
                </c:pt>
                <c:pt idx="20">
                  <c:v>4101.8435038694206</c:v>
                </c:pt>
                <c:pt idx="21">
                  <c:v>4487.8704645108301</c:v>
                </c:pt>
              </c:numCache>
            </c:numRef>
          </c:val>
          <c:extLst>
            <c:ext xmlns:c16="http://schemas.microsoft.com/office/drawing/2014/chart" uri="{C3380CC4-5D6E-409C-BE32-E72D297353CC}">
              <c16:uniqueId val="{00000002-DD2C-4B44-B04D-57C24898572F}"/>
            </c:ext>
          </c:extLst>
        </c:ser>
        <c:ser>
          <c:idx val="2"/>
          <c:order val="2"/>
          <c:tx>
            <c:strRef>
              <c:f>'Izvoz, uvoz (Q)'!$A$9</c:f>
              <c:strCache>
                <c:ptCount val="1"/>
                <c:pt idx="0">
                  <c:v>Дефицит</c:v>
                </c:pt>
              </c:strCache>
            </c:strRef>
          </c:tx>
          <c:spPr>
            <a:solidFill>
              <a:srgbClr val="ED1C24"/>
            </a:solidFill>
            <a:ln>
              <a:noFill/>
            </a:ln>
            <a:effectLst/>
          </c:spPr>
          <c:dLbls>
            <c:dLbl>
              <c:idx val="0"/>
              <c:layout>
                <c:manualLayout>
                  <c:x val="0"/>
                  <c:y val="-1.2828736369467608E-2"/>
                </c:manualLayout>
              </c:layout>
              <c:tx>
                <c:rich>
                  <a:bodyPr/>
                  <a:lstStyle/>
                  <a:p>
                    <a:r>
                      <a:rPr lang="sr-Cyrl-CS"/>
                      <a:t>Дефицит</a:t>
                    </a:r>
                  </a:p>
                </c:rich>
              </c:tx>
              <c:showLegendKey val="0"/>
              <c:showVal val="0"/>
              <c:showCatName val="0"/>
              <c:showSerName val="1"/>
              <c:showPercent val="0"/>
              <c:showBubbleSize val="0"/>
              <c:extLst>
                <c:ext xmlns:c15="http://schemas.microsoft.com/office/drawing/2012/chart" uri="{CE6537A1-D6FC-4f65-9D91-7224C49458BB}">
                  <c15:layout>
                    <c:manualLayout>
                      <c:w val="0.30680555555555555"/>
                      <c:h val="0.17581783194355355"/>
                    </c:manualLayout>
                  </c15:layout>
                </c:ext>
                <c:ext xmlns:c16="http://schemas.microsoft.com/office/drawing/2014/chart" uri="{C3380CC4-5D6E-409C-BE32-E72D297353CC}">
                  <c16:uniqueId val="{00000004-DD2C-4B44-B04D-57C24898572F}"/>
                </c:ext>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bg1"/>
                    </a:solidFill>
                    <a:latin typeface="+mn-lt"/>
                    <a:ea typeface="+mn-ea"/>
                    <a:cs typeface="+mn-cs"/>
                  </a:defRPr>
                </a:pPr>
                <a:endParaRPr lang="en-U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cat>
            <c:multiLvlStrRef>
              <c:f>'Izvoz, uvoz (Q)'!$K$3:$AF$4</c:f>
              <c:multiLvlStrCache>
                <c:ptCount val="22"/>
                <c:lvl>
                  <c:pt idx="0">
                    <c:v>Q1</c:v>
                  </c:pt>
                  <c:pt idx="1">
                    <c:v>Q2</c:v>
                  </c:pt>
                  <c:pt idx="2">
                    <c:v>Q3</c:v>
                  </c:pt>
                  <c:pt idx="3">
                    <c:v>Q4</c:v>
                  </c:pt>
                  <c:pt idx="4">
                    <c:v>Q1</c:v>
                  </c:pt>
                  <c:pt idx="5">
                    <c:v>Q2</c:v>
                  </c:pt>
                  <c:pt idx="6">
                    <c:v>Q3</c:v>
                  </c:pt>
                  <c:pt idx="7">
                    <c:v>Q4</c:v>
                  </c:pt>
                  <c:pt idx="8">
                    <c:v>Q1</c:v>
                  </c:pt>
                  <c:pt idx="9">
                    <c:v>Q2</c:v>
                  </c:pt>
                  <c:pt idx="10">
                    <c:v>Q3</c:v>
                  </c:pt>
                  <c:pt idx="11">
                    <c:v>Q4</c:v>
                  </c:pt>
                  <c:pt idx="12">
                    <c:v>Q1</c:v>
                  </c:pt>
                  <c:pt idx="13">
                    <c:v>Q2</c:v>
                  </c:pt>
                  <c:pt idx="14">
                    <c:v>Q3</c:v>
                  </c:pt>
                  <c:pt idx="15">
                    <c:v>Q4</c:v>
                  </c:pt>
                  <c:pt idx="16">
                    <c:v>Q1</c:v>
                  </c:pt>
                  <c:pt idx="17">
                    <c:v>Q2</c:v>
                  </c:pt>
                  <c:pt idx="18">
                    <c:v>Q3</c:v>
                  </c:pt>
                  <c:pt idx="19">
                    <c:v>Q4</c:v>
                  </c:pt>
                  <c:pt idx="20">
                    <c:v>Q1</c:v>
                  </c:pt>
                  <c:pt idx="21">
                    <c:v>Q2</c:v>
                  </c:pt>
                </c:lvl>
                <c:lvl>
                  <c:pt idx="0">
                    <c:v>2014</c:v>
                  </c:pt>
                  <c:pt idx="4">
                    <c:v>2015</c:v>
                  </c:pt>
                  <c:pt idx="8">
                    <c:v>2016</c:v>
                  </c:pt>
                  <c:pt idx="12">
                    <c:v>2017</c:v>
                  </c:pt>
                  <c:pt idx="16">
                    <c:v>2018</c:v>
                  </c:pt>
                  <c:pt idx="20">
                    <c:v>2019</c:v>
                  </c:pt>
                </c:lvl>
              </c:multiLvlStrCache>
            </c:multiLvlStrRef>
          </c:cat>
          <c:val>
            <c:numRef>
              <c:f>'Izvoz, uvoz (Q)'!$K$9:$AF$9</c:f>
              <c:numCache>
                <c:formatCode>#,##0.0</c:formatCode>
                <c:ptCount val="22"/>
                <c:pt idx="0">
                  <c:v>-928.40000000000009</c:v>
                </c:pt>
                <c:pt idx="1">
                  <c:v>-1076.3000000000006</c:v>
                </c:pt>
                <c:pt idx="2">
                  <c:v>-1141.7999999999993</c:v>
                </c:pt>
                <c:pt idx="3">
                  <c:v>-1191.3000000000006</c:v>
                </c:pt>
                <c:pt idx="4">
                  <c:v>-1100.2000000000003</c:v>
                </c:pt>
                <c:pt idx="5">
                  <c:v>-970.90000000000055</c:v>
                </c:pt>
                <c:pt idx="6">
                  <c:v>-982.50000000000045</c:v>
                </c:pt>
                <c:pt idx="7">
                  <c:v>-1294.3000000000011</c:v>
                </c:pt>
                <c:pt idx="8">
                  <c:v>-805.07355820968087</c:v>
                </c:pt>
                <c:pt idx="9">
                  <c:v>-985.08046842808972</c:v>
                </c:pt>
                <c:pt idx="10">
                  <c:v>-796.44597336222978</c:v>
                </c:pt>
                <c:pt idx="11">
                  <c:v>-1049.2000000000007</c:v>
                </c:pt>
                <c:pt idx="12">
                  <c:v>-991.47920263733977</c:v>
                </c:pt>
                <c:pt idx="13">
                  <c:v>-970.69999999999936</c:v>
                </c:pt>
                <c:pt idx="14">
                  <c:v>-921.59999999999945</c:v>
                </c:pt>
                <c:pt idx="15">
                  <c:v>-1462.3000000000002</c:v>
                </c:pt>
                <c:pt idx="16">
                  <c:v>-1246.7999999999997</c:v>
                </c:pt>
                <c:pt idx="17">
                  <c:v>-1246.7999999999993</c:v>
                </c:pt>
                <c:pt idx="18">
                  <c:v>-1327.9718993003294</c:v>
                </c:pt>
                <c:pt idx="19">
                  <c:v>-1821.8991702848998</c:v>
                </c:pt>
                <c:pt idx="20">
                  <c:v>-1457.8222578988298</c:v>
                </c:pt>
                <c:pt idx="21">
                  <c:v>-1452.0451315561095</c:v>
                </c:pt>
              </c:numCache>
            </c:numRef>
          </c:val>
          <c:extLst>
            <c:ext xmlns:c16="http://schemas.microsoft.com/office/drawing/2014/chart" uri="{C3380CC4-5D6E-409C-BE32-E72D297353CC}">
              <c16:uniqueId val="{00000003-DD2C-4B44-B04D-57C24898572F}"/>
            </c:ext>
          </c:extLst>
        </c:ser>
        <c:dLbls>
          <c:showLegendKey val="0"/>
          <c:showVal val="0"/>
          <c:showCatName val="0"/>
          <c:showSerName val="0"/>
          <c:showPercent val="0"/>
          <c:showBubbleSize val="0"/>
        </c:dLbls>
        <c:axId val="225452912"/>
        <c:axId val="225453472"/>
      </c:areaChart>
      <c:catAx>
        <c:axId val="225452912"/>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5400000" spcFirstLastPara="1" vertOverflow="ellipsis" wrap="square" anchor="ctr" anchorCtr="1"/>
          <a:lstStyle/>
          <a:p>
            <a:pPr>
              <a:defRPr sz="650" b="0" i="0" u="none" strike="noStrike" kern="1200" baseline="0">
                <a:solidFill>
                  <a:schemeClr val="tx1">
                    <a:lumMod val="65000"/>
                    <a:lumOff val="35000"/>
                  </a:schemeClr>
                </a:solidFill>
                <a:latin typeface="+mn-lt"/>
                <a:ea typeface="+mn-ea"/>
                <a:cs typeface="+mn-cs"/>
              </a:defRPr>
            </a:pPr>
            <a:endParaRPr lang="en-US"/>
          </a:p>
        </c:txPr>
        <c:crossAx val="225453472"/>
        <c:crosses val="autoZero"/>
        <c:auto val="1"/>
        <c:lblAlgn val="ctr"/>
        <c:lblOffset val="0"/>
        <c:noMultiLvlLbl val="0"/>
      </c:catAx>
      <c:valAx>
        <c:axId val="225453472"/>
        <c:scaling>
          <c:orientation val="minMax"/>
          <c:max val="6000"/>
          <c:min val="-200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1">
                    <a:lumMod val="65000"/>
                    <a:lumOff val="35000"/>
                  </a:schemeClr>
                </a:solidFill>
                <a:latin typeface="+mn-lt"/>
                <a:ea typeface="+mn-ea"/>
                <a:cs typeface="+mn-cs"/>
              </a:defRPr>
            </a:pPr>
            <a:endParaRPr lang="en-US"/>
          </a:p>
        </c:txPr>
        <c:crossAx val="225452912"/>
        <c:crosses val="autoZero"/>
        <c:crossBetween val="between"/>
        <c:majorUnit val="2000"/>
      </c:valAx>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sz="750"/>
      </a:pPr>
      <a:endParaRPr lang="en-US"/>
    </a:p>
  </c:txPr>
  <c:externalData r:id="rId4">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539150826485673E-2"/>
          <c:y val="3.2258064516129031E-2"/>
          <c:w val="0.90409995360749396"/>
          <c:h val="0.75972906612479885"/>
        </c:manualLayout>
      </c:layout>
      <c:barChart>
        <c:barDir val="col"/>
        <c:grouping val="stacked"/>
        <c:varyColors val="0"/>
        <c:ser>
          <c:idx val="0"/>
          <c:order val="0"/>
          <c:tx>
            <c:strRef>
              <c:f>'Struktura CA i FA'!$B$10</c:f>
              <c:strCache>
                <c:ptCount val="1"/>
                <c:pt idx="0">
                  <c:v>Салдо робне размене </c:v>
                </c:pt>
              </c:strCache>
            </c:strRef>
          </c:tx>
          <c:spPr>
            <a:solidFill>
              <a:srgbClr val="10103C"/>
            </a:solidFill>
            <a:ln>
              <a:noFill/>
            </a:ln>
            <a:effectLst/>
          </c:spPr>
          <c:invertIfNegative val="0"/>
          <c:cat>
            <c:numRef>
              <c:f>'Struktura CA i FA'!$E$8:$J$8</c:f>
              <c:numCache>
                <c:formatCode>General</c:formatCode>
                <c:ptCount val="6"/>
                <c:pt idx="0">
                  <c:v>2017</c:v>
                </c:pt>
                <c:pt idx="1">
                  <c:v>2018</c:v>
                </c:pt>
                <c:pt idx="2">
                  <c:v>2019</c:v>
                </c:pt>
                <c:pt idx="3">
                  <c:v>2020</c:v>
                </c:pt>
                <c:pt idx="4">
                  <c:v>2021</c:v>
                </c:pt>
                <c:pt idx="5">
                  <c:v>2022</c:v>
                </c:pt>
              </c:numCache>
            </c:numRef>
          </c:cat>
          <c:val>
            <c:numRef>
              <c:f>'Struktura CA i FA'!$E$10:$J$10</c:f>
              <c:numCache>
                <c:formatCode>0.0</c:formatCode>
                <c:ptCount val="6"/>
                <c:pt idx="0">
                  <c:v>-10.202022778349413</c:v>
                </c:pt>
                <c:pt idx="1">
                  <c:v>-12.239584289124657</c:v>
                </c:pt>
                <c:pt idx="2">
                  <c:v>-13.091489042269256</c:v>
                </c:pt>
                <c:pt idx="3">
                  <c:v>-12.486183416012125</c:v>
                </c:pt>
                <c:pt idx="4">
                  <c:v>-12.161881339853737</c:v>
                </c:pt>
                <c:pt idx="5">
                  <c:v>-11.423977115397829</c:v>
                </c:pt>
              </c:numCache>
            </c:numRef>
          </c:val>
          <c:extLst>
            <c:ext xmlns:c16="http://schemas.microsoft.com/office/drawing/2014/chart" uri="{C3380CC4-5D6E-409C-BE32-E72D297353CC}">
              <c16:uniqueId val="{00000000-3DF5-45AE-A5D0-11A5803FFB5E}"/>
            </c:ext>
          </c:extLst>
        </c:ser>
        <c:ser>
          <c:idx val="1"/>
          <c:order val="1"/>
          <c:tx>
            <c:strRef>
              <c:f>'Struktura CA i FA'!$B$11</c:f>
              <c:strCache>
                <c:ptCount val="1"/>
                <c:pt idx="0">
                  <c:v>Салдо услугa</c:v>
                </c:pt>
              </c:strCache>
            </c:strRef>
          </c:tx>
          <c:spPr>
            <a:solidFill>
              <a:srgbClr val="29489A"/>
            </a:solidFill>
            <a:ln>
              <a:noFill/>
            </a:ln>
            <a:effectLst/>
          </c:spPr>
          <c:invertIfNegative val="0"/>
          <c:cat>
            <c:numRef>
              <c:f>'Struktura CA i FA'!$E$8:$J$8</c:f>
              <c:numCache>
                <c:formatCode>General</c:formatCode>
                <c:ptCount val="6"/>
                <c:pt idx="0">
                  <c:v>2017</c:v>
                </c:pt>
                <c:pt idx="1">
                  <c:v>2018</c:v>
                </c:pt>
                <c:pt idx="2">
                  <c:v>2019</c:v>
                </c:pt>
                <c:pt idx="3">
                  <c:v>2020</c:v>
                </c:pt>
                <c:pt idx="4">
                  <c:v>2021</c:v>
                </c:pt>
                <c:pt idx="5">
                  <c:v>2022</c:v>
                </c:pt>
              </c:numCache>
            </c:numRef>
          </c:cat>
          <c:val>
            <c:numRef>
              <c:f>'Struktura CA i FA'!$E$11:$J$11</c:f>
              <c:numCache>
                <c:formatCode>0.0</c:formatCode>
                <c:ptCount val="6"/>
                <c:pt idx="0">
                  <c:v>2.4656424828294767</c:v>
                </c:pt>
                <c:pt idx="1">
                  <c:v>2.5471717593117518</c:v>
                </c:pt>
                <c:pt idx="2">
                  <c:v>2.7555297235392029</c:v>
                </c:pt>
                <c:pt idx="3">
                  <c:v>2.9235941657004014</c:v>
                </c:pt>
                <c:pt idx="4">
                  <c:v>3.2406266893027222</c:v>
                </c:pt>
                <c:pt idx="5">
                  <c:v>3.310001200232731</c:v>
                </c:pt>
              </c:numCache>
            </c:numRef>
          </c:val>
          <c:extLst>
            <c:ext xmlns:c16="http://schemas.microsoft.com/office/drawing/2014/chart" uri="{C3380CC4-5D6E-409C-BE32-E72D297353CC}">
              <c16:uniqueId val="{00000001-3DF5-45AE-A5D0-11A5803FFB5E}"/>
            </c:ext>
          </c:extLst>
        </c:ser>
        <c:ser>
          <c:idx val="2"/>
          <c:order val="2"/>
          <c:tx>
            <c:strRef>
              <c:f>'Struktura CA i FA'!$B$12</c:f>
              <c:strCache>
                <c:ptCount val="1"/>
                <c:pt idx="0">
                  <c:v>Салдо дохотка           </c:v>
                </c:pt>
              </c:strCache>
            </c:strRef>
          </c:tx>
          <c:spPr>
            <a:solidFill>
              <a:srgbClr val="2183C4"/>
            </a:solidFill>
            <a:ln>
              <a:noFill/>
            </a:ln>
            <a:effectLst/>
          </c:spPr>
          <c:invertIfNegative val="0"/>
          <c:cat>
            <c:numRef>
              <c:f>'Struktura CA i FA'!$E$8:$J$8</c:f>
              <c:numCache>
                <c:formatCode>General</c:formatCode>
                <c:ptCount val="6"/>
                <c:pt idx="0">
                  <c:v>2017</c:v>
                </c:pt>
                <c:pt idx="1">
                  <c:v>2018</c:v>
                </c:pt>
                <c:pt idx="2">
                  <c:v>2019</c:v>
                </c:pt>
                <c:pt idx="3">
                  <c:v>2020</c:v>
                </c:pt>
                <c:pt idx="4">
                  <c:v>2021</c:v>
                </c:pt>
                <c:pt idx="5">
                  <c:v>2022</c:v>
                </c:pt>
              </c:numCache>
            </c:numRef>
          </c:cat>
          <c:val>
            <c:numRef>
              <c:f>'Struktura CA i FA'!$E$12:$J$12</c:f>
              <c:numCache>
                <c:formatCode>0.0</c:formatCode>
                <c:ptCount val="6"/>
                <c:pt idx="0">
                  <c:v>-6.4654823221216686</c:v>
                </c:pt>
                <c:pt idx="1">
                  <c:v>-5.1488727309108899</c:v>
                </c:pt>
                <c:pt idx="2">
                  <c:v>-4.5504360414809426</c:v>
                </c:pt>
                <c:pt idx="3">
                  <c:v>-4.5884186211686844</c:v>
                </c:pt>
                <c:pt idx="4">
                  <c:v>-4.479689835212584</c:v>
                </c:pt>
                <c:pt idx="5">
                  <c:v>-4.5803259851869145</c:v>
                </c:pt>
              </c:numCache>
            </c:numRef>
          </c:val>
          <c:extLst>
            <c:ext xmlns:c16="http://schemas.microsoft.com/office/drawing/2014/chart" uri="{C3380CC4-5D6E-409C-BE32-E72D297353CC}">
              <c16:uniqueId val="{00000002-3DF5-45AE-A5D0-11A5803FFB5E}"/>
            </c:ext>
          </c:extLst>
        </c:ser>
        <c:ser>
          <c:idx val="3"/>
          <c:order val="3"/>
          <c:tx>
            <c:strRef>
              <c:f>'Struktura CA i FA'!$B$13</c:f>
              <c:strCache>
                <c:ptCount val="1"/>
                <c:pt idx="0">
                  <c:v>Салдо текућих трансфера</c:v>
                </c:pt>
              </c:strCache>
            </c:strRef>
          </c:tx>
          <c:spPr>
            <a:solidFill>
              <a:srgbClr val="51BBE7"/>
            </a:solidFill>
            <a:ln>
              <a:noFill/>
            </a:ln>
            <a:effectLst/>
          </c:spPr>
          <c:invertIfNegative val="0"/>
          <c:cat>
            <c:numRef>
              <c:f>'Struktura CA i FA'!$E$8:$J$8</c:f>
              <c:numCache>
                <c:formatCode>General</c:formatCode>
                <c:ptCount val="6"/>
                <c:pt idx="0">
                  <c:v>2017</c:v>
                </c:pt>
                <c:pt idx="1">
                  <c:v>2018</c:v>
                </c:pt>
                <c:pt idx="2">
                  <c:v>2019</c:v>
                </c:pt>
                <c:pt idx="3">
                  <c:v>2020</c:v>
                </c:pt>
                <c:pt idx="4">
                  <c:v>2021</c:v>
                </c:pt>
                <c:pt idx="5">
                  <c:v>2022</c:v>
                </c:pt>
              </c:numCache>
            </c:numRef>
          </c:cat>
          <c:val>
            <c:numRef>
              <c:f>'Struktura CA i FA'!$E$13:$J$13</c:f>
              <c:numCache>
                <c:formatCode>0.0</c:formatCode>
                <c:ptCount val="6"/>
                <c:pt idx="0">
                  <c:v>8.9671217891492656</c:v>
                </c:pt>
                <c:pt idx="1">
                  <c:v>9.683142613879653</c:v>
                </c:pt>
                <c:pt idx="2">
                  <c:v>8.9658184522429689</c:v>
                </c:pt>
                <c:pt idx="3">
                  <c:v>8.8925989206720537</c:v>
                </c:pt>
                <c:pt idx="4">
                  <c:v>8.158754253068027</c:v>
                </c:pt>
                <c:pt idx="5">
                  <c:v>8.0155704740771014</c:v>
                </c:pt>
              </c:numCache>
            </c:numRef>
          </c:val>
          <c:extLst>
            <c:ext xmlns:c16="http://schemas.microsoft.com/office/drawing/2014/chart" uri="{C3380CC4-5D6E-409C-BE32-E72D297353CC}">
              <c16:uniqueId val="{00000003-3DF5-45AE-A5D0-11A5803FFB5E}"/>
            </c:ext>
          </c:extLst>
        </c:ser>
        <c:dLbls>
          <c:showLegendKey val="0"/>
          <c:showVal val="0"/>
          <c:showCatName val="0"/>
          <c:showSerName val="0"/>
          <c:showPercent val="0"/>
          <c:showBubbleSize val="0"/>
        </c:dLbls>
        <c:gapWidth val="50"/>
        <c:overlap val="100"/>
        <c:axId val="225457392"/>
        <c:axId val="225457952"/>
      </c:barChart>
      <c:lineChart>
        <c:grouping val="standard"/>
        <c:varyColors val="0"/>
        <c:ser>
          <c:idx val="4"/>
          <c:order val="4"/>
          <c:tx>
            <c:strRef>
              <c:f>'Struktura CA i FA'!$B$9</c:f>
              <c:strCache>
                <c:ptCount val="1"/>
                <c:pt idx="0">
                  <c:v>Дефицит текућег рачуна</c:v>
                </c:pt>
              </c:strCache>
            </c:strRef>
          </c:tx>
          <c:spPr>
            <a:ln w="28575" cap="rnd">
              <a:solidFill>
                <a:srgbClr val="FF0000"/>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rgbClr val="FF0000"/>
                    </a:solidFill>
                    <a:latin typeface="+mn-lt"/>
                    <a:ea typeface="+mn-ea"/>
                    <a:cs typeface="+mn-cs"/>
                  </a:defRPr>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'Struktura CA i FA'!$E$9:$J$9</c:f>
              <c:numCache>
                <c:formatCode>0.0</c:formatCode>
                <c:ptCount val="6"/>
                <c:pt idx="0">
                  <c:v>-5.23474082849234</c:v>
                </c:pt>
                <c:pt idx="1">
                  <c:v>-5.1581426468441416</c:v>
                </c:pt>
                <c:pt idx="2">
                  <c:v>-5.9205769079680257</c:v>
                </c:pt>
                <c:pt idx="3">
                  <c:v>-5.258408950808354</c:v>
                </c:pt>
                <c:pt idx="4">
                  <c:v>-5.2421902326955729</c:v>
                </c:pt>
                <c:pt idx="5">
                  <c:v>-4.6787314262749105</c:v>
                </c:pt>
              </c:numCache>
            </c:numRef>
          </c:val>
          <c:smooth val="0"/>
          <c:extLst>
            <c:ext xmlns:c16="http://schemas.microsoft.com/office/drawing/2014/chart" uri="{C3380CC4-5D6E-409C-BE32-E72D297353CC}">
              <c16:uniqueId val="{00000004-3DF5-45AE-A5D0-11A5803FFB5E}"/>
            </c:ext>
          </c:extLst>
        </c:ser>
        <c:dLbls>
          <c:showLegendKey val="0"/>
          <c:showVal val="0"/>
          <c:showCatName val="0"/>
          <c:showSerName val="0"/>
          <c:showPercent val="0"/>
          <c:showBubbleSize val="0"/>
        </c:dLbls>
        <c:marker val="1"/>
        <c:smooth val="0"/>
        <c:axId val="225457392"/>
        <c:axId val="225457952"/>
      </c:lineChart>
      <c:catAx>
        <c:axId val="225457392"/>
        <c:scaling>
          <c:orientation val="minMax"/>
        </c:scaling>
        <c:delete val="0"/>
        <c:axPos val="b"/>
        <c:numFmt formatCode="General" sourceLinked="1"/>
        <c:majorTickMark val="none"/>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bg1"/>
                </a:solidFill>
                <a:latin typeface="+mn-lt"/>
                <a:ea typeface="+mn-ea"/>
                <a:cs typeface="+mn-cs"/>
              </a:defRPr>
            </a:pPr>
            <a:endParaRPr lang="en-US"/>
          </a:p>
        </c:txPr>
        <c:crossAx val="225457952"/>
        <c:crosses val="autoZero"/>
        <c:auto val="1"/>
        <c:lblAlgn val="ctr"/>
        <c:lblOffset val="100"/>
        <c:noMultiLvlLbl val="0"/>
      </c:catAx>
      <c:valAx>
        <c:axId val="225457952"/>
        <c:scaling>
          <c:orientation val="minMax"/>
          <c:max val="14"/>
          <c:min val="-2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225457392"/>
        <c:crosses val="autoZero"/>
        <c:crossBetween val="between"/>
        <c:majorUnit val="5"/>
      </c:valAx>
      <c:spPr>
        <a:noFill/>
        <a:ln>
          <a:noFill/>
        </a:ln>
        <a:effectLst/>
      </c:spPr>
    </c:plotArea>
    <c:legend>
      <c:legendPos val="b"/>
      <c:layout>
        <c:manualLayout>
          <c:xMode val="edge"/>
          <c:yMode val="edge"/>
          <c:x val="1.14209682123068E-3"/>
          <c:y val="0.85112691558716447"/>
          <c:w val="0.99885790317876932"/>
          <c:h val="0.1488730844128355"/>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en-US"/>
    </a:p>
  </c:txPr>
  <c:externalData r:id="rId4">
    <c:autoUpdate val="0"/>
  </c:externalData>
  <c:userShapes r:id="rId5"/>
</c:chartSpace>
</file>

<file path=word/charts/chart4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4.7937445319335081E-2"/>
          <c:y val="5.0925925925925923E-2"/>
          <c:w val="0.92150699912510936"/>
          <c:h val="0.70304067460317465"/>
        </c:manualLayout>
      </c:layout>
      <c:barChart>
        <c:barDir val="col"/>
        <c:grouping val="clustered"/>
        <c:varyColors val="0"/>
        <c:ser>
          <c:idx val="0"/>
          <c:order val="0"/>
          <c:tx>
            <c:strRef>
              <c:f>'Def. tek. racuna i SDI'!$B$6</c:f>
              <c:strCache>
                <c:ptCount val="1"/>
                <c:pt idx="0">
                  <c:v>Дефицит текућег рачуна, % БДП</c:v>
                </c:pt>
              </c:strCache>
            </c:strRef>
          </c:tx>
          <c:spPr>
            <a:solidFill>
              <a:srgbClr val="29489A"/>
            </a:solidFill>
            <a:ln>
              <a:noFill/>
            </a:ln>
            <a:effectLst/>
          </c:spPr>
          <c:invertIfNegative val="0"/>
          <c:cat>
            <c:numRef>
              <c:f>'Def. tek. racuna i SDI'!$D$4:$J$4</c:f>
              <c:numCache>
                <c:formatCode>General</c:formatCode>
                <c:ptCount val="7"/>
                <c:pt idx="0">
                  <c:v>2016</c:v>
                </c:pt>
                <c:pt idx="1">
                  <c:v>2017</c:v>
                </c:pt>
                <c:pt idx="2">
                  <c:v>2018</c:v>
                </c:pt>
                <c:pt idx="3">
                  <c:v>2019</c:v>
                </c:pt>
                <c:pt idx="4">
                  <c:v>2020</c:v>
                </c:pt>
                <c:pt idx="5">
                  <c:v>2021</c:v>
                </c:pt>
                <c:pt idx="6">
                  <c:v>2022</c:v>
                </c:pt>
              </c:numCache>
            </c:numRef>
          </c:cat>
          <c:val>
            <c:numRef>
              <c:f>'Def. tek. racuna i SDI'!$D$6:$J$6</c:f>
              <c:numCache>
                <c:formatCode>0.0</c:formatCode>
                <c:ptCount val="7"/>
                <c:pt idx="0">
                  <c:v>2.9251391269753184</c:v>
                </c:pt>
                <c:pt idx="1">
                  <c:v>5.23474082849234</c:v>
                </c:pt>
                <c:pt idx="2">
                  <c:v>5.1581426468441416</c:v>
                </c:pt>
                <c:pt idx="3">
                  <c:v>5.9205769079680257</c:v>
                </c:pt>
                <c:pt idx="4">
                  <c:v>5.258408950808354</c:v>
                </c:pt>
                <c:pt idx="5">
                  <c:v>5.2421902326955729</c:v>
                </c:pt>
                <c:pt idx="6">
                  <c:v>4.6787314262749105</c:v>
                </c:pt>
              </c:numCache>
            </c:numRef>
          </c:val>
          <c:extLst>
            <c:ext xmlns:c16="http://schemas.microsoft.com/office/drawing/2014/chart" uri="{C3380CC4-5D6E-409C-BE32-E72D297353CC}">
              <c16:uniqueId val="{00000000-60CA-4CCE-A2FF-F5AA7CFE2D6D}"/>
            </c:ext>
          </c:extLst>
        </c:ser>
        <c:ser>
          <c:idx val="1"/>
          <c:order val="1"/>
          <c:tx>
            <c:strRef>
              <c:f>'Def. tek. racuna i SDI'!$B$7</c:f>
              <c:strCache>
                <c:ptCount val="1"/>
                <c:pt idx="0">
                  <c:v>Стране директне инвестиције, нето, % БДП</c:v>
                </c:pt>
              </c:strCache>
            </c:strRef>
          </c:tx>
          <c:spPr>
            <a:solidFill>
              <a:srgbClr val="51BBE7"/>
            </a:solidFill>
            <a:ln>
              <a:noFill/>
            </a:ln>
            <a:effectLst/>
          </c:spPr>
          <c:invertIfNegative val="0"/>
          <c:cat>
            <c:numRef>
              <c:f>'Def. tek. racuna i SDI'!$D$4:$J$4</c:f>
              <c:numCache>
                <c:formatCode>General</c:formatCode>
                <c:ptCount val="7"/>
                <c:pt idx="0">
                  <c:v>2016</c:v>
                </c:pt>
                <c:pt idx="1">
                  <c:v>2017</c:v>
                </c:pt>
                <c:pt idx="2">
                  <c:v>2018</c:v>
                </c:pt>
                <c:pt idx="3">
                  <c:v>2019</c:v>
                </c:pt>
                <c:pt idx="4">
                  <c:v>2020</c:v>
                </c:pt>
                <c:pt idx="5">
                  <c:v>2021</c:v>
                </c:pt>
                <c:pt idx="6">
                  <c:v>2022</c:v>
                </c:pt>
              </c:numCache>
            </c:numRef>
          </c:cat>
          <c:val>
            <c:numRef>
              <c:f>'Def. tek. racuna i SDI'!$D$7:$J$7</c:f>
              <c:numCache>
                <c:formatCode>0.0</c:formatCode>
                <c:ptCount val="7"/>
                <c:pt idx="0">
                  <c:v>5.1711386647141158</c:v>
                </c:pt>
                <c:pt idx="1">
                  <c:v>6.1713069369481701</c:v>
                </c:pt>
                <c:pt idx="2">
                  <c:v>7.4386825687641496</c:v>
                </c:pt>
                <c:pt idx="3">
                  <c:v>7.7503357757727098</c:v>
                </c:pt>
                <c:pt idx="4">
                  <c:v>6.29384855116058</c:v>
                </c:pt>
                <c:pt idx="5">
                  <c:v>5.5281278817516997</c:v>
                </c:pt>
                <c:pt idx="6">
                  <c:v>5.6180560912058199</c:v>
                </c:pt>
              </c:numCache>
            </c:numRef>
          </c:val>
          <c:extLst>
            <c:ext xmlns:c16="http://schemas.microsoft.com/office/drawing/2014/chart" uri="{C3380CC4-5D6E-409C-BE32-E72D297353CC}">
              <c16:uniqueId val="{00000001-60CA-4CCE-A2FF-F5AA7CFE2D6D}"/>
            </c:ext>
          </c:extLst>
        </c:ser>
        <c:dLbls>
          <c:showLegendKey val="0"/>
          <c:showVal val="0"/>
          <c:showCatName val="0"/>
          <c:showSerName val="0"/>
          <c:showPercent val="0"/>
          <c:showBubbleSize val="0"/>
        </c:dLbls>
        <c:gapWidth val="80"/>
        <c:overlap val="-11"/>
        <c:axId val="228431504"/>
        <c:axId val="228432064"/>
      </c:barChart>
      <c:catAx>
        <c:axId val="228431504"/>
        <c:scaling>
          <c:orientation val="minMax"/>
        </c:scaling>
        <c:delete val="0"/>
        <c:axPos val="b"/>
        <c:numFmt formatCode="General" sourceLinked="1"/>
        <c:majorTickMark val="none"/>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228432064"/>
        <c:crosses val="autoZero"/>
        <c:auto val="1"/>
        <c:lblAlgn val="ctr"/>
        <c:lblOffset val="100"/>
        <c:noMultiLvlLbl val="0"/>
      </c:catAx>
      <c:valAx>
        <c:axId val="228432064"/>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crossAx val="228431504"/>
        <c:crosses val="autoZero"/>
        <c:crossBetween val="between"/>
      </c:valAx>
      <c:spPr>
        <a:noFill/>
        <a:ln>
          <a:noFill/>
        </a:ln>
        <a:effectLst/>
      </c:spPr>
    </c:plotArea>
    <c:legend>
      <c:legendPos val="b"/>
      <c:layout>
        <c:manualLayout>
          <c:xMode val="edge"/>
          <c:yMode val="edge"/>
          <c:x val="1.0742927967337418E-2"/>
          <c:y val="0.86493849206349194"/>
          <c:w val="0.97274511918886852"/>
          <c:h val="0.1224620951507275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en-US"/>
    </a:p>
  </c:txPr>
  <c:externalData r:id="rId4">
    <c:autoUpdate val="0"/>
  </c:externalData>
  <c:userShapes r:id="rId5"/>
</c:chartSpace>
</file>

<file path=word/charts/chart4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4.4217259528330458E-2"/>
          <c:y val="6.7551982074010614E-2"/>
          <c:w val="0.91156548094333911"/>
          <c:h val="0.82429264255212753"/>
        </c:manualLayout>
      </c:layout>
      <c:areaChart>
        <c:grouping val="stacked"/>
        <c:varyColors val="0"/>
        <c:ser>
          <c:idx val="0"/>
          <c:order val="0"/>
          <c:spPr>
            <a:noFill/>
          </c:spPr>
          <c:cat>
            <c:strRef>
              <c:f>'fan chart srbija'!$E$5:$E$12</c:f>
              <c:strCache>
                <c:ptCount val="8"/>
                <c:pt idx="0">
                  <c:v>2016</c:v>
                </c:pt>
                <c:pt idx="1">
                  <c:v>2017</c:v>
                </c:pt>
                <c:pt idx="2">
                  <c:v>2018</c:v>
                </c:pt>
                <c:pt idx="3">
                  <c:v>2019</c:v>
                </c:pt>
                <c:pt idx="4">
                  <c:v>2020</c:v>
                </c:pt>
                <c:pt idx="5">
                  <c:v>2021</c:v>
                </c:pt>
                <c:pt idx="6">
                  <c:v>2022</c:v>
                </c:pt>
                <c:pt idx="7">
                  <c:v>2023</c:v>
                </c:pt>
              </c:strCache>
            </c:strRef>
          </c:cat>
          <c:val>
            <c:numRef>
              <c:f>'fan chart srbija'!$G$5:$G$12</c:f>
              <c:numCache>
                <c:formatCode>0.0</c:formatCode>
                <c:ptCount val="8"/>
                <c:pt idx="0">
                  <c:v>2.7</c:v>
                </c:pt>
                <c:pt idx="1">
                  <c:v>2</c:v>
                </c:pt>
                <c:pt idx="2">
                  <c:v>4.4000000000000004</c:v>
                </c:pt>
                <c:pt idx="3">
                  <c:v>2</c:v>
                </c:pt>
                <c:pt idx="4">
                  <c:v>2.2999999999999998</c:v>
                </c:pt>
                <c:pt idx="5">
                  <c:v>2.5</c:v>
                </c:pt>
                <c:pt idx="6">
                  <c:v>2.5</c:v>
                </c:pt>
                <c:pt idx="7">
                  <c:v>3</c:v>
                </c:pt>
              </c:numCache>
            </c:numRef>
          </c:val>
          <c:extLst>
            <c:ext xmlns:c16="http://schemas.microsoft.com/office/drawing/2014/chart" uri="{C3380CC4-5D6E-409C-BE32-E72D297353CC}">
              <c16:uniqueId val="{00000000-5B7B-455B-B074-CF9C6C2061C5}"/>
            </c:ext>
          </c:extLst>
        </c:ser>
        <c:ser>
          <c:idx val="2"/>
          <c:order val="2"/>
          <c:spPr>
            <a:solidFill>
              <a:srgbClr val="FFF1F1"/>
            </a:solidFill>
            <a:ln w="25400">
              <a:noFill/>
            </a:ln>
          </c:spPr>
          <c:cat>
            <c:strRef>
              <c:f>'fan chart srbija'!$E$5:$E$12</c:f>
              <c:strCache>
                <c:ptCount val="8"/>
                <c:pt idx="0">
                  <c:v>2016</c:v>
                </c:pt>
                <c:pt idx="1">
                  <c:v>2017</c:v>
                </c:pt>
                <c:pt idx="2">
                  <c:v>2018</c:v>
                </c:pt>
                <c:pt idx="3">
                  <c:v>2019</c:v>
                </c:pt>
                <c:pt idx="4">
                  <c:v>2020</c:v>
                </c:pt>
                <c:pt idx="5">
                  <c:v>2021</c:v>
                </c:pt>
                <c:pt idx="6">
                  <c:v>2022</c:v>
                </c:pt>
                <c:pt idx="7">
                  <c:v>2023</c:v>
                </c:pt>
              </c:strCache>
            </c:strRef>
          </c:cat>
          <c:val>
            <c:numRef>
              <c:f>'fan chart srbija'!$H$5:$H$12</c:f>
              <c:numCache>
                <c:formatCode>0.0</c:formatCode>
                <c:ptCount val="8"/>
                <c:pt idx="0">
                  <c:v>0</c:v>
                </c:pt>
                <c:pt idx="1">
                  <c:v>0</c:v>
                </c:pt>
                <c:pt idx="2">
                  <c:v>0</c:v>
                </c:pt>
                <c:pt idx="3">
                  <c:v>0.3</c:v>
                </c:pt>
                <c:pt idx="4">
                  <c:v>0.44495233647405752</c:v>
                </c:pt>
                <c:pt idx="5">
                  <c:v>0.36330206140687094</c:v>
                </c:pt>
                <c:pt idx="6">
                  <c:v>0.40618405283578318</c:v>
                </c:pt>
                <c:pt idx="7">
                  <c:v>0.44495233647405752</c:v>
                </c:pt>
              </c:numCache>
            </c:numRef>
          </c:val>
          <c:extLst>
            <c:ext xmlns:c16="http://schemas.microsoft.com/office/drawing/2014/chart" uri="{C3380CC4-5D6E-409C-BE32-E72D297353CC}">
              <c16:uniqueId val="{00000001-5B7B-455B-B074-CF9C6C2061C5}"/>
            </c:ext>
          </c:extLst>
        </c:ser>
        <c:ser>
          <c:idx val="3"/>
          <c:order val="3"/>
          <c:spPr>
            <a:solidFill>
              <a:srgbClr val="FFD5D5"/>
            </a:solidFill>
            <a:ln w="25400">
              <a:noFill/>
            </a:ln>
          </c:spPr>
          <c:cat>
            <c:strRef>
              <c:f>'fan chart srbija'!$E$5:$E$12</c:f>
              <c:strCache>
                <c:ptCount val="8"/>
                <c:pt idx="0">
                  <c:v>2016</c:v>
                </c:pt>
                <c:pt idx="1">
                  <c:v>2017</c:v>
                </c:pt>
                <c:pt idx="2">
                  <c:v>2018</c:v>
                </c:pt>
                <c:pt idx="3">
                  <c:v>2019</c:v>
                </c:pt>
                <c:pt idx="4">
                  <c:v>2020</c:v>
                </c:pt>
                <c:pt idx="5">
                  <c:v>2021</c:v>
                </c:pt>
                <c:pt idx="6">
                  <c:v>2022</c:v>
                </c:pt>
                <c:pt idx="7">
                  <c:v>2023</c:v>
                </c:pt>
              </c:strCache>
            </c:strRef>
          </c:cat>
          <c:val>
            <c:numRef>
              <c:f>'fan chart srbija'!$I$5:$I$12</c:f>
              <c:numCache>
                <c:formatCode>0.0</c:formatCode>
                <c:ptCount val="8"/>
                <c:pt idx="0">
                  <c:v>0</c:v>
                </c:pt>
                <c:pt idx="1">
                  <c:v>0</c:v>
                </c:pt>
                <c:pt idx="2">
                  <c:v>0</c:v>
                </c:pt>
                <c:pt idx="3">
                  <c:v>0.27405045208518697</c:v>
                </c:pt>
                <c:pt idx="4">
                  <c:v>0.30020722900309105</c:v>
                </c:pt>
                <c:pt idx="5">
                  <c:v>0.24511817605081077</c:v>
                </c:pt>
                <c:pt idx="6">
                  <c:v>0.27405045208518697</c:v>
                </c:pt>
                <c:pt idx="7">
                  <c:v>0.2</c:v>
                </c:pt>
              </c:numCache>
            </c:numRef>
          </c:val>
          <c:extLst>
            <c:ext xmlns:c16="http://schemas.microsoft.com/office/drawing/2014/chart" uri="{C3380CC4-5D6E-409C-BE32-E72D297353CC}">
              <c16:uniqueId val="{00000002-5B7B-455B-B074-CF9C6C2061C5}"/>
            </c:ext>
          </c:extLst>
        </c:ser>
        <c:ser>
          <c:idx val="4"/>
          <c:order val="4"/>
          <c:spPr>
            <a:solidFill>
              <a:srgbClr val="FFAFAF"/>
            </a:solidFill>
            <a:ln w="25400">
              <a:noFill/>
            </a:ln>
          </c:spPr>
          <c:cat>
            <c:strRef>
              <c:f>'fan chart srbija'!$E$5:$E$12</c:f>
              <c:strCache>
                <c:ptCount val="8"/>
                <c:pt idx="0">
                  <c:v>2016</c:v>
                </c:pt>
                <c:pt idx="1">
                  <c:v>2017</c:v>
                </c:pt>
                <c:pt idx="2">
                  <c:v>2018</c:v>
                </c:pt>
                <c:pt idx="3">
                  <c:v>2019</c:v>
                </c:pt>
                <c:pt idx="4">
                  <c:v>2020</c:v>
                </c:pt>
                <c:pt idx="5">
                  <c:v>2021</c:v>
                </c:pt>
                <c:pt idx="6">
                  <c:v>2022</c:v>
                </c:pt>
                <c:pt idx="7">
                  <c:v>2023</c:v>
                </c:pt>
              </c:strCache>
            </c:strRef>
          </c:cat>
          <c:val>
            <c:numRef>
              <c:f>'fan chart srbija'!$J$5:$J$12</c:f>
              <c:numCache>
                <c:formatCode>0.0</c:formatCode>
                <c:ptCount val="8"/>
                <c:pt idx="0">
                  <c:v>0</c:v>
                </c:pt>
                <c:pt idx="1">
                  <c:v>0</c:v>
                </c:pt>
                <c:pt idx="2">
                  <c:v>0</c:v>
                </c:pt>
                <c:pt idx="3">
                  <c:v>0.21780661174118243</c:v>
                </c:pt>
                <c:pt idx="4">
                  <c:v>0.23859518884883024</c:v>
                </c:pt>
                <c:pt idx="5">
                  <c:v>0.19481215592087509</c:v>
                </c:pt>
                <c:pt idx="6">
                  <c:v>0.21780661174118243</c:v>
                </c:pt>
                <c:pt idx="7">
                  <c:v>0.23859518884883024</c:v>
                </c:pt>
              </c:numCache>
            </c:numRef>
          </c:val>
          <c:extLst>
            <c:ext xmlns:c16="http://schemas.microsoft.com/office/drawing/2014/chart" uri="{C3380CC4-5D6E-409C-BE32-E72D297353CC}">
              <c16:uniqueId val="{00000003-5B7B-455B-B074-CF9C6C2061C5}"/>
            </c:ext>
          </c:extLst>
        </c:ser>
        <c:ser>
          <c:idx val="5"/>
          <c:order val="5"/>
          <c:spPr>
            <a:solidFill>
              <a:srgbClr val="FF7D7D"/>
            </a:solidFill>
            <a:ln w="25400">
              <a:noFill/>
            </a:ln>
          </c:spPr>
          <c:cat>
            <c:strRef>
              <c:f>'fan chart srbija'!$E$5:$E$12</c:f>
              <c:strCache>
                <c:ptCount val="8"/>
                <c:pt idx="0">
                  <c:v>2016</c:v>
                </c:pt>
                <c:pt idx="1">
                  <c:v>2017</c:v>
                </c:pt>
                <c:pt idx="2">
                  <c:v>2018</c:v>
                </c:pt>
                <c:pt idx="3">
                  <c:v>2019</c:v>
                </c:pt>
                <c:pt idx="4">
                  <c:v>2020</c:v>
                </c:pt>
                <c:pt idx="5">
                  <c:v>2021</c:v>
                </c:pt>
                <c:pt idx="6">
                  <c:v>2022</c:v>
                </c:pt>
                <c:pt idx="7">
                  <c:v>2023</c:v>
                </c:pt>
              </c:strCache>
            </c:strRef>
          </c:cat>
          <c:val>
            <c:numRef>
              <c:f>'fan chart srbija'!$K$5:$K$12</c:f>
              <c:numCache>
                <c:formatCode>0.0</c:formatCode>
                <c:ptCount val="8"/>
                <c:pt idx="0">
                  <c:v>0</c:v>
                </c:pt>
                <c:pt idx="1">
                  <c:v>0</c:v>
                </c:pt>
                <c:pt idx="2">
                  <c:v>0</c:v>
                </c:pt>
                <c:pt idx="3">
                  <c:v>0.18685867900548714</c:v>
                </c:pt>
                <c:pt idx="4">
                  <c:v>0.20469342711384453</c:v>
                </c:pt>
                <c:pt idx="5">
                  <c:v>0.1671314833768327</c:v>
                </c:pt>
                <c:pt idx="6">
                  <c:v>0.18685867900548714</c:v>
                </c:pt>
                <c:pt idx="7">
                  <c:v>0.20469342711384453</c:v>
                </c:pt>
              </c:numCache>
            </c:numRef>
          </c:val>
          <c:extLst>
            <c:ext xmlns:c16="http://schemas.microsoft.com/office/drawing/2014/chart" uri="{C3380CC4-5D6E-409C-BE32-E72D297353CC}">
              <c16:uniqueId val="{00000004-5B7B-455B-B074-CF9C6C2061C5}"/>
            </c:ext>
          </c:extLst>
        </c:ser>
        <c:ser>
          <c:idx val="6"/>
          <c:order val="6"/>
          <c:spPr>
            <a:solidFill>
              <a:srgbClr val="FF4747"/>
            </a:solidFill>
            <a:ln w="25400">
              <a:noFill/>
            </a:ln>
          </c:spPr>
          <c:cat>
            <c:strRef>
              <c:f>'fan chart srbija'!$E$5:$E$12</c:f>
              <c:strCache>
                <c:ptCount val="8"/>
                <c:pt idx="0">
                  <c:v>2016</c:v>
                </c:pt>
                <c:pt idx="1">
                  <c:v>2017</c:v>
                </c:pt>
                <c:pt idx="2">
                  <c:v>2018</c:v>
                </c:pt>
                <c:pt idx="3">
                  <c:v>2019</c:v>
                </c:pt>
                <c:pt idx="4">
                  <c:v>2020</c:v>
                </c:pt>
                <c:pt idx="5">
                  <c:v>2021</c:v>
                </c:pt>
                <c:pt idx="6">
                  <c:v>2022</c:v>
                </c:pt>
                <c:pt idx="7">
                  <c:v>2023</c:v>
                </c:pt>
              </c:strCache>
            </c:strRef>
          </c:cat>
          <c:val>
            <c:numRef>
              <c:f>'fan chart srbija'!$L$5:$L$12</c:f>
              <c:numCache>
                <c:formatCode>0.0</c:formatCode>
                <c:ptCount val="8"/>
                <c:pt idx="0">
                  <c:v>0</c:v>
                </c:pt>
                <c:pt idx="1">
                  <c:v>0</c:v>
                </c:pt>
                <c:pt idx="2">
                  <c:v>0</c:v>
                </c:pt>
                <c:pt idx="3">
                  <c:v>0.16780486885718504</c:v>
                </c:pt>
                <c:pt idx="4">
                  <c:v>0.18382102386455257</c:v>
                </c:pt>
                <c:pt idx="5">
                  <c:v>0.15008923748804115</c:v>
                </c:pt>
                <c:pt idx="6">
                  <c:v>0.16780486885718504</c:v>
                </c:pt>
                <c:pt idx="7">
                  <c:v>0.18382102386455257</c:v>
                </c:pt>
              </c:numCache>
            </c:numRef>
          </c:val>
          <c:extLst>
            <c:ext xmlns:c16="http://schemas.microsoft.com/office/drawing/2014/chart" uri="{C3380CC4-5D6E-409C-BE32-E72D297353CC}">
              <c16:uniqueId val="{00000005-5B7B-455B-B074-CF9C6C2061C5}"/>
            </c:ext>
          </c:extLst>
        </c:ser>
        <c:ser>
          <c:idx val="7"/>
          <c:order val="7"/>
          <c:spPr>
            <a:solidFill>
              <a:srgbClr val="C00000"/>
            </a:solidFill>
            <a:ln w="25400">
              <a:noFill/>
            </a:ln>
          </c:spPr>
          <c:cat>
            <c:strRef>
              <c:f>'fan chart srbija'!$E$5:$E$12</c:f>
              <c:strCache>
                <c:ptCount val="8"/>
                <c:pt idx="0">
                  <c:v>2016</c:v>
                </c:pt>
                <c:pt idx="1">
                  <c:v>2017</c:v>
                </c:pt>
                <c:pt idx="2">
                  <c:v>2018</c:v>
                </c:pt>
                <c:pt idx="3">
                  <c:v>2019</c:v>
                </c:pt>
                <c:pt idx="4">
                  <c:v>2020</c:v>
                </c:pt>
                <c:pt idx="5">
                  <c:v>2021</c:v>
                </c:pt>
                <c:pt idx="6">
                  <c:v>2022</c:v>
                </c:pt>
                <c:pt idx="7">
                  <c:v>2023</c:v>
                </c:pt>
              </c:strCache>
            </c:strRef>
          </c:cat>
          <c:val>
            <c:numRef>
              <c:f>'fan chart srbija'!$M$5:$M$12</c:f>
              <c:numCache>
                <c:formatCode>0.0</c:formatCode>
                <c:ptCount val="8"/>
                <c:pt idx="0">
                  <c:v>0</c:v>
                </c:pt>
                <c:pt idx="1">
                  <c:v>0</c:v>
                </c:pt>
                <c:pt idx="2">
                  <c:v>0</c:v>
                </c:pt>
                <c:pt idx="3">
                  <c:v>0.1</c:v>
                </c:pt>
                <c:pt idx="4">
                  <c:v>0.17033757341940903</c:v>
                </c:pt>
                <c:pt idx="5">
                  <c:v>0.1390800463004731</c:v>
                </c:pt>
                <c:pt idx="6">
                  <c:v>0.15549621892083776</c:v>
                </c:pt>
                <c:pt idx="7">
                  <c:v>0.17033757341940903</c:v>
                </c:pt>
              </c:numCache>
            </c:numRef>
          </c:val>
          <c:extLst>
            <c:ext xmlns:c16="http://schemas.microsoft.com/office/drawing/2014/chart" uri="{C3380CC4-5D6E-409C-BE32-E72D297353CC}">
              <c16:uniqueId val="{00000006-5B7B-455B-B074-CF9C6C2061C5}"/>
            </c:ext>
          </c:extLst>
        </c:ser>
        <c:ser>
          <c:idx val="8"/>
          <c:order val="8"/>
          <c:spPr>
            <a:solidFill>
              <a:srgbClr val="740000"/>
            </a:solidFill>
            <a:ln w="25400">
              <a:noFill/>
            </a:ln>
          </c:spPr>
          <c:cat>
            <c:strRef>
              <c:f>'fan chart srbija'!$E$5:$E$12</c:f>
              <c:strCache>
                <c:ptCount val="8"/>
                <c:pt idx="0">
                  <c:v>2016</c:v>
                </c:pt>
                <c:pt idx="1">
                  <c:v>2017</c:v>
                </c:pt>
                <c:pt idx="2">
                  <c:v>2018</c:v>
                </c:pt>
                <c:pt idx="3">
                  <c:v>2019</c:v>
                </c:pt>
                <c:pt idx="4">
                  <c:v>2020</c:v>
                </c:pt>
                <c:pt idx="5">
                  <c:v>2021</c:v>
                </c:pt>
                <c:pt idx="6">
                  <c:v>2022</c:v>
                </c:pt>
                <c:pt idx="7">
                  <c:v>2023</c:v>
                </c:pt>
              </c:strCache>
            </c:strRef>
          </c:cat>
          <c:val>
            <c:numRef>
              <c:f>'fan chart srbija'!$N$5:$N$12</c:f>
              <c:numCache>
                <c:formatCode>0.0</c:formatCode>
                <c:ptCount val="8"/>
                <c:pt idx="0">
                  <c:v>0</c:v>
                </c:pt>
                <c:pt idx="1">
                  <c:v>0</c:v>
                </c:pt>
                <c:pt idx="2">
                  <c:v>0</c:v>
                </c:pt>
                <c:pt idx="3">
                  <c:v>0.14755070574747364</c:v>
                </c:pt>
                <c:pt idx="4">
                  <c:v>0.1</c:v>
                </c:pt>
                <c:pt idx="5">
                  <c:v>0.13197336327176812</c:v>
                </c:pt>
                <c:pt idx="6">
                  <c:v>0.14755070574747364</c:v>
                </c:pt>
                <c:pt idx="7">
                  <c:v>0.1</c:v>
                </c:pt>
              </c:numCache>
            </c:numRef>
          </c:val>
          <c:extLst>
            <c:ext xmlns:c16="http://schemas.microsoft.com/office/drawing/2014/chart" uri="{C3380CC4-5D6E-409C-BE32-E72D297353CC}">
              <c16:uniqueId val="{00000007-5B7B-455B-B074-CF9C6C2061C5}"/>
            </c:ext>
          </c:extLst>
        </c:ser>
        <c:ser>
          <c:idx val="9"/>
          <c:order val="9"/>
          <c:spPr>
            <a:solidFill>
              <a:srgbClr val="460000"/>
            </a:solidFill>
            <a:ln w="25400">
              <a:noFill/>
            </a:ln>
          </c:spPr>
          <c:cat>
            <c:strRef>
              <c:f>'fan chart srbija'!$E$5:$E$12</c:f>
              <c:strCache>
                <c:ptCount val="8"/>
                <c:pt idx="0">
                  <c:v>2016</c:v>
                </c:pt>
                <c:pt idx="1">
                  <c:v>2017</c:v>
                </c:pt>
                <c:pt idx="2">
                  <c:v>2018</c:v>
                </c:pt>
                <c:pt idx="3">
                  <c:v>2019</c:v>
                </c:pt>
                <c:pt idx="4">
                  <c:v>2020</c:v>
                </c:pt>
                <c:pt idx="5">
                  <c:v>2021</c:v>
                </c:pt>
                <c:pt idx="6">
                  <c:v>2022</c:v>
                </c:pt>
                <c:pt idx="7">
                  <c:v>2023</c:v>
                </c:pt>
              </c:strCache>
            </c:strRef>
          </c:cat>
          <c:val>
            <c:numRef>
              <c:f>'fan chart srbija'!$O$5:$O$12</c:f>
              <c:numCache>
                <c:formatCode>0.0</c:formatCode>
                <c:ptCount val="8"/>
                <c:pt idx="0">
                  <c:v>0</c:v>
                </c:pt>
                <c:pt idx="1">
                  <c:v>0</c:v>
                </c:pt>
                <c:pt idx="2">
                  <c:v>0</c:v>
                </c:pt>
                <c:pt idx="3">
                  <c:v>0.14275701540108665</c:v>
                </c:pt>
                <c:pt idx="4">
                  <c:v>0.1</c:v>
                </c:pt>
                <c:pt idx="5">
                  <c:v>0.12768575628072543</c:v>
                </c:pt>
                <c:pt idx="6">
                  <c:v>0.14275701540108665</c:v>
                </c:pt>
                <c:pt idx="7">
                  <c:v>0.1</c:v>
                </c:pt>
              </c:numCache>
            </c:numRef>
          </c:val>
          <c:extLst>
            <c:ext xmlns:c16="http://schemas.microsoft.com/office/drawing/2014/chart" uri="{C3380CC4-5D6E-409C-BE32-E72D297353CC}">
              <c16:uniqueId val="{00000008-5B7B-455B-B074-CF9C6C2061C5}"/>
            </c:ext>
          </c:extLst>
        </c:ser>
        <c:ser>
          <c:idx val="10"/>
          <c:order val="10"/>
          <c:spPr>
            <a:solidFill>
              <a:srgbClr val="140000"/>
            </a:solidFill>
            <a:ln w="25400">
              <a:noFill/>
            </a:ln>
          </c:spPr>
          <c:cat>
            <c:strRef>
              <c:f>'fan chart srbija'!$E$5:$E$12</c:f>
              <c:strCache>
                <c:ptCount val="8"/>
                <c:pt idx="0">
                  <c:v>2016</c:v>
                </c:pt>
                <c:pt idx="1">
                  <c:v>2017</c:v>
                </c:pt>
                <c:pt idx="2">
                  <c:v>2018</c:v>
                </c:pt>
                <c:pt idx="3">
                  <c:v>2019</c:v>
                </c:pt>
                <c:pt idx="4">
                  <c:v>2020</c:v>
                </c:pt>
                <c:pt idx="5">
                  <c:v>2021</c:v>
                </c:pt>
                <c:pt idx="6">
                  <c:v>2022</c:v>
                </c:pt>
                <c:pt idx="7">
                  <c:v>2023</c:v>
                </c:pt>
              </c:strCache>
            </c:strRef>
          </c:cat>
          <c:val>
            <c:numRef>
              <c:f>'fan chart srbija'!$P$5:$P$12</c:f>
              <c:numCache>
                <c:formatCode>0.0</c:formatCode>
                <c:ptCount val="8"/>
                <c:pt idx="0">
                  <c:v>0</c:v>
                </c:pt>
                <c:pt idx="1">
                  <c:v>0</c:v>
                </c:pt>
                <c:pt idx="2">
                  <c:v>0</c:v>
                </c:pt>
                <c:pt idx="3">
                  <c:v>0.14049365685606263</c:v>
                </c:pt>
                <c:pt idx="4">
                  <c:v>0.1</c:v>
                </c:pt>
                <c:pt idx="5">
                  <c:v>0.12566134685507424</c:v>
                </c:pt>
                <c:pt idx="6">
                  <c:v>0.14049365685606263</c:v>
                </c:pt>
                <c:pt idx="7">
                  <c:v>0.1</c:v>
                </c:pt>
              </c:numCache>
            </c:numRef>
          </c:val>
          <c:extLst>
            <c:ext xmlns:c16="http://schemas.microsoft.com/office/drawing/2014/chart" uri="{C3380CC4-5D6E-409C-BE32-E72D297353CC}">
              <c16:uniqueId val="{00000009-5B7B-455B-B074-CF9C6C2061C5}"/>
            </c:ext>
          </c:extLst>
        </c:ser>
        <c:ser>
          <c:idx val="11"/>
          <c:order val="11"/>
          <c:spPr>
            <a:solidFill>
              <a:srgbClr val="140000"/>
            </a:solidFill>
            <a:ln w="25400">
              <a:noFill/>
            </a:ln>
          </c:spPr>
          <c:cat>
            <c:strRef>
              <c:f>'fan chart srbija'!$E$5:$E$12</c:f>
              <c:strCache>
                <c:ptCount val="8"/>
                <c:pt idx="0">
                  <c:v>2016</c:v>
                </c:pt>
                <c:pt idx="1">
                  <c:v>2017</c:v>
                </c:pt>
                <c:pt idx="2">
                  <c:v>2018</c:v>
                </c:pt>
                <c:pt idx="3">
                  <c:v>2019</c:v>
                </c:pt>
                <c:pt idx="4">
                  <c:v>2020</c:v>
                </c:pt>
                <c:pt idx="5">
                  <c:v>2021</c:v>
                </c:pt>
                <c:pt idx="6">
                  <c:v>2022</c:v>
                </c:pt>
                <c:pt idx="7">
                  <c:v>2023</c:v>
                </c:pt>
              </c:strCache>
            </c:strRef>
          </c:cat>
          <c:val>
            <c:numRef>
              <c:f>'fan chart srbija'!$Q$5:$Q$12</c:f>
              <c:numCache>
                <c:formatCode>0.0</c:formatCode>
                <c:ptCount val="8"/>
                <c:pt idx="0">
                  <c:v>0</c:v>
                </c:pt>
                <c:pt idx="1">
                  <c:v>0</c:v>
                </c:pt>
                <c:pt idx="2">
                  <c:v>0</c:v>
                </c:pt>
                <c:pt idx="3">
                  <c:v>0.14049365685606263</c:v>
                </c:pt>
                <c:pt idx="4">
                  <c:v>0.1</c:v>
                </c:pt>
                <c:pt idx="5">
                  <c:v>0.12566134685507402</c:v>
                </c:pt>
                <c:pt idx="6">
                  <c:v>0.14049365685606263</c:v>
                </c:pt>
                <c:pt idx="7">
                  <c:v>0.1</c:v>
                </c:pt>
              </c:numCache>
            </c:numRef>
          </c:val>
          <c:extLst>
            <c:ext xmlns:c16="http://schemas.microsoft.com/office/drawing/2014/chart" uri="{C3380CC4-5D6E-409C-BE32-E72D297353CC}">
              <c16:uniqueId val="{0000000A-5B7B-455B-B074-CF9C6C2061C5}"/>
            </c:ext>
          </c:extLst>
        </c:ser>
        <c:ser>
          <c:idx val="12"/>
          <c:order val="12"/>
          <c:spPr>
            <a:solidFill>
              <a:srgbClr val="460000"/>
            </a:solidFill>
            <a:ln w="25400">
              <a:noFill/>
            </a:ln>
          </c:spPr>
          <c:cat>
            <c:strRef>
              <c:f>'fan chart srbija'!$E$5:$E$12</c:f>
              <c:strCache>
                <c:ptCount val="8"/>
                <c:pt idx="0">
                  <c:v>2016</c:v>
                </c:pt>
                <c:pt idx="1">
                  <c:v>2017</c:v>
                </c:pt>
                <c:pt idx="2">
                  <c:v>2018</c:v>
                </c:pt>
                <c:pt idx="3">
                  <c:v>2019</c:v>
                </c:pt>
                <c:pt idx="4">
                  <c:v>2020</c:v>
                </c:pt>
                <c:pt idx="5">
                  <c:v>2021</c:v>
                </c:pt>
                <c:pt idx="6">
                  <c:v>2022</c:v>
                </c:pt>
                <c:pt idx="7">
                  <c:v>2023</c:v>
                </c:pt>
              </c:strCache>
            </c:strRef>
          </c:cat>
          <c:val>
            <c:numRef>
              <c:f>'fan chart srbija'!$R$5:$R$12</c:f>
              <c:numCache>
                <c:formatCode>0.0</c:formatCode>
                <c:ptCount val="8"/>
                <c:pt idx="0">
                  <c:v>0</c:v>
                </c:pt>
                <c:pt idx="1">
                  <c:v>0</c:v>
                </c:pt>
                <c:pt idx="2">
                  <c:v>0</c:v>
                </c:pt>
                <c:pt idx="3">
                  <c:v>0.14275701540108665</c:v>
                </c:pt>
                <c:pt idx="4">
                  <c:v>0.1</c:v>
                </c:pt>
                <c:pt idx="5">
                  <c:v>0.12768575628072565</c:v>
                </c:pt>
                <c:pt idx="6">
                  <c:v>0.14275701540108665</c:v>
                </c:pt>
                <c:pt idx="7">
                  <c:v>0.1</c:v>
                </c:pt>
              </c:numCache>
            </c:numRef>
          </c:val>
          <c:extLst>
            <c:ext xmlns:c16="http://schemas.microsoft.com/office/drawing/2014/chart" uri="{C3380CC4-5D6E-409C-BE32-E72D297353CC}">
              <c16:uniqueId val="{0000000B-5B7B-455B-B074-CF9C6C2061C5}"/>
            </c:ext>
          </c:extLst>
        </c:ser>
        <c:ser>
          <c:idx val="13"/>
          <c:order val="13"/>
          <c:spPr>
            <a:solidFill>
              <a:srgbClr val="740000"/>
            </a:solidFill>
            <a:ln w="25400">
              <a:noFill/>
            </a:ln>
          </c:spPr>
          <c:cat>
            <c:strRef>
              <c:f>'fan chart srbija'!$E$5:$E$12</c:f>
              <c:strCache>
                <c:ptCount val="8"/>
                <c:pt idx="0">
                  <c:v>2016</c:v>
                </c:pt>
                <c:pt idx="1">
                  <c:v>2017</c:v>
                </c:pt>
                <c:pt idx="2">
                  <c:v>2018</c:v>
                </c:pt>
                <c:pt idx="3">
                  <c:v>2019</c:v>
                </c:pt>
                <c:pt idx="4">
                  <c:v>2020</c:v>
                </c:pt>
                <c:pt idx="5">
                  <c:v>2021</c:v>
                </c:pt>
                <c:pt idx="6">
                  <c:v>2022</c:v>
                </c:pt>
                <c:pt idx="7">
                  <c:v>2023</c:v>
                </c:pt>
              </c:strCache>
            </c:strRef>
          </c:cat>
          <c:val>
            <c:numRef>
              <c:f>'fan chart srbija'!$S$5:$S$12</c:f>
              <c:numCache>
                <c:formatCode>0.0</c:formatCode>
                <c:ptCount val="8"/>
                <c:pt idx="0">
                  <c:v>0</c:v>
                </c:pt>
                <c:pt idx="1">
                  <c:v>0</c:v>
                </c:pt>
                <c:pt idx="2">
                  <c:v>0</c:v>
                </c:pt>
                <c:pt idx="3">
                  <c:v>0.14755070574747364</c:v>
                </c:pt>
                <c:pt idx="4">
                  <c:v>0.1</c:v>
                </c:pt>
                <c:pt idx="5">
                  <c:v>0.13197336327176812</c:v>
                </c:pt>
                <c:pt idx="6">
                  <c:v>0.14755070574747364</c:v>
                </c:pt>
                <c:pt idx="7">
                  <c:v>0.1</c:v>
                </c:pt>
              </c:numCache>
            </c:numRef>
          </c:val>
          <c:extLst>
            <c:ext xmlns:c16="http://schemas.microsoft.com/office/drawing/2014/chart" uri="{C3380CC4-5D6E-409C-BE32-E72D297353CC}">
              <c16:uniqueId val="{0000000C-5B7B-455B-B074-CF9C6C2061C5}"/>
            </c:ext>
          </c:extLst>
        </c:ser>
        <c:ser>
          <c:idx val="14"/>
          <c:order val="14"/>
          <c:spPr>
            <a:solidFill>
              <a:srgbClr val="C00000"/>
            </a:solidFill>
            <a:ln w="25400">
              <a:noFill/>
            </a:ln>
          </c:spPr>
          <c:cat>
            <c:strRef>
              <c:f>'fan chart srbija'!$E$5:$E$12</c:f>
              <c:strCache>
                <c:ptCount val="8"/>
                <c:pt idx="0">
                  <c:v>2016</c:v>
                </c:pt>
                <c:pt idx="1">
                  <c:v>2017</c:v>
                </c:pt>
                <c:pt idx="2">
                  <c:v>2018</c:v>
                </c:pt>
                <c:pt idx="3">
                  <c:v>2019</c:v>
                </c:pt>
                <c:pt idx="4">
                  <c:v>2020</c:v>
                </c:pt>
                <c:pt idx="5">
                  <c:v>2021</c:v>
                </c:pt>
                <c:pt idx="6">
                  <c:v>2022</c:v>
                </c:pt>
                <c:pt idx="7">
                  <c:v>2023</c:v>
                </c:pt>
              </c:strCache>
            </c:strRef>
          </c:cat>
          <c:val>
            <c:numRef>
              <c:f>'fan chart srbija'!$T$5:$T$12</c:f>
              <c:numCache>
                <c:formatCode>0.0</c:formatCode>
                <c:ptCount val="8"/>
                <c:pt idx="0">
                  <c:v>0</c:v>
                </c:pt>
                <c:pt idx="1">
                  <c:v>0</c:v>
                </c:pt>
                <c:pt idx="2">
                  <c:v>0</c:v>
                </c:pt>
                <c:pt idx="3">
                  <c:v>0.1</c:v>
                </c:pt>
                <c:pt idx="4">
                  <c:v>0.17033757341940925</c:v>
                </c:pt>
                <c:pt idx="5">
                  <c:v>0.1390800463004731</c:v>
                </c:pt>
                <c:pt idx="6">
                  <c:v>0.15549621892083776</c:v>
                </c:pt>
                <c:pt idx="7">
                  <c:v>0.17033757341940925</c:v>
                </c:pt>
              </c:numCache>
            </c:numRef>
          </c:val>
          <c:extLst>
            <c:ext xmlns:c16="http://schemas.microsoft.com/office/drawing/2014/chart" uri="{C3380CC4-5D6E-409C-BE32-E72D297353CC}">
              <c16:uniqueId val="{0000000D-5B7B-455B-B074-CF9C6C2061C5}"/>
            </c:ext>
          </c:extLst>
        </c:ser>
        <c:ser>
          <c:idx val="15"/>
          <c:order val="15"/>
          <c:spPr>
            <a:solidFill>
              <a:srgbClr val="FF4747"/>
            </a:solidFill>
            <a:ln w="25400">
              <a:noFill/>
            </a:ln>
          </c:spPr>
          <c:cat>
            <c:strRef>
              <c:f>'fan chart srbija'!$E$5:$E$12</c:f>
              <c:strCache>
                <c:ptCount val="8"/>
                <c:pt idx="0">
                  <c:v>2016</c:v>
                </c:pt>
                <c:pt idx="1">
                  <c:v>2017</c:v>
                </c:pt>
                <c:pt idx="2">
                  <c:v>2018</c:v>
                </c:pt>
                <c:pt idx="3">
                  <c:v>2019</c:v>
                </c:pt>
                <c:pt idx="4">
                  <c:v>2020</c:v>
                </c:pt>
                <c:pt idx="5">
                  <c:v>2021</c:v>
                </c:pt>
                <c:pt idx="6">
                  <c:v>2022</c:v>
                </c:pt>
                <c:pt idx="7">
                  <c:v>2023</c:v>
                </c:pt>
              </c:strCache>
            </c:strRef>
          </c:cat>
          <c:val>
            <c:numRef>
              <c:f>'fan chart srbija'!$U$5:$U$12</c:f>
              <c:numCache>
                <c:formatCode>0.0</c:formatCode>
                <c:ptCount val="8"/>
                <c:pt idx="0">
                  <c:v>0</c:v>
                </c:pt>
                <c:pt idx="1">
                  <c:v>0</c:v>
                </c:pt>
                <c:pt idx="2">
                  <c:v>0</c:v>
                </c:pt>
                <c:pt idx="3">
                  <c:v>0.16780486885718515</c:v>
                </c:pt>
                <c:pt idx="4">
                  <c:v>0.18382102386455257</c:v>
                </c:pt>
                <c:pt idx="5">
                  <c:v>0.15008923748804115</c:v>
                </c:pt>
                <c:pt idx="6">
                  <c:v>0.16780486885718515</c:v>
                </c:pt>
                <c:pt idx="7">
                  <c:v>0.18382102386455257</c:v>
                </c:pt>
              </c:numCache>
            </c:numRef>
          </c:val>
          <c:extLst>
            <c:ext xmlns:c16="http://schemas.microsoft.com/office/drawing/2014/chart" uri="{C3380CC4-5D6E-409C-BE32-E72D297353CC}">
              <c16:uniqueId val="{0000000E-5B7B-455B-B074-CF9C6C2061C5}"/>
            </c:ext>
          </c:extLst>
        </c:ser>
        <c:ser>
          <c:idx val="16"/>
          <c:order val="16"/>
          <c:spPr>
            <a:solidFill>
              <a:srgbClr val="FF7D7D"/>
            </a:solidFill>
            <a:ln w="25400">
              <a:noFill/>
            </a:ln>
          </c:spPr>
          <c:cat>
            <c:strRef>
              <c:f>'fan chart srbija'!$E$5:$E$12</c:f>
              <c:strCache>
                <c:ptCount val="8"/>
                <c:pt idx="0">
                  <c:v>2016</c:v>
                </c:pt>
                <c:pt idx="1">
                  <c:v>2017</c:v>
                </c:pt>
                <c:pt idx="2">
                  <c:v>2018</c:v>
                </c:pt>
                <c:pt idx="3">
                  <c:v>2019</c:v>
                </c:pt>
                <c:pt idx="4">
                  <c:v>2020</c:v>
                </c:pt>
                <c:pt idx="5">
                  <c:v>2021</c:v>
                </c:pt>
                <c:pt idx="6">
                  <c:v>2022</c:v>
                </c:pt>
                <c:pt idx="7">
                  <c:v>2023</c:v>
                </c:pt>
              </c:strCache>
            </c:strRef>
          </c:cat>
          <c:val>
            <c:numRef>
              <c:f>'fan chart srbija'!$V$5:$V$12</c:f>
              <c:numCache>
                <c:formatCode>0.0</c:formatCode>
                <c:ptCount val="8"/>
                <c:pt idx="0">
                  <c:v>0</c:v>
                </c:pt>
                <c:pt idx="1">
                  <c:v>0</c:v>
                </c:pt>
                <c:pt idx="2">
                  <c:v>0</c:v>
                </c:pt>
                <c:pt idx="3">
                  <c:v>0.18685867900548692</c:v>
                </c:pt>
                <c:pt idx="4">
                  <c:v>0.20469342711384453</c:v>
                </c:pt>
                <c:pt idx="5">
                  <c:v>0.1671314833768327</c:v>
                </c:pt>
                <c:pt idx="6">
                  <c:v>0.18685867900548692</c:v>
                </c:pt>
                <c:pt idx="7">
                  <c:v>0.20469342711384453</c:v>
                </c:pt>
              </c:numCache>
            </c:numRef>
          </c:val>
          <c:extLst>
            <c:ext xmlns:c16="http://schemas.microsoft.com/office/drawing/2014/chart" uri="{C3380CC4-5D6E-409C-BE32-E72D297353CC}">
              <c16:uniqueId val="{0000000F-5B7B-455B-B074-CF9C6C2061C5}"/>
            </c:ext>
          </c:extLst>
        </c:ser>
        <c:ser>
          <c:idx val="17"/>
          <c:order val="17"/>
          <c:spPr>
            <a:solidFill>
              <a:srgbClr val="FFAFAF"/>
            </a:solidFill>
            <a:ln w="25400">
              <a:noFill/>
            </a:ln>
          </c:spPr>
          <c:cat>
            <c:strRef>
              <c:f>'fan chart srbija'!$E$5:$E$12</c:f>
              <c:strCache>
                <c:ptCount val="8"/>
                <c:pt idx="0">
                  <c:v>2016</c:v>
                </c:pt>
                <c:pt idx="1">
                  <c:v>2017</c:v>
                </c:pt>
                <c:pt idx="2">
                  <c:v>2018</c:v>
                </c:pt>
                <c:pt idx="3">
                  <c:v>2019</c:v>
                </c:pt>
                <c:pt idx="4">
                  <c:v>2020</c:v>
                </c:pt>
                <c:pt idx="5">
                  <c:v>2021</c:v>
                </c:pt>
                <c:pt idx="6">
                  <c:v>2022</c:v>
                </c:pt>
                <c:pt idx="7">
                  <c:v>2023</c:v>
                </c:pt>
              </c:strCache>
            </c:strRef>
          </c:cat>
          <c:val>
            <c:numRef>
              <c:f>'fan chart srbija'!$W$5:$W$12</c:f>
              <c:numCache>
                <c:formatCode>0.0</c:formatCode>
                <c:ptCount val="8"/>
                <c:pt idx="0">
                  <c:v>0</c:v>
                </c:pt>
                <c:pt idx="1">
                  <c:v>0</c:v>
                </c:pt>
                <c:pt idx="2">
                  <c:v>0</c:v>
                </c:pt>
                <c:pt idx="3">
                  <c:v>0.21780661174118254</c:v>
                </c:pt>
                <c:pt idx="4">
                  <c:v>0.23859518884883002</c:v>
                </c:pt>
                <c:pt idx="5">
                  <c:v>0.19481215592087509</c:v>
                </c:pt>
                <c:pt idx="6">
                  <c:v>0.21780661174118254</c:v>
                </c:pt>
                <c:pt idx="7">
                  <c:v>0.23859518884883002</c:v>
                </c:pt>
              </c:numCache>
            </c:numRef>
          </c:val>
          <c:extLst>
            <c:ext xmlns:c16="http://schemas.microsoft.com/office/drawing/2014/chart" uri="{C3380CC4-5D6E-409C-BE32-E72D297353CC}">
              <c16:uniqueId val="{00000010-5B7B-455B-B074-CF9C6C2061C5}"/>
            </c:ext>
          </c:extLst>
        </c:ser>
        <c:ser>
          <c:idx val="18"/>
          <c:order val="18"/>
          <c:spPr>
            <a:solidFill>
              <a:srgbClr val="FFD5D5"/>
            </a:solidFill>
            <a:ln w="25400">
              <a:noFill/>
            </a:ln>
          </c:spPr>
          <c:cat>
            <c:strRef>
              <c:f>'fan chart srbija'!$E$5:$E$12</c:f>
              <c:strCache>
                <c:ptCount val="8"/>
                <c:pt idx="0">
                  <c:v>2016</c:v>
                </c:pt>
                <c:pt idx="1">
                  <c:v>2017</c:v>
                </c:pt>
                <c:pt idx="2">
                  <c:v>2018</c:v>
                </c:pt>
                <c:pt idx="3">
                  <c:v>2019</c:v>
                </c:pt>
                <c:pt idx="4">
                  <c:v>2020</c:v>
                </c:pt>
                <c:pt idx="5">
                  <c:v>2021</c:v>
                </c:pt>
                <c:pt idx="6">
                  <c:v>2022</c:v>
                </c:pt>
                <c:pt idx="7">
                  <c:v>2023</c:v>
                </c:pt>
              </c:strCache>
            </c:strRef>
          </c:cat>
          <c:val>
            <c:numRef>
              <c:f>'fan chart srbija'!$X$5:$X$12</c:f>
              <c:numCache>
                <c:formatCode>0.0</c:formatCode>
                <c:ptCount val="8"/>
                <c:pt idx="0">
                  <c:v>0</c:v>
                </c:pt>
                <c:pt idx="1">
                  <c:v>0</c:v>
                </c:pt>
                <c:pt idx="2">
                  <c:v>0</c:v>
                </c:pt>
                <c:pt idx="3">
                  <c:v>0.27405045208518697</c:v>
                </c:pt>
                <c:pt idx="4">
                  <c:v>0.30020722900309149</c:v>
                </c:pt>
                <c:pt idx="5">
                  <c:v>0.24511817605081099</c:v>
                </c:pt>
                <c:pt idx="6">
                  <c:v>0.27405045208518697</c:v>
                </c:pt>
                <c:pt idx="7">
                  <c:v>0.2</c:v>
                </c:pt>
              </c:numCache>
            </c:numRef>
          </c:val>
          <c:extLst>
            <c:ext xmlns:c16="http://schemas.microsoft.com/office/drawing/2014/chart" uri="{C3380CC4-5D6E-409C-BE32-E72D297353CC}">
              <c16:uniqueId val="{00000011-5B7B-455B-B074-CF9C6C2061C5}"/>
            </c:ext>
          </c:extLst>
        </c:ser>
        <c:ser>
          <c:idx val="19"/>
          <c:order val="19"/>
          <c:spPr>
            <a:solidFill>
              <a:srgbClr val="FFF1F1"/>
            </a:solidFill>
            <a:ln w="25400">
              <a:noFill/>
            </a:ln>
          </c:spPr>
          <c:cat>
            <c:strRef>
              <c:f>'fan chart srbija'!$E$5:$E$12</c:f>
              <c:strCache>
                <c:ptCount val="8"/>
                <c:pt idx="0">
                  <c:v>2016</c:v>
                </c:pt>
                <c:pt idx="1">
                  <c:v>2017</c:v>
                </c:pt>
                <c:pt idx="2">
                  <c:v>2018</c:v>
                </c:pt>
                <c:pt idx="3">
                  <c:v>2019</c:v>
                </c:pt>
                <c:pt idx="4">
                  <c:v>2020</c:v>
                </c:pt>
                <c:pt idx="5">
                  <c:v>2021</c:v>
                </c:pt>
                <c:pt idx="6">
                  <c:v>2022</c:v>
                </c:pt>
                <c:pt idx="7">
                  <c:v>2023</c:v>
                </c:pt>
              </c:strCache>
            </c:strRef>
          </c:cat>
          <c:val>
            <c:numRef>
              <c:f>'fan chart srbija'!$Y$5:$Y$12</c:f>
              <c:numCache>
                <c:formatCode>0.0</c:formatCode>
                <c:ptCount val="8"/>
                <c:pt idx="0">
                  <c:v>0</c:v>
                </c:pt>
                <c:pt idx="1">
                  <c:v>0</c:v>
                </c:pt>
                <c:pt idx="2">
                  <c:v>0</c:v>
                </c:pt>
                <c:pt idx="3">
                  <c:v>0.3</c:v>
                </c:pt>
                <c:pt idx="4">
                  <c:v>0.4449523364740573</c:v>
                </c:pt>
                <c:pt idx="5">
                  <c:v>0.36330206140687071</c:v>
                </c:pt>
                <c:pt idx="6">
                  <c:v>0.40618405283578296</c:v>
                </c:pt>
                <c:pt idx="7">
                  <c:v>0.4449523364740573</c:v>
                </c:pt>
              </c:numCache>
            </c:numRef>
          </c:val>
          <c:extLst>
            <c:ext xmlns:c16="http://schemas.microsoft.com/office/drawing/2014/chart" uri="{C3380CC4-5D6E-409C-BE32-E72D297353CC}">
              <c16:uniqueId val="{00000012-5B7B-455B-B074-CF9C6C2061C5}"/>
            </c:ext>
          </c:extLst>
        </c:ser>
        <c:dLbls>
          <c:showLegendKey val="0"/>
          <c:showVal val="0"/>
          <c:showCatName val="0"/>
          <c:showSerName val="0"/>
          <c:showPercent val="0"/>
          <c:showBubbleSize val="0"/>
        </c:dLbls>
        <c:axId val="676071456"/>
        <c:axId val="676072016"/>
      </c:areaChart>
      <c:lineChart>
        <c:grouping val="standard"/>
        <c:varyColors val="0"/>
        <c:ser>
          <c:idx val="1"/>
          <c:order val="1"/>
          <c:spPr>
            <a:ln w="19050">
              <a:solidFill>
                <a:sysClr val="windowText" lastClr="000000"/>
              </a:solidFill>
            </a:ln>
          </c:spPr>
          <c:marker>
            <c:symbol val="none"/>
          </c:marker>
          <c:cat>
            <c:strRef>
              <c:f>'fan chart srbija'!$E$5:$E$12</c:f>
              <c:strCache>
                <c:ptCount val="8"/>
                <c:pt idx="0">
                  <c:v>2016</c:v>
                </c:pt>
                <c:pt idx="1">
                  <c:v>2017</c:v>
                </c:pt>
                <c:pt idx="2">
                  <c:v>2018</c:v>
                </c:pt>
                <c:pt idx="3">
                  <c:v>2019</c:v>
                </c:pt>
                <c:pt idx="4">
                  <c:v>2020</c:v>
                </c:pt>
                <c:pt idx="5">
                  <c:v>2021</c:v>
                </c:pt>
                <c:pt idx="6">
                  <c:v>2022</c:v>
                </c:pt>
                <c:pt idx="7">
                  <c:v>2023</c:v>
                </c:pt>
              </c:strCache>
            </c:strRef>
          </c:cat>
          <c:val>
            <c:numRef>
              <c:f>'fan chart srbija'!$F$5:$F$12</c:f>
              <c:numCache>
                <c:formatCode>0.0</c:formatCode>
                <c:ptCount val="8"/>
                <c:pt idx="0">
                  <c:v>2.7</c:v>
                </c:pt>
                <c:pt idx="1">
                  <c:v>2</c:v>
                </c:pt>
                <c:pt idx="2">
                  <c:v>4.4000000000000004</c:v>
                </c:pt>
                <c:pt idx="3">
                  <c:v>3.5</c:v>
                </c:pt>
                <c:pt idx="4">
                  <c:v>4</c:v>
                </c:pt>
                <c:pt idx="5">
                  <c:v>4</c:v>
                </c:pt>
                <c:pt idx="6">
                  <c:v>4</c:v>
                </c:pt>
                <c:pt idx="7">
                  <c:v>4.5</c:v>
                </c:pt>
              </c:numCache>
            </c:numRef>
          </c:val>
          <c:smooth val="0"/>
          <c:extLst>
            <c:ext xmlns:c16="http://schemas.microsoft.com/office/drawing/2014/chart" uri="{C3380CC4-5D6E-409C-BE32-E72D297353CC}">
              <c16:uniqueId val="{00000013-5B7B-455B-B074-CF9C6C2061C5}"/>
            </c:ext>
          </c:extLst>
        </c:ser>
        <c:dLbls>
          <c:showLegendKey val="0"/>
          <c:showVal val="0"/>
          <c:showCatName val="0"/>
          <c:showSerName val="0"/>
          <c:showPercent val="0"/>
          <c:showBubbleSize val="0"/>
        </c:dLbls>
        <c:marker val="1"/>
        <c:smooth val="0"/>
        <c:axId val="676071456"/>
        <c:axId val="676072016"/>
      </c:lineChart>
      <c:catAx>
        <c:axId val="676071456"/>
        <c:scaling>
          <c:orientation val="minMax"/>
        </c:scaling>
        <c:delete val="0"/>
        <c:axPos val="b"/>
        <c:numFmt formatCode="General" sourceLinked="1"/>
        <c:majorTickMark val="none"/>
        <c:minorTickMark val="none"/>
        <c:tickLblPos val="low"/>
        <c:spPr>
          <a:ln w="6350">
            <a:solidFill>
              <a:srgbClr val="898989"/>
            </a:solidFill>
          </a:ln>
        </c:spPr>
        <c:txPr>
          <a:bodyPr rot="0" vert="horz"/>
          <a:lstStyle/>
          <a:p>
            <a:pPr>
              <a:defRPr/>
            </a:pPr>
            <a:endParaRPr lang="en-US"/>
          </a:p>
        </c:txPr>
        <c:crossAx val="676072016"/>
        <c:crosses val="autoZero"/>
        <c:auto val="1"/>
        <c:lblAlgn val="ctr"/>
        <c:lblOffset val="100"/>
        <c:tickLblSkip val="1"/>
        <c:noMultiLvlLbl val="0"/>
      </c:catAx>
      <c:valAx>
        <c:axId val="676072016"/>
        <c:scaling>
          <c:orientation val="minMax"/>
          <c:max val="7.5"/>
          <c:min val="0"/>
        </c:scaling>
        <c:delete val="0"/>
        <c:axPos val="l"/>
        <c:numFmt formatCode="0" sourceLinked="0"/>
        <c:majorTickMark val="none"/>
        <c:minorTickMark val="none"/>
        <c:tickLblPos val="nextTo"/>
        <c:spPr>
          <a:ln w="12700">
            <a:noFill/>
          </a:ln>
        </c:spPr>
        <c:txPr>
          <a:bodyPr rot="0" vert="horz"/>
          <a:lstStyle/>
          <a:p>
            <a:pPr>
              <a:defRPr/>
            </a:pPr>
            <a:endParaRPr lang="en-US"/>
          </a:p>
        </c:txPr>
        <c:crossAx val="676071456"/>
        <c:crosses val="autoZero"/>
        <c:crossBetween val="midCat"/>
        <c:majorUnit val="1"/>
      </c:valAx>
      <c:spPr>
        <a:noFill/>
        <a:ln>
          <a:noFill/>
        </a:ln>
      </c:spPr>
    </c:plotArea>
    <c:plotVisOnly val="1"/>
    <c:dispBlanksAs val="gap"/>
    <c:showDLblsOverMax val="0"/>
  </c:chart>
  <c:spPr>
    <a:noFill/>
    <a:ln w="9525">
      <a:noFill/>
    </a:ln>
  </c:spPr>
  <c:txPr>
    <a:bodyPr/>
    <a:lstStyle/>
    <a:p>
      <a:pPr>
        <a:defRPr sz="750" b="0" i="0" u="none" strike="noStrike" baseline="0">
          <a:solidFill>
            <a:schemeClr val="tx2"/>
          </a:solidFill>
          <a:latin typeface="+mn-lt"/>
          <a:ea typeface="Calibri"/>
          <a:cs typeface="Calibri"/>
        </a:defRPr>
      </a:pPr>
      <a:endParaRPr lang="en-US"/>
    </a:p>
  </c:txPr>
  <c:externalData r:id="rId2">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7384180635957092"/>
          <c:y val="5.721012582823725E-2"/>
          <c:w val="0.79482345194655524"/>
          <c:h val="0.68609847522725353"/>
        </c:manualLayout>
      </c:layout>
      <c:barChart>
        <c:barDir val="col"/>
        <c:grouping val="clustered"/>
        <c:varyColors val="0"/>
        <c:ser>
          <c:idx val="0"/>
          <c:order val="0"/>
          <c:tx>
            <c:v>Фискални резултат</c:v>
          </c:tx>
          <c:spPr>
            <a:solidFill>
              <a:srgbClr val="29489A"/>
            </a:solidFill>
            <a:ln w="12700">
              <a:noFill/>
            </a:ln>
            <a:effectLst/>
          </c:spPr>
          <c:invertIfNegative val="0"/>
          <c:dLbls>
            <c:dLbl>
              <c:idx val="1"/>
              <c:layout>
                <c:manualLayout>
                  <c:x val="-4.2585648194073844E-17"/>
                  <c:y val="0.11864820345732645"/>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9616-465A-89F1-B252E0D53D5B}"/>
                </c:ext>
              </c:extLst>
            </c:dLbl>
            <c:dLbl>
              <c:idx val="2"/>
              <c:layout>
                <c:manualLayout>
                  <c:x val="-8.3541223730001315E-17"/>
                  <c:y val="0.11990012059303398"/>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ACE8-420D-8477-6EA34703DE48}"/>
                </c:ext>
              </c:extLst>
            </c:dLbl>
            <c:dLbl>
              <c:idx val="3"/>
              <c:layout>
                <c:manualLayout>
                  <c:x val="-8.3541223730001315E-17"/>
                  <c:y val="9.3595057607788676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CE8-420D-8477-6EA34703DE48}"/>
                </c:ext>
              </c:extLst>
            </c:dLbl>
            <c:dLbl>
              <c:idx val="4"/>
              <c:layout>
                <c:manualLayout>
                  <c:x val="-4.6457607433217189E-3"/>
                  <c:y val="5.1805593266358949E-3"/>
                </c:manualLayout>
              </c:layout>
              <c:numFmt formatCode="#,##0.0" sourceLinked="0"/>
              <c:spPr>
                <a:noFill/>
                <a:ln>
                  <a:noFill/>
                </a:ln>
                <a:effectLst/>
              </c:spPr>
              <c:txPr>
                <a:bodyPr rot="0" spcFirstLastPara="1" vertOverflow="ellipsis" vert="horz" wrap="square" anchor="ctr" anchorCtr="1"/>
                <a:lstStyle/>
                <a:p>
                  <a:pPr>
                    <a:defRPr sz="750" b="1" i="0" u="none" strike="noStrike" kern="1200" baseline="0">
                      <a:solidFill>
                        <a:srgbClr val="44546A"/>
                      </a:solidFill>
                      <a:latin typeface="+mj-lt"/>
                      <a:ea typeface="+mn-ea"/>
                      <a:cs typeface="+mn-cs"/>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ACE8-420D-8477-6EA34703DE48}"/>
                </c:ext>
              </c:extLst>
            </c:dLbl>
            <c:numFmt formatCode="#,##0.0" sourceLinked="0"/>
            <c:spPr>
              <a:noFill/>
              <a:ln>
                <a:noFill/>
              </a:ln>
              <a:effectLst/>
            </c:spPr>
            <c:txPr>
              <a:bodyPr rot="0" spcFirstLastPara="1" vertOverflow="ellipsis" vert="horz" wrap="square" anchor="ctr" anchorCtr="1"/>
              <a:lstStyle/>
              <a:p>
                <a:pPr>
                  <a:defRPr sz="750" b="1" i="0" u="none" strike="noStrike" kern="1200" baseline="0">
                    <a:solidFill>
                      <a:schemeClr val="bg1"/>
                    </a:solidFill>
                    <a:latin typeface="+mj-lt"/>
                    <a:ea typeface="+mn-ea"/>
                    <a:cs typeface="+mn-cs"/>
                  </a:defRPr>
                </a:pPr>
                <a:endParaRPr lang="en-U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'Quaterly, Yearly'!$BW$7:$CA$8</c:f>
              <c:strCache>
                <c:ptCount val="5"/>
                <c:pt idx="0">
                  <c:v>2015</c:v>
                </c:pt>
                <c:pt idx="1">
                  <c:v>2016</c:v>
                </c:pt>
                <c:pt idx="2">
                  <c:v>2017</c:v>
                </c:pt>
                <c:pt idx="3">
                  <c:v>2018</c:v>
                </c:pt>
                <c:pt idx="4">
                  <c:v>2019</c:v>
                </c:pt>
              </c:strCache>
            </c:strRef>
          </c:cat>
          <c:val>
            <c:numRef>
              <c:f>('Quaterly, Yearly'!$BW$78:$BZ$78,'Quaterly, Yearly'!$CA$78)</c:f>
              <c:numCache>
                <c:formatCode>#,##0.0</c:formatCode>
                <c:ptCount val="5"/>
                <c:pt idx="0">
                  <c:v>-3.4585576400573799</c:v>
                </c:pt>
                <c:pt idx="1">
                  <c:v>-1.1945215435404091</c:v>
                </c:pt>
                <c:pt idx="2">
                  <c:v>1.1000948797419494</c:v>
                </c:pt>
                <c:pt idx="3">
                  <c:v>0.63690023063290702</c:v>
                </c:pt>
                <c:pt idx="4">
                  <c:v>-0.5</c:v>
                </c:pt>
              </c:numCache>
            </c:numRef>
          </c:val>
          <c:extLst>
            <c:ext xmlns:c16="http://schemas.microsoft.com/office/drawing/2014/chart" uri="{C3380CC4-5D6E-409C-BE32-E72D297353CC}">
              <c16:uniqueId val="{00000000-15A9-43FA-8411-3FE9D25448B2}"/>
            </c:ext>
          </c:extLst>
        </c:ser>
        <c:ser>
          <c:idx val="1"/>
          <c:order val="1"/>
          <c:tx>
            <c:v>Примарни фискални резултат</c:v>
          </c:tx>
          <c:spPr>
            <a:solidFill>
              <a:srgbClr val="51BBE7"/>
            </a:solidFill>
            <a:ln w="44450">
              <a:noFill/>
            </a:ln>
            <a:effectLst/>
          </c:spPr>
          <c:invertIfNegative val="0"/>
          <c:dLbls>
            <c:dLbl>
              <c:idx val="0"/>
              <c:layout>
                <c:manualLayout>
                  <c:x val="4.5568466621098199E-3"/>
                  <c:y val="4.0735087447971649E-2"/>
                </c:manualLayout>
              </c:layout>
              <c:tx>
                <c:rich>
                  <a:bodyPr rot="0" spcFirstLastPara="1" vertOverflow="ellipsis" vert="horz" wrap="square" anchor="ctr" anchorCtr="1"/>
                  <a:lstStyle/>
                  <a:p>
                    <a:pPr>
                      <a:defRPr sz="750" b="1" i="0" u="none" strike="noStrike" kern="1200" baseline="0">
                        <a:solidFill>
                          <a:srgbClr val="44546A"/>
                        </a:solidFill>
                        <a:latin typeface="+mn-lt"/>
                        <a:ea typeface="+mn-ea"/>
                        <a:cs typeface="+mn-cs"/>
                      </a:defRPr>
                    </a:pPr>
                    <a:r>
                      <a:rPr lang="en-US"/>
                      <a:t>-0,5</a:t>
                    </a:r>
                  </a:p>
                </c:rich>
              </c:tx>
              <c:numFmt formatCode="#,##0.0" sourceLinked="0"/>
              <c:spPr>
                <a:noFill/>
                <a:ln>
                  <a:noFill/>
                </a:ln>
                <a:effectLst/>
              </c:spPr>
              <c:txPr>
                <a:bodyPr rot="0" spcFirstLastPara="1" vertOverflow="ellipsis" vert="horz" wrap="square" anchor="ctr" anchorCtr="1"/>
                <a:lstStyle/>
                <a:p>
                  <a:pPr>
                    <a:defRPr sz="750" b="1" i="0" u="none" strike="noStrike" kern="1200" baseline="0">
                      <a:solidFill>
                        <a:srgbClr val="44546A"/>
                      </a:solidFill>
                      <a:latin typeface="+mn-lt"/>
                      <a:ea typeface="+mn-ea"/>
                      <a:cs typeface="+mn-cs"/>
                    </a:defRPr>
                  </a:pPr>
                  <a:endParaRPr lang="en-U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5A9-43FA-8411-3FE9D25448B2}"/>
                </c:ext>
              </c:extLst>
            </c:dLbl>
            <c:dLbl>
              <c:idx val="1"/>
              <c:layout>
                <c:manualLayout>
                  <c:x val="0"/>
                  <c:y val="0.14815583506880012"/>
                </c:manualLayout>
              </c:layout>
              <c:tx>
                <c:rich>
                  <a:bodyPr/>
                  <a:lstStyle/>
                  <a:p>
                    <a:r>
                      <a:rPr lang="en-US"/>
                      <a:t>1,7</a:t>
                    </a:r>
                  </a:p>
                </c:rich>
              </c:tx>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15A9-43FA-8411-3FE9D25448B2}"/>
                </c:ext>
              </c:extLst>
            </c:dLbl>
            <c:dLbl>
              <c:idx val="2"/>
              <c:layout>
                <c:manualLayout>
                  <c:x val="0"/>
                  <c:y val="0.29547060895382671"/>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15A9-43FA-8411-3FE9D25448B2}"/>
                </c:ext>
              </c:extLst>
            </c:dLbl>
            <c:dLbl>
              <c:idx val="3"/>
              <c:layout>
                <c:manualLayout>
                  <c:x val="-1.5924535546187875E-16"/>
                  <c:y val="0.22201178620309808"/>
                </c:manualLayout>
              </c:layout>
              <c:tx>
                <c:rich>
                  <a:bodyPr/>
                  <a:lstStyle/>
                  <a:p>
                    <a:r>
                      <a:rPr lang="en-US"/>
                      <a:t>2,7</a:t>
                    </a:r>
                  </a:p>
                </c:rich>
              </c:tx>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15A9-43FA-8411-3FE9D25448B2}"/>
                </c:ext>
              </c:extLst>
            </c:dLbl>
            <c:dLbl>
              <c:idx val="4"/>
              <c:layout>
                <c:manualLayout>
                  <c:x val="4.343105320303858E-3"/>
                  <c:y val="0.13998539134874727"/>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15A9-43FA-8411-3FE9D25448B2}"/>
                </c:ext>
              </c:extLst>
            </c:dLbl>
            <c:numFmt formatCode="#,##0.0" sourceLinked="0"/>
            <c:spPr>
              <a:noFill/>
              <a:ln>
                <a:noFill/>
              </a:ln>
              <a:effectLst/>
            </c:spPr>
            <c:txPr>
              <a:bodyPr rot="0" spcFirstLastPara="1" vertOverflow="ellipsis" vert="horz" wrap="square" anchor="ctr" anchorCtr="1"/>
              <a:lstStyle/>
              <a:p>
                <a:pPr>
                  <a:defRPr sz="750" b="1" i="0" u="none" strike="noStrike" kern="1200" baseline="0">
                    <a:solidFill>
                      <a:schemeClr val="bg1"/>
                    </a:solidFill>
                    <a:latin typeface="+mn-lt"/>
                    <a:ea typeface="+mn-ea"/>
                    <a:cs typeface="+mn-cs"/>
                  </a:defRPr>
                </a:pPr>
                <a:endParaRPr lang="en-U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('Quaterly, Yearly'!$BW$7:$BZ$8,'Quaterly, Yearly'!$CA$7:$CA$8)</c:f>
              <c:strCache>
                <c:ptCount val="5"/>
                <c:pt idx="0">
                  <c:v>2015</c:v>
                </c:pt>
                <c:pt idx="1">
                  <c:v>2016</c:v>
                </c:pt>
                <c:pt idx="2">
                  <c:v>2017</c:v>
                </c:pt>
                <c:pt idx="3">
                  <c:v>2018</c:v>
                </c:pt>
                <c:pt idx="4">
                  <c:v>2019</c:v>
                </c:pt>
              </c:strCache>
            </c:strRef>
          </c:cat>
          <c:val>
            <c:numRef>
              <c:f>('Quaterly, Yearly'!$BW$79:$BZ$79,'Quaterly, Yearly'!$CA$79)</c:f>
              <c:numCache>
                <c:formatCode>#,##0.0</c:formatCode>
                <c:ptCount val="5"/>
                <c:pt idx="0">
                  <c:v>-0.47093864924946055</c:v>
                </c:pt>
                <c:pt idx="1">
                  <c:v>1.7071767099500867</c:v>
                </c:pt>
                <c:pt idx="2">
                  <c:v>3.6396012140242178</c:v>
                </c:pt>
                <c:pt idx="3">
                  <c:v>2.7547491332273593</c:v>
                </c:pt>
                <c:pt idx="4" formatCode="#,##0.00">
                  <c:v>1.6</c:v>
                </c:pt>
              </c:numCache>
            </c:numRef>
          </c:val>
          <c:extLst>
            <c:ext xmlns:c16="http://schemas.microsoft.com/office/drawing/2014/chart" uri="{C3380CC4-5D6E-409C-BE32-E72D297353CC}">
              <c16:uniqueId val="{0000000D-15A9-43FA-8411-3FE9D25448B2}"/>
            </c:ext>
          </c:extLst>
        </c:ser>
        <c:dLbls>
          <c:showLegendKey val="0"/>
          <c:showVal val="0"/>
          <c:showCatName val="0"/>
          <c:showSerName val="0"/>
          <c:showPercent val="0"/>
          <c:showBubbleSize val="0"/>
        </c:dLbls>
        <c:gapWidth val="42"/>
        <c:overlap val="-12"/>
        <c:axId val="450404144"/>
        <c:axId val="450404704"/>
      </c:barChart>
      <c:catAx>
        <c:axId val="450404144"/>
        <c:scaling>
          <c:orientation val="minMax"/>
        </c:scaling>
        <c:delete val="0"/>
        <c:axPos val="b"/>
        <c:numFmt formatCode="General" sourceLinked="1"/>
        <c:majorTickMark val="out"/>
        <c:minorTickMark val="none"/>
        <c:tickLblPos val="low"/>
        <c:spPr>
          <a:noFill/>
          <a:ln w="12700" cap="flat" cmpd="sng" algn="ctr">
            <a:noFill/>
            <a:prstDash val="sysDash"/>
            <a:round/>
          </a:ln>
          <a:effectLst/>
        </c:spPr>
        <c:txPr>
          <a:bodyPr rot="-60000000" spcFirstLastPara="1" vertOverflow="ellipsis" vert="horz" wrap="square" anchor="ctr" anchorCtr="1"/>
          <a:lstStyle/>
          <a:p>
            <a:pPr>
              <a:defRPr sz="750" b="0" i="0" u="none" strike="noStrike" kern="1200" baseline="0">
                <a:solidFill>
                  <a:srgbClr val="44546A"/>
                </a:solidFill>
                <a:latin typeface="+mn-lt"/>
                <a:ea typeface="+mn-ea"/>
                <a:cs typeface="+mn-cs"/>
              </a:defRPr>
            </a:pPr>
            <a:endParaRPr lang="en-US"/>
          </a:p>
        </c:txPr>
        <c:crossAx val="450404704"/>
        <c:crosses val="autoZero"/>
        <c:auto val="1"/>
        <c:lblAlgn val="ctr"/>
        <c:lblOffset val="100"/>
        <c:noMultiLvlLbl val="0"/>
      </c:catAx>
      <c:valAx>
        <c:axId val="450404704"/>
        <c:scaling>
          <c:orientation val="minMax"/>
          <c:max val="5"/>
          <c:min val="-4"/>
        </c:scaling>
        <c:delete val="0"/>
        <c:axPos val="l"/>
        <c:title>
          <c:tx>
            <c:rich>
              <a:bodyPr rot="-5400000" spcFirstLastPara="1" vertOverflow="ellipsis" vert="horz" wrap="square" anchor="ctr" anchorCtr="1"/>
              <a:lstStyle/>
              <a:p>
                <a:pPr>
                  <a:defRPr sz="600" b="1" i="0" u="none" strike="noStrike" kern="1200" baseline="0">
                    <a:solidFill>
                      <a:srgbClr val="44546A"/>
                    </a:solidFill>
                    <a:latin typeface="+mn-lt"/>
                    <a:ea typeface="+mn-ea"/>
                    <a:cs typeface="+mn-cs"/>
                  </a:defRPr>
                </a:pPr>
                <a:r>
                  <a:rPr lang="en-US" sz="600" b="1">
                    <a:solidFill>
                      <a:srgbClr val="44546A"/>
                    </a:solidFill>
                    <a:latin typeface="+mn-lt"/>
                  </a:rPr>
                  <a:t>% </a:t>
                </a:r>
                <a:r>
                  <a:rPr lang="sr-Cyrl-RS" sz="600" b="1">
                    <a:solidFill>
                      <a:srgbClr val="44546A"/>
                    </a:solidFill>
                    <a:latin typeface="+mn-lt"/>
                  </a:rPr>
                  <a:t>БДП</a:t>
                </a:r>
                <a:endParaRPr lang="en-US" sz="600" b="1">
                  <a:solidFill>
                    <a:srgbClr val="44546A"/>
                  </a:solidFill>
                  <a:latin typeface="+mn-lt"/>
                </a:endParaRPr>
              </a:p>
            </c:rich>
          </c:tx>
          <c:layout>
            <c:manualLayout>
              <c:xMode val="edge"/>
              <c:yMode val="edge"/>
              <c:x val="2.4666063083577966E-2"/>
              <c:y val="0.34109946037043032"/>
            </c:manualLayout>
          </c:layout>
          <c:overlay val="0"/>
          <c:spPr>
            <a:noFill/>
            <a:ln>
              <a:noFill/>
            </a:ln>
            <a:effectLst/>
          </c:spPr>
          <c:txPr>
            <a:bodyPr rot="-5400000" spcFirstLastPara="1" vertOverflow="ellipsis" vert="horz" wrap="square" anchor="ctr" anchorCtr="1"/>
            <a:lstStyle/>
            <a:p>
              <a:pPr>
                <a:defRPr sz="600" b="1" i="0" u="none" strike="noStrike" kern="1200" baseline="0">
                  <a:solidFill>
                    <a:srgbClr val="44546A"/>
                  </a:solidFill>
                  <a:latin typeface="+mn-lt"/>
                  <a:ea typeface="+mn-ea"/>
                  <a:cs typeface="+mn-cs"/>
                </a:defRPr>
              </a:pPr>
              <a:endParaRPr lang="en-U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rgbClr val="44546A"/>
                </a:solidFill>
                <a:latin typeface="+mn-lt"/>
                <a:ea typeface="+mn-ea"/>
                <a:cs typeface="+mn-cs"/>
              </a:defRPr>
            </a:pPr>
            <a:endParaRPr lang="en-US"/>
          </a:p>
        </c:txPr>
        <c:crossAx val="450404144"/>
        <c:crosses val="autoZero"/>
        <c:crossBetween val="between"/>
      </c:valAx>
      <c:spPr>
        <a:noFill/>
        <a:ln>
          <a:noFill/>
        </a:ln>
        <a:effectLst/>
      </c:spPr>
    </c:plotArea>
    <c:legend>
      <c:legendPos val="b"/>
      <c:layout>
        <c:manualLayout>
          <c:xMode val="edge"/>
          <c:yMode val="edge"/>
          <c:x val="0.11169269965032874"/>
          <c:y val="0.8812089722648373"/>
          <c:w val="0.82212624073456619"/>
          <c:h val="0.1165031057334842"/>
        </c:manualLayout>
      </c:layout>
      <c:overlay val="0"/>
      <c:spPr>
        <a:noFill/>
        <a:ln>
          <a:noFill/>
        </a:ln>
        <a:effectLst/>
      </c:spPr>
      <c:txPr>
        <a:bodyPr rot="0" spcFirstLastPara="1" vertOverflow="ellipsis" vert="horz" wrap="square" anchor="ctr" anchorCtr="1"/>
        <a:lstStyle/>
        <a:p>
          <a:pPr>
            <a:defRPr sz="750" b="0" i="0" u="none" strike="noStrike" kern="1200" baseline="0">
              <a:solidFill>
                <a:srgbClr val="44546A"/>
              </a:solidFill>
              <a:latin typeface="+mn-lt"/>
              <a:ea typeface="+mn-ea"/>
              <a:cs typeface="+mn-cs"/>
            </a:defRPr>
          </a:pPr>
          <a:endParaRPr lang="en-US"/>
        </a:p>
      </c:txPr>
    </c:legend>
    <c:plotVisOnly val="1"/>
    <c:dispBlanksAs val="gap"/>
    <c:showDLblsOverMax val="0"/>
  </c:chart>
  <c:spPr>
    <a:noFill/>
    <a:ln w="9525" cap="flat" cmpd="sng" algn="ctr">
      <a:noFill/>
      <a:round/>
    </a:ln>
    <a:effectLst/>
  </c:spPr>
  <c:txPr>
    <a:bodyPr/>
    <a:lstStyle/>
    <a:p>
      <a:pPr>
        <a:defRPr>
          <a:latin typeface="Georgia" panose="02040502050405020303" pitchFamily="18" charset="0"/>
        </a:defRPr>
      </a:pPr>
      <a:endParaRPr lang="en-US"/>
    </a:p>
  </c:txPr>
  <c:externalData r:id="rId3">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rgbClr val="44546A"/>
                </a:solidFill>
                <a:latin typeface="+mn-lt"/>
                <a:ea typeface="+mn-ea"/>
                <a:cs typeface="+mn-cs"/>
              </a:defRPr>
            </a:pPr>
            <a:r>
              <a:rPr lang="en-US" sz="800">
                <a:solidFill>
                  <a:srgbClr val="44546A"/>
                </a:solidFill>
              </a:rPr>
              <a:t>S0 </a:t>
            </a:r>
            <a:r>
              <a:rPr lang="sr-Cyrl-RS" sz="800">
                <a:solidFill>
                  <a:srgbClr val="44546A"/>
                </a:solidFill>
              </a:rPr>
              <a:t>индикатор са фискалним подиндексом и подиндексом финансијске конкурентности за Србију за период 2015-2018. године</a:t>
            </a:r>
            <a:endParaRPr lang="en-US" sz="800">
              <a:solidFill>
                <a:srgbClr val="44546A"/>
              </a:solidFill>
            </a:endParaRPr>
          </a:p>
        </c:rich>
      </c:tx>
      <c:layout>
        <c:manualLayout>
          <c:xMode val="edge"/>
          <c:yMode val="edge"/>
          <c:x val="0.12727690892364305"/>
          <c:y val="0"/>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rgbClr val="44546A"/>
              </a:solidFill>
              <a:latin typeface="+mn-lt"/>
              <a:ea typeface="+mn-ea"/>
              <a:cs typeface="+mn-cs"/>
            </a:defRPr>
          </a:pPr>
          <a:endParaRPr lang="en-US"/>
        </a:p>
      </c:txPr>
    </c:title>
    <c:autoTitleDeleted val="0"/>
    <c:plotArea>
      <c:layout>
        <c:manualLayout>
          <c:layoutTarget val="inner"/>
          <c:xMode val="edge"/>
          <c:yMode val="edge"/>
          <c:x val="9.5045004967599392E-2"/>
          <c:y val="2.1875652640194171E-2"/>
          <c:w val="0.88752798908610997"/>
          <c:h val="0.69285758571517131"/>
        </c:manualLayout>
      </c:layout>
      <c:barChart>
        <c:barDir val="col"/>
        <c:grouping val="clustered"/>
        <c:varyColors val="0"/>
        <c:ser>
          <c:idx val="0"/>
          <c:order val="0"/>
          <c:tx>
            <c:strRef>
              <c:f>'S0 EU Serbia'!$W$39</c:f>
              <c:strCache>
                <c:ptCount val="1"/>
                <c:pt idx="0">
                  <c:v>Фискални подиндекс</c:v>
                </c:pt>
              </c:strCache>
            </c:strRef>
          </c:tx>
          <c:spPr>
            <a:solidFill>
              <a:srgbClr val="7030A0"/>
            </a:solidFill>
            <a:ln w="9525">
              <a:noFill/>
            </a:ln>
            <a:effectLst/>
          </c:spPr>
          <c:invertIfNegative val="0"/>
          <c:cat>
            <c:numRef>
              <c:f>'S0 EU Serbia'!$V$41:$V$47</c:f>
              <c:numCache>
                <c:formatCode>General</c:formatCode>
                <c:ptCount val="6"/>
                <c:pt idx="1">
                  <c:v>2015</c:v>
                </c:pt>
                <c:pt idx="2">
                  <c:v>2016</c:v>
                </c:pt>
                <c:pt idx="3">
                  <c:v>2017</c:v>
                </c:pt>
                <c:pt idx="4">
                  <c:v>2018</c:v>
                </c:pt>
              </c:numCache>
            </c:numRef>
          </c:cat>
          <c:val>
            <c:numRef>
              <c:f>'S0 EU Serbia'!$W$41:$W$47</c:f>
              <c:numCache>
                <c:formatCode>0.00</c:formatCode>
                <c:ptCount val="6"/>
                <c:pt idx="1">
                  <c:v>0.40718562874251496</c:v>
                </c:pt>
                <c:pt idx="2">
                  <c:v>0.19161676646706588</c:v>
                </c:pt>
                <c:pt idx="3">
                  <c:v>0</c:v>
                </c:pt>
                <c:pt idx="4">
                  <c:v>0</c:v>
                </c:pt>
              </c:numCache>
            </c:numRef>
          </c:val>
          <c:extLst>
            <c:ext xmlns:c16="http://schemas.microsoft.com/office/drawing/2014/chart" uri="{C3380CC4-5D6E-409C-BE32-E72D297353CC}">
              <c16:uniqueId val="{00000000-F398-4A2F-95B9-827139A72ADB}"/>
            </c:ext>
          </c:extLst>
        </c:ser>
        <c:ser>
          <c:idx val="1"/>
          <c:order val="1"/>
          <c:tx>
            <c:strRef>
              <c:f>'S0 EU Serbia'!$X$39</c:f>
              <c:strCache>
                <c:ptCount val="1"/>
                <c:pt idx="0">
                  <c:v>Подиндекс макро-финансијске конкурентности</c:v>
                </c:pt>
              </c:strCache>
            </c:strRef>
          </c:tx>
          <c:spPr>
            <a:solidFill>
              <a:srgbClr val="5297AC"/>
            </a:solidFill>
            <a:ln w="9525">
              <a:noFill/>
            </a:ln>
            <a:effectLst/>
          </c:spPr>
          <c:invertIfNegative val="0"/>
          <c:cat>
            <c:numRef>
              <c:f>'S0 EU Serbia'!$V$41:$V$47</c:f>
              <c:numCache>
                <c:formatCode>General</c:formatCode>
                <c:ptCount val="6"/>
                <c:pt idx="1">
                  <c:v>2015</c:v>
                </c:pt>
                <c:pt idx="2">
                  <c:v>2016</c:v>
                </c:pt>
                <c:pt idx="3">
                  <c:v>2017</c:v>
                </c:pt>
                <c:pt idx="4">
                  <c:v>2018</c:v>
                </c:pt>
              </c:numCache>
            </c:numRef>
          </c:cat>
          <c:val>
            <c:numRef>
              <c:f>'S0 EU Serbia'!$X$41:$X$47</c:f>
              <c:numCache>
                <c:formatCode>0.00</c:formatCode>
                <c:ptCount val="6"/>
                <c:pt idx="1">
                  <c:v>0.27243589743589747</c:v>
                </c:pt>
                <c:pt idx="2">
                  <c:v>0.27243589743589747</c:v>
                </c:pt>
                <c:pt idx="3">
                  <c:v>0.27243589743589747</c:v>
                </c:pt>
                <c:pt idx="4">
                  <c:v>0.27243589743589747</c:v>
                </c:pt>
              </c:numCache>
            </c:numRef>
          </c:val>
          <c:extLst>
            <c:ext xmlns:c16="http://schemas.microsoft.com/office/drawing/2014/chart" uri="{C3380CC4-5D6E-409C-BE32-E72D297353CC}">
              <c16:uniqueId val="{00000001-F398-4A2F-95B9-827139A72ADB}"/>
            </c:ext>
          </c:extLst>
        </c:ser>
        <c:dLbls>
          <c:showLegendKey val="0"/>
          <c:showVal val="0"/>
          <c:showCatName val="0"/>
          <c:showSerName val="0"/>
          <c:showPercent val="0"/>
          <c:showBubbleSize val="0"/>
        </c:dLbls>
        <c:gapWidth val="150"/>
        <c:axId val="450412544"/>
        <c:axId val="450413104"/>
      </c:barChart>
      <c:lineChart>
        <c:grouping val="standard"/>
        <c:varyColors val="0"/>
        <c:ser>
          <c:idx val="2"/>
          <c:order val="2"/>
          <c:tx>
            <c:strRef>
              <c:f>'S0 EU Serbia'!$Y$39</c:f>
              <c:strCache>
                <c:ptCount val="1"/>
                <c:pt idx="0">
                  <c:v>S0 индикатор</c:v>
                </c:pt>
              </c:strCache>
            </c:strRef>
          </c:tx>
          <c:spPr>
            <a:ln w="22225" cap="rnd">
              <a:noFill/>
              <a:prstDash val="solid"/>
              <a:round/>
            </a:ln>
            <a:effectLst/>
          </c:spPr>
          <c:marker>
            <c:symbol val="triangle"/>
            <c:size val="16"/>
            <c:spPr>
              <a:solidFill>
                <a:schemeClr val="tx1"/>
              </a:solidFill>
              <a:ln w="9525">
                <a:noFill/>
              </a:ln>
              <a:effectLst/>
            </c:spPr>
          </c:marker>
          <c:dPt>
            <c:idx val="0"/>
            <c:marker>
              <c:symbol val="triangle"/>
              <c:size val="16"/>
              <c:spPr>
                <a:solidFill>
                  <a:schemeClr val="tx1"/>
                </a:solidFill>
                <a:ln w="9525">
                  <a:noFill/>
                </a:ln>
                <a:effectLst/>
              </c:spPr>
            </c:marker>
            <c:bubble3D val="0"/>
            <c:spPr>
              <a:ln w="12700" cap="rnd">
                <a:noFill/>
                <a:prstDash val="solid"/>
                <a:round/>
              </a:ln>
              <a:effectLst/>
            </c:spPr>
            <c:extLst>
              <c:ext xmlns:c16="http://schemas.microsoft.com/office/drawing/2014/chart" uri="{C3380CC4-5D6E-409C-BE32-E72D297353CC}">
                <c16:uniqueId val="{00000003-F398-4A2F-95B9-827139A72ADB}"/>
              </c:ext>
            </c:extLst>
          </c:dPt>
          <c:dPt>
            <c:idx val="1"/>
            <c:marker>
              <c:symbol val="triangle"/>
              <c:size val="16"/>
              <c:spPr>
                <a:solidFill>
                  <a:schemeClr val="tx1"/>
                </a:solidFill>
                <a:ln w="9525">
                  <a:noFill/>
                </a:ln>
                <a:effectLst/>
              </c:spPr>
            </c:marker>
            <c:bubble3D val="0"/>
            <c:spPr>
              <a:ln w="12700" cap="rnd">
                <a:noFill/>
                <a:prstDash val="solid"/>
                <a:round/>
              </a:ln>
              <a:effectLst/>
            </c:spPr>
            <c:extLst>
              <c:ext xmlns:c16="http://schemas.microsoft.com/office/drawing/2014/chart" uri="{C3380CC4-5D6E-409C-BE32-E72D297353CC}">
                <c16:uniqueId val="{00000005-F398-4A2F-95B9-827139A72ADB}"/>
              </c:ext>
            </c:extLst>
          </c:dPt>
          <c:dPt>
            <c:idx val="2"/>
            <c:marker>
              <c:symbol val="triangle"/>
              <c:size val="16"/>
              <c:spPr>
                <a:solidFill>
                  <a:schemeClr val="tx1"/>
                </a:solidFill>
                <a:ln w="9525">
                  <a:noFill/>
                </a:ln>
                <a:effectLst/>
              </c:spPr>
            </c:marker>
            <c:bubble3D val="0"/>
            <c:spPr>
              <a:ln w="12700" cap="rnd">
                <a:noFill/>
                <a:prstDash val="solid"/>
                <a:round/>
              </a:ln>
              <a:effectLst/>
            </c:spPr>
            <c:extLst>
              <c:ext xmlns:c16="http://schemas.microsoft.com/office/drawing/2014/chart" uri="{C3380CC4-5D6E-409C-BE32-E72D297353CC}">
                <c16:uniqueId val="{00000007-F398-4A2F-95B9-827139A72ADB}"/>
              </c:ext>
            </c:extLst>
          </c:dPt>
          <c:cat>
            <c:numRef>
              <c:f>'S0 EU Serbia'!$V$41:$V$47</c:f>
              <c:numCache>
                <c:formatCode>General</c:formatCode>
                <c:ptCount val="6"/>
                <c:pt idx="1">
                  <c:v>2015</c:v>
                </c:pt>
                <c:pt idx="2">
                  <c:v>2016</c:v>
                </c:pt>
                <c:pt idx="3">
                  <c:v>2017</c:v>
                </c:pt>
                <c:pt idx="4">
                  <c:v>2018</c:v>
                </c:pt>
              </c:numCache>
            </c:numRef>
          </c:cat>
          <c:val>
            <c:numRef>
              <c:f>'S0 EU Serbia'!$Y$41:$Y$47</c:f>
              <c:numCache>
                <c:formatCode>0.00</c:formatCode>
                <c:ptCount val="6"/>
                <c:pt idx="1">
                  <c:v>0.31941544885177453</c:v>
                </c:pt>
                <c:pt idx="2">
                  <c:v>0.24425887265135704</c:v>
                </c:pt>
                <c:pt idx="3">
                  <c:v>0.17745302713987476</c:v>
                </c:pt>
                <c:pt idx="4">
                  <c:v>0.17745302713987476</c:v>
                </c:pt>
              </c:numCache>
            </c:numRef>
          </c:val>
          <c:smooth val="0"/>
          <c:extLst>
            <c:ext xmlns:c16="http://schemas.microsoft.com/office/drawing/2014/chart" uri="{C3380CC4-5D6E-409C-BE32-E72D297353CC}">
              <c16:uniqueId val="{00000008-F398-4A2F-95B9-827139A72ADB}"/>
            </c:ext>
          </c:extLst>
        </c:ser>
        <c:ser>
          <c:idx val="3"/>
          <c:order val="3"/>
          <c:tx>
            <c:strRef>
              <c:f>'S0 EU Serbia'!$Z$39</c:f>
              <c:strCache>
                <c:ptCount val="1"/>
                <c:pt idx="0">
                  <c:v>Праг фискалног подиндекса</c:v>
                </c:pt>
              </c:strCache>
            </c:strRef>
          </c:tx>
          <c:spPr>
            <a:ln w="22225" cap="rnd">
              <a:solidFill>
                <a:srgbClr val="7030A0"/>
              </a:solidFill>
              <a:prstDash val="dash"/>
              <a:round/>
            </a:ln>
            <a:effectLst/>
          </c:spPr>
          <c:marker>
            <c:symbol val="none"/>
          </c:marker>
          <c:cat>
            <c:numRef>
              <c:f>'S0 EU Serbia'!$V$41:$V$47</c:f>
              <c:numCache>
                <c:formatCode>General</c:formatCode>
                <c:ptCount val="6"/>
                <c:pt idx="1">
                  <c:v>2015</c:v>
                </c:pt>
                <c:pt idx="2">
                  <c:v>2016</c:v>
                </c:pt>
                <c:pt idx="3">
                  <c:v>2017</c:v>
                </c:pt>
                <c:pt idx="4">
                  <c:v>2018</c:v>
                </c:pt>
              </c:numCache>
            </c:numRef>
          </c:cat>
          <c:val>
            <c:numRef>
              <c:f>'S0 EU Serbia'!$Z$41:$Z$47</c:f>
              <c:numCache>
                <c:formatCode>General</c:formatCode>
                <c:ptCount val="6"/>
                <c:pt idx="0">
                  <c:v>0.36</c:v>
                </c:pt>
                <c:pt idx="1">
                  <c:v>0.36</c:v>
                </c:pt>
                <c:pt idx="2">
                  <c:v>0.36</c:v>
                </c:pt>
                <c:pt idx="3">
                  <c:v>0.36</c:v>
                </c:pt>
                <c:pt idx="4">
                  <c:v>0.36</c:v>
                </c:pt>
                <c:pt idx="5">
                  <c:v>0.36</c:v>
                </c:pt>
              </c:numCache>
            </c:numRef>
          </c:val>
          <c:smooth val="0"/>
          <c:extLst>
            <c:ext xmlns:c16="http://schemas.microsoft.com/office/drawing/2014/chart" uri="{C3380CC4-5D6E-409C-BE32-E72D297353CC}">
              <c16:uniqueId val="{00000009-F398-4A2F-95B9-827139A72ADB}"/>
            </c:ext>
          </c:extLst>
        </c:ser>
        <c:ser>
          <c:idx val="4"/>
          <c:order val="4"/>
          <c:tx>
            <c:strRef>
              <c:f>'S0 EU Serbia'!$AA$39</c:f>
              <c:strCache>
                <c:ptCount val="1"/>
                <c:pt idx="0">
                  <c:v>Праг финансијског подиндекса</c:v>
                </c:pt>
              </c:strCache>
            </c:strRef>
          </c:tx>
          <c:spPr>
            <a:ln w="22225" cap="rnd">
              <a:solidFill>
                <a:srgbClr val="5297AC"/>
              </a:solidFill>
              <a:prstDash val="dash"/>
              <a:round/>
            </a:ln>
            <a:effectLst/>
          </c:spPr>
          <c:marker>
            <c:symbol val="none"/>
          </c:marker>
          <c:cat>
            <c:numRef>
              <c:f>'S0 EU Serbia'!$V$41:$V$47</c:f>
              <c:numCache>
                <c:formatCode>General</c:formatCode>
                <c:ptCount val="6"/>
                <c:pt idx="1">
                  <c:v>2015</c:v>
                </c:pt>
                <c:pt idx="2">
                  <c:v>2016</c:v>
                </c:pt>
                <c:pt idx="3">
                  <c:v>2017</c:v>
                </c:pt>
                <c:pt idx="4">
                  <c:v>2018</c:v>
                </c:pt>
              </c:numCache>
            </c:numRef>
          </c:cat>
          <c:val>
            <c:numRef>
              <c:f>'S0 EU Serbia'!$AA$41:$AA$47</c:f>
              <c:numCache>
                <c:formatCode>General</c:formatCode>
                <c:ptCount val="6"/>
                <c:pt idx="0">
                  <c:v>0.49</c:v>
                </c:pt>
                <c:pt idx="1">
                  <c:v>0.49</c:v>
                </c:pt>
                <c:pt idx="2">
                  <c:v>0.49</c:v>
                </c:pt>
                <c:pt idx="3">
                  <c:v>0.49</c:v>
                </c:pt>
                <c:pt idx="4">
                  <c:v>0.49</c:v>
                </c:pt>
                <c:pt idx="5">
                  <c:v>0.49</c:v>
                </c:pt>
              </c:numCache>
            </c:numRef>
          </c:val>
          <c:smooth val="0"/>
          <c:extLst>
            <c:ext xmlns:c16="http://schemas.microsoft.com/office/drawing/2014/chart" uri="{C3380CC4-5D6E-409C-BE32-E72D297353CC}">
              <c16:uniqueId val="{0000000A-F398-4A2F-95B9-827139A72ADB}"/>
            </c:ext>
          </c:extLst>
        </c:ser>
        <c:ser>
          <c:idx val="5"/>
          <c:order val="5"/>
          <c:tx>
            <c:strRef>
              <c:f>'S0 EU Serbia'!$AB$39</c:f>
              <c:strCache>
                <c:ptCount val="1"/>
                <c:pt idx="0">
                  <c:v>S0 праг</c:v>
                </c:pt>
              </c:strCache>
            </c:strRef>
          </c:tx>
          <c:spPr>
            <a:ln w="22225" cap="rnd">
              <a:solidFill>
                <a:schemeClr val="tx1"/>
              </a:solidFill>
              <a:prstDash val="dash"/>
              <a:round/>
            </a:ln>
            <a:effectLst/>
          </c:spPr>
          <c:marker>
            <c:symbol val="none"/>
          </c:marker>
          <c:cat>
            <c:numRef>
              <c:f>'S0 EU Serbia'!$V$41:$V$47</c:f>
              <c:numCache>
                <c:formatCode>General</c:formatCode>
                <c:ptCount val="6"/>
                <c:pt idx="1">
                  <c:v>2015</c:v>
                </c:pt>
                <c:pt idx="2">
                  <c:v>2016</c:v>
                </c:pt>
                <c:pt idx="3">
                  <c:v>2017</c:v>
                </c:pt>
                <c:pt idx="4">
                  <c:v>2018</c:v>
                </c:pt>
              </c:numCache>
            </c:numRef>
          </c:cat>
          <c:val>
            <c:numRef>
              <c:f>'S0 EU Serbia'!$AB$41:$AB$47</c:f>
              <c:numCache>
                <c:formatCode>General</c:formatCode>
                <c:ptCount val="6"/>
                <c:pt idx="0">
                  <c:v>0.46</c:v>
                </c:pt>
                <c:pt idx="1">
                  <c:v>0.46</c:v>
                </c:pt>
                <c:pt idx="2">
                  <c:v>0.46</c:v>
                </c:pt>
                <c:pt idx="3">
                  <c:v>0.46</c:v>
                </c:pt>
                <c:pt idx="4">
                  <c:v>0.46</c:v>
                </c:pt>
                <c:pt idx="5">
                  <c:v>0.46</c:v>
                </c:pt>
              </c:numCache>
            </c:numRef>
          </c:val>
          <c:smooth val="0"/>
          <c:extLst>
            <c:ext xmlns:c16="http://schemas.microsoft.com/office/drawing/2014/chart" uri="{C3380CC4-5D6E-409C-BE32-E72D297353CC}">
              <c16:uniqueId val="{0000000B-F398-4A2F-95B9-827139A72ADB}"/>
            </c:ext>
          </c:extLst>
        </c:ser>
        <c:dLbls>
          <c:showLegendKey val="0"/>
          <c:showVal val="0"/>
          <c:showCatName val="0"/>
          <c:showSerName val="0"/>
          <c:showPercent val="0"/>
          <c:showBubbleSize val="0"/>
        </c:dLbls>
        <c:marker val="1"/>
        <c:smooth val="0"/>
        <c:axId val="450412544"/>
        <c:axId val="450413104"/>
      </c:lineChart>
      <c:catAx>
        <c:axId val="450412544"/>
        <c:scaling>
          <c:orientation val="minMax"/>
        </c:scaling>
        <c:delete val="0"/>
        <c:axPos val="b"/>
        <c:numFmt formatCode="General" sourceLinked="1"/>
        <c:majorTickMark val="out"/>
        <c:minorTickMark val="none"/>
        <c:tickLblPos val="nextTo"/>
        <c:spPr>
          <a:noFill/>
          <a:ln w="6350" cap="flat" cmpd="sng" algn="ctr">
            <a:noFill/>
            <a:round/>
          </a:ln>
          <a:effectLst/>
        </c:spPr>
        <c:txPr>
          <a:bodyPr rot="-60000000" spcFirstLastPara="1" vertOverflow="ellipsis" vert="horz" wrap="square" anchor="ctr" anchorCtr="1"/>
          <a:lstStyle/>
          <a:p>
            <a:pPr>
              <a:defRPr sz="750" b="0" i="0" u="none" strike="noStrike" kern="1200" baseline="0">
                <a:solidFill>
                  <a:srgbClr val="44546A"/>
                </a:solidFill>
                <a:latin typeface="+mn-lt"/>
                <a:ea typeface="+mn-ea"/>
                <a:cs typeface="+mn-cs"/>
              </a:defRPr>
            </a:pPr>
            <a:endParaRPr lang="en-US"/>
          </a:p>
        </c:txPr>
        <c:crossAx val="450413104"/>
        <c:crosses val="autoZero"/>
        <c:auto val="1"/>
        <c:lblAlgn val="ctr"/>
        <c:lblOffset val="100"/>
        <c:noMultiLvlLbl val="0"/>
      </c:catAx>
      <c:valAx>
        <c:axId val="450413104"/>
        <c:scaling>
          <c:orientation val="minMax"/>
          <c:max val="0.70000000000000007"/>
        </c:scaling>
        <c:delete val="0"/>
        <c:axPos val="l"/>
        <c:numFmt formatCode="#,##0.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rgbClr val="44546A"/>
                </a:solidFill>
                <a:latin typeface="+mn-lt"/>
                <a:ea typeface="+mn-ea"/>
                <a:cs typeface="+mn-cs"/>
              </a:defRPr>
            </a:pPr>
            <a:endParaRPr lang="en-US"/>
          </a:p>
        </c:txPr>
        <c:crossAx val="450412544"/>
        <c:crosses val="autoZero"/>
        <c:crossBetween val="between"/>
      </c:valAx>
      <c:spPr>
        <a:noFill/>
        <a:ln>
          <a:noFill/>
        </a:ln>
        <a:effectLst/>
      </c:spPr>
    </c:plotArea>
    <c:legend>
      <c:legendPos val="t"/>
      <c:layout>
        <c:manualLayout>
          <c:xMode val="edge"/>
          <c:yMode val="edge"/>
          <c:x val="1.5244587066911024E-2"/>
          <c:y val="0.76848494917788635"/>
          <c:w val="0.98475540386803184"/>
          <c:h val="0.23126990846574286"/>
        </c:manualLayout>
      </c:layout>
      <c:overlay val="0"/>
      <c:spPr>
        <a:noFill/>
        <a:ln>
          <a:noFill/>
        </a:ln>
        <a:effectLst/>
      </c:spPr>
      <c:txPr>
        <a:bodyPr rot="0" spcFirstLastPara="1" vertOverflow="ellipsis" vert="horz" wrap="square" anchor="ctr" anchorCtr="1"/>
        <a:lstStyle/>
        <a:p>
          <a:pPr>
            <a:defRPr sz="750" b="0" i="0" u="none" strike="noStrike" kern="1200" baseline="0">
              <a:solidFill>
                <a:srgbClr val="44546A"/>
              </a:solidFill>
              <a:latin typeface="+mn-lt"/>
              <a:ea typeface="+mn-ea"/>
              <a:cs typeface="+mn-cs"/>
            </a:defRPr>
          </a:pPr>
          <a:endParaRPr lang="en-US"/>
        </a:p>
      </c:txPr>
    </c:legend>
    <c:plotVisOnly val="1"/>
    <c:dispBlanksAs val="gap"/>
    <c:showDLblsOverMax val="0"/>
  </c:chart>
  <c:spPr>
    <a:noFill/>
    <a:ln w="9525" cap="flat" cmpd="sng" algn="ctr">
      <a:noFill/>
      <a:round/>
    </a:ln>
    <a:effectLst/>
  </c:spPr>
  <c:txPr>
    <a:bodyPr/>
    <a:lstStyle/>
    <a:p>
      <a:pPr>
        <a:defRPr/>
      </a:pPr>
      <a:endParaRPr lang="en-US"/>
    </a:p>
  </c:txPr>
  <c:externalData r:id="rId3">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5956318891397163E-2"/>
          <c:y val="2.1195906742660208E-2"/>
          <c:w val="0.8766444001692163"/>
          <c:h val="0.86201338761496593"/>
        </c:manualLayout>
      </c:layout>
      <c:scatterChart>
        <c:scatterStyle val="lineMarker"/>
        <c:varyColors val="0"/>
        <c:ser>
          <c:idx val="0"/>
          <c:order val="0"/>
          <c:spPr>
            <a:ln w="28575" cap="rnd">
              <a:noFill/>
              <a:round/>
            </a:ln>
            <a:effectLst/>
          </c:spPr>
          <c:marker>
            <c:symbol val="diamond"/>
            <c:size val="5"/>
            <c:spPr>
              <a:solidFill>
                <a:srgbClr val="44546A"/>
              </a:solidFill>
              <a:ln w="9525">
                <a:noFill/>
              </a:ln>
              <a:effectLst/>
            </c:spPr>
          </c:marker>
          <c:dLbls>
            <c:dLbl>
              <c:idx val="0"/>
              <c:layout>
                <c:manualLayout>
                  <c:x val="6.4463300478113258E-2"/>
                  <c:y val="-4.4239495141978551E-2"/>
                </c:manualLayout>
              </c:layout>
              <c:tx>
                <c:rich>
                  <a:bodyPr/>
                  <a:lstStyle/>
                  <a:p>
                    <a:fld id="{BA392B60-6384-4C98-893D-62F6DA5F6761}"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{BA392B60-6384-4C98-893D-62F6DA5F6761}</c15:txfldGUID>
                      <c15:f>'S0 2018'!$B$4</c15:f>
                      <c15:dlblFieldTableCache>
                        <c:ptCount val="1"/>
                        <c:pt idx="0">
                          <c:v>Аустрија</c:v>
                        </c:pt>
                      </c15:dlblFieldTableCache>
                    </c15:dlblFTEntry>
                  </c15:dlblFieldTable>
                  <c15:showDataLabelsRange val="0"/>
                </c:ext>
                <c:ext xmlns:c16="http://schemas.microsoft.com/office/drawing/2014/chart" uri="{C3380CC4-5D6E-409C-BE32-E72D297353CC}">
                  <c16:uniqueId val="{00000000-DDE5-47BC-959A-2302127424EA}"/>
                </c:ext>
              </c:extLst>
            </c:dLbl>
            <c:dLbl>
              <c:idx val="1"/>
              <c:layout>
                <c:manualLayout>
                  <c:x val="2.9185643657860923E-2"/>
                  <c:y val="0.13262072609048481"/>
                </c:manualLayout>
              </c:layout>
              <c:tx>
                <c:rich>
                  <a:bodyPr/>
                  <a:lstStyle/>
                  <a:p>
                    <a:fld id="{4FC5DD49-2C76-4344-92E9-319A8FD3D55D}"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{4FC5DD49-2C76-4344-92E9-319A8FD3D55D}</c15:txfldGUID>
                      <c15:f>'S0 2018'!$B$5</c15:f>
                      <c15:dlblFieldTableCache>
                        <c:ptCount val="1"/>
                        <c:pt idx="0">
                          <c:v>Белгија</c:v>
                        </c:pt>
                      </c15:dlblFieldTableCache>
                    </c15:dlblFTEntry>
                  </c15:dlblFieldTable>
                  <c15:showDataLabelsRange val="0"/>
                </c:ext>
                <c:ext xmlns:c16="http://schemas.microsoft.com/office/drawing/2014/chart" uri="{C3380CC4-5D6E-409C-BE32-E72D297353CC}">
                  <c16:uniqueId val="{00000001-DDE5-47BC-959A-2302127424EA}"/>
                </c:ext>
              </c:extLst>
            </c:dLbl>
            <c:dLbl>
              <c:idx val="2"/>
              <c:layout>
                <c:manualLayout>
                  <c:x val="1.8690695224811659E-2"/>
                  <c:y val="-3.7342831287350595E-2"/>
                </c:manualLayout>
              </c:layout>
              <c:tx>
                <c:rich>
                  <a:bodyPr/>
                  <a:lstStyle/>
                  <a:p>
                    <a:fld id="{32139CEF-9A15-477E-B6F6-121E7939F07E}"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{32139CEF-9A15-477E-B6F6-121E7939F07E}</c15:txfldGUID>
                      <c15:f>'S0 2018'!$B$6</c15:f>
                      <c15:dlblFieldTableCache>
                        <c:ptCount val="1"/>
                        <c:pt idx="0">
                          <c:v>Бугарска</c:v>
                        </c:pt>
                      </c15:dlblFieldTableCache>
                    </c15:dlblFTEntry>
                  </c15:dlblFieldTable>
                  <c15:showDataLabelsRange val="0"/>
                </c:ext>
                <c:ext xmlns:c16="http://schemas.microsoft.com/office/drawing/2014/chart" uri="{C3380CC4-5D6E-409C-BE32-E72D297353CC}">
                  <c16:uniqueId val="{00000002-DDE5-47BC-959A-2302127424EA}"/>
                </c:ext>
              </c:extLst>
            </c:dLbl>
            <c:dLbl>
              <c:idx val="3"/>
              <c:layout>
                <c:manualLayout>
                  <c:x val="0.122943684581357"/>
                  <c:y val="-1.3451707674601982E-2"/>
                </c:manualLayout>
              </c:layout>
              <c:tx>
                <c:rich>
                  <a:bodyPr rot="0" spcFirstLastPara="1" vertOverflow="ellipsis" vert="horz" wrap="square" lIns="38100" tIns="19050" rIns="38100" bIns="19050" anchor="ctr" anchorCtr="1">
                    <a:noAutofit/>
                  </a:bodyPr>
                  <a:lstStyle/>
                  <a:p>
                    <a:pPr>
                      <a:defRPr sz="750" b="0" i="0" u="none" strike="noStrike" kern="1200" baseline="0">
                        <a:solidFill>
                          <a:srgbClr val="44546A"/>
                        </a:solidFill>
                        <a:latin typeface="+mj-lt"/>
                        <a:ea typeface="+mn-ea"/>
                        <a:cs typeface="+mn-cs"/>
                      </a:defRPr>
                    </a:pPr>
                    <a:fld id="{6D896CBC-E636-430C-86B1-96A8DE29A305}" type="CELLREF">
                      <a:rPr lang="sr-Cyrl-CS" sz="750">
                        <a:solidFill>
                          <a:srgbClr val="44546A"/>
                        </a:solidFill>
                      </a:rPr>
                      <a:pPr>
                        <a:defRPr sz="750">
                          <a:solidFill>
                            <a:srgbClr val="44546A"/>
                          </a:solidFill>
                          <a:latin typeface="+mj-lt"/>
                        </a:defRPr>
                      </a:pPr>
                      <a:t>[CELLREF]</a:t>
                    </a:fld>
                    <a:endParaRPr lang="en-US"/>
                  </a:p>
                </c:rich>
              </c:tx>
              <c:spPr>
                <a:noFill/>
                <a:ln>
                  <a:noFill/>
                </a:ln>
                <a:effectLst/>
              </c:spPr>
              <c:txPr>
                <a:bodyPr rot="0" spcFirstLastPara="1" vertOverflow="ellipsis" vert="horz" wrap="square" lIns="38100" tIns="19050" rIns="38100" bIns="19050" anchor="ctr" anchorCtr="1">
                  <a:noAutofit/>
                </a:bodyPr>
                <a:lstStyle/>
                <a:p>
                  <a:pPr>
                    <a:defRPr sz="750" b="0" i="0" u="none" strike="noStrike" kern="1200" baseline="0">
                      <a:solidFill>
                        <a:srgbClr val="44546A"/>
                      </a:solidFill>
                      <a:latin typeface="+mj-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15:layout>
                    <c:manualLayout>
                      <c:w val="6.0406086746680659E-2"/>
                      <c:h val="4.8839073680947198E-2"/>
                    </c:manualLayout>
                  </c15:layout>
                  <c15:dlblFieldTable>
                    <c15:dlblFTEntry>
                      <c15:txfldGUID>{6D896CBC-E636-430C-86B1-96A8DE29A305}</c15:txfldGUID>
                      <c15:f>'S0 2018'!$B$7</c15:f>
                      <c15:dlblFieldTableCache>
                        <c:ptCount val="1"/>
                        <c:pt idx="0">
                          <c:v>Чешка</c:v>
                        </c:pt>
                      </c15:dlblFieldTableCache>
                    </c15:dlblFTEntry>
                  </c15:dlblFieldTable>
                  <c15:showDataLabelsRange val="0"/>
                </c:ext>
                <c:ext xmlns:c16="http://schemas.microsoft.com/office/drawing/2014/chart" uri="{C3380CC4-5D6E-409C-BE32-E72D297353CC}">
                  <c16:uniqueId val="{00000003-DDE5-47BC-959A-2302127424EA}"/>
                </c:ext>
              </c:extLst>
            </c:dLbl>
            <c:dLbl>
              <c:idx val="4"/>
              <c:layout>
                <c:manualLayout>
                  <c:x val="2.395368974790044E-2"/>
                  <c:y val="5.2857340727918069E-2"/>
                </c:manualLayout>
              </c:layout>
              <c:tx>
                <c:rich>
                  <a:bodyPr/>
                  <a:lstStyle/>
                  <a:p>
                    <a:fld id="{F64B9FC9-ED52-4062-A0E6-D96A93A0E0EE}"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{F64B9FC9-ED52-4062-A0E6-D96A93A0E0EE}</c15:txfldGUID>
                      <c15:f>'S0 2018'!$B$8</c15:f>
                      <c15:dlblFieldTableCache>
                        <c:ptCount val="1"/>
                        <c:pt idx="0">
                          <c:v>Хрватска</c:v>
                        </c:pt>
                      </c15:dlblFieldTableCache>
                    </c15:dlblFTEntry>
                  </c15:dlblFieldTable>
                  <c15:showDataLabelsRange val="0"/>
                </c:ext>
                <c:ext xmlns:c16="http://schemas.microsoft.com/office/drawing/2014/chart" uri="{C3380CC4-5D6E-409C-BE32-E72D297353CC}">
                  <c16:uniqueId val="{00000004-DDE5-47BC-959A-2302127424EA}"/>
                </c:ext>
              </c:extLst>
            </c:dLbl>
            <c:dLbl>
              <c:idx val="5"/>
              <c:layout>
                <c:manualLayout>
                  <c:x val="2.8658392488639479E-3"/>
                  <c:y val="-6.0920530715880321E-2"/>
                </c:manualLayout>
              </c:layout>
              <c:tx>
                <c:rich>
                  <a:bodyPr/>
                  <a:lstStyle/>
                  <a:p>
                    <a:fld id="{A36E27CE-79A3-4684-895E-50D86AFDAF47}" type="CELLREF">
                      <a:rPr lang="sr-Cyrl-CS">
                        <a:solidFill>
                          <a:srgbClr val="44546A"/>
                        </a:solidFill>
                      </a:rPr>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{A36E27CE-79A3-4684-895E-50D86AFDAF47}</c15:txfldGUID>
                      <c15:f>'S0 2018'!$B$9</c15:f>
                      <c15:dlblFieldTableCache>
                        <c:ptCount val="1"/>
                        <c:pt idx="0">
                          <c:v>Кипар</c:v>
                        </c:pt>
                      </c15:dlblFieldTableCache>
                    </c15:dlblFTEntry>
                  </c15:dlblFieldTable>
                  <c15:showDataLabelsRange val="0"/>
                </c:ext>
                <c:ext xmlns:c16="http://schemas.microsoft.com/office/drawing/2014/chart" uri="{C3380CC4-5D6E-409C-BE32-E72D297353CC}">
                  <c16:uniqueId val="{00000005-DDE5-47BC-959A-2302127424EA}"/>
                </c:ext>
              </c:extLst>
            </c:dLbl>
            <c:dLbl>
              <c:idx val="6"/>
              <c:layout>
                <c:manualLayout>
                  <c:x val="6.060606504296912E-3"/>
                  <c:y val="2.4903727635493925E-2"/>
                </c:manualLayout>
              </c:layout>
              <c:tx>
                <c:rich>
                  <a:bodyPr/>
                  <a:lstStyle/>
                  <a:p>
                    <a:fld id="{C83F85E3-4FDB-4673-9DFE-B089FF68B746}"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layout>
                    <c:manualLayout>
                      <c:w val="6.4738859128619694E-2"/>
                      <c:h val="3.5416663665283558E-2"/>
                    </c:manualLayout>
                  </c15:layout>
                  <c15:dlblFieldTable>
                    <c15:dlblFTEntry>
                      <c15:txfldGUID>{C83F85E3-4FDB-4673-9DFE-B089FF68B746}</c15:txfldGUID>
                      <c15:f>'S0 2018'!$B$10</c15:f>
                      <c15:dlblFieldTableCache>
                        <c:ptCount val="1"/>
                        <c:pt idx="0">
                          <c:v>Данска</c:v>
                        </c:pt>
                      </c15:dlblFieldTableCache>
                    </c15:dlblFTEntry>
                  </c15:dlblFieldTable>
                  <c15:showDataLabelsRange val="0"/>
                </c:ext>
                <c:ext xmlns:c16="http://schemas.microsoft.com/office/drawing/2014/chart" uri="{C3380CC4-5D6E-409C-BE32-E72D297353CC}">
                  <c16:uniqueId val="{00000006-DDE5-47BC-959A-2302127424EA}"/>
                </c:ext>
              </c:extLst>
            </c:dLbl>
            <c:dLbl>
              <c:idx val="7"/>
              <c:layout>
                <c:manualLayout>
                  <c:x val="3.1845033545824859E-2"/>
                  <c:y val="4.6478698446614355E-2"/>
                </c:manualLayout>
              </c:layout>
              <c:tx>
                <c:rich>
                  <a:bodyPr/>
                  <a:lstStyle/>
                  <a:p>
                    <a:fld id="{F00A70DB-A5AE-4979-A92C-BF5289B8D745}"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{F00A70DB-A5AE-4979-A92C-BF5289B8D745}</c15:txfldGUID>
                      <c15:f>'S0 2018'!$B$11</c15:f>
                      <c15:dlblFieldTableCache>
                        <c:ptCount val="1"/>
                        <c:pt idx="0">
                          <c:v>Естонија</c:v>
                        </c:pt>
                      </c15:dlblFieldTableCache>
                    </c15:dlblFTEntry>
                  </c15:dlblFieldTable>
                  <c15:showDataLabelsRange val="0"/>
                </c:ext>
                <c:ext xmlns:c16="http://schemas.microsoft.com/office/drawing/2014/chart" uri="{C3380CC4-5D6E-409C-BE32-E72D297353CC}">
                  <c16:uniqueId val="{00000007-DDE5-47BC-959A-2302127424EA}"/>
                </c:ext>
              </c:extLst>
            </c:dLbl>
            <c:dLbl>
              <c:idx val="8"/>
              <c:layout>
                <c:manualLayout>
                  <c:x val="4.8830544900393305E-2"/>
                  <c:y val="-3.0068919302447008E-2"/>
                </c:manualLayout>
              </c:layout>
              <c:tx>
                <c:rich>
                  <a:bodyPr/>
                  <a:lstStyle/>
                  <a:p>
                    <a:fld id="{00D5BF60-5092-4A6D-A9C3-F8BCEE0DB10F}"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{00D5BF60-5092-4A6D-A9C3-F8BCEE0DB10F}</c15:txfldGUID>
                      <c15:f>'S0 2018'!$B$12</c15:f>
                      <c15:dlblFieldTableCache>
                        <c:ptCount val="1"/>
                        <c:pt idx="0">
                          <c:v>Финска</c:v>
                        </c:pt>
                      </c15:dlblFieldTableCache>
                    </c15:dlblFTEntry>
                  </c15:dlblFieldTable>
                  <c15:showDataLabelsRange val="0"/>
                </c:ext>
                <c:ext xmlns:c16="http://schemas.microsoft.com/office/drawing/2014/chart" uri="{C3380CC4-5D6E-409C-BE32-E72D297353CC}">
                  <c16:uniqueId val="{00000008-DDE5-47BC-959A-2302127424EA}"/>
                </c:ext>
              </c:extLst>
            </c:dLbl>
            <c:dLbl>
              <c:idx val="9"/>
              <c:layout>
                <c:manualLayout>
                  <c:x val="9.6293252971333416E-3"/>
                  <c:y val="4.8284261920104488E-2"/>
                </c:manualLayout>
              </c:layout>
              <c:tx>
                <c:rich>
                  <a:bodyPr/>
                  <a:lstStyle/>
                  <a:p>
                    <a:fld id="{B688661B-83E2-4D57-9F78-2026FC055CDE}"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{B688661B-83E2-4D57-9F78-2026FC055CDE}</c15:txfldGUID>
                      <c15:f>'S0 2018'!$B$13</c15:f>
                      <c15:dlblFieldTableCache>
                        <c:ptCount val="1"/>
                        <c:pt idx="0">
                          <c:v>Француска</c:v>
                        </c:pt>
                      </c15:dlblFieldTableCache>
                    </c15:dlblFTEntry>
                  </c15:dlblFieldTable>
                  <c15:showDataLabelsRange val="0"/>
                </c:ext>
                <c:ext xmlns:c16="http://schemas.microsoft.com/office/drawing/2014/chart" uri="{C3380CC4-5D6E-409C-BE32-E72D297353CC}">
                  <c16:uniqueId val="{00000009-DDE5-47BC-959A-2302127424EA}"/>
                </c:ext>
              </c:extLst>
            </c:dLbl>
            <c:dLbl>
              <c:idx val="10"/>
              <c:layout>
                <c:manualLayout>
                  <c:x val="2.9479797392647049E-2"/>
                  <c:y val="-4.8224783082325189E-2"/>
                </c:manualLayout>
              </c:layout>
              <c:tx>
                <c:rich>
                  <a:bodyPr/>
                  <a:lstStyle/>
                  <a:p>
                    <a:fld id="{97F88866-5997-46EE-A202-CB4146B5529B}"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{97F88866-5997-46EE-A202-CB4146B5529B}</c15:txfldGUID>
                      <c15:f>'S0 2018'!$B$14</c15:f>
                      <c15:dlblFieldTableCache>
                        <c:ptCount val="1"/>
                        <c:pt idx="0">
                          <c:v>Немачка</c:v>
                        </c:pt>
                      </c15:dlblFieldTableCache>
                    </c15:dlblFTEntry>
                  </c15:dlblFieldTable>
                  <c15:showDataLabelsRange val="0"/>
                </c:ext>
                <c:ext xmlns:c16="http://schemas.microsoft.com/office/drawing/2014/chart" uri="{C3380CC4-5D6E-409C-BE32-E72D297353CC}">
                  <c16:uniqueId val="{0000000A-DDE5-47BC-959A-2302127424EA}"/>
                </c:ext>
              </c:extLst>
            </c:dLbl>
            <c:dLbl>
              <c:idx val="11"/>
              <c:layout>
                <c:manualLayout>
                  <c:x val="-8.3677879258457322E-2"/>
                  <c:y val="9.7792264910921758E-3"/>
                </c:manualLayout>
              </c:layout>
              <c:tx>
                <c:rich>
                  <a:bodyPr/>
                  <a:lstStyle/>
                  <a:p>
                    <a:fld id="{7C4E8C15-33DC-404F-BA0E-A38CE1463503}" type="CELLREF">
                      <a:rPr lang="sr-Cyrl-CS">
                        <a:solidFill>
                          <a:srgbClr val="44546A"/>
                        </a:solidFill>
                      </a:rPr>
                      <a:pPr/>
                      <a:t>[CELLREF]</a:t>
                    </a:fld>
                    <a:endParaRPr lang="en-US"/>
                  </a:p>
                </c:rich>
              </c:tx>
              <c:showLegendKey val="0"/>
              <c:showVal val="0"/>
              <c:showCatName val="0"/>
              <c:showSerName val="0"/>
              <c:showPercent val="0"/>
              <c:showBubbleSize val="0"/>
              <c:extLst>
                <c:ext xmlns:c15="http://schemas.microsoft.com/office/drawing/2012/chart" uri="{CE6537A1-D6FC-4f65-9D91-7224C49458BB}">
                  <c15:dlblFieldTable>
                    <c15:dlblFTEntry>
                      <c15:txfldGUID>{7C4E8C15-33DC-404F-BA0E-A38CE1463503}</c15:txfldGUID>
                      <c15:f>'S0 2018'!$B$15</c15:f>
                      <c15:dlblFieldTableCache>
                        <c:ptCount val="1"/>
                        <c:pt idx="0">
                          <c:v>Мађарска</c:v>
                        </c:pt>
                      </c15:dlblFieldTableCache>
                    </c15:dlblFTEntry>
                  </c15:dlblFieldTable>
                  <c15:showDataLabelsRange val="0"/>
                </c:ext>
                <c:ext xmlns:c16="http://schemas.microsoft.com/office/drawing/2014/chart" uri="{C3380CC4-5D6E-409C-BE32-E72D297353CC}">
                  <c16:uniqueId val="{0000000B-DDE5-47BC-959A-2302127424EA}"/>
                </c:ext>
              </c:extLst>
            </c:dLbl>
            <c:dLbl>
              <c:idx val="12"/>
              <c:layout>
                <c:manualLayout>
                  <c:x val="4.5421641339771432E-2"/>
                  <c:y val="-8.0857055064849429E-2"/>
                </c:manualLayout>
              </c:layout>
              <c:tx>
                <c:rich>
                  <a:bodyPr/>
                  <a:lstStyle/>
                  <a:p>
                    <a:fld id="{F18339AF-639A-4A24-AD86-A39C2E17BF94}" type="CELLREF">
                      <a:rPr lang="sr-Cyrl-CS">
                        <a:solidFill>
                          <a:srgbClr val="44546A"/>
                        </a:solidFill>
                      </a:rPr>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{F18339AF-639A-4A24-AD86-A39C2E17BF94}</c15:txfldGUID>
                      <c15:f>'S0 2018'!$B$16</c15:f>
                      <c15:dlblFieldTableCache>
                        <c:ptCount val="1"/>
                        <c:pt idx="0">
                          <c:v>Ирска</c:v>
                        </c:pt>
                      </c15:dlblFieldTableCache>
                    </c15:dlblFTEntry>
                  </c15:dlblFieldTable>
                  <c15:showDataLabelsRange val="0"/>
                </c:ext>
                <c:ext xmlns:c16="http://schemas.microsoft.com/office/drawing/2014/chart" uri="{C3380CC4-5D6E-409C-BE32-E72D297353CC}">
                  <c16:uniqueId val="{0000000C-DDE5-47BC-959A-2302127424EA}"/>
                </c:ext>
              </c:extLst>
            </c:dLbl>
            <c:dLbl>
              <c:idx val="13"/>
              <c:layout>
                <c:manualLayout>
                  <c:x val="9.4353214650817994E-3"/>
                  <c:y val="-7.2675319019582948E-2"/>
                </c:manualLayout>
              </c:layout>
              <c:tx>
                <c:rich>
                  <a:bodyPr/>
                  <a:lstStyle/>
                  <a:p>
                    <a:fld id="{AB3130AF-8016-4600-B883-C19018188EA6}"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{AB3130AF-8016-4600-B883-C19018188EA6}</c15:txfldGUID>
                      <c15:f>'S0 2018'!$B$17</c15:f>
                      <c15:dlblFieldTableCache>
                        <c:ptCount val="1"/>
                        <c:pt idx="0">
                          <c:v>Италија</c:v>
                        </c:pt>
                      </c15:dlblFieldTableCache>
                    </c15:dlblFTEntry>
                  </c15:dlblFieldTable>
                  <c15:showDataLabelsRange val="0"/>
                </c:ext>
                <c:ext xmlns:c16="http://schemas.microsoft.com/office/drawing/2014/chart" uri="{C3380CC4-5D6E-409C-BE32-E72D297353CC}">
                  <c16:uniqueId val="{0000000D-DDE5-47BC-959A-2302127424EA}"/>
                </c:ext>
              </c:extLst>
            </c:dLbl>
            <c:dLbl>
              <c:idx val="14"/>
              <c:layout>
                <c:manualLayout>
                  <c:x val="4.4612155065336889E-2"/>
                  <c:y val="-1.4819885571698863E-2"/>
                </c:manualLayout>
              </c:layout>
              <c:tx>
                <c:rich>
                  <a:bodyPr/>
                  <a:lstStyle/>
                  <a:p>
                    <a:fld id="{7C38B323-9E7E-4C21-987E-2C1137AC4808}" type="CELLREF">
                      <a:rPr lang="sr-Cyrl-CS">
                        <a:solidFill>
                          <a:srgbClr val="44546A"/>
                        </a:solidFill>
                      </a:rPr>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{7C38B323-9E7E-4C21-987E-2C1137AC4808}</c15:txfldGUID>
                      <c15:f>'S0 2018'!$B$18</c15:f>
                      <c15:dlblFieldTableCache>
                        <c:ptCount val="1"/>
                        <c:pt idx="0">
                          <c:v>Летонија</c:v>
                        </c:pt>
                      </c15:dlblFieldTableCache>
                    </c15:dlblFTEntry>
                  </c15:dlblFieldTable>
                  <c15:showDataLabelsRange val="0"/>
                </c:ext>
                <c:ext xmlns:c16="http://schemas.microsoft.com/office/drawing/2014/chart" uri="{C3380CC4-5D6E-409C-BE32-E72D297353CC}">
                  <c16:uniqueId val="{0000000E-DDE5-47BC-959A-2302127424EA}"/>
                </c:ext>
              </c:extLst>
            </c:dLbl>
            <c:dLbl>
              <c:idx val="15"/>
              <c:layout>
                <c:manualLayout>
                  <c:x val="3.0856126465314587E-2"/>
                  <c:y val="-0.10818109803697196"/>
                </c:manualLayout>
              </c:layout>
              <c:tx>
                <c:rich>
                  <a:bodyPr/>
                  <a:lstStyle/>
                  <a:p>
                    <a:fld id="{9AB81056-CDF8-4B00-8BD3-955A22C90AC4}"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{9AB81056-CDF8-4B00-8BD3-955A22C90AC4}</c15:txfldGUID>
                      <c15:f>'S0 2018'!$B$19</c15:f>
                      <c15:dlblFieldTableCache>
                        <c:ptCount val="1"/>
                        <c:pt idx="0">
                          <c:v>Литванија</c:v>
                        </c:pt>
                      </c15:dlblFieldTableCache>
                    </c15:dlblFTEntry>
                  </c15:dlblFieldTable>
                  <c15:showDataLabelsRange val="0"/>
                </c:ext>
                <c:ext xmlns:c16="http://schemas.microsoft.com/office/drawing/2014/chart" uri="{C3380CC4-5D6E-409C-BE32-E72D297353CC}">
                  <c16:uniqueId val="{0000000F-DDE5-47BC-959A-2302127424EA}"/>
                </c:ext>
              </c:extLst>
            </c:dLbl>
            <c:dLbl>
              <c:idx val="16"/>
              <c:layout>
                <c:manualLayout>
                  <c:x val="9.5168762835366565E-3"/>
                  <c:y val="5.059591003753753E-2"/>
                </c:manualLayout>
              </c:layout>
              <c:tx>
                <c:rich>
                  <a:bodyPr/>
                  <a:lstStyle/>
                  <a:p>
                    <a:fld id="{6BD11BD5-81C9-4026-A90E-6E5A4E52F3E2}"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{6BD11BD5-81C9-4026-A90E-6E5A4E52F3E2}</c15:txfldGUID>
                      <c15:f>'S0 2018'!$B$20</c15:f>
                      <c15:dlblFieldTableCache>
                        <c:ptCount val="1"/>
                        <c:pt idx="0">
                          <c:v>Луксембург</c:v>
                        </c:pt>
                      </c15:dlblFieldTableCache>
                    </c15:dlblFTEntry>
                  </c15:dlblFieldTable>
                  <c15:showDataLabelsRange val="0"/>
                </c:ext>
                <c:ext xmlns:c16="http://schemas.microsoft.com/office/drawing/2014/chart" uri="{C3380CC4-5D6E-409C-BE32-E72D297353CC}">
                  <c16:uniqueId val="{00000010-DDE5-47BC-959A-2302127424EA}"/>
                </c:ext>
              </c:extLst>
            </c:dLbl>
            <c:dLbl>
              <c:idx val="17"/>
              <c:layout>
                <c:manualLayout>
                  <c:x val="5.9607494375353051E-2"/>
                  <c:y val="4.3160232078604272E-3"/>
                </c:manualLayout>
              </c:layout>
              <c:tx>
                <c:rich>
                  <a:bodyPr/>
                  <a:lstStyle/>
                  <a:p>
                    <a:fld id="{C037E7D2-FB9D-4BA8-9335-4772D70A5E74}"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{C037E7D2-FB9D-4BA8-9335-4772D70A5E74}</c15:txfldGUID>
                      <c15:f>'S0 2018'!$B$21</c15:f>
                      <c15:dlblFieldTableCache>
                        <c:ptCount val="1"/>
                        <c:pt idx="0">
                          <c:v>Малта</c:v>
                        </c:pt>
                      </c15:dlblFieldTableCache>
                    </c15:dlblFTEntry>
                  </c15:dlblFieldTable>
                  <c15:showDataLabelsRange val="0"/>
                </c:ext>
                <c:ext xmlns:c16="http://schemas.microsoft.com/office/drawing/2014/chart" uri="{C3380CC4-5D6E-409C-BE32-E72D297353CC}">
                  <c16:uniqueId val="{00000011-DDE5-47BC-959A-2302127424EA}"/>
                </c:ext>
              </c:extLst>
            </c:dLbl>
            <c:dLbl>
              <c:idx val="18"/>
              <c:layout>
                <c:manualLayout>
                  <c:x val="4.7295937984368997E-3"/>
                  <c:y val="1.8669151743275436E-2"/>
                </c:manualLayout>
              </c:layout>
              <c:tx>
                <c:rich>
                  <a:bodyPr/>
                  <a:lstStyle/>
                  <a:p>
                    <a:fld id="{57D188C4-E035-4D1A-AAE0-11941909A5FA}" type="CELLREF">
                      <a:rPr lang="sr-Cyrl-CS"/>
                      <a:pPr/>
                      <a:t>[CELLREF]</a:t>
                    </a:fld>
                    <a:endParaRPr lang="en-US"/>
                  </a:p>
                </c:rich>
              </c:tx>
              <c:showLegendKey val="0"/>
              <c:showVal val="0"/>
              <c:showCatName val="0"/>
              <c:showSerName val="0"/>
              <c:showPercent val="0"/>
              <c:showBubbleSize val="0"/>
              <c:extLst>
                <c:ext xmlns:c15="http://schemas.microsoft.com/office/drawing/2012/chart" uri="{CE6537A1-D6FC-4f65-9D91-7224C49458BB}">
                  <c15:dlblFieldTable>
                    <c15:dlblFTEntry>
                      <c15:txfldGUID>{57D188C4-E035-4D1A-AAE0-11941909A5FA}</c15:txfldGUID>
                      <c15:f>'S0 2018'!$B$22</c15:f>
                      <c15:dlblFieldTableCache>
                        <c:ptCount val="1"/>
                        <c:pt idx="0">
                          <c:v>Холандија</c:v>
                        </c:pt>
                      </c15:dlblFieldTableCache>
                    </c15:dlblFTEntry>
                  </c15:dlblFieldTable>
                  <c15:showDataLabelsRange val="0"/>
                </c:ext>
                <c:ext xmlns:c16="http://schemas.microsoft.com/office/drawing/2014/chart" uri="{C3380CC4-5D6E-409C-BE32-E72D297353CC}">
                  <c16:uniqueId val="{00000012-DDE5-47BC-959A-2302127424EA}"/>
                </c:ext>
              </c:extLst>
            </c:dLbl>
            <c:dLbl>
              <c:idx val="19"/>
              <c:layout>
                <c:manualLayout>
                  <c:x val="0.11920796681944636"/>
                  <c:y val="-4.6495195781923293E-2"/>
                </c:manualLayout>
              </c:layout>
              <c:tx>
                <c:rich>
                  <a:bodyPr/>
                  <a:lstStyle/>
                  <a:p>
                    <a:fld id="{5FDFF67F-972B-43B3-8EE2-7B465EB4AF78}"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{5FDFF67F-972B-43B3-8EE2-7B465EB4AF78}</c15:txfldGUID>
                      <c15:f>'S0 2018'!$B$23</c15:f>
                      <c15:dlblFieldTableCache>
                        <c:ptCount val="1"/>
                        <c:pt idx="0">
                          <c:v>Пољска</c:v>
                        </c:pt>
                      </c15:dlblFieldTableCache>
                    </c15:dlblFTEntry>
                  </c15:dlblFieldTable>
                  <c15:showDataLabelsRange val="0"/>
                </c:ext>
                <c:ext xmlns:c16="http://schemas.microsoft.com/office/drawing/2014/chart" uri="{C3380CC4-5D6E-409C-BE32-E72D297353CC}">
                  <c16:uniqueId val="{00000013-DDE5-47BC-959A-2302127424EA}"/>
                </c:ext>
              </c:extLst>
            </c:dLbl>
            <c:dLbl>
              <c:idx val="20"/>
              <c:layout>
                <c:manualLayout>
                  <c:x val="-0.12724785551018847"/>
                  <c:y val="-8.2656309298723682E-2"/>
                </c:manualLayout>
              </c:layout>
              <c:tx>
                <c:rich>
                  <a:bodyPr/>
                  <a:lstStyle/>
                  <a:p>
                    <a:fld id="{02172839-62B5-4FC7-B565-A161ABEA694F}"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{02172839-62B5-4FC7-B565-A161ABEA694F}</c15:txfldGUID>
                      <c15:f>'S0 2018'!$B$24</c15:f>
                      <c15:dlblFieldTableCache>
                        <c:ptCount val="1"/>
                        <c:pt idx="0">
                          <c:v>Португал</c:v>
                        </c:pt>
                      </c15:dlblFieldTableCache>
                    </c15:dlblFTEntry>
                  </c15:dlblFieldTable>
                  <c15:showDataLabelsRange val="0"/>
                </c:ext>
                <c:ext xmlns:c16="http://schemas.microsoft.com/office/drawing/2014/chart" uri="{C3380CC4-5D6E-409C-BE32-E72D297353CC}">
                  <c16:uniqueId val="{00000014-DDE5-47BC-959A-2302127424EA}"/>
                </c:ext>
              </c:extLst>
            </c:dLbl>
            <c:dLbl>
              <c:idx val="21"/>
              <c:layout>
                <c:manualLayout>
                  <c:x val="-9.7451126408211658E-2"/>
                  <c:y val="-4.1144537486177343E-2"/>
                </c:manualLayout>
              </c:layout>
              <c:tx>
                <c:rich>
                  <a:bodyPr/>
                  <a:lstStyle/>
                  <a:p>
                    <a:fld id="{87DA5BB2-5D52-4A8E-AABF-3E4BA495F72E}"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{87DA5BB2-5D52-4A8E-AABF-3E4BA495F72E}</c15:txfldGUID>
                      <c15:f>'S0 2018'!$B$25</c15:f>
                      <c15:dlblFieldTableCache>
                        <c:ptCount val="1"/>
                        <c:pt idx="0">
                          <c:v>Румунија</c:v>
                        </c:pt>
                      </c15:dlblFieldTableCache>
                    </c15:dlblFTEntry>
                  </c15:dlblFieldTable>
                  <c15:showDataLabelsRange val="0"/>
                </c:ext>
                <c:ext xmlns:c16="http://schemas.microsoft.com/office/drawing/2014/chart" uri="{C3380CC4-5D6E-409C-BE32-E72D297353CC}">
                  <c16:uniqueId val="{00000015-DDE5-47BC-959A-2302127424EA}"/>
                </c:ext>
              </c:extLst>
            </c:dLbl>
            <c:dLbl>
              <c:idx val="22"/>
              <c:layout>
                <c:manualLayout>
                  <c:x val="2.8479908963152761E-2"/>
                  <c:y val="-6.3485735678103006E-2"/>
                </c:manualLayout>
              </c:layout>
              <c:tx>
                <c:rich>
                  <a:bodyPr/>
                  <a:lstStyle/>
                  <a:p>
                    <a:fld id="{AE3BE22E-F715-4DF6-BD67-DDAFFA9DC0E1}"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{AE3BE22E-F715-4DF6-BD67-DDAFFA9DC0E1}</c15:txfldGUID>
                      <c15:f>'S0 2018'!$B$26</c15:f>
                      <c15:dlblFieldTableCache>
                        <c:ptCount val="1"/>
                        <c:pt idx="0">
                          <c:v>Словачка</c:v>
                        </c:pt>
                      </c15:dlblFieldTableCache>
                    </c15:dlblFTEntry>
                  </c15:dlblFieldTable>
                  <c15:showDataLabelsRange val="0"/>
                </c:ext>
                <c:ext xmlns:c16="http://schemas.microsoft.com/office/drawing/2014/chart" uri="{C3380CC4-5D6E-409C-BE32-E72D297353CC}">
                  <c16:uniqueId val="{00000016-DDE5-47BC-959A-2302127424EA}"/>
                </c:ext>
              </c:extLst>
            </c:dLbl>
            <c:dLbl>
              <c:idx val="23"/>
              <c:layout>
                <c:manualLayout>
                  <c:x val="4.4337123314106663E-2"/>
                  <c:y val="3.0555246270172639E-2"/>
                </c:manualLayout>
              </c:layout>
              <c:tx>
                <c:rich>
                  <a:bodyPr/>
                  <a:lstStyle/>
                  <a:p>
                    <a:fld id="{C00C6D57-AD87-4C57-96BC-43AD631B673A}"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{C00C6D57-AD87-4C57-96BC-43AD631B673A}</c15:txfldGUID>
                      <c15:f>'S0 2018'!$B$27</c15:f>
                      <c15:dlblFieldTableCache>
                        <c:ptCount val="1"/>
                        <c:pt idx="0">
                          <c:v>Словенија</c:v>
                        </c:pt>
                      </c15:dlblFieldTableCache>
                    </c15:dlblFTEntry>
                  </c15:dlblFieldTable>
                  <c15:showDataLabelsRange val="0"/>
                </c:ext>
                <c:ext xmlns:c16="http://schemas.microsoft.com/office/drawing/2014/chart" uri="{C3380CC4-5D6E-409C-BE32-E72D297353CC}">
                  <c16:uniqueId val="{00000017-DDE5-47BC-959A-2302127424EA}"/>
                </c:ext>
              </c:extLst>
            </c:dLbl>
            <c:dLbl>
              <c:idx val="24"/>
              <c:layout>
                <c:manualLayout>
                  <c:x val="2.6001040041601618E-2"/>
                  <c:y val="3.3039647577092442E-2"/>
                </c:manualLayout>
              </c:layout>
              <c:tx>
                <c:rich>
                  <a:bodyPr/>
                  <a:lstStyle/>
                  <a:p>
                    <a:fld id="{2903BFEE-08D6-4338-A79A-8EE42587D941}"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{2903BFEE-08D6-4338-A79A-8EE42587D941}</c15:txfldGUID>
                      <c15:f>'S0 2018'!$B$28</c15:f>
                      <c15:dlblFieldTableCache>
                        <c:ptCount val="1"/>
                        <c:pt idx="0">
                          <c:v>Шпанија</c:v>
                        </c:pt>
                      </c15:dlblFieldTableCache>
                    </c15:dlblFTEntry>
                  </c15:dlblFieldTable>
                  <c15:showDataLabelsRange val="0"/>
                </c:ext>
                <c:ext xmlns:c16="http://schemas.microsoft.com/office/drawing/2014/chart" uri="{C3380CC4-5D6E-409C-BE32-E72D297353CC}">
                  <c16:uniqueId val="{00000018-DDE5-47BC-959A-2302127424EA}"/>
                </c:ext>
              </c:extLst>
            </c:dLbl>
            <c:dLbl>
              <c:idx val="25"/>
              <c:layout>
                <c:manualLayout>
                  <c:x val="6.7286678510905654E-2"/>
                  <c:y val="-5.8763856871277297E-2"/>
                </c:manualLayout>
              </c:layout>
              <c:tx>
                <c:rich>
                  <a:bodyPr/>
                  <a:lstStyle/>
                  <a:p>
                    <a:fld id="{B4782E60-7DDA-4ED8-A2B0-509040CB6F98}"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{B4782E60-7DDA-4ED8-A2B0-509040CB6F98}</c15:txfldGUID>
                      <c15:f>'S0 2018'!$B$29</c15:f>
                      <c15:dlblFieldTableCache>
                        <c:ptCount val="1"/>
                        <c:pt idx="0">
                          <c:v>Шведска</c:v>
                        </c:pt>
                      </c15:dlblFieldTableCache>
                    </c15:dlblFTEntry>
                  </c15:dlblFieldTable>
                  <c15:showDataLabelsRange val="0"/>
                </c:ext>
                <c:ext xmlns:c16="http://schemas.microsoft.com/office/drawing/2014/chart" uri="{C3380CC4-5D6E-409C-BE32-E72D297353CC}">
                  <c16:uniqueId val="{00000019-DDE5-47BC-959A-2302127424EA}"/>
                </c:ext>
              </c:extLst>
            </c:dLbl>
            <c:dLbl>
              <c:idx val="26"/>
              <c:layout>
                <c:manualLayout>
                  <c:x val="-0.20546945792190224"/>
                  <c:y val="4.605495741603724E-2"/>
                </c:manualLayout>
              </c:layout>
              <c:tx>
                <c:rich>
                  <a:bodyPr/>
                  <a:lstStyle/>
                  <a:p>
                    <a:fld id="{3EA81A95-719A-4BA8-BD3D-E90F5FC8467D}"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{3EA81A95-719A-4BA8-BD3D-E90F5FC8467D}</c15:txfldGUID>
                      <c15:f>'S0 2018'!$B$30</c15:f>
                      <c15:dlblFieldTableCache>
                        <c:ptCount val="1"/>
                        <c:pt idx="0">
                          <c:v>Уједињено Краљевство</c:v>
                        </c:pt>
                      </c15:dlblFieldTableCache>
                    </c15:dlblFTEntry>
                  </c15:dlblFieldTable>
                  <c15:showDataLabelsRange val="0"/>
                </c:ext>
                <c:ext xmlns:c16="http://schemas.microsoft.com/office/drawing/2014/chart" uri="{C3380CC4-5D6E-409C-BE32-E72D297353CC}">
                  <c16:uniqueId val="{0000001A-DDE5-47BC-959A-2302127424EA}"/>
                </c:ext>
              </c:extLst>
            </c:dLbl>
            <c:dLbl>
              <c:idx val="27"/>
              <c:layout>
                <c:manualLayout>
                  <c:x val="2.6209077634793031E-2"/>
                  <c:y val="1.8080547308635602E-2"/>
                </c:manualLayout>
              </c:layout>
              <c:tx>
                <c:rich>
                  <a:bodyPr rot="0" spcFirstLastPara="1" vertOverflow="ellipsis" vert="horz" wrap="square" lIns="38100" tIns="19050" rIns="38100" bIns="19050" anchor="ctr" anchorCtr="1">
                    <a:noAutofit/>
                  </a:bodyPr>
                  <a:lstStyle/>
                  <a:p>
                    <a:pPr>
                      <a:defRPr sz="750" b="1" i="0" u="none" strike="noStrike" kern="1200" baseline="0">
                        <a:solidFill>
                          <a:srgbClr val="44546A"/>
                        </a:solidFill>
                        <a:latin typeface="+mj-lt"/>
                        <a:ea typeface="+mn-ea"/>
                        <a:cs typeface="+mn-cs"/>
                      </a:defRPr>
                    </a:pPr>
                    <a:r>
                      <a:rPr lang="sr-Cyrl-CS" sz="750" b="1">
                        <a:solidFill>
                          <a:srgbClr val="44546A"/>
                        </a:solidFill>
                      </a:rPr>
                      <a:t>Србија</a:t>
                    </a:r>
                    <a:r>
                      <a:rPr lang="sr-Cyrl-CS" sz="750" b="1" baseline="0">
                        <a:solidFill>
                          <a:srgbClr val="44546A"/>
                        </a:solidFill>
                      </a:rPr>
                      <a:t> 2017, 2018</a:t>
                    </a:r>
                  </a:p>
                </c:rich>
              </c:tx>
              <c:spPr>
                <a:noFill/>
                <a:ln>
                  <a:noFill/>
                </a:ln>
                <a:effectLst/>
              </c:spPr>
              <c:txPr>
                <a:bodyPr rot="0" spcFirstLastPara="1" vertOverflow="ellipsis" vert="horz" wrap="square" lIns="38100" tIns="19050" rIns="38100" bIns="19050" anchor="ctr" anchorCtr="1">
                  <a:noAutofit/>
                </a:bodyPr>
                <a:lstStyle/>
                <a:p>
                  <a:pPr>
                    <a:defRPr sz="750" b="1" i="0" u="none" strike="noStrike" kern="1200" baseline="0">
                      <a:solidFill>
                        <a:srgbClr val="44546A"/>
                      </a:solidFill>
                      <a:latin typeface="+mj-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15:layout>
                    <c:manualLayout>
                      <c:w val="0.14893579620980454"/>
                      <c:h val="2.7584879323230092E-2"/>
                    </c:manualLayout>
                  </c15:layout>
                </c:ext>
                <c:ext xmlns:c16="http://schemas.microsoft.com/office/drawing/2014/chart" uri="{C3380CC4-5D6E-409C-BE32-E72D297353CC}">
                  <c16:uniqueId val="{0000001B-DDE5-47BC-959A-2302127424EA}"/>
                </c:ext>
              </c:extLst>
            </c:dLbl>
            <c:dLbl>
              <c:idx val="29"/>
              <c:layout>
                <c:manualLayout>
                  <c:x val="2.3646504812319959E-3"/>
                  <c:y val="-2.323934922330732E-2"/>
                </c:manualLayout>
              </c:layout>
              <c:tx>
                <c:rich>
                  <a:bodyPr rot="0" spcFirstLastPara="1" vertOverflow="ellipsis" vert="horz" wrap="square" lIns="38100" tIns="19050" rIns="38100" bIns="19050" anchor="ctr" anchorCtr="1">
                    <a:spAutoFit/>
                  </a:bodyPr>
                  <a:lstStyle/>
                  <a:p>
                    <a:pPr>
                      <a:defRPr sz="750" b="1" i="0" u="none" strike="noStrike" kern="1200" baseline="0">
                        <a:solidFill>
                          <a:srgbClr val="44546A"/>
                        </a:solidFill>
                        <a:latin typeface="+mj-lt"/>
                        <a:ea typeface="+mn-ea"/>
                        <a:cs typeface="+mn-cs"/>
                      </a:defRPr>
                    </a:pPr>
                    <a:r>
                      <a:rPr lang="sr-Cyrl-CS" sz="750" b="1">
                        <a:solidFill>
                          <a:srgbClr val="44546A"/>
                        </a:solidFill>
                      </a:rPr>
                      <a:t>Србија 2016</a:t>
                    </a:r>
                  </a:p>
                </c:rich>
              </c:tx>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rgbClr val="44546A"/>
                      </a:solidFill>
                      <a:latin typeface="+mj-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C-DDE5-47BC-959A-2302127424EA}"/>
                </c:ext>
              </c:extLst>
            </c:dLbl>
            <c:dLbl>
              <c:idx val="30"/>
              <c:layout>
                <c:manualLayout>
                  <c:x val="-7.5718672185207697E-2"/>
                  <c:y val="-5.3989640394118035E-2"/>
                </c:manualLayout>
              </c:layout>
              <c:tx>
                <c:rich>
                  <a:bodyPr rot="0" spcFirstLastPara="1" vertOverflow="ellipsis" vert="horz" wrap="square" lIns="38100" tIns="19050" rIns="38100" bIns="19050" anchor="ctr" anchorCtr="1">
                    <a:noAutofit/>
                  </a:bodyPr>
                  <a:lstStyle/>
                  <a:p>
                    <a:pPr>
                      <a:defRPr sz="750" b="1" i="0" u="none" strike="noStrike" kern="1200" baseline="0">
                        <a:solidFill>
                          <a:srgbClr val="44546A"/>
                        </a:solidFill>
                        <a:latin typeface="+mj-lt"/>
                        <a:ea typeface="+mn-ea"/>
                        <a:cs typeface="+mn-cs"/>
                      </a:defRPr>
                    </a:pPr>
                    <a:r>
                      <a:rPr lang="sr-Cyrl-CS" sz="750" b="1">
                        <a:solidFill>
                          <a:srgbClr val="44546A"/>
                        </a:solidFill>
                      </a:rPr>
                      <a:t>Србија2015</a:t>
                    </a:r>
                  </a:p>
                  <a:p>
                    <a:pPr>
                      <a:defRPr sz="750" b="1">
                        <a:solidFill>
                          <a:srgbClr val="44546A"/>
                        </a:solidFill>
                        <a:latin typeface="+mj-lt"/>
                      </a:defRPr>
                    </a:pPr>
                    <a:endParaRPr lang="sr-Cyrl-CS" sz="750" b="1">
                      <a:solidFill>
                        <a:srgbClr val="44546A"/>
                      </a:solidFill>
                    </a:endParaRPr>
                  </a:p>
                </c:rich>
              </c:tx>
              <c:spPr>
                <a:noFill/>
                <a:ln>
                  <a:noFill/>
                </a:ln>
                <a:effectLst/>
              </c:spPr>
              <c:txPr>
                <a:bodyPr rot="0" spcFirstLastPara="1" vertOverflow="ellipsis" vert="horz" wrap="square" lIns="38100" tIns="19050" rIns="38100" bIns="19050" anchor="ctr" anchorCtr="1">
                  <a:noAutofit/>
                </a:bodyPr>
                <a:lstStyle/>
                <a:p>
                  <a:pPr>
                    <a:defRPr sz="750" b="1" i="0" u="none" strike="noStrike" kern="1200" baseline="0">
                      <a:solidFill>
                        <a:srgbClr val="44546A"/>
                      </a:solidFill>
                      <a:latin typeface="+mj-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15:layout>
                    <c:manualLayout>
                      <c:w val="0.1342497812773403"/>
                      <c:h val="4.1601029999940392E-2"/>
                    </c:manualLayout>
                  </c15:layout>
                </c:ext>
                <c:ext xmlns:c16="http://schemas.microsoft.com/office/drawing/2014/chart" uri="{C3380CC4-5D6E-409C-BE32-E72D297353CC}">
                  <c16:uniqueId val="{0000001D-DDE5-47BC-959A-2302127424EA}"/>
                </c:ext>
              </c:extLst>
            </c:dLbl>
            <c:dLbl>
              <c:idx val="31"/>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E-DDE5-47BC-959A-2302127424EA}"/>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rgbClr val="44546A"/>
                    </a:solidFill>
                    <a:latin typeface="+mj-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15:showLeaderLines val="1"/>
                <c15:leaderLines>
                  <c:spPr>
                    <a:ln w="6350" cap="flat" cmpd="sng" algn="ctr">
                      <a:solidFill>
                        <a:srgbClr val="44546A"/>
                      </a:solidFill>
                      <a:round/>
                    </a:ln>
                    <a:effectLst/>
                  </c:spPr>
                </c15:leaderLines>
              </c:ext>
            </c:extLst>
          </c:dLbls>
          <c:xVal>
            <c:numRef>
              <c:f>'S0 2018'!$D$4:$D$34</c:f>
              <c:numCache>
                <c:formatCode>0.00</c:formatCode>
                <c:ptCount val="31"/>
                <c:pt idx="0">
                  <c:v>7.0000000000000007E-2</c:v>
                </c:pt>
                <c:pt idx="1">
                  <c:v>0.19</c:v>
                </c:pt>
                <c:pt idx="2">
                  <c:v>0</c:v>
                </c:pt>
                <c:pt idx="3">
                  <c:v>0</c:v>
                </c:pt>
                <c:pt idx="4">
                  <c:v>0.19</c:v>
                </c:pt>
                <c:pt idx="5">
                  <c:v>0.27</c:v>
                </c:pt>
                <c:pt idx="6">
                  <c:v>0</c:v>
                </c:pt>
                <c:pt idx="7">
                  <c:v>0</c:v>
                </c:pt>
                <c:pt idx="8">
                  <c:v>0.08</c:v>
                </c:pt>
                <c:pt idx="9">
                  <c:v>0.41</c:v>
                </c:pt>
                <c:pt idx="10">
                  <c:v>0</c:v>
                </c:pt>
                <c:pt idx="11">
                  <c:v>0.69</c:v>
                </c:pt>
                <c:pt idx="12">
                  <c:v>0</c:v>
                </c:pt>
                <c:pt idx="13">
                  <c:v>0.47</c:v>
                </c:pt>
                <c:pt idx="14">
                  <c:v>0.08</c:v>
                </c:pt>
                <c:pt idx="15">
                  <c:v>0</c:v>
                </c:pt>
                <c:pt idx="16">
                  <c:v>0</c:v>
                </c:pt>
                <c:pt idx="17">
                  <c:v>0.04</c:v>
                </c:pt>
                <c:pt idx="18">
                  <c:v>0</c:v>
                </c:pt>
                <c:pt idx="19">
                  <c:v>0</c:v>
                </c:pt>
                <c:pt idx="20">
                  <c:v>0.31</c:v>
                </c:pt>
                <c:pt idx="21">
                  <c:v>0.26</c:v>
                </c:pt>
                <c:pt idx="22">
                  <c:v>0</c:v>
                </c:pt>
                <c:pt idx="23">
                  <c:v>7.0000000000000007E-2</c:v>
                </c:pt>
                <c:pt idx="24">
                  <c:v>0.56999999999999995</c:v>
                </c:pt>
                <c:pt idx="25">
                  <c:v>0</c:v>
                </c:pt>
                <c:pt idx="26">
                  <c:v>0.31</c:v>
                </c:pt>
                <c:pt idx="27">
                  <c:v>0</c:v>
                </c:pt>
                <c:pt idx="28">
                  <c:v>0</c:v>
                </c:pt>
                <c:pt idx="29">
                  <c:v>0.19161676646706588</c:v>
                </c:pt>
                <c:pt idx="30">
                  <c:v>0.40718562874251496</c:v>
                </c:pt>
              </c:numCache>
            </c:numRef>
          </c:xVal>
          <c:yVal>
            <c:numRef>
              <c:f>'S0 2018'!$E$4:$E$34</c:f>
              <c:numCache>
                <c:formatCode>0.00</c:formatCode>
                <c:ptCount val="31"/>
                <c:pt idx="0">
                  <c:v>0</c:v>
                </c:pt>
                <c:pt idx="1">
                  <c:v>0.23</c:v>
                </c:pt>
                <c:pt idx="2">
                  <c:v>0.28000000000000003</c:v>
                </c:pt>
                <c:pt idx="3">
                  <c:v>0.27</c:v>
                </c:pt>
                <c:pt idx="4">
                  <c:v>0.26</c:v>
                </c:pt>
                <c:pt idx="5">
                  <c:v>0.56999999999999995</c:v>
                </c:pt>
                <c:pt idx="6">
                  <c:v>0.19</c:v>
                </c:pt>
                <c:pt idx="7">
                  <c:v>0.25</c:v>
                </c:pt>
                <c:pt idx="8">
                  <c:v>0.17</c:v>
                </c:pt>
                <c:pt idx="9">
                  <c:v>0.23</c:v>
                </c:pt>
                <c:pt idx="10">
                  <c:v>0</c:v>
                </c:pt>
                <c:pt idx="11">
                  <c:v>0.16</c:v>
                </c:pt>
                <c:pt idx="12">
                  <c:v>0.32</c:v>
                </c:pt>
                <c:pt idx="13">
                  <c:v>0.31</c:v>
                </c:pt>
                <c:pt idx="14">
                  <c:v>0.33</c:v>
                </c:pt>
                <c:pt idx="15">
                  <c:v>0.33</c:v>
                </c:pt>
                <c:pt idx="16">
                  <c:v>0.18</c:v>
                </c:pt>
                <c:pt idx="17">
                  <c:v>0.08</c:v>
                </c:pt>
                <c:pt idx="18">
                  <c:v>0.12</c:v>
                </c:pt>
                <c:pt idx="19">
                  <c:v>0.27</c:v>
                </c:pt>
                <c:pt idx="20">
                  <c:v>0.33</c:v>
                </c:pt>
                <c:pt idx="21">
                  <c:v>0.33</c:v>
                </c:pt>
                <c:pt idx="22">
                  <c:v>0.4</c:v>
                </c:pt>
                <c:pt idx="23">
                  <c:v>0.16</c:v>
                </c:pt>
                <c:pt idx="24">
                  <c:v>0.27</c:v>
                </c:pt>
                <c:pt idx="25">
                  <c:v>0.31</c:v>
                </c:pt>
                <c:pt idx="26">
                  <c:v>0.47</c:v>
                </c:pt>
                <c:pt idx="27">
                  <c:v>0.27243589743589747</c:v>
                </c:pt>
                <c:pt idx="28">
                  <c:v>0.27243589743589747</c:v>
                </c:pt>
                <c:pt idx="29">
                  <c:v>0.27243589743589747</c:v>
                </c:pt>
                <c:pt idx="30">
                  <c:v>0.27243589743589747</c:v>
                </c:pt>
              </c:numCache>
            </c:numRef>
          </c:yVal>
          <c:smooth val="0"/>
          <c:extLst>
            <c:ext xmlns:c16="http://schemas.microsoft.com/office/drawing/2014/chart" uri="{C3380CC4-5D6E-409C-BE32-E72D297353CC}">
              <c16:uniqueId val="{0000001F-DDE5-47BC-959A-2302127424EA}"/>
            </c:ext>
          </c:extLst>
        </c:ser>
        <c:dLbls>
          <c:showLegendKey val="0"/>
          <c:showVal val="0"/>
          <c:showCatName val="0"/>
          <c:showSerName val="0"/>
          <c:showPercent val="0"/>
          <c:showBubbleSize val="0"/>
        </c:dLbls>
        <c:axId val="455436256"/>
        <c:axId val="455436816"/>
      </c:scatterChart>
      <c:valAx>
        <c:axId val="455436256"/>
        <c:scaling>
          <c:orientation val="minMax"/>
          <c:max val="0.70000000000000007"/>
        </c:scaling>
        <c:delete val="0"/>
        <c:axPos val="b"/>
        <c:title>
          <c:tx>
            <c:rich>
              <a:bodyPr rot="0" spcFirstLastPara="1" vertOverflow="ellipsis" vert="horz" wrap="square" anchor="ctr" anchorCtr="1"/>
              <a:lstStyle/>
              <a:p>
                <a:pPr>
                  <a:defRPr sz="750" b="0" i="0" u="none" strike="noStrike" kern="1200" baseline="0">
                    <a:solidFill>
                      <a:srgbClr val="44546A"/>
                    </a:solidFill>
                    <a:latin typeface="+mn-lt"/>
                    <a:ea typeface="+mn-ea"/>
                    <a:cs typeface="+mn-cs"/>
                  </a:defRPr>
                </a:pPr>
                <a:r>
                  <a:rPr lang="sr-Cyrl-RS" sz="750" b="0">
                    <a:solidFill>
                      <a:srgbClr val="44546A"/>
                    </a:solidFill>
                    <a:latin typeface="+mn-lt"/>
                  </a:rPr>
                  <a:t>Фискални подиндекс</a:t>
                </a:r>
                <a:endParaRPr lang="en-US" sz="750" b="0">
                  <a:solidFill>
                    <a:srgbClr val="44546A"/>
                  </a:solidFill>
                  <a:latin typeface="+mn-lt"/>
                </a:endParaRPr>
              </a:p>
            </c:rich>
          </c:tx>
          <c:layout>
            <c:manualLayout>
              <c:xMode val="edge"/>
              <c:yMode val="edge"/>
              <c:x val="0.44323244863334277"/>
              <c:y val="0.9445071645679548"/>
            </c:manualLayout>
          </c:layout>
          <c:overlay val="0"/>
          <c:spPr>
            <a:noFill/>
            <a:ln>
              <a:noFill/>
            </a:ln>
            <a:effectLst/>
          </c:spPr>
          <c:txPr>
            <a:bodyPr rot="0" spcFirstLastPara="1" vertOverflow="ellipsis" vert="horz" wrap="square" anchor="ctr" anchorCtr="1"/>
            <a:lstStyle/>
            <a:p>
              <a:pPr>
                <a:defRPr sz="750" b="0" i="0" u="none" strike="noStrike" kern="1200" baseline="0">
                  <a:solidFill>
                    <a:srgbClr val="44546A"/>
                  </a:solidFill>
                  <a:latin typeface="+mn-lt"/>
                  <a:ea typeface="+mn-ea"/>
                  <a:cs typeface="+mn-cs"/>
                </a:defRPr>
              </a:pPr>
              <a:endParaRPr lang="en-US"/>
            </a:p>
          </c:txPr>
        </c:title>
        <c:numFmt formatCode="0.00" sourceLinked="1"/>
        <c:majorTickMark val="none"/>
        <c:minorTickMark val="none"/>
        <c:tickLblPos val="nextTo"/>
        <c:spPr>
          <a:noFill/>
          <a:ln w="6350" cap="flat" cmpd="sng" algn="ctr">
            <a:solidFill>
              <a:srgbClr val="44546A"/>
            </a:solidFill>
            <a:round/>
          </a:ln>
          <a:effectLst/>
        </c:spPr>
        <c:txPr>
          <a:bodyPr rot="-60000000" spcFirstLastPara="1" vertOverflow="ellipsis" vert="horz" wrap="square" anchor="ctr" anchorCtr="1"/>
          <a:lstStyle/>
          <a:p>
            <a:pPr>
              <a:defRPr sz="750" b="0" i="0" u="none" strike="noStrike" kern="1200" baseline="0">
                <a:solidFill>
                  <a:srgbClr val="44546A"/>
                </a:solidFill>
                <a:latin typeface="+mn-lt"/>
                <a:ea typeface="+mn-ea"/>
                <a:cs typeface="+mn-cs"/>
              </a:defRPr>
            </a:pPr>
            <a:endParaRPr lang="en-US"/>
          </a:p>
        </c:txPr>
        <c:crossAx val="455436816"/>
        <c:crosses val="autoZero"/>
        <c:crossBetween val="midCat"/>
      </c:valAx>
      <c:valAx>
        <c:axId val="455436816"/>
        <c:scaling>
          <c:orientation val="minMax"/>
          <c:max val="0.70000000000000007"/>
        </c:scaling>
        <c:delete val="0"/>
        <c:axPos val="l"/>
        <c:title>
          <c:tx>
            <c:rich>
              <a:bodyPr rot="-5400000" spcFirstLastPara="1" vertOverflow="ellipsis" vert="horz" wrap="square" anchor="ctr" anchorCtr="1"/>
              <a:lstStyle/>
              <a:p>
                <a:pPr>
                  <a:defRPr sz="750" b="0" i="0" u="none" strike="noStrike" kern="1200" baseline="0">
                    <a:solidFill>
                      <a:srgbClr val="44546A"/>
                    </a:solidFill>
                    <a:latin typeface="+mn-lt"/>
                    <a:ea typeface="+mn-ea"/>
                    <a:cs typeface="+mn-cs"/>
                  </a:defRPr>
                </a:pPr>
                <a:r>
                  <a:rPr lang="sr-Cyrl-RS" sz="750" b="0">
                    <a:solidFill>
                      <a:srgbClr val="44546A"/>
                    </a:solidFill>
                    <a:latin typeface="+mn-lt"/>
                  </a:rPr>
                  <a:t>Подиндекс макро-финансијске конкурентности</a:t>
                </a:r>
                <a:endParaRPr lang="en-US" sz="750" b="0">
                  <a:solidFill>
                    <a:srgbClr val="44546A"/>
                  </a:solidFill>
                  <a:latin typeface="+mn-lt"/>
                </a:endParaRPr>
              </a:p>
            </c:rich>
          </c:tx>
          <c:layout>
            <c:manualLayout>
              <c:xMode val="edge"/>
              <c:yMode val="edge"/>
              <c:x val="1.6448206962536724E-2"/>
              <c:y val="0.10793863533015818"/>
            </c:manualLayout>
          </c:layout>
          <c:overlay val="0"/>
          <c:spPr>
            <a:noFill/>
            <a:ln>
              <a:noFill/>
            </a:ln>
            <a:effectLst/>
          </c:spPr>
          <c:txPr>
            <a:bodyPr rot="-5400000" spcFirstLastPara="1" vertOverflow="ellipsis" vert="horz" wrap="square" anchor="ctr" anchorCtr="1"/>
            <a:lstStyle/>
            <a:p>
              <a:pPr>
                <a:defRPr sz="750" b="0" i="0" u="none" strike="noStrike" kern="1200" baseline="0">
                  <a:solidFill>
                    <a:srgbClr val="44546A"/>
                  </a:solidFill>
                  <a:latin typeface="+mn-lt"/>
                  <a:ea typeface="+mn-ea"/>
                  <a:cs typeface="+mn-cs"/>
                </a:defRPr>
              </a:pPr>
              <a:endParaRPr lang="en-US"/>
            </a:p>
          </c:txPr>
        </c:title>
        <c:numFmt formatCode="0.00" sourceLinked="1"/>
        <c:majorTickMark val="none"/>
        <c:minorTickMark val="none"/>
        <c:tickLblPos val="nextTo"/>
        <c:spPr>
          <a:noFill/>
          <a:ln w="6350" cap="flat" cmpd="sng" algn="ctr">
            <a:solidFill>
              <a:srgbClr val="44546A"/>
            </a:solidFill>
            <a:round/>
          </a:ln>
          <a:effectLst/>
        </c:spPr>
        <c:txPr>
          <a:bodyPr rot="-60000000" spcFirstLastPara="1" vertOverflow="ellipsis" vert="horz" wrap="square" anchor="ctr" anchorCtr="1"/>
          <a:lstStyle/>
          <a:p>
            <a:pPr>
              <a:defRPr sz="750" b="0" i="0" u="none" strike="noStrike" kern="1200" baseline="0">
                <a:solidFill>
                  <a:srgbClr val="44546A"/>
                </a:solidFill>
                <a:latin typeface="+mn-lt"/>
                <a:ea typeface="+mn-ea"/>
                <a:cs typeface="+mn-cs"/>
              </a:defRPr>
            </a:pPr>
            <a:endParaRPr lang="en-US"/>
          </a:p>
        </c:txPr>
        <c:crossAx val="455436256"/>
        <c:crosses val="autoZero"/>
        <c:crossBetween val="midCat"/>
      </c:valAx>
      <c:spPr>
        <a:noFill/>
        <a:ln>
          <a:noFill/>
        </a:ln>
        <a:effectLst/>
      </c:spPr>
    </c:plotArea>
    <c:plotVisOnly val="1"/>
    <c:dispBlanksAs val="gap"/>
    <c:showDLblsOverMax val="0"/>
  </c:chart>
  <c:spPr>
    <a:noFill/>
    <a:ln w="9525" cap="flat" cmpd="sng" algn="ctr">
      <a:noFill/>
      <a:round/>
    </a:ln>
    <a:effectLst/>
  </c:spPr>
  <c:txPr>
    <a:bodyPr/>
    <a:lstStyle/>
    <a:p>
      <a:pPr>
        <a:defRPr/>
      </a:pPr>
      <a:endParaRPr lang="en-US"/>
    </a:p>
  </c:txPr>
  <c:externalData r:id="rId4">
    <c:autoUpdate val="0"/>
  </c:externalData>
  <c:userShapes r:id="rId5"/>
</c:chartSpace>
</file>

<file path=word/charts/chart4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0363960477636535E-2"/>
          <c:y val="7.0546644632383929E-2"/>
          <c:w val="0.81749697670043808"/>
          <c:h val="0.63416804380933878"/>
        </c:manualLayout>
      </c:layout>
      <c:barChart>
        <c:barDir val="col"/>
        <c:grouping val="clustered"/>
        <c:varyColors val="0"/>
        <c:ser>
          <c:idx val="1"/>
          <c:order val="1"/>
          <c:tx>
            <c:strRef>
              <c:f>'Fiskalni rezultat javni dug u %'!$C$4</c:f>
              <c:strCache>
                <c:ptCount val="1"/>
                <c:pt idx="0">
                  <c:v>дуг опште државе</c:v>
                </c:pt>
              </c:strCache>
            </c:strRef>
          </c:tx>
          <c:spPr>
            <a:solidFill>
              <a:srgbClr val="2183C4"/>
            </a:solidFill>
            <a:ln>
              <a:noFill/>
            </a:ln>
            <a:effectLst/>
          </c:spPr>
          <c:invertIfNegative val="0"/>
          <c:dLbls>
            <c:dLbl>
              <c:idx val="3"/>
              <c:tx>
                <c:rich>
                  <a:bodyPr/>
                  <a:lstStyle/>
                  <a:p>
                    <a:r>
                      <a:rPr lang="en-US"/>
                      <a:t>54,4</a:t>
                    </a:r>
                  </a:p>
                </c:rich>
              </c:tx>
              <c:dLblPos val="inBase"/>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7CF3-45EB-8F49-159DD1E42B99}"/>
                </c:ext>
              </c:extLst>
            </c:dLbl>
            <c:dLbl>
              <c:idx val="6"/>
              <c:tx>
                <c:rich>
                  <a:bodyPr/>
                  <a:lstStyle/>
                  <a:p>
                    <a:r>
                      <a:rPr lang="en-US"/>
                      <a:t>50,1</a:t>
                    </a:r>
                  </a:p>
                </c:rich>
              </c:tx>
              <c:dLblPos val="inBase"/>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7CF3-45EB-8F49-159DD1E42B99}"/>
                </c:ext>
              </c:extLst>
            </c:dLbl>
            <c:dLbl>
              <c:idx val="7"/>
              <c:tx>
                <c:rich>
                  <a:bodyPr/>
                  <a:lstStyle/>
                  <a:p>
                    <a:r>
                      <a:rPr lang="en-US"/>
                      <a:t>48,3</a:t>
                    </a:r>
                  </a:p>
                </c:rich>
              </c:tx>
              <c:dLblPos val="inBase"/>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7CF3-45EB-8F49-159DD1E42B99}"/>
                </c:ext>
              </c:extLst>
            </c:dLbl>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bg1"/>
                    </a:solidFill>
                    <a:latin typeface="+mn-lt"/>
                    <a:ea typeface="+mn-ea"/>
                    <a:cs typeface="+mn-cs"/>
                  </a:defRPr>
                </a:pPr>
                <a:endParaRPr lang="en-U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'Fiskalni rezultat javni dug u %'!$D$2:$K$2</c:f>
              <c:numCache>
                <c:formatCode>General</c:formatCode>
                <c:ptCount val="8"/>
                <c:pt idx="0">
                  <c:v>2015</c:v>
                </c:pt>
                <c:pt idx="1">
                  <c:v>2016</c:v>
                </c:pt>
                <c:pt idx="2">
                  <c:v>2017</c:v>
                </c:pt>
                <c:pt idx="3">
                  <c:v>2018</c:v>
                </c:pt>
                <c:pt idx="4">
                  <c:v>2019</c:v>
                </c:pt>
                <c:pt idx="5">
                  <c:v>2020</c:v>
                </c:pt>
                <c:pt idx="6">
                  <c:v>2021</c:v>
                </c:pt>
                <c:pt idx="7">
                  <c:v>2022</c:v>
                </c:pt>
              </c:numCache>
            </c:numRef>
          </c:cat>
          <c:val>
            <c:numRef>
              <c:f>'Fiskalni rezultat javni dug u %'!$D$4:$K$4</c:f>
              <c:numCache>
                <c:formatCode>0.0</c:formatCode>
                <c:ptCount val="8"/>
                <c:pt idx="0">
                  <c:v>71.249069559343553</c:v>
                </c:pt>
                <c:pt idx="1">
                  <c:v>68.803701794720155</c:v>
                </c:pt>
                <c:pt idx="2">
                  <c:v>58.693404862723057</c:v>
                </c:pt>
                <c:pt idx="3">
                  <c:v>54.495440200032156</c:v>
                </c:pt>
                <c:pt idx="4">
                  <c:v>52.900000000000006</c:v>
                </c:pt>
                <c:pt idx="5">
                  <c:v>51.4</c:v>
                </c:pt>
                <c:pt idx="6">
                  <c:v>50.3</c:v>
                </c:pt>
                <c:pt idx="7">
                  <c:v>48.4</c:v>
                </c:pt>
              </c:numCache>
            </c:numRef>
          </c:val>
          <c:extLst>
            <c:ext xmlns:c16="http://schemas.microsoft.com/office/drawing/2014/chart" uri="{C3380CC4-5D6E-409C-BE32-E72D297353CC}">
              <c16:uniqueId val="{00000003-7CF3-45EB-8F49-159DD1E42B99}"/>
            </c:ext>
          </c:extLst>
        </c:ser>
        <c:dLbls>
          <c:showLegendKey val="0"/>
          <c:showVal val="0"/>
          <c:showCatName val="0"/>
          <c:showSerName val="0"/>
          <c:showPercent val="0"/>
          <c:showBubbleSize val="0"/>
        </c:dLbls>
        <c:gapWidth val="41"/>
        <c:overlap val="-12"/>
        <c:axId val="450416464"/>
        <c:axId val="450220496"/>
      </c:barChart>
      <c:lineChart>
        <c:grouping val="standard"/>
        <c:varyColors val="0"/>
        <c:ser>
          <c:idx val="2"/>
          <c:order val="2"/>
          <c:tx>
            <c:strRef>
              <c:f>'Fiskalni rezultat javni dug u %'!$C$5</c:f>
              <c:strCache>
                <c:ptCount val="1"/>
                <c:pt idx="0">
                  <c:v>баланс</c:v>
                </c:pt>
              </c:strCache>
            </c:strRef>
          </c:tx>
          <c:spPr>
            <a:ln w="22860" cap="rnd">
              <a:solidFill>
                <a:schemeClr val="tx1"/>
              </a:solidFill>
              <a:round/>
            </a:ln>
            <a:effectLst/>
          </c:spPr>
          <c:marker>
            <c:symbol val="none"/>
          </c:marker>
          <c:cat>
            <c:numRef>
              <c:f>'Fiskalni rezultat javni dug u %'!$D$2:$K$2</c:f>
              <c:numCache>
                <c:formatCode>General</c:formatCode>
                <c:ptCount val="8"/>
                <c:pt idx="0">
                  <c:v>2015</c:v>
                </c:pt>
                <c:pt idx="1">
                  <c:v>2016</c:v>
                </c:pt>
                <c:pt idx="2">
                  <c:v>2017</c:v>
                </c:pt>
                <c:pt idx="3">
                  <c:v>2018</c:v>
                </c:pt>
                <c:pt idx="4">
                  <c:v>2019</c:v>
                </c:pt>
                <c:pt idx="5">
                  <c:v>2020</c:v>
                </c:pt>
                <c:pt idx="6">
                  <c:v>2021</c:v>
                </c:pt>
                <c:pt idx="7">
                  <c:v>2022</c:v>
                </c:pt>
              </c:numCache>
            </c:numRef>
          </c:cat>
          <c:val>
            <c:numRef>
              <c:f>'Fiskalni rezultat javni dug u %'!$D$5:$K$5</c:f>
              <c:numCache>
                <c:formatCode>General</c:formatCode>
                <c:ptCount val="8"/>
                <c:pt idx="0">
                  <c:v>60</c:v>
                </c:pt>
                <c:pt idx="1">
                  <c:v>60</c:v>
                </c:pt>
                <c:pt idx="2">
                  <c:v>60</c:v>
                </c:pt>
                <c:pt idx="3">
                  <c:v>60</c:v>
                </c:pt>
                <c:pt idx="4">
                  <c:v>60</c:v>
                </c:pt>
                <c:pt idx="5">
                  <c:v>60</c:v>
                </c:pt>
                <c:pt idx="6">
                  <c:v>60</c:v>
                </c:pt>
                <c:pt idx="7">
                  <c:v>60</c:v>
                </c:pt>
              </c:numCache>
            </c:numRef>
          </c:val>
          <c:smooth val="0"/>
          <c:extLst>
            <c:ext xmlns:c16="http://schemas.microsoft.com/office/drawing/2014/chart" uri="{C3380CC4-5D6E-409C-BE32-E72D297353CC}">
              <c16:uniqueId val="{00000004-7CF3-45EB-8F49-159DD1E42B99}"/>
            </c:ext>
          </c:extLst>
        </c:ser>
        <c:dLbls>
          <c:showLegendKey val="0"/>
          <c:showVal val="0"/>
          <c:showCatName val="0"/>
          <c:showSerName val="0"/>
          <c:showPercent val="0"/>
          <c:showBubbleSize val="0"/>
        </c:dLbls>
        <c:marker val="1"/>
        <c:smooth val="0"/>
        <c:axId val="450416464"/>
        <c:axId val="450220496"/>
      </c:lineChart>
      <c:lineChart>
        <c:grouping val="standard"/>
        <c:varyColors val="0"/>
        <c:ser>
          <c:idx val="0"/>
          <c:order val="0"/>
          <c:tx>
            <c:strRef>
              <c:f>'Fiskalni rezultat javni dug u %'!$C$3</c:f>
              <c:strCache>
                <c:ptCount val="1"/>
                <c:pt idx="0">
                  <c:v>дефицит (десна скала)</c:v>
                </c:pt>
              </c:strCache>
            </c:strRef>
          </c:tx>
          <c:spPr>
            <a:ln w="28575" cap="rnd">
              <a:solidFill>
                <a:srgbClr val="FF0000"/>
              </a:solidFill>
              <a:round/>
            </a:ln>
            <a:effectLst/>
          </c:spPr>
          <c:marker>
            <c:symbol val="none"/>
          </c:marker>
          <c:dLbls>
            <c:dLbl>
              <c:idx val="0"/>
              <c:layout>
                <c:manualLayout>
                  <c:x val="-5.9205073768509309E-2"/>
                  <c:y val="-0.47693747105141271"/>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7CF3-45EB-8F49-159DD1E42B99}"/>
                </c:ext>
              </c:extLst>
            </c:dLbl>
            <c:dLbl>
              <c:idx val="1"/>
              <c:layout>
                <c:manualLayout>
                  <c:x val="-5.9487785869769695E-2"/>
                  <c:y val="-0.21473089393237618"/>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7CF3-45EB-8F49-159DD1E42B99}"/>
                </c:ext>
              </c:extLst>
            </c:dLbl>
            <c:dLbl>
              <c:idx val="2"/>
              <c:layout>
                <c:manualLayout>
                  <c:x val="-5.5172413793103448E-2"/>
                  <c:y val="-6.489675516224188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7CF3-45EB-8F49-159DD1E42B99}"/>
                </c:ext>
              </c:extLst>
            </c:dLbl>
            <c:dLbl>
              <c:idx val="3"/>
              <c:layout>
                <c:manualLayout>
                  <c:x val="-4.5977011494252873E-2"/>
                  <c:y val="-3.539823008849557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7CF3-45EB-8F49-159DD1E42B99}"/>
                </c:ext>
              </c:extLst>
            </c:dLbl>
            <c:dLbl>
              <c:idx val="4"/>
              <c:layout>
                <c:manualLayout>
                  <c:x val="-5.977013965404495E-2"/>
                  <c:y val="-0.10605589007256445"/>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7CF3-45EB-8F49-159DD1E42B99}"/>
                </c:ext>
              </c:extLst>
            </c:dLbl>
            <c:dLbl>
              <c:idx val="5"/>
              <c:layout>
                <c:manualLayout>
                  <c:x val="-6.8918330601166325E-2"/>
                  <c:y val="-0.10039833256137101"/>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7CF3-45EB-8F49-159DD1E42B99}"/>
                </c:ext>
              </c:extLst>
            </c:dLbl>
            <c:dLbl>
              <c:idx val="6"/>
              <c:layout>
                <c:manualLayout>
                  <c:x val="-6.9780441267367349E-2"/>
                  <c:y val="-8.665555040914003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7CF3-45EB-8F49-159DD1E42B99}"/>
                </c:ext>
              </c:extLst>
            </c:dLbl>
            <c:dLbl>
              <c:idx val="7"/>
              <c:layout>
                <c:manualLayout>
                  <c:x val="-6.8871391076115479E-2"/>
                  <c:y val="-8.344233441408059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7CF3-45EB-8F49-159DD1E42B99}"/>
                </c:ext>
              </c:extLst>
            </c:dLbl>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tx1"/>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'Fiskalni rezultat javni dug u %'!$D$2:$K$2</c:f>
              <c:numCache>
                <c:formatCode>General</c:formatCode>
                <c:ptCount val="8"/>
                <c:pt idx="0">
                  <c:v>2015</c:v>
                </c:pt>
                <c:pt idx="1">
                  <c:v>2016</c:v>
                </c:pt>
                <c:pt idx="2">
                  <c:v>2017</c:v>
                </c:pt>
                <c:pt idx="3">
                  <c:v>2018</c:v>
                </c:pt>
                <c:pt idx="4">
                  <c:v>2019</c:v>
                </c:pt>
                <c:pt idx="5">
                  <c:v>2020</c:v>
                </c:pt>
                <c:pt idx="6">
                  <c:v>2021</c:v>
                </c:pt>
                <c:pt idx="7">
                  <c:v>2022</c:v>
                </c:pt>
              </c:numCache>
            </c:numRef>
          </c:cat>
          <c:val>
            <c:numRef>
              <c:f>'Fiskalni rezultat javni dug u %'!$D$3:$K$3</c:f>
              <c:numCache>
                <c:formatCode>0.0</c:formatCode>
                <c:ptCount val="8"/>
                <c:pt idx="0">
                  <c:v>-3.4585576400573799</c:v>
                </c:pt>
                <c:pt idx="1">
                  <c:v>-1.1945215435404091</c:v>
                </c:pt>
                <c:pt idx="2">
                  <c:v>1.0942981643656879</c:v>
                </c:pt>
                <c:pt idx="3">
                  <c:v>0.63774089483151153</c:v>
                </c:pt>
                <c:pt idx="4">
                  <c:v>-0.5</c:v>
                </c:pt>
                <c:pt idx="5">
                  <c:v>-0.49681690773303866</c:v>
                </c:pt>
                <c:pt idx="6">
                  <c:v>-0.49573270431544714</c:v>
                </c:pt>
                <c:pt idx="7">
                  <c:v>-0.51937973468395537</c:v>
                </c:pt>
              </c:numCache>
            </c:numRef>
          </c:val>
          <c:smooth val="1"/>
          <c:extLst>
            <c:ext xmlns:c16="http://schemas.microsoft.com/office/drawing/2014/chart" uri="{C3380CC4-5D6E-409C-BE32-E72D297353CC}">
              <c16:uniqueId val="{0000000D-7CF3-45EB-8F49-159DD1E42B99}"/>
            </c:ext>
          </c:extLst>
        </c:ser>
        <c:dLbls>
          <c:showLegendKey val="0"/>
          <c:showVal val="0"/>
          <c:showCatName val="0"/>
          <c:showSerName val="0"/>
          <c:showPercent val="0"/>
          <c:showBubbleSize val="0"/>
        </c:dLbls>
        <c:marker val="1"/>
        <c:smooth val="0"/>
        <c:axId val="450221616"/>
        <c:axId val="450221056"/>
      </c:lineChart>
      <c:catAx>
        <c:axId val="450416464"/>
        <c:scaling>
          <c:orientation val="minMax"/>
        </c:scaling>
        <c:delete val="0"/>
        <c:axPos val="b"/>
        <c:numFmt formatCode="General" sourceLinked="1"/>
        <c:majorTickMark val="none"/>
        <c:minorTickMark val="none"/>
        <c:tickLblPos val="nextTo"/>
        <c:spPr>
          <a:noFill/>
          <a:ln w="9525" cap="flat" cmpd="sng" algn="ctr">
            <a:noFill/>
            <a:round/>
          </a:ln>
          <a:effectLst/>
        </c:spPr>
        <c:txPr>
          <a:bodyPr rot="-60000000" spcFirstLastPara="1" vertOverflow="ellipsis" vert="horz" wrap="square" anchor="ctr" anchorCtr="1"/>
          <a:lstStyle/>
          <a:p>
            <a:pPr>
              <a:defRPr sz="750" b="0" i="0" u="none" strike="noStrike" kern="1200" baseline="0">
                <a:solidFill>
                  <a:srgbClr val="44546A"/>
                </a:solidFill>
                <a:latin typeface="+mn-lt"/>
                <a:ea typeface="+mn-ea"/>
                <a:cs typeface="+mn-cs"/>
              </a:defRPr>
            </a:pPr>
            <a:endParaRPr lang="en-US"/>
          </a:p>
        </c:txPr>
        <c:crossAx val="450220496"/>
        <c:crosses val="autoZero"/>
        <c:auto val="1"/>
        <c:lblAlgn val="ctr"/>
        <c:lblOffset val="100"/>
        <c:noMultiLvlLbl val="0"/>
      </c:catAx>
      <c:valAx>
        <c:axId val="450220496"/>
        <c:scaling>
          <c:orientation val="minMax"/>
          <c:max val="10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rgbClr val="44546A"/>
                </a:solidFill>
                <a:latin typeface="+mn-lt"/>
                <a:ea typeface="+mn-ea"/>
                <a:cs typeface="+mn-cs"/>
              </a:defRPr>
            </a:pPr>
            <a:endParaRPr lang="en-US"/>
          </a:p>
        </c:txPr>
        <c:crossAx val="450416464"/>
        <c:crosses val="autoZero"/>
        <c:crossBetween val="between"/>
      </c:valAx>
      <c:valAx>
        <c:axId val="450221056"/>
        <c:scaling>
          <c:orientation val="minMax"/>
        </c:scaling>
        <c:delete val="0"/>
        <c:axPos val="r"/>
        <c:numFmt formatCode="0.0" sourceLinked="1"/>
        <c:majorTickMark val="out"/>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rgbClr val="44546A"/>
                </a:solidFill>
                <a:latin typeface="+mn-lt"/>
                <a:ea typeface="+mn-ea"/>
                <a:cs typeface="+mn-cs"/>
              </a:defRPr>
            </a:pPr>
            <a:endParaRPr lang="en-US"/>
          </a:p>
        </c:txPr>
        <c:crossAx val="450221616"/>
        <c:crosses val="max"/>
        <c:crossBetween val="between"/>
      </c:valAx>
      <c:catAx>
        <c:axId val="450221616"/>
        <c:scaling>
          <c:orientation val="minMax"/>
        </c:scaling>
        <c:delete val="1"/>
        <c:axPos val="b"/>
        <c:numFmt formatCode="General" sourceLinked="1"/>
        <c:majorTickMark val="out"/>
        <c:minorTickMark val="none"/>
        <c:tickLblPos val="nextTo"/>
        <c:crossAx val="450221056"/>
        <c:crosses val="autoZero"/>
        <c:auto val="1"/>
        <c:lblAlgn val="ctr"/>
        <c:lblOffset val="100"/>
        <c:noMultiLvlLbl val="0"/>
      </c:catAx>
      <c:spPr>
        <a:noFill/>
        <a:ln>
          <a:noFill/>
        </a:ln>
        <a:effectLst/>
      </c:spPr>
    </c:plotArea>
    <c:legend>
      <c:legendPos val="b"/>
      <c:layout>
        <c:manualLayout>
          <c:xMode val="edge"/>
          <c:yMode val="edge"/>
          <c:x val="0"/>
          <c:y val="0.83686335504358256"/>
          <c:w val="0.99737967236854019"/>
          <c:h val="0.15242927967337419"/>
        </c:manualLayout>
      </c:layout>
      <c:overlay val="0"/>
      <c:spPr>
        <a:noFill/>
        <a:ln>
          <a:noFill/>
        </a:ln>
        <a:effectLst/>
      </c:spPr>
      <c:txPr>
        <a:bodyPr rot="0" spcFirstLastPara="1" vertOverflow="ellipsis" vert="horz" wrap="square" anchor="ctr" anchorCtr="1"/>
        <a:lstStyle/>
        <a:p>
          <a:pPr>
            <a:defRPr sz="750" b="0" i="0" u="none" strike="noStrike" kern="1200" baseline="0">
              <a:solidFill>
                <a:srgbClr val="44546A"/>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4">
    <c:autoUpdate val="0"/>
  </c:externalData>
</c:chartSpace>
</file>

<file path=word/charts/chart4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0"/>
    <c:plotArea>
      <c:layout>
        <c:manualLayout>
          <c:layoutTarget val="inner"/>
          <c:xMode val="edge"/>
          <c:yMode val="edge"/>
          <c:x val="0.13700571675115952"/>
          <c:y val="3.4712227009359685E-2"/>
          <c:w val="0.8397238701326718"/>
          <c:h val="0.87738879809835091"/>
        </c:manualLayout>
      </c:layout>
      <c:areaChart>
        <c:grouping val="stacked"/>
        <c:varyColors val="0"/>
        <c:ser>
          <c:idx val="2"/>
          <c:order val="2"/>
          <c:tx>
            <c:strRef>
              <c:f>'Grafikoni, CAB, Karakter'!$G$10</c:f>
              <c:strCache>
                <c:ptCount val="1"/>
                <c:pt idx="0">
                  <c:v>Производни јаз </c:v>
                </c:pt>
              </c:strCache>
            </c:strRef>
          </c:tx>
          <c:spPr>
            <a:solidFill>
              <a:schemeClr val="accent1"/>
            </a:solidFill>
            <a:ln w="9525" cap="rnd" cmpd="sng" algn="ctr">
              <a:solidFill>
                <a:schemeClr val="accent1"/>
              </a:solidFill>
              <a:prstDash val="solid"/>
              <a:round/>
            </a:ln>
            <a:effectLst/>
          </c:spPr>
          <c:cat>
            <c:numRef>
              <c:f>'Grafikoni, CAB, Karakter'!$F$11:$F$23</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'Grafikoni, CAB, Karakter'!$G$11:$G$28</c:f>
              <c:numCache>
                <c:formatCode>#,##0.0</c:formatCode>
                <c:ptCount val="18"/>
                <c:pt idx="0">
                  <c:v>3.4939700056136114E-2</c:v>
                </c:pt>
                <c:pt idx="1">
                  <c:v>-2.5368200923358164</c:v>
                </c:pt>
                <c:pt idx="2">
                  <c:v>0.85795694827901137</c:v>
                </c:pt>
                <c:pt idx="3">
                  <c:v>4.1157859599310171</c:v>
                </c:pt>
                <c:pt idx="4">
                  <c:v>-0.3415280505865641</c:v>
                </c:pt>
                <c:pt idx="5">
                  <c:v>-0.68129408425658478</c:v>
                </c:pt>
                <c:pt idx="6">
                  <c:v>0.55679045734956489</c:v>
                </c:pt>
                <c:pt idx="7">
                  <c:v>-0.79587281030813661</c:v>
                </c:pt>
                <c:pt idx="8">
                  <c:v>1.3000386652375806</c:v>
                </c:pt>
                <c:pt idx="9">
                  <c:v>-1.3306920761674941</c:v>
                </c:pt>
                <c:pt idx="10">
                  <c:v>-1.099421493432694</c:v>
                </c:pt>
                <c:pt idx="11">
                  <c:v>3.6103936416727531E-2</c:v>
                </c:pt>
                <c:pt idx="12">
                  <c:v>-0.66281671955235355</c:v>
                </c:pt>
                <c:pt idx="13">
                  <c:v>0.32445473433121863</c:v>
                </c:pt>
                <c:pt idx="14">
                  <c:v>0.16452337762023353</c:v>
                </c:pt>
                <c:pt idx="15">
                  <c:v>0.27754053743246004</c:v>
                </c:pt>
                <c:pt idx="16">
                  <c:v>0.26535951712780598</c:v>
                </c:pt>
                <c:pt idx="17">
                  <c:v>0.19959614297696587</c:v>
                </c:pt>
              </c:numCache>
            </c:numRef>
          </c:val>
          <c:extLst>
            <c:ext xmlns:c16="http://schemas.microsoft.com/office/drawing/2014/chart" uri="{C3380CC4-5D6E-409C-BE32-E72D297353CC}">
              <c16:uniqueId val="{00000000-B771-429A-86F9-6E14EC9DD62A}"/>
            </c:ext>
          </c:extLst>
        </c:ser>
        <c:dLbls>
          <c:showLegendKey val="0"/>
          <c:showVal val="0"/>
          <c:showCatName val="0"/>
          <c:showSerName val="0"/>
          <c:showPercent val="0"/>
          <c:showBubbleSize val="0"/>
        </c:dLbls>
        <c:axId val="342946768"/>
        <c:axId val="410610880"/>
      </c:areaChart>
      <c:lineChart>
        <c:grouping val="standard"/>
        <c:varyColors val="0"/>
        <c:ser>
          <c:idx val="0"/>
          <c:order val="0"/>
          <c:tx>
            <c:strRef>
              <c:f>'Grafikoni, CAB, Karakter'!$H$10</c:f>
              <c:strCache>
                <c:ptCount val="1"/>
                <c:pt idx="0">
                  <c:v>Фискални 
биланс</c:v>
                </c:pt>
              </c:strCache>
            </c:strRef>
          </c:tx>
          <c:spPr>
            <a:ln w="22225" cap="rnd" cmpd="sng" algn="ctr">
              <a:solidFill>
                <a:schemeClr val="accent3">
                  <a:shade val="53000"/>
                  <a:shade val="95000"/>
                  <a:satMod val="105000"/>
                </a:schemeClr>
              </a:solidFill>
              <a:prstDash val="solid"/>
              <a:round/>
            </a:ln>
            <a:effectLst/>
          </c:spPr>
          <c:marker>
            <c:symbol val="none"/>
          </c:marker>
          <c:cat>
            <c:numRef>
              <c:f>'Grafikoni, CAB, Karakter'!$F$11:$F$28</c:f>
              <c:numCache>
                <c:formatCode>General</c:formatCode>
                <c:ptCount val="18"/>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numCache>
            </c:numRef>
          </c:cat>
          <c:val>
            <c:numRef>
              <c:f>'Grafikoni, CAB, Karakter'!$H$11:$H$28</c:f>
              <c:numCache>
                <c:formatCode>#,##0.0</c:formatCode>
                <c:ptCount val="18"/>
                <c:pt idx="0">
                  <c:v>1.1229513642911615</c:v>
                </c:pt>
                <c:pt idx="1">
                  <c:v>-1.4151456839897949</c:v>
                </c:pt>
                <c:pt idx="2">
                  <c:v>-1.7846058996685674</c:v>
                </c:pt>
                <c:pt idx="3">
                  <c:v>-2.4768975856092812</c:v>
                </c:pt>
                <c:pt idx="4">
                  <c:v>-4.1655024905891214</c:v>
                </c:pt>
                <c:pt idx="5">
                  <c:v>-4.3381740101726747</c:v>
                </c:pt>
                <c:pt idx="6">
                  <c:v>-4.5257988775356361</c:v>
                </c:pt>
                <c:pt idx="7">
                  <c:v>-6.4352841344073424</c:v>
                </c:pt>
                <c:pt idx="8">
                  <c:v>-5.1464767188637195</c:v>
                </c:pt>
                <c:pt idx="9">
                  <c:v>-6.2041437165115507</c:v>
                </c:pt>
                <c:pt idx="10">
                  <c:v>-3.4585576400573799</c:v>
                </c:pt>
                <c:pt idx="11">
                  <c:v>-1.1945215435404091</c:v>
                </c:pt>
                <c:pt idx="12">
                  <c:v>1.1000948797419494</c:v>
                </c:pt>
                <c:pt idx="13">
                  <c:v>0.63690023063290702</c:v>
                </c:pt>
                <c:pt idx="14">
                  <c:v>-0.5</c:v>
                </c:pt>
                <c:pt idx="15">
                  <c:v>-0.5</c:v>
                </c:pt>
                <c:pt idx="16">
                  <c:v>-0.5</c:v>
                </c:pt>
                <c:pt idx="17">
                  <c:v>-0.5</c:v>
                </c:pt>
              </c:numCache>
            </c:numRef>
          </c:val>
          <c:smooth val="0"/>
          <c:extLst>
            <c:ext xmlns:c16="http://schemas.microsoft.com/office/drawing/2014/chart" uri="{C3380CC4-5D6E-409C-BE32-E72D297353CC}">
              <c16:uniqueId val="{00000001-B771-429A-86F9-6E14EC9DD62A}"/>
            </c:ext>
          </c:extLst>
        </c:ser>
        <c:ser>
          <c:idx val="1"/>
          <c:order val="1"/>
          <c:tx>
            <c:strRef>
              <c:f>'Grafikoni, CAB, Karakter'!$K$10</c:f>
              <c:strCache>
                <c:ptCount val="1"/>
                <c:pt idx="0">
                  <c:v>Циклично 
прилагођени  фискални биланс</c:v>
                </c:pt>
              </c:strCache>
            </c:strRef>
          </c:tx>
          <c:spPr>
            <a:ln w="22225" cap="rnd" cmpd="sng" algn="ctr">
              <a:solidFill>
                <a:schemeClr val="tx1"/>
              </a:solidFill>
              <a:prstDash val="solid"/>
              <a:round/>
            </a:ln>
            <a:effectLst/>
          </c:spPr>
          <c:marker>
            <c:symbol val="none"/>
          </c:marker>
          <c:cat>
            <c:numRef>
              <c:f>'Grafikoni, CAB, Karakter'!$F$11:$F$28</c:f>
              <c:numCache>
                <c:formatCode>General</c:formatCode>
                <c:ptCount val="18"/>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numCache>
            </c:numRef>
          </c:cat>
          <c:val>
            <c:numRef>
              <c:f>'Grafikoni, CAB, Karakter'!$K$11:$K$28</c:f>
              <c:numCache>
                <c:formatCode>#,##0.0</c:formatCode>
                <c:ptCount val="18"/>
                <c:pt idx="0">
                  <c:v>1.109864882168843</c:v>
                </c:pt>
                <c:pt idx="1">
                  <c:v>-0.46499297138628282</c:v>
                </c:pt>
                <c:pt idx="2">
                  <c:v>-2.105949192465391</c:v>
                </c:pt>
                <c:pt idx="3">
                  <c:v>-4.0184437150090755</c:v>
                </c:pt>
                <c:pt idx="4">
                  <c:v>-4.03758494346964</c:v>
                </c:pt>
                <c:pt idx="5">
                  <c:v>-4.0829988701645874</c:v>
                </c:pt>
                <c:pt idx="6">
                  <c:v>-4.7343418345236978</c:v>
                </c:pt>
                <c:pt idx="7">
                  <c:v>-6.1371941311444882</c:v>
                </c:pt>
                <c:pt idx="8">
                  <c:v>-5.6333994092022266</c:v>
                </c:pt>
                <c:pt idx="9">
                  <c:v>-5.7057399512503082</c:v>
                </c:pt>
                <c:pt idx="10">
                  <c:v>-3.0467750633442514</c:v>
                </c:pt>
                <c:pt idx="11">
                  <c:v>-1.2080440843093259</c:v>
                </c:pt>
                <c:pt idx="12">
                  <c:v>1.3483494193304282</c:v>
                </c:pt>
                <c:pt idx="13">
                  <c:v>0.51537740492160311</c:v>
                </c:pt>
                <c:pt idx="14">
                  <c:v>-0.56162137157650016</c:v>
                </c:pt>
                <c:pt idx="15">
                  <c:v>-0.60395135835433922</c:v>
                </c:pt>
                <c:pt idx="16">
                  <c:v>-0.59938902083591916</c:v>
                </c:pt>
                <c:pt idx="17">
                  <c:v>-0.57475769261199061</c:v>
                </c:pt>
              </c:numCache>
            </c:numRef>
          </c:val>
          <c:smooth val="1"/>
          <c:extLst>
            <c:ext xmlns:c16="http://schemas.microsoft.com/office/drawing/2014/chart" uri="{C3380CC4-5D6E-409C-BE32-E72D297353CC}">
              <c16:uniqueId val="{00000002-B771-429A-86F9-6E14EC9DD62A}"/>
            </c:ext>
          </c:extLst>
        </c:ser>
        <c:ser>
          <c:idx val="4"/>
          <c:order val="3"/>
          <c:tx>
            <c:strRef>
              <c:f>'Grafikoni, CAB, Karakter'!$M$10</c:f>
              <c:strCache>
                <c:ptCount val="1"/>
                <c:pt idx="0">
                  <c:v>Структурни примарни фискални биланс</c:v>
                </c:pt>
              </c:strCache>
            </c:strRef>
          </c:tx>
          <c:spPr>
            <a:ln w="19050" cap="rnd" cmpd="sng" algn="ctr">
              <a:solidFill>
                <a:srgbClr val="FF0000"/>
              </a:solidFill>
              <a:prstDash val="solid"/>
              <a:round/>
            </a:ln>
            <a:effectLst/>
          </c:spPr>
          <c:marker>
            <c:symbol val="none"/>
          </c:marker>
          <c:cat>
            <c:numRef>
              <c:f>'Grafikoni, CAB, Karakter'!$F$11:$F$28</c:f>
              <c:numCache>
                <c:formatCode>General</c:formatCode>
                <c:ptCount val="18"/>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numCache>
            </c:numRef>
          </c:cat>
          <c:val>
            <c:numRef>
              <c:f>'Grafikoni, CAB, Karakter'!$M$11:$M$28</c:f>
              <c:numCache>
                <c:formatCode>#,##0.0</c:formatCode>
                <c:ptCount val="18"/>
                <c:pt idx="0">
                  <c:v>2.2304735584399684</c:v>
                </c:pt>
                <c:pt idx="1">
                  <c:v>1.4750250510935661</c:v>
                </c:pt>
                <c:pt idx="2">
                  <c:v>-1.2236663542326889</c:v>
                </c:pt>
                <c:pt idx="3">
                  <c:v>-3.5375307849314215</c:v>
                </c:pt>
                <c:pt idx="4">
                  <c:v>-3.5021039270009156</c:v>
                </c:pt>
                <c:pt idx="5">
                  <c:v>-3.2433774266959152</c:v>
                </c:pt>
                <c:pt idx="6">
                  <c:v>-3.7908302538088128</c:v>
                </c:pt>
                <c:pt idx="7">
                  <c:v>-4.3825183578177951</c:v>
                </c:pt>
                <c:pt idx="8">
                  <c:v>-3.1824772319623937</c:v>
                </c:pt>
                <c:pt idx="9">
                  <c:v>-2.1713892388984304</c:v>
                </c:pt>
                <c:pt idx="10">
                  <c:v>0.56699795026954636</c:v>
                </c:pt>
                <c:pt idx="11">
                  <c:v>1.7710661382104997</c:v>
                </c:pt>
                <c:pt idx="12">
                  <c:v>3.7427260662357127</c:v>
                </c:pt>
                <c:pt idx="13">
                  <c:v>2.4852561035854932</c:v>
                </c:pt>
                <c:pt idx="14">
                  <c:v>1.3722288721098093</c:v>
                </c:pt>
                <c:pt idx="15">
                  <c:v>1.2960486416456607</c:v>
                </c:pt>
                <c:pt idx="16">
                  <c:v>1.2006109791640809</c:v>
                </c:pt>
                <c:pt idx="17">
                  <c:v>1.1252423073880093</c:v>
                </c:pt>
              </c:numCache>
            </c:numRef>
          </c:val>
          <c:smooth val="0"/>
          <c:extLst>
            <c:ext xmlns:c16="http://schemas.microsoft.com/office/drawing/2014/chart" uri="{C3380CC4-5D6E-409C-BE32-E72D297353CC}">
              <c16:uniqueId val="{00000003-B771-429A-86F9-6E14EC9DD62A}"/>
            </c:ext>
          </c:extLst>
        </c:ser>
        <c:dLbls>
          <c:showLegendKey val="0"/>
          <c:showVal val="0"/>
          <c:showCatName val="0"/>
          <c:showSerName val="0"/>
          <c:showPercent val="0"/>
          <c:showBubbleSize val="0"/>
        </c:dLbls>
        <c:marker val="1"/>
        <c:smooth val="0"/>
        <c:axId val="342946768"/>
        <c:axId val="410610880"/>
      </c:lineChart>
      <c:catAx>
        <c:axId val="342946768"/>
        <c:scaling>
          <c:orientation val="minMax"/>
        </c:scaling>
        <c:delete val="0"/>
        <c:axPos val="b"/>
        <c:majorGridlines>
          <c:spPr>
            <a:ln w="9525" cap="flat" cmpd="sng" algn="ctr">
              <a:noFill/>
              <a:prstDash val="sysDot"/>
              <a:round/>
            </a:ln>
            <a:effectLst/>
          </c:spPr>
        </c:majorGridlines>
        <c:numFmt formatCode="General" sourceLinked="1"/>
        <c:majorTickMark val="out"/>
        <c:minorTickMark val="none"/>
        <c:tickLblPos val="low"/>
        <c:spPr>
          <a:noFill/>
          <a:ln w="9525" cap="flat" cmpd="sng" algn="ctr">
            <a:solidFill>
              <a:schemeClr val="dk1">
                <a:tint val="75000"/>
                <a:shade val="95000"/>
                <a:satMod val="105000"/>
              </a:schemeClr>
            </a:solidFill>
            <a:prstDash val="solid"/>
            <a:round/>
          </a:ln>
          <a:effectLst/>
        </c:spPr>
        <c:txPr>
          <a:bodyPr rot="-2700000" spcFirstLastPara="1" vertOverflow="ellipsis" wrap="square" anchor="ctr" anchorCtr="1"/>
          <a:lstStyle/>
          <a:p>
            <a:pPr>
              <a:defRPr sz="600" b="0" i="0" u="none" strike="noStrike" kern="1200" baseline="0">
                <a:solidFill>
                  <a:srgbClr val="44546A"/>
                </a:solidFill>
                <a:latin typeface="+mn-lt"/>
                <a:ea typeface="+mn-ea"/>
                <a:cs typeface="+mn-cs"/>
              </a:defRPr>
            </a:pPr>
            <a:endParaRPr lang="en-US"/>
          </a:p>
        </c:txPr>
        <c:crossAx val="410610880"/>
        <c:crosses val="autoZero"/>
        <c:auto val="1"/>
        <c:lblAlgn val="ctr"/>
        <c:lblOffset val="100"/>
        <c:noMultiLvlLbl val="0"/>
      </c:catAx>
      <c:valAx>
        <c:axId val="410610880"/>
        <c:scaling>
          <c:orientation val="minMax"/>
          <c:max val="5"/>
          <c:min val="-7"/>
        </c:scaling>
        <c:delete val="0"/>
        <c:axPos val="l"/>
        <c:majorGridlines>
          <c:spPr>
            <a:ln w="9525" cap="flat" cmpd="sng" algn="ctr">
              <a:noFill/>
              <a:prstDash val="sysDot"/>
              <a:round/>
            </a:ln>
            <a:effectLst/>
          </c:spPr>
        </c:majorGridlines>
        <c:title>
          <c:tx>
            <c:rich>
              <a:bodyPr rot="-5400000" spcFirstLastPara="1" vertOverflow="ellipsis" vert="horz" wrap="square" anchor="ctr" anchorCtr="1"/>
              <a:lstStyle/>
              <a:p>
                <a:pPr>
                  <a:defRPr sz="700" b="0" i="0" u="none" strike="noStrike" kern="1200" baseline="0">
                    <a:solidFill>
                      <a:srgbClr val="44546A"/>
                    </a:solidFill>
                    <a:latin typeface="+mn-lt"/>
                    <a:ea typeface="+mn-ea"/>
                    <a:cs typeface="+mn-cs"/>
                  </a:defRPr>
                </a:pPr>
                <a:r>
                  <a:rPr lang="sr-Cyrl-CS" sz="700" b="0">
                    <a:solidFill>
                      <a:srgbClr val="44546A"/>
                    </a:solidFill>
                    <a:latin typeface="+mn-lt"/>
                  </a:rPr>
                  <a:t>% БДП</a:t>
                </a:r>
              </a:p>
            </c:rich>
          </c:tx>
          <c:layout>
            <c:manualLayout>
              <c:xMode val="edge"/>
              <c:yMode val="edge"/>
              <c:x val="7.7553661956638979E-3"/>
              <c:y val="0.37542752438964"/>
            </c:manualLayout>
          </c:layout>
          <c:overlay val="0"/>
          <c:spPr>
            <a:noFill/>
            <a:ln>
              <a:noFill/>
            </a:ln>
            <a:effectLst/>
          </c:spPr>
          <c:txPr>
            <a:bodyPr rot="-5400000" spcFirstLastPara="1" vertOverflow="ellipsis" vert="horz" wrap="square" anchor="ctr" anchorCtr="1"/>
            <a:lstStyle/>
            <a:p>
              <a:pPr>
                <a:defRPr sz="700" b="0" i="0" u="none" strike="noStrike" kern="1200" baseline="0">
                  <a:solidFill>
                    <a:srgbClr val="44546A"/>
                  </a:solidFill>
                  <a:latin typeface="+mn-lt"/>
                  <a:ea typeface="+mn-ea"/>
                  <a:cs typeface="+mn-cs"/>
                </a:defRPr>
              </a:pPr>
              <a:endParaRPr lang="en-US"/>
            </a:p>
          </c:txPr>
        </c:title>
        <c:numFmt formatCode="#,##0.0" sourceLinked="0"/>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700" b="0" i="0" u="none" strike="noStrike" kern="1200" baseline="0">
                <a:solidFill>
                  <a:srgbClr val="44546A"/>
                </a:solidFill>
                <a:latin typeface="+mn-lt"/>
                <a:ea typeface="+mn-ea"/>
                <a:cs typeface="+mn-cs"/>
              </a:defRPr>
            </a:pPr>
            <a:endParaRPr lang="en-US"/>
          </a:p>
        </c:txPr>
        <c:crossAx val="342946768"/>
        <c:crosses val="autoZero"/>
        <c:crossBetween val="between"/>
      </c:valAx>
      <c:spPr>
        <a:noFill/>
        <a:ln>
          <a:noFill/>
        </a:ln>
        <a:effectLst/>
      </c:spPr>
    </c:plotArea>
    <c:legend>
      <c:legendPos val="r"/>
      <c:layout>
        <c:manualLayout>
          <c:xMode val="edge"/>
          <c:yMode val="edge"/>
          <c:x val="0.12326946357164789"/>
          <c:y val="3.2960392662781557E-2"/>
          <c:w val="0.85783548873107418"/>
          <c:h val="0.24670062428637093"/>
        </c:manualLayout>
      </c:layout>
      <c:overlay val="0"/>
      <c:spPr>
        <a:noFill/>
        <a:ln>
          <a:noFill/>
        </a:ln>
        <a:effectLst/>
      </c:spPr>
      <c:txPr>
        <a:bodyPr rot="0" spcFirstLastPara="1" vertOverflow="ellipsis" vert="horz" wrap="square" anchor="ctr" anchorCtr="1"/>
        <a:lstStyle/>
        <a:p>
          <a:pPr>
            <a:defRPr sz="600" b="0" i="0" u="none" strike="noStrike" kern="1200" baseline="0">
              <a:solidFill>
                <a:srgbClr val="002060"/>
              </a:solidFill>
              <a:latin typeface="+mn-lt"/>
              <a:ea typeface="+mn-ea"/>
              <a:cs typeface="+mn-cs"/>
            </a:defRPr>
          </a:pPr>
          <a:endParaRPr lang="en-US"/>
        </a:p>
      </c:txPr>
    </c:legend>
    <c:plotVisOnly val="1"/>
    <c:dispBlanksAs val="gap"/>
    <c:showDLblsOverMax val="0"/>
  </c:chart>
  <c:spPr>
    <a:solidFill>
      <a:schemeClr val="lt1"/>
    </a:solidFill>
    <a:ln w="9525" cap="flat" cmpd="sng" algn="ctr">
      <a:noFill/>
      <a:prstDash val="solid"/>
      <a:round/>
    </a:ln>
    <a:effectLst/>
  </c:spPr>
  <c:txPr>
    <a:bodyPr/>
    <a:lstStyle/>
    <a:p>
      <a:pPr>
        <a:defRPr/>
      </a:pPr>
      <a:endParaRPr lang="en-US"/>
    </a:p>
  </c:txPr>
  <c:externalData r:id="rId3">
    <c:autoUpdate val="0"/>
  </c:externalData>
  <c:userShapes r:id="rId4"/>
</c:chartSpace>
</file>

<file path=word/charts/chart4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manualLayout>
          <c:layoutTarget val="inner"/>
          <c:xMode val="edge"/>
          <c:yMode val="edge"/>
          <c:x val="0.15483471660637016"/>
          <c:y val="5.7086964129483823E-2"/>
          <c:w val="0.81939987231325795"/>
          <c:h val="0.82967423338395085"/>
        </c:manualLayout>
      </c:layout>
      <c:barChart>
        <c:barDir val="col"/>
        <c:grouping val="clustered"/>
        <c:varyColors val="0"/>
        <c:ser>
          <c:idx val="0"/>
          <c:order val="0"/>
          <c:tx>
            <c:strRef>
              <c:f>'Grafikoni, CAB, Karakter'!$N$10</c:f>
              <c:strCache>
                <c:ptCount val="1"/>
                <c:pt idx="0">
                  <c:v>Карактер фискалне политике - фискални импулс</c:v>
                </c:pt>
              </c:strCache>
            </c:strRef>
          </c:tx>
          <c:spPr>
            <a:solidFill>
              <a:srgbClr val="29489A"/>
            </a:solidFill>
            <a:ln w="9525" cap="flat" cmpd="sng" algn="ctr">
              <a:solidFill>
                <a:schemeClr val="accent1"/>
              </a:solidFill>
              <a:prstDash val="solid"/>
              <a:round/>
            </a:ln>
            <a:effectLst/>
          </c:spPr>
          <c:invertIfNegative val="0"/>
          <c:cat>
            <c:numRef>
              <c:f>'Grafikoni, CAB, Karakter'!$F$12:$F$28</c:f>
              <c:numCache>
                <c:formatCode>General</c:formatCode>
                <c:ptCount val="17"/>
                <c:pt idx="0">
                  <c:v>2006</c:v>
                </c:pt>
                <c:pt idx="1">
                  <c:v>2007</c:v>
                </c:pt>
                <c:pt idx="2">
                  <c:v>2008</c:v>
                </c:pt>
                <c:pt idx="3">
                  <c:v>2009</c:v>
                </c:pt>
                <c:pt idx="4">
                  <c:v>2010</c:v>
                </c:pt>
                <c:pt idx="5">
                  <c:v>2011</c:v>
                </c:pt>
                <c:pt idx="6">
                  <c:v>2012</c:v>
                </c:pt>
                <c:pt idx="7">
                  <c:v>2013</c:v>
                </c:pt>
                <c:pt idx="8">
                  <c:v>2014</c:v>
                </c:pt>
                <c:pt idx="9">
                  <c:v>2015</c:v>
                </c:pt>
                <c:pt idx="10">
                  <c:v>2016</c:v>
                </c:pt>
                <c:pt idx="11">
                  <c:v>2017</c:v>
                </c:pt>
                <c:pt idx="12">
                  <c:v>2018</c:v>
                </c:pt>
                <c:pt idx="13">
                  <c:v>2019</c:v>
                </c:pt>
                <c:pt idx="14">
                  <c:v>2020</c:v>
                </c:pt>
                <c:pt idx="15">
                  <c:v>2021</c:v>
                </c:pt>
                <c:pt idx="16">
                  <c:v>2022</c:v>
                </c:pt>
              </c:numCache>
            </c:numRef>
          </c:cat>
          <c:val>
            <c:numRef>
              <c:f>'Grafikoni, CAB, Karakter'!$N$12:$N$28</c:f>
              <c:numCache>
                <c:formatCode>#,##0.0</c:formatCode>
                <c:ptCount val="17"/>
                <c:pt idx="0">
                  <c:v>1.2128559381708541</c:v>
                </c:pt>
                <c:pt idx="1">
                  <c:v>2.3615337158219534</c:v>
                </c:pt>
                <c:pt idx="2">
                  <c:v>1.918579586152781</c:v>
                </c:pt>
                <c:pt idx="3">
                  <c:v>-4.9057053705547915E-2</c:v>
                </c:pt>
                <c:pt idx="4">
                  <c:v>-0.30354798684078377</c:v>
                </c:pt>
                <c:pt idx="5">
                  <c:v>0.45396077693606784</c:v>
                </c:pt>
                <c:pt idx="6">
                  <c:v>0.84932569686802672</c:v>
                </c:pt>
                <c:pt idx="7">
                  <c:v>-0.99007787273792403</c:v>
                </c:pt>
                <c:pt idx="8">
                  <c:v>-0.39821702762192723</c:v>
                </c:pt>
                <c:pt idx="9">
                  <c:v>-2.9823107611378066</c:v>
                </c:pt>
                <c:pt idx="10">
                  <c:v>-1.7528102417175022</c:v>
                </c:pt>
                <c:pt idx="11">
                  <c:v>-2.1942015844315264</c:v>
                </c:pt>
                <c:pt idx="12">
                  <c:v>1.254629446096641</c:v>
                </c:pt>
                <c:pt idx="13">
                  <c:v>1.0948476790925554</c:v>
                </c:pt>
                <c:pt idx="14">
                  <c:v>0.24232998677783923</c:v>
                </c:pt>
                <c:pt idx="15">
                  <c:v>9.543766248157981E-2</c:v>
                </c:pt>
                <c:pt idx="16">
                  <c:v>7.5368671776071539E-2</c:v>
                </c:pt>
              </c:numCache>
            </c:numRef>
          </c:val>
          <c:extLst>
            <c:ext xmlns:c16="http://schemas.microsoft.com/office/drawing/2014/chart" uri="{C3380CC4-5D6E-409C-BE32-E72D297353CC}">
              <c16:uniqueId val="{00000000-7500-406B-800F-8EE400CA76E5}"/>
            </c:ext>
          </c:extLst>
        </c:ser>
        <c:dLbls>
          <c:showLegendKey val="0"/>
          <c:showVal val="0"/>
          <c:showCatName val="0"/>
          <c:showSerName val="0"/>
          <c:showPercent val="0"/>
          <c:showBubbleSize val="0"/>
        </c:dLbls>
        <c:gapWidth val="41"/>
        <c:overlap val="-12"/>
        <c:axId val="467546320"/>
        <c:axId val="467537360"/>
      </c:barChart>
      <c:lineChart>
        <c:grouping val="standard"/>
        <c:varyColors val="0"/>
        <c:ser>
          <c:idx val="1"/>
          <c:order val="1"/>
          <c:tx>
            <c:strRef>
              <c:f>'Grafikoni, CAB, Karakter'!$G$10</c:f>
              <c:strCache>
                <c:ptCount val="1"/>
                <c:pt idx="0">
                  <c:v>Производни јаз </c:v>
                </c:pt>
              </c:strCache>
            </c:strRef>
          </c:tx>
          <c:spPr>
            <a:ln w="19050" cap="rnd" cmpd="sng" algn="ctr">
              <a:solidFill>
                <a:srgbClr val="FF0000"/>
              </a:solidFill>
              <a:prstDash val="solid"/>
              <a:round/>
            </a:ln>
            <a:effectLst/>
          </c:spPr>
          <c:marker>
            <c:symbol val="none"/>
          </c:marker>
          <c:cat>
            <c:numRef>
              <c:f>'Grafikoni, CAB, Karakter'!$F$12:$F$28</c:f>
              <c:numCache>
                <c:formatCode>General</c:formatCode>
                <c:ptCount val="17"/>
                <c:pt idx="0">
                  <c:v>2006</c:v>
                </c:pt>
                <c:pt idx="1">
                  <c:v>2007</c:v>
                </c:pt>
                <c:pt idx="2">
                  <c:v>2008</c:v>
                </c:pt>
                <c:pt idx="3">
                  <c:v>2009</c:v>
                </c:pt>
                <c:pt idx="4">
                  <c:v>2010</c:v>
                </c:pt>
                <c:pt idx="5">
                  <c:v>2011</c:v>
                </c:pt>
                <c:pt idx="6">
                  <c:v>2012</c:v>
                </c:pt>
                <c:pt idx="7">
                  <c:v>2013</c:v>
                </c:pt>
                <c:pt idx="8">
                  <c:v>2014</c:v>
                </c:pt>
                <c:pt idx="9">
                  <c:v>2015</c:v>
                </c:pt>
                <c:pt idx="10">
                  <c:v>2016</c:v>
                </c:pt>
                <c:pt idx="11">
                  <c:v>2017</c:v>
                </c:pt>
                <c:pt idx="12">
                  <c:v>2018</c:v>
                </c:pt>
                <c:pt idx="13">
                  <c:v>2019</c:v>
                </c:pt>
                <c:pt idx="14">
                  <c:v>2020</c:v>
                </c:pt>
                <c:pt idx="15">
                  <c:v>2021</c:v>
                </c:pt>
                <c:pt idx="16">
                  <c:v>2022</c:v>
                </c:pt>
              </c:numCache>
            </c:numRef>
          </c:cat>
          <c:val>
            <c:numRef>
              <c:f>'Grafikoni, CAB, Karakter'!$G$12:$G$28</c:f>
              <c:numCache>
                <c:formatCode>#,##0.0</c:formatCode>
                <c:ptCount val="17"/>
                <c:pt idx="0">
                  <c:v>-2.5368200923358164</c:v>
                </c:pt>
                <c:pt idx="1">
                  <c:v>0.85795694827901137</c:v>
                </c:pt>
                <c:pt idx="2">
                  <c:v>4.1157859599310171</c:v>
                </c:pt>
                <c:pt idx="3">
                  <c:v>-0.3415280505865641</c:v>
                </c:pt>
                <c:pt idx="4">
                  <c:v>-0.68129408425658478</c:v>
                </c:pt>
                <c:pt idx="5">
                  <c:v>0.55679045734956489</c:v>
                </c:pt>
                <c:pt idx="6">
                  <c:v>-0.79587281030813661</c:v>
                </c:pt>
                <c:pt idx="7">
                  <c:v>1.3000386652375806</c:v>
                </c:pt>
                <c:pt idx="8">
                  <c:v>-1.3306920761674941</c:v>
                </c:pt>
                <c:pt idx="9">
                  <c:v>-1.099421493432694</c:v>
                </c:pt>
                <c:pt idx="10">
                  <c:v>3.6103936416727531E-2</c:v>
                </c:pt>
                <c:pt idx="11">
                  <c:v>-0.66281671955235355</c:v>
                </c:pt>
                <c:pt idx="12">
                  <c:v>0.32445473433121863</c:v>
                </c:pt>
                <c:pt idx="13">
                  <c:v>0.16452337762023353</c:v>
                </c:pt>
                <c:pt idx="14">
                  <c:v>0.27754053743246004</c:v>
                </c:pt>
                <c:pt idx="15">
                  <c:v>0.26535951712780598</c:v>
                </c:pt>
                <c:pt idx="16">
                  <c:v>0.19959614297696587</c:v>
                </c:pt>
              </c:numCache>
            </c:numRef>
          </c:val>
          <c:smooth val="1"/>
          <c:extLst>
            <c:ext xmlns:c16="http://schemas.microsoft.com/office/drawing/2014/chart" uri="{C3380CC4-5D6E-409C-BE32-E72D297353CC}">
              <c16:uniqueId val="{00000001-7500-406B-800F-8EE400CA76E5}"/>
            </c:ext>
          </c:extLst>
        </c:ser>
        <c:dLbls>
          <c:showLegendKey val="0"/>
          <c:showVal val="0"/>
          <c:showCatName val="0"/>
          <c:showSerName val="0"/>
          <c:showPercent val="0"/>
          <c:showBubbleSize val="0"/>
        </c:dLbls>
        <c:marker val="1"/>
        <c:smooth val="0"/>
        <c:axId val="467546320"/>
        <c:axId val="467537360"/>
      </c:lineChart>
      <c:catAx>
        <c:axId val="467546320"/>
        <c:scaling>
          <c:orientation val="minMax"/>
        </c:scaling>
        <c:delete val="0"/>
        <c:axPos val="b"/>
        <c:majorGridlines>
          <c:spPr>
            <a:ln w="9525" cap="flat" cmpd="sng" algn="ctr">
              <a:noFill/>
              <a:prstDash val="solid"/>
              <a:round/>
            </a:ln>
            <a:effectLst/>
          </c:spPr>
        </c:majorGridlines>
        <c:numFmt formatCode="General" sourceLinked="1"/>
        <c:majorTickMark val="out"/>
        <c:minorTickMark val="none"/>
        <c:tickLblPos val="low"/>
        <c:spPr>
          <a:noFill/>
          <a:ln w="6350" cap="flat" cmpd="sng" algn="ctr">
            <a:solidFill>
              <a:srgbClr val="898989"/>
            </a:solidFill>
            <a:prstDash val="solid"/>
            <a:round/>
          </a:ln>
          <a:effectLst/>
        </c:spPr>
        <c:txPr>
          <a:bodyPr rot="-2700000" spcFirstLastPara="1" vertOverflow="ellipsis" wrap="square" anchor="ctr" anchorCtr="1"/>
          <a:lstStyle/>
          <a:p>
            <a:pPr>
              <a:defRPr sz="500" b="0" i="0" u="none" strike="noStrike" kern="1200" baseline="0">
                <a:solidFill>
                  <a:srgbClr val="44546A"/>
                </a:solidFill>
                <a:latin typeface="+mn-lt"/>
                <a:ea typeface="+mn-ea"/>
                <a:cs typeface="+mn-cs"/>
              </a:defRPr>
            </a:pPr>
            <a:endParaRPr lang="en-US"/>
          </a:p>
        </c:txPr>
        <c:crossAx val="467537360"/>
        <c:crosses val="autoZero"/>
        <c:auto val="1"/>
        <c:lblAlgn val="ctr"/>
        <c:lblOffset val="100"/>
        <c:noMultiLvlLbl val="0"/>
      </c:catAx>
      <c:valAx>
        <c:axId val="467537360"/>
        <c:scaling>
          <c:orientation val="minMax"/>
        </c:scaling>
        <c:delete val="0"/>
        <c:axPos val="l"/>
        <c:majorGridlines>
          <c:spPr>
            <a:ln w="9525" cap="flat" cmpd="sng" algn="ctr">
              <a:noFill/>
              <a:prstDash val="solid"/>
              <a:round/>
            </a:ln>
            <a:effectLst/>
          </c:spPr>
        </c:majorGridlines>
        <c:title>
          <c:tx>
            <c:rich>
              <a:bodyPr rot="-5400000" spcFirstLastPara="1" vertOverflow="ellipsis" vert="horz" wrap="square" anchor="ctr" anchorCtr="1"/>
              <a:lstStyle/>
              <a:p>
                <a:pPr>
                  <a:defRPr sz="700" b="0" i="0" u="none" strike="noStrike" kern="1200" baseline="0">
                    <a:solidFill>
                      <a:srgbClr val="44546A"/>
                    </a:solidFill>
                    <a:latin typeface="+mn-lt"/>
                    <a:ea typeface="+mn-ea"/>
                    <a:cs typeface="+mn-cs"/>
                  </a:defRPr>
                </a:pPr>
                <a:r>
                  <a:rPr lang="sr-Cyrl-CS" sz="700" b="0">
                    <a:solidFill>
                      <a:srgbClr val="44546A"/>
                    </a:solidFill>
                    <a:latin typeface="+mn-lt"/>
                  </a:rPr>
                  <a:t>% БДП</a:t>
                </a:r>
                <a:endParaRPr lang="en-US" sz="700" b="0">
                  <a:solidFill>
                    <a:srgbClr val="44546A"/>
                  </a:solidFill>
                  <a:latin typeface="+mn-lt"/>
                </a:endParaRPr>
              </a:p>
            </c:rich>
          </c:tx>
          <c:layout>
            <c:manualLayout>
              <c:xMode val="edge"/>
              <c:yMode val="edge"/>
              <c:x val="1.2806649168853892E-2"/>
              <c:y val="0.40004523550311838"/>
            </c:manualLayout>
          </c:layout>
          <c:overlay val="0"/>
          <c:spPr>
            <a:noFill/>
            <a:ln>
              <a:noFill/>
            </a:ln>
            <a:effectLst/>
          </c:spPr>
          <c:txPr>
            <a:bodyPr rot="-5400000" spcFirstLastPara="1" vertOverflow="ellipsis" vert="horz" wrap="square" anchor="ctr" anchorCtr="1"/>
            <a:lstStyle/>
            <a:p>
              <a:pPr>
                <a:defRPr sz="700" b="0" i="0" u="none" strike="noStrike" kern="1200" baseline="0">
                  <a:solidFill>
                    <a:srgbClr val="44546A"/>
                  </a:solidFill>
                  <a:latin typeface="+mn-lt"/>
                  <a:ea typeface="+mn-ea"/>
                  <a:cs typeface="+mn-cs"/>
                </a:defRPr>
              </a:pPr>
              <a:endParaRPr lang="en-US"/>
            </a:p>
          </c:txPr>
        </c:title>
        <c:numFmt formatCode="0" sourceLinked="0"/>
        <c:majorTickMark val="out"/>
        <c:minorTickMark val="none"/>
        <c:tickLblPos val="nextTo"/>
        <c:spPr>
          <a:noFill/>
          <a:ln w="3175" cap="flat" cmpd="sng" algn="ctr">
            <a:noFill/>
            <a:prstDash val="solid"/>
            <a:round/>
          </a:ln>
          <a:effectLst/>
        </c:spPr>
        <c:txPr>
          <a:bodyPr rot="-60000000" spcFirstLastPara="1" vertOverflow="ellipsis" vert="horz" wrap="square" anchor="ctr" anchorCtr="1"/>
          <a:lstStyle/>
          <a:p>
            <a:pPr>
              <a:defRPr sz="750" b="0" i="0" u="none" strike="noStrike" kern="1200" baseline="0">
                <a:solidFill>
                  <a:srgbClr val="44546A"/>
                </a:solidFill>
                <a:latin typeface="+mn-lt"/>
                <a:ea typeface="+mn-ea"/>
                <a:cs typeface="+mn-cs"/>
              </a:defRPr>
            </a:pPr>
            <a:endParaRPr lang="en-US"/>
          </a:p>
        </c:txPr>
        <c:crossAx val="467546320"/>
        <c:crosses val="autoZero"/>
        <c:crossBetween val="between"/>
      </c:valAx>
      <c:spPr>
        <a:noFill/>
        <a:ln>
          <a:noFill/>
        </a:ln>
        <a:effectLst/>
      </c:spPr>
    </c:plotArea>
    <c:legend>
      <c:legendPos val="r"/>
      <c:layout>
        <c:manualLayout>
          <c:xMode val="edge"/>
          <c:yMode val="edge"/>
          <c:x val="0.1429453827105534"/>
          <c:y val="1.9290579031318835E-2"/>
          <c:w val="0.795961068391148"/>
          <c:h val="0.10139402992632351"/>
        </c:manualLayout>
      </c:layout>
      <c:overlay val="0"/>
      <c:spPr>
        <a:noFill/>
        <a:ln>
          <a:noFill/>
        </a:ln>
        <a:effectLst/>
      </c:spPr>
      <c:txPr>
        <a:bodyPr rot="0" spcFirstLastPara="1" vertOverflow="ellipsis" vert="horz" wrap="square" anchor="ctr" anchorCtr="1"/>
        <a:lstStyle/>
        <a:p>
          <a:pPr>
            <a:defRPr sz="600" b="0" i="0" u="none" strike="noStrike" kern="1200" baseline="0">
              <a:solidFill>
                <a:srgbClr val="44546A"/>
              </a:solidFill>
              <a:latin typeface="+mn-lt"/>
              <a:ea typeface="+mn-ea"/>
              <a:cs typeface="+mn-cs"/>
            </a:defRPr>
          </a:pPr>
          <a:endParaRPr lang="en-US"/>
        </a:p>
      </c:txPr>
    </c:legend>
    <c:plotVisOnly val="1"/>
    <c:dispBlanksAs val="gap"/>
    <c:showDLblsOverMax val="0"/>
  </c:chart>
  <c:spPr>
    <a:solidFill>
      <a:schemeClr val="lt1"/>
    </a:solidFill>
    <a:ln w="9525" cap="flat" cmpd="sng" algn="ctr">
      <a:noFill/>
      <a:prstDash val="solid"/>
      <a:round/>
    </a:ln>
    <a:effectLst/>
  </c:spPr>
  <c:txPr>
    <a:bodyPr/>
    <a:lstStyle/>
    <a:p>
      <a:pPr>
        <a:defRPr sz="900" baseline="0">
          <a:latin typeface="Cambria" pitchFamily="18" charset="0"/>
        </a:defRPr>
      </a:pPr>
      <a:endParaRPr lang="en-US"/>
    </a:p>
  </c:txPr>
  <c:externalData r:id="rId3">
    <c:autoUpdate val="0"/>
  </c:externalData>
  <c:userShapes r:id="rId4"/>
</c:chartSpace>
</file>

<file path=word/charts/chart4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539037386617257E-2"/>
          <c:y val="6.3947535780890546E-2"/>
          <c:w val="0.87677881503587096"/>
          <c:h val="0.90550737704009432"/>
        </c:manualLayout>
      </c:layout>
      <c:scatterChart>
        <c:scatterStyle val="smoothMarker"/>
        <c:varyColors val="0"/>
        <c:ser>
          <c:idx val="1"/>
          <c:order val="0"/>
          <c:spPr>
            <a:ln w="15875" cap="rnd">
              <a:solidFill>
                <a:srgbClr val="FF0000"/>
              </a:solidFill>
              <a:round/>
            </a:ln>
            <a:effectLst>
              <a:outerShdw blurRad="40000" dist="23000" dir="5400000" rotWithShape="0">
                <a:srgbClr val="000000">
                  <a:alpha val="35000"/>
                </a:srgbClr>
              </a:outerShdw>
            </a:effectLst>
          </c:spPr>
          <c:marker>
            <c:symbol val="circle"/>
            <c:size val="4"/>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w="3175" cap="rnd">
                <a:solidFill>
                  <a:schemeClr val="accent4"/>
                </a:solidFill>
                <a:round/>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marker>
          <c:dLbls>
            <c:dLbl>
              <c:idx val="0"/>
              <c:layout>
                <c:manualLayout>
                  <c:x val="-6.9381423218486976E-2"/>
                  <c:y val="-4.1527671341031656E-2"/>
                </c:manualLayout>
              </c:layout>
              <c:tx>
                <c:rich>
                  <a:bodyPr/>
                  <a:lstStyle/>
                  <a:p>
                    <a:r>
                      <a:rPr lang="en-US"/>
                      <a:t>2006</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7BDC-427F-B89E-3ABDAD8051BF}"/>
                </c:ext>
              </c:extLst>
            </c:dLbl>
            <c:dLbl>
              <c:idx val="1"/>
              <c:layout>
                <c:manualLayout>
                  <c:x val="-2.4016646498707127E-2"/>
                  <c:y val="-3.3977185642662298E-2"/>
                </c:manualLayout>
              </c:layout>
              <c:tx>
                <c:rich>
                  <a:bodyPr/>
                  <a:lstStyle/>
                  <a:p>
                    <a:r>
                      <a:rPr lang="en-US"/>
                      <a:t>2007</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7BDC-427F-B89E-3ABDAD8051BF}"/>
                </c:ext>
              </c:extLst>
            </c:dLbl>
            <c:dLbl>
              <c:idx val="2"/>
              <c:tx>
                <c:rich>
                  <a:bodyPr/>
                  <a:lstStyle/>
                  <a:p>
                    <a:r>
                      <a:rPr lang="en-US"/>
                      <a:t>2008</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7BDC-427F-B89E-3ABDAD8051BF}"/>
                </c:ext>
              </c:extLst>
            </c:dLbl>
            <c:dLbl>
              <c:idx val="3"/>
              <c:layout>
                <c:manualLayout>
                  <c:x val="-0.12008323249353517"/>
                  <c:y val="-6.0403885586955142E-2"/>
                </c:manualLayout>
              </c:layout>
              <c:tx>
                <c:rich>
                  <a:bodyPr/>
                  <a:lstStyle/>
                  <a:p>
                    <a:r>
                      <a:rPr lang="en-US"/>
                      <a:t>2009</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BDC-427F-B89E-3ABDAD8051BF}"/>
                </c:ext>
              </c:extLst>
            </c:dLbl>
            <c:dLbl>
              <c:idx val="4"/>
              <c:layout>
                <c:manualLayout>
                  <c:x val="-0.11741471621590104"/>
                  <c:y val="7.5504856983693233E-3"/>
                </c:manualLayout>
              </c:layout>
              <c:tx>
                <c:rich>
                  <a:bodyPr/>
                  <a:lstStyle/>
                  <a:p>
                    <a:r>
                      <a:rPr lang="en-US"/>
                      <a:t>2010</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7BDC-427F-B89E-3ABDAD8051BF}"/>
                </c:ext>
              </c:extLst>
            </c:dLbl>
            <c:dLbl>
              <c:idx val="5"/>
              <c:layout>
                <c:manualLayout>
                  <c:x val="8.0055488329023438E-3"/>
                  <c:y val="-3.0523469547407887E-2"/>
                </c:manualLayout>
              </c:layout>
              <c:tx>
                <c:rich>
                  <a:bodyPr/>
                  <a:lstStyle/>
                  <a:p>
                    <a:r>
                      <a:rPr lang="en-US"/>
                      <a:t>2011</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7BDC-427F-B89E-3ABDAD8051BF}"/>
                </c:ext>
              </c:extLst>
            </c:dLbl>
            <c:dLbl>
              <c:idx val="6"/>
              <c:layout>
                <c:manualLayout>
                  <c:x val="-6.6712906940852856E-2"/>
                  <c:y val="-4.9078157039401084E-2"/>
                </c:manualLayout>
              </c:layout>
              <c:tx>
                <c:rich>
                  <a:bodyPr/>
                  <a:lstStyle/>
                  <a:p>
                    <a:r>
                      <a:rPr lang="en-US"/>
                      <a:t>2012</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7BDC-427F-B89E-3ABDAD8051BF}"/>
                </c:ext>
              </c:extLst>
            </c:dLbl>
            <c:dLbl>
              <c:idx val="7"/>
              <c:tx>
                <c:rich>
                  <a:bodyPr/>
                  <a:lstStyle/>
                  <a:p>
                    <a:r>
                      <a:rPr lang="en-US"/>
                      <a:t>2013</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7BDC-427F-B89E-3ABDAD8051BF}"/>
                </c:ext>
              </c:extLst>
            </c:dLbl>
            <c:dLbl>
              <c:idx val="8"/>
              <c:layout>
                <c:manualLayout>
                  <c:x val="0"/>
                  <c:y val="3.7752428491846894E-2"/>
                </c:manualLayout>
              </c:layout>
              <c:tx>
                <c:rich>
                  <a:bodyPr/>
                  <a:lstStyle/>
                  <a:p>
                    <a:r>
                      <a:rPr lang="en-US"/>
                      <a:t>2014</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7BDC-427F-B89E-3ABDAD8051BF}"/>
                </c:ext>
              </c:extLst>
            </c:dLbl>
            <c:dLbl>
              <c:idx val="9"/>
              <c:tx>
                <c:rich>
                  <a:bodyPr/>
                  <a:lstStyle/>
                  <a:p>
                    <a:r>
                      <a:rPr lang="en-US"/>
                      <a:t>2015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7BDC-427F-B89E-3ABDAD8051BF}"/>
                </c:ext>
              </c:extLst>
            </c:dLbl>
            <c:dLbl>
              <c:idx val="10"/>
              <c:layout>
                <c:manualLayout>
                  <c:x val="-1.0674065110536458E-2"/>
                  <c:y val="4.4820418347432216E-2"/>
                </c:manualLayout>
              </c:layout>
              <c:tx>
                <c:rich>
                  <a:bodyPr/>
                  <a:lstStyle/>
                  <a:p>
                    <a:r>
                      <a:rPr lang="en-US"/>
                      <a:t>2016</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7BDC-427F-B89E-3ABDAD8051BF}"/>
                </c:ext>
              </c:extLst>
            </c:dLbl>
            <c:dLbl>
              <c:idx val="11"/>
              <c:layout>
                <c:manualLayout>
                  <c:x val="-5.3370325552682292E-2"/>
                  <c:y val="-4.9078157039401049E-2"/>
                </c:manualLayout>
              </c:layout>
              <c:tx>
                <c:rich>
                  <a:bodyPr/>
                  <a:lstStyle/>
                  <a:p>
                    <a:r>
                      <a:rPr lang="en-US"/>
                      <a:t>2017</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7BDC-427F-B89E-3ABDAD8051BF}"/>
                </c:ext>
              </c:extLst>
            </c:dLbl>
            <c:dLbl>
              <c:idx val="12"/>
              <c:layout>
                <c:manualLayout>
                  <c:x val="2.6685162776341146E-3"/>
                  <c:y val="-3.7350348622860294E-3"/>
                </c:manualLayout>
              </c:layout>
              <c:tx>
                <c:rich>
                  <a:bodyPr/>
                  <a:lstStyle/>
                  <a:p>
                    <a:r>
                      <a:rPr lang="en-US"/>
                      <a:t>2018</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7BDC-427F-B89E-3ABDAD8051BF}"/>
                </c:ext>
              </c:extLst>
            </c:dLbl>
            <c:dLbl>
              <c:idx val="13"/>
              <c:layout>
                <c:manualLayout>
                  <c:x val="-4.2696260442145785E-2"/>
                  <c:y val="-7.0965662383434602E-2"/>
                </c:manualLayout>
              </c:layout>
              <c:tx>
                <c:rich>
                  <a:bodyPr/>
                  <a:lstStyle/>
                  <a:p>
                    <a:r>
                      <a:rPr lang="en-US"/>
                      <a:t>2019</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7BDC-427F-B89E-3ABDAD8051BF}"/>
                </c:ext>
              </c:extLst>
            </c:dLbl>
            <c:spPr>
              <a:noFill/>
              <a:ln>
                <a:noFill/>
              </a:ln>
              <a:effectLst/>
            </c:spPr>
            <c:txPr>
              <a:bodyPr rot="0" spcFirstLastPara="1" vertOverflow="ellipsis" vert="horz" wrap="square" lIns="38100" tIns="19050" rIns="38100" bIns="19050" anchor="ctr" anchorCtr="1">
                <a:spAutoFit/>
              </a:bodyPr>
              <a:lstStyle/>
              <a:p>
                <a:pPr>
                  <a:defRPr sz="700" b="1" i="0" u="none" strike="noStrike" kern="1200" baseline="0">
                    <a:solidFill>
                      <a:srgbClr val="44546A"/>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xVal>
            <c:numRef>
              <c:f>'Grafikoni, CAB, Karakter'!$Y$12:$Y$25</c:f>
              <c:numCache>
                <c:formatCode>#,##0.0</c:formatCode>
                <c:ptCount val="14"/>
                <c:pt idx="0">
                  <c:v>-2.5368200923358164</c:v>
                </c:pt>
                <c:pt idx="1">
                  <c:v>0.85795694827901137</c:v>
                </c:pt>
                <c:pt idx="2">
                  <c:v>4.1157859599310171</c:v>
                </c:pt>
                <c:pt idx="3">
                  <c:v>-0.3415280505865641</c:v>
                </c:pt>
                <c:pt idx="4">
                  <c:v>-0.68129408425658478</c:v>
                </c:pt>
                <c:pt idx="5">
                  <c:v>0.55679045734956489</c:v>
                </c:pt>
                <c:pt idx="6">
                  <c:v>-0.79587281030813661</c:v>
                </c:pt>
                <c:pt idx="7">
                  <c:v>1.3000386652375806</c:v>
                </c:pt>
                <c:pt idx="8">
                  <c:v>-1.3306920761674941</c:v>
                </c:pt>
                <c:pt idx="9">
                  <c:v>-1.099421493432694</c:v>
                </c:pt>
                <c:pt idx="10">
                  <c:v>3.6103936416727531E-2</c:v>
                </c:pt>
                <c:pt idx="11">
                  <c:v>-0.66281671955235355</c:v>
                </c:pt>
                <c:pt idx="12">
                  <c:v>0.32445473433121863</c:v>
                </c:pt>
                <c:pt idx="13">
                  <c:v>0.16452337762023353</c:v>
                </c:pt>
              </c:numCache>
            </c:numRef>
          </c:xVal>
          <c:yVal>
            <c:numRef>
              <c:f>'Grafikoni, CAB, Karakter'!$Z$12:$Z$25</c:f>
              <c:numCache>
                <c:formatCode>#,##0.0</c:formatCode>
                <c:ptCount val="14"/>
                <c:pt idx="0">
                  <c:v>1.2128559381708541</c:v>
                </c:pt>
                <c:pt idx="1">
                  <c:v>2.3615337158219534</c:v>
                </c:pt>
                <c:pt idx="2">
                  <c:v>1.918579586152781</c:v>
                </c:pt>
                <c:pt idx="3">
                  <c:v>-4.9057053705547915E-2</c:v>
                </c:pt>
                <c:pt idx="4">
                  <c:v>-0.30354798684078377</c:v>
                </c:pt>
                <c:pt idx="5">
                  <c:v>0.45396077693606784</c:v>
                </c:pt>
                <c:pt idx="6">
                  <c:v>0.84932569686802672</c:v>
                </c:pt>
                <c:pt idx="7">
                  <c:v>-0.99007787273792403</c:v>
                </c:pt>
                <c:pt idx="8">
                  <c:v>-0.39821702762192723</c:v>
                </c:pt>
                <c:pt idx="9">
                  <c:v>-2.9823107611378066</c:v>
                </c:pt>
                <c:pt idx="10">
                  <c:v>-1.7528102417175022</c:v>
                </c:pt>
                <c:pt idx="11">
                  <c:v>-2.1942015844315264</c:v>
                </c:pt>
                <c:pt idx="12">
                  <c:v>1.254629446096641</c:v>
                </c:pt>
                <c:pt idx="13">
                  <c:v>1.0948476790925554</c:v>
                </c:pt>
              </c:numCache>
            </c:numRef>
          </c:yVal>
          <c:smooth val="1"/>
          <c:extLst>
            <c:ext xmlns:c16="http://schemas.microsoft.com/office/drawing/2014/chart" uri="{C3380CC4-5D6E-409C-BE32-E72D297353CC}">
              <c16:uniqueId val="{0000000E-7BDC-427F-B89E-3ABDAD8051BF}"/>
            </c:ext>
          </c:extLst>
        </c:ser>
        <c:ser>
          <c:idx val="0"/>
          <c:order val="1"/>
          <c:spPr>
            <a:ln w="22225" cap="rnd">
              <a:solidFill>
                <a:srgbClr val="D9D9D9"/>
              </a:solidFill>
              <a:round/>
            </a:ln>
            <a:effectLst>
              <a:outerShdw blurRad="40000" dist="23000" dir="5400000" rotWithShape="0">
                <a:srgbClr val="000000">
                  <a:alpha val="35000"/>
                </a:srgbClr>
              </a:outerShdw>
            </a:effectLst>
          </c:spPr>
          <c:marker>
            <c:symbol val="circle"/>
            <c:size val="6"/>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w="12700" cap="rnd">
                <a:solidFill>
                  <a:schemeClr val="accent2"/>
                </a:solidFill>
                <a:round/>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marker>
          <c:xVal>
            <c:numRef>
              <c:f>'Grafikoni, CAB, Karakter'!$V$12:$V$22</c:f>
              <c:numCache>
                <c:formatCode>0.000</c:formatCode>
                <c:ptCount val="11"/>
                <c:pt idx="0">
                  <c:v>-0.67399204989505868</c:v>
                </c:pt>
                <c:pt idx="1">
                  <c:v>-0.33683436039075737</c:v>
                </c:pt>
                <c:pt idx="2">
                  <c:v>5.8450484155194229E-2</c:v>
                </c:pt>
                <c:pt idx="3">
                  <c:v>7.2080679930236258E-2</c:v>
                </c:pt>
                <c:pt idx="4">
                  <c:v>0.11690216646601964</c:v>
                </c:pt>
                <c:pt idx="5">
                  <c:v>0.21039421664284941</c:v>
                </c:pt>
                <c:pt idx="6">
                  <c:v>-4.724337621619535E-2</c:v>
                </c:pt>
                <c:pt idx="7">
                  <c:v>-0.2572066293336725</c:v>
                </c:pt>
                <c:pt idx="8">
                  <c:v>-0.87007759477570834</c:v>
                </c:pt>
                <c:pt idx="9">
                  <c:v>-0.62615402280587862</c:v>
                </c:pt>
                <c:pt idx="10">
                  <c:v>-7.7411969029329716E-2</c:v>
                </c:pt>
              </c:numCache>
            </c:numRef>
          </c:xVal>
          <c:yVal>
            <c:numRef>
              <c:f>'Grafikoni, CAB, Karakter'!$W$12:$W$22</c:f>
              <c:numCache>
                <c:formatCode>General</c:formatCode>
                <c:ptCount val="11"/>
                <c:pt idx="10" formatCode="#,##0.0">
                  <c:v>0.67459001582701605</c:v>
                </c:pt>
              </c:numCache>
            </c:numRef>
          </c:yVal>
          <c:smooth val="1"/>
          <c:extLst>
            <c:ext xmlns:c16="http://schemas.microsoft.com/office/drawing/2014/chart" uri="{C3380CC4-5D6E-409C-BE32-E72D297353CC}">
              <c16:uniqueId val="{0000000F-7BDC-427F-B89E-3ABDAD8051BF}"/>
            </c:ext>
          </c:extLst>
        </c:ser>
        <c:dLbls>
          <c:showLegendKey val="0"/>
          <c:showVal val="0"/>
          <c:showCatName val="0"/>
          <c:showSerName val="0"/>
          <c:showPercent val="0"/>
          <c:showBubbleSize val="0"/>
        </c:dLbls>
        <c:axId val="220401872"/>
        <c:axId val="343751600"/>
      </c:scatterChart>
      <c:valAx>
        <c:axId val="220401872"/>
        <c:scaling>
          <c:orientation val="minMax"/>
          <c:min val="-3"/>
        </c:scaling>
        <c:delete val="0"/>
        <c:axPos val="b"/>
        <c:majorGridlines>
          <c:spPr>
            <a:ln w="12700" cap="flat" cmpd="sng" algn="ctr">
              <a:noFill/>
              <a:round/>
            </a:ln>
            <a:effectLst/>
          </c:spPr>
        </c:majorGridlines>
        <c:title>
          <c:tx>
            <c:rich>
              <a:bodyPr rot="0" spcFirstLastPara="1" vertOverflow="ellipsis" vert="horz" wrap="square" anchor="ctr" anchorCtr="1"/>
              <a:lstStyle/>
              <a:p>
                <a:pPr>
                  <a:defRPr sz="700" b="0" i="0" u="none" strike="noStrike" kern="1200" baseline="0">
                    <a:solidFill>
                      <a:srgbClr val="44546A"/>
                    </a:solidFill>
                    <a:latin typeface="+mn-lt"/>
                    <a:ea typeface="+mn-ea"/>
                    <a:cs typeface="+mn-cs"/>
                  </a:defRPr>
                </a:pPr>
                <a:r>
                  <a:rPr lang="sr-Cyrl-CS" sz="700" b="0">
                    <a:solidFill>
                      <a:srgbClr val="44546A"/>
                    </a:solidFill>
                    <a:latin typeface="+mn-lt"/>
                  </a:rPr>
                  <a:t>Производни јаз</a:t>
                </a:r>
              </a:p>
            </c:rich>
          </c:tx>
          <c:layout>
            <c:manualLayout>
              <c:xMode val="edge"/>
              <c:yMode val="edge"/>
              <c:x val="0.80594948855889426"/>
              <c:y val="0.43206197819158132"/>
            </c:manualLayout>
          </c:layout>
          <c:overlay val="0"/>
          <c:spPr>
            <a:noFill/>
            <a:ln>
              <a:noFill/>
            </a:ln>
            <a:effectLst/>
          </c:spPr>
          <c:txPr>
            <a:bodyPr rot="0" spcFirstLastPara="1" vertOverflow="ellipsis" vert="horz" wrap="square" anchor="ctr" anchorCtr="1"/>
            <a:lstStyle/>
            <a:p>
              <a:pPr>
                <a:defRPr sz="700" b="0" i="0" u="none" strike="noStrike" kern="1200" baseline="0">
                  <a:solidFill>
                    <a:srgbClr val="44546A"/>
                  </a:solidFill>
                  <a:latin typeface="+mn-lt"/>
                  <a:ea typeface="+mn-ea"/>
                  <a:cs typeface="+mn-cs"/>
                </a:defRPr>
              </a:pPr>
              <a:endParaRPr lang="en-US"/>
            </a:p>
          </c:txPr>
        </c:title>
        <c:numFmt formatCode="#,##0" sourceLinked="0"/>
        <c:majorTickMark val="none"/>
        <c:minorTickMark val="none"/>
        <c:tickLblPos val="nextTo"/>
        <c:spPr>
          <a:noFill/>
          <a:ln w="9525" cap="flat" cmpd="sng" algn="ctr">
            <a:solidFill>
              <a:srgbClr val="D9D9D9"/>
            </a:solidFill>
            <a:round/>
          </a:ln>
          <a:effectLst/>
        </c:spPr>
        <c:txPr>
          <a:bodyPr rot="-60000000" spcFirstLastPara="1" vertOverflow="ellipsis" vert="horz" wrap="square" anchor="ctr" anchorCtr="1"/>
          <a:lstStyle/>
          <a:p>
            <a:pPr>
              <a:defRPr sz="800" b="0" i="0" u="none" strike="noStrike" kern="1200" baseline="0">
                <a:solidFill>
                  <a:srgbClr val="44546A"/>
                </a:solidFill>
                <a:latin typeface="Cambria" panose="02040503050406030204" pitchFamily="18" charset="0"/>
                <a:ea typeface="+mn-ea"/>
                <a:cs typeface="+mn-cs"/>
              </a:defRPr>
            </a:pPr>
            <a:endParaRPr lang="en-US"/>
          </a:p>
        </c:txPr>
        <c:crossAx val="343751600"/>
        <c:crosses val="autoZero"/>
        <c:crossBetween val="midCat"/>
      </c:valAx>
      <c:valAx>
        <c:axId val="343751600"/>
        <c:scaling>
          <c:orientation val="minMax"/>
          <c:max val="3"/>
          <c:min val="-4"/>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700" b="0" i="0" u="none" strike="noStrike" kern="1200" baseline="0">
                    <a:solidFill>
                      <a:srgbClr val="44546A"/>
                    </a:solidFill>
                    <a:latin typeface="+mn-lt"/>
                    <a:ea typeface="+mn-ea"/>
                    <a:cs typeface="+mn-cs"/>
                  </a:defRPr>
                </a:pPr>
                <a:r>
                  <a:rPr lang="sr-Cyrl-CS" sz="700" b="0">
                    <a:solidFill>
                      <a:srgbClr val="44546A"/>
                    </a:solidFill>
                    <a:latin typeface="+mn-lt"/>
                  </a:rPr>
                  <a:t>Фискални импулс</a:t>
                </a:r>
                <a:endParaRPr lang="en-GB" sz="700" b="0">
                  <a:solidFill>
                    <a:srgbClr val="44546A"/>
                  </a:solidFill>
                  <a:latin typeface="+mn-lt"/>
                </a:endParaRPr>
              </a:p>
            </c:rich>
          </c:tx>
          <c:layout>
            <c:manualLayout>
              <c:xMode val="edge"/>
              <c:yMode val="edge"/>
              <c:x val="5.084478416711842E-3"/>
              <c:y val="0.32238239450837874"/>
            </c:manualLayout>
          </c:layout>
          <c:overlay val="0"/>
          <c:spPr>
            <a:noFill/>
            <a:ln>
              <a:noFill/>
            </a:ln>
            <a:effectLst/>
          </c:spPr>
          <c:txPr>
            <a:bodyPr rot="-5400000" spcFirstLastPara="1" vertOverflow="ellipsis" vert="horz" wrap="square" anchor="ctr" anchorCtr="1"/>
            <a:lstStyle/>
            <a:p>
              <a:pPr>
                <a:defRPr sz="700" b="0" i="0" u="none" strike="noStrike" kern="1200" baseline="0">
                  <a:solidFill>
                    <a:srgbClr val="44546A"/>
                  </a:solidFill>
                  <a:latin typeface="+mn-lt"/>
                  <a:ea typeface="+mn-ea"/>
                  <a:cs typeface="+mn-cs"/>
                </a:defRPr>
              </a:pPr>
              <a:endParaRPr lang="en-US"/>
            </a:p>
          </c:txPr>
        </c:title>
        <c:numFmt formatCode="#,##0" sourceLinked="0"/>
        <c:majorTickMark val="none"/>
        <c:minorTickMark val="none"/>
        <c:tickLblPos val="nextTo"/>
        <c:spPr>
          <a:noFill/>
          <a:ln w="9525">
            <a:solidFill>
              <a:srgbClr val="D9D9D9"/>
            </a:solid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Cambria" panose="02040503050406030204" pitchFamily="18" charset="0"/>
                <a:ea typeface="+mn-ea"/>
                <a:cs typeface="+mn-cs"/>
              </a:defRPr>
            </a:pPr>
            <a:endParaRPr lang="en-US"/>
          </a:p>
        </c:txPr>
        <c:crossAx val="220401872"/>
        <c:crosses val="autoZero"/>
        <c:crossBetween val="midCat"/>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baseline="0">
          <a:latin typeface="Cambria" panose="02040503050406030204" pitchFamily="18" charset="0"/>
        </a:defRPr>
      </a:pPr>
      <a:endParaRPr lang="en-US"/>
    </a:p>
  </c:txPr>
  <c:externalData r:id="rId4">
    <c:autoUpdate val="0"/>
  </c:externalData>
  <c:userShapes r:id="rId5"/>
</c:chartSpace>
</file>

<file path=word/charts/chart4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1151139604646337"/>
          <c:y val="4.8318562301728173E-2"/>
          <c:w val="0.87055772226774464"/>
          <c:h val="0.90075537640023107"/>
        </c:manualLayout>
      </c:layout>
      <c:lineChart>
        <c:grouping val="standard"/>
        <c:varyColors val="0"/>
        <c:ser>
          <c:idx val="0"/>
          <c:order val="0"/>
          <c:tx>
            <c:strRef>
              <c:f>'Quaterly, Yearly'!$CA$5</c:f>
              <c:strCache>
                <c:ptCount val="1"/>
                <c:pt idx="0">
                  <c:v>Примарни резултат који стабилизује учешће дуга у БДП</c:v>
                </c:pt>
              </c:strCache>
            </c:strRef>
          </c:tx>
          <c:spPr>
            <a:ln w="28575" cap="rnd">
              <a:solidFill>
                <a:srgbClr val="2F489A"/>
              </a:solidFill>
              <a:round/>
            </a:ln>
            <a:effectLst/>
          </c:spPr>
          <c:marker>
            <c:symbol val="none"/>
          </c:marker>
          <c:cat>
            <c:strRef>
              <c:f>'Quaterly, Yearly'!$CO$7:$CV$8</c:f>
              <c:strCache>
                <c:ptCount val="8"/>
                <c:pt idx="0">
                  <c:v>2015</c:v>
                </c:pt>
                <c:pt idx="1">
                  <c:v>2016</c:v>
                </c:pt>
                <c:pt idx="2">
                  <c:v>2017</c:v>
                </c:pt>
                <c:pt idx="3">
                  <c:v>2018</c:v>
                </c:pt>
                <c:pt idx="4">
                  <c:v>2019</c:v>
                </c:pt>
                <c:pt idx="5">
                  <c:v>2020</c:v>
                </c:pt>
                <c:pt idx="6">
                  <c:v>2021</c:v>
                </c:pt>
                <c:pt idx="7">
                  <c:v>2022</c:v>
                </c:pt>
              </c:strCache>
            </c:strRef>
          </c:cat>
          <c:val>
            <c:numRef>
              <c:f>'Quaterly, Yearly'!$CO$5:$CV$5</c:f>
              <c:numCache>
                <c:formatCode>#,##0.00</c:formatCode>
                <c:ptCount val="8"/>
                <c:pt idx="0">
                  <c:v>0.42214935732127984</c:v>
                </c:pt>
                <c:pt idx="1">
                  <c:v>-0.37246913560686207</c:v>
                </c:pt>
                <c:pt idx="2">
                  <c:v>-0.48311632457041648</c:v>
                </c:pt>
                <c:pt idx="3">
                  <c:v>-1.3202829143176549</c:v>
                </c:pt>
                <c:pt idx="4">
                  <c:v>-1.4758548881453193</c:v>
                </c:pt>
                <c:pt idx="5">
                  <c:v>-1.8547242520862979</c:v>
                </c:pt>
                <c:pt idx="6">
                  <c:v>-1.7846385126897937</c:v>
                </c:pt>
                <c:pt idx="7">
                  <c:v>-1.7769314737143393</c:v>
                </c:pt>
              </c:numCache>
            </c:numRef>
          </c:val>
          <c:smooth val="0"/>
          <c:extLst>
            <c:ext xmlns:c16="http://schemas.microsoft.com/office/drawing/2014/chart" uri="{C3380CC4-5D6E-409C-BE32-E72D297353CC}">
              <c16:uniqueId val="{00000000-F7BA-4EF2-AE8E-A7DF31C67A3E}"/>
            </c:ext>
          </c:extLst>
        </c:ser>
        <c:ser>
          <c:idx val="1"/>
          <c:order val="1"/>
          <c:tx>
            <c:v>Остварени (пројектовани) примарни фискални резултат</c:v>
          </c:tx>
          <c:spPr>
            <a:ln w="25400" cap="rnd">
              <a:solidFill>
                <a:srgbClr val="FF0000"/>
              </a:solidFill>
              <a:round/>
            </a:ln>
            <a:effectLst/>
          </c:spPr>
          <c:marker>
            <c:symbol val="none"/>
          </c:marker>
          <c:cat>
            <c:strRef>
              <c:f>'Quaterly, Yearly'!$CO$7:$CV$8</c:f>
              <c:strCache>
                <c:ptCount val="8"/>
                <c:pt idx="0">
                  <c:v>2015</c:v>
                </c:pt>
                <c:pt idx="1">
                  <c:v>2016</c:v>
                </c:pt>
                <c:pt idx="2">
                  <c:v>2017</c:v>
                </c:pt>
                <c:pt idx="3">
                  <c:v>2018</c:v>
                </c:pt>
                <c:pt idx="4">
                  <c:v>2019</c:v>
                </c:pt>
                <c:pt idx="5">
                  <c:v>2020</c:v>
                </c:pt>
                <c:pt idx="6">
                  <c:v>2021</c:v>
                </c:pt>
                <c:pt idx="7">
                  <c:v>2022</c:v>
                </c:pt>
              </c:strCache>
            </c:strRef>
          </c:cat>
          <c:val>
            <c:numRef>
              <c:f>'Quaterly, Yearly'!$CO$61:$CV$61</c:f>
              <c:numCache>
                <c:formatCode>#,##0.0</c:formatCode>
                <c:ptCount val="8"/>
                <c:pt idx="0">
                  <c:v>-0.47093864924946055</c:v>
                </c:pt>
                <c:pt idx="1">
                  <c:v>1.7071767099500867</c:v>
                </c:pt>
                <c:pt idx="2">
                  <c:v>3.6396012140242178</c:v>
                </c:pt>
                <c:pt idx="3">
                  <c:v>2.7547491332273593</c:v>
                </c:pt>
                <c:pt idx="4">
                  <c:v>1.6</c:v>
                </c:pt>
                <c:pt idx="5" formatCode="#,##0.00">
                  <c:v>1.4</c:v>
                </c:pt>
                <c:pt idx="6">
                  <c:v>1.3</c:v>
                </c:pt>
                <c:pt idx="7" formatCode="General">
                  <c:v>1.2</c:v>
                </c:pt>
              </c:numCache>
            </c:numRef>
          </c:val>
          <c:smooth val="0"/>
          <c:extLst>
            <c:ext xmlns:c16="http://schemas.microsoft.com/office/drawing/2014/chart" uri="{C3380CC4-5D6E-409C-BE32-E72D297353CC}">
              <c16:uniqueId val="{00000001-F7BA-4EF2-AE8E-A7DF31C67A3E}"/>
            </c:ext>
          </c:extLst>
        </c:ser>
        <c:dLbls>
          <c:showLegendKey val="0"/>
          <c:showVal val="0"/>
          <c:showCatName val="0"/>
          <c:showSerName val="0"/>
          <c:showPercent val="0"/>
          <c:showBubbleSize val="0"/>
        </c:dLbls>
        <c:smooth val="0"/>
        <c:axId val="450235616"/>
        <c:axId val="450236176"/>
      </c:lineChart>
      <c:catAx>
        <c:axId val="450235616"/>
        <c:scaling>
          <c:orientation val="minMax"/>
        </c:scaling>
        <c:delete val="0"/>
        <c:axPos val="b"/>
        <c:numFmt formatCode="General" sourceLinked="1"/>
        <c:majorTickMark val="out"/>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rgbClr val="44546A"/>
                </a:solidFill>
                <a:latin typeface="+mj-lt"/>
                <a:ea typeface="+mn-ea"/>
                <a:cs typeface="+mn-cs"/>
              </a:defRPr>
            </a:pPr>
            <a:endParaRPr lang="en-US"/>
          </a:p>
        </c:txPr>
        <c:crossAx val="450236176"/>
        <c:crosses val="autoZero"/>
        <c:auto val="1"/>
        <c:lblAlgn val="ctr"/>
        <c:lblOffset val="100"/>
        <c:noMultiLvlLbl val="0"/>
      </c:catAx>
      <c:valAx>
        <c:axId val="450236176"/>
        <c:scaling>
          <c:orientation val="minMax"/>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750" b="0" i="0" u="none" strike="noStrike" kern="1200" baseline="0">
                    <a:solidFill>
                      <a:srgbClr val="44546A"/>
                    </a:solidFill>
                    <a:latin typeface="+mn-lt"/>
                    <a:ea typeface="+mn-ea"/>
                    <a:cs typeface="+mn-cs"/>
                  </a:defRPr>
                </a:pPr>
                <a:r>
                  <a:rPr lang="sr-Cyrl-RS" sz="750">
                    <a:solidFill>
                      <a:srgbClr val="44546A"/>
                    </a:solidFill>
                    <a:latin typeface="+mn-lt"/>
                  </a:rPr>
                  <a:t>% БДП</a:t>
                </a:r>
                <a:endParaRPr lang="en-US" sz="750">
                  <a:solidFill>
                    <a:srgbClr val="44546A"/>
                  </a:solidFill>
                  <a:latin typeface="+mn-lt"/>
                </a:endParaRPr>
              </a:p>
            </c:rich>
          </c:tx>
          <c:layout>
            <c:manualLayout>
              <c:xMode val="edge"/>
              <c:yMode val="edge"/>
              <c:x val="0"/>
              <c:y val="0.38205894024520137"/>
            </c:manualLayout>
          </c:layout>
          <c:overlay val="0"/>
          <c:spPr>
            <a:noFill/>
            <a:ln>
              <a:noFill/>
            </a:ln>
            <a:effectLst/>
          </c:spPr>
          <c:txPr>
            <a:bodyPr rot="-5400000" spcFirstLastPara="1" vertOverflow="ellipsis" vert="horz" wrap="square" anchor="ctr" anchorCtr="1"/>
            <a:lstStyle/>
            <a:p>
              <a:pPr>
                <a:defRPr sz="750" b="0" i="0" u="none" strike="noStrike" kern="1200" baseline="0">
                  <a:solidFill>
                    <a:srgbClr val="44546A"/>
                  </a:solidFill>
                  <a:latin typeface="+mn-lt"/>
                  <a:ea typeface="+mn-ea"/>
                  <a:cs typeface="+mn-cs"/>
                </a:defRPr>
              </a:pPr>
              <a:endParaRPr lang="en-US"/>
            </a:p>
          </c:txPr>
        </c:title>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rgbClr val="44546A"/>
                </a:solidFill>
                <a:latin typeface="+mn-lt"/>
                <a:ea typeface="+mn-ea"/>
                <a:cs typeface="+mn-cs"/>
              </a:defRPr>
            </a:pPr>
            <a:endParaRPr lang="en-US"/>
          </a:p>
        </c:txPr>
        <c:crossAx val="450235616"/>
        <c:crosses val="autoZero"/>
        <c:crossBetween val="between"/>
      </c:valAx>
      <c:spPr>
        <a:noFill/>
        <a:ln>
          <a:noFill/>
        </a:ln>
        <a:effectLst/>
      </c:spPr>
    </c:plotArea>
    <c:legend>
      <c:legendPos val="r"/>
      <c:legendEntry>
        <c:idx val="0"/>
        <c:txPr>
          <a:bodyPr rot="0" spcFirstLastPara="1" vertOverflow="ellipsis" vert="horz" wrap="square" anchor="ctr" anchorCtr="1"/>
          <a:lstStyle/>
          <a:p>
            <a:pPr>
              <a:defRPr sz="650" b="0" i="0" u="none" strike="noStrike" kern="1200" baseline="0">
                <a:solidFill>
                  <a:srgbClr val="44546A"/>
                </a:solidFill>
                <a:latin typeface="+mn-lt"/>
                <a:ea typeface="+mn-ea"/>
                <a:cs typeface="+mn-cs"/>
              </a:defRPr>
            </a:pPr>
            <a:endParaRPr lang="en-US"/>
          </a:p>
        </c:txPr>
      </c:legendEntry>
      <c:layout>
        <c:manualLayout>
          <c:xMode val="edge"/>
          <c:yMode val="edge"/>
          <c:x val="0.53921604484566721"/>
          <c:y val="1.5290396392758594E-2"/>
          <c:w val="0.4571877208962099"/>
          <c:h val="0.34052321709123234"/>
        </c:manualLayout>
      </c:layout>
      <c:overlay val="0"/>
      <c:spPr>
        <a:noFill/>
        <a:ln>
          <a:noFill/>
        </a:ln>
        <a:effectLst/>
      </c:spPr>
      <c:txPr>
        <a:bodyPr rot="0" spcFirstLastPara="1" vertOverflow="ellipsis" vert="horz" wrap="square" anchor="ctr" anchorCtr="1"/>
        <a:lstStyle/>
        <a:p>
          <a:pPr>
            <a:defRPr sz="650" b="0" i="0" u="none" strike="noStrike" kern="1200" baseline="0">
              <a:solidFill>
                <a:srgbClr val="44546A"/>
              </a:solidFill>
              <a:latin typeface="+mn-lt"/>
              <a:ea typeface="+mn-ea"/>
              <a:cs typeface="+mn-cs"/>
            </a:defRPr>
          </a:pPr>
          <a:endParaRPr lang="en-US"/>
        </a:p>
      </c:txPr>
    </c:legend>
    <c:plotVisOnly val="1"/>
    <c:dispBlanksAs val="gap"/>
    <c:showDLblsOverMax val="0"/>
  </c:chart>
  <c:spPr>
    <a:noFill/>
    <a:ln w="9525" cap="flat" cmpd="sng" algn="ctr">
      <a:noFill/>
      <a:round/>
    </a:ln>
    <a:effectLst/>
  </c:spPr>
  <c:txPr>
    <a:bodyPr/>
    <a:lstStyle/>
    <a:p>
      <a:pPr>
        <a:defRPr/>
      </a:pPr>
      <a:endParaRPr lang="en-US"/>
    </a:p>
  </c:txPr>
  <c:externalData r:id="rId3">
    <c:autoUpdate val="0"/>
  </c:externalData>
</c:chartSpace>
</file>

<file path=word/charts/chart5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5790505134226646"/>
          <c:y val="2.9912761174685869E-2"/>
          <c:w val="0.80171073352673017"/>
          <c:h val="0.73679965665381941"/>
        </c:manualLayout>
      </c:layout>
      <c:lineChart>
        <c:grouping val="standard"/>
        <c:varyColors val="0"/>
        <c:ser>
          <c:idx val="3"/>
          <c:order val="0"/>
          <c:tx>
            <c:strRef>
              <c:f>'manje prilg + manji rast'!$B$33</c:f>
              <c:strCache>
                <c:ptCount val="1"/>
                <c:pt idx="0">
                  <c:v>Успорен раст након 2023, фискална експанзија</c:v>
                </c:pt>
              </c:strCache>
            </c:strRef>
          </c:tx>
          <c:spPr>
            <a:ln w="22225" cap="rnd">
              <a:solidFill>
                <a:srgbClr val="EC008C"/>
              </a:solidFill>
              <a:round/>
            </a:ln>
            <a:effectLst/>
          </c:spPr>
          <c:marker>
            <c:symbol val="none"/>
          </c:marker>
          <c:dLbls>
            <c:dLbl>
              <c:idx val="0"/>
              <c:delete val="1"/>
              <c:extLst>
                <c:ext xmlns:c15="http://schemas.microsoft.com/office/drawing/2012/chart" uri="{CE6537A1-D6FC-4f65-9D91-7224C49458BB}"/>
                <c:ext xmlns:c16="http://schemas.microsoft.com/office/drawing/2014/chart" uri="{C3380CC4-5D6E-409C-BE32-E72D297353CC}">
                  <c16:uniqueId val="{00000000-213F-443C-971B-4B5C371ABFBF}"/>
                </c:ext>
              </c:extLst>
            </c:dLbl>
            <c:dLbl>
              <c:idx val="1"/>
              <c:delete val="1"/>
              <c:extLst>
                <c:ext xmlns:c15="http://schemas.microsoft.com/office/drawing/2012/chart" uri="{CE6537A1-D6FC-4f65-9D91-7224C49458BB}"/>
                <c:ext xmlns:c16="http://schemas.microsoft.com/office/drawing/2014/chart" uri="{C3380CC4-5D6E-409C-BE32-E72D297353CC}">
                  <c16:uniqueId val="{00000001-213F-443C-971B-4B5C371ABFBF}"/>
                </c:ext>
              </c:extLst>
            </c:dLbl>
            <c:dLbl>
              <c:idx val="2"/>
              <c:delete val="1"/>
              <c:extLst>
                <c:ext xmlns:c15="http://schemas.microsoft.com/office/drawing/2012/chart" uri="{CE6537A1-D6FC-4f65-9D91-7224C49458BB}"/>
                <c:ext xmlns:c16="http://schemas.microsoft.com/office/drawing/2014/chart" uri="{C3380CC4-5D6E-409C-BE32-E72D297353CC}">
                  <c16:uniqueId val="{00000002-213F-443C-971B-4B5C371ABFBF}"/>
                </c:ext>
              </c:extLst>
            </c:dLbl>
            <c:dLbl>
              <c:idx val="3"/>
              <c:delete val="1"/>
              <c:extLst>
                <c:ext xmlns:c15="http://schemas.microsoft.com/office/drawing/2012/chart" uri="{CE6537A1-D6FC-4f65-9D91-7224C49458BB}"/>
                <c:ext xmlns:c16="http://schemas.microsoft.com/office/drawing/2014/chart" uri="{C3380CC4-5D6E-409C-BE32-E72D297353CC}">
                  <c16:uniqueId val="{00000003-213F-443C-971B-4B5C371ABFBF}"/>
                </c:ext>
              </c:extLst>
            </c:dLbl>
            <c:dLbl>
              <c:idx val="4"/>
              <c:delete val="1"/>
              <c:extLst>
                <c:ext xmlns:c15="http://schemas.microsoft.com/office/drawing/2012/chart" uri="{CE6537A1-D6FC-4f65-9D91-7224C49458BB}"/>
                <c:ext xmlns:c16="http://schemas.microsoft.com/office/drawing/2014/chart" uri="{C3380CC4-5D6E-409C-BE32-E72D297353CC}">
                  <c16:uniqueId val="{00000004-213F-443C-971B-4B5C371ABFBF}"/>
                </c:ext>
              </c:extLst>
            </c:dLbl>
            <c:dLbl>
              <c:idx val="5"/>
              <c:delete val="1"/>
              <c:extLst>
                <c:ext xmlns:c15="http://schemas.microsoft.com/office/drawing/2012/chart" uri="{CE6537A1-D6FC-4f65-9D91-7224C49458BB}"/>
                <c:ext xmlns:c16="http://schemas.microsoft.com/office/drawing/2014/chart" uri="{C3380CC4-5D6E-409C-BE32-E72D297353CC}">
                  <c16:uniqueId val="{00000005-213F-443C-971B-4B5C371ABFBF}"/>
                </c:ext>
              </c:extLst>
            </c:dLbl>
            <c:dLbl>
              <c:idx val="6"/>
              <c:delete val="1"/>
              <c:extLst>
                <c:ext xmlns:c15="http://schemas.microsoft.com/office/drawing/2012/chart" uri="{CE6537A1-D6FC-4f65-9D91-7224C49458BB}"/>
                <c:ext xmlns:c16="http://schemas.microsoft.com/office/drawing/2014/chart" uri="{C3380CC4-5D6E-409C-BE32-E72D297353CC}">
                  <c16:uniqueId val="{00000006-213F-443C-971B-4B5C371ABFBF}"/>
                </c:ext>
              </c:extLst>
            </c:dLbl>
            <c:dLbl>
              <c:idx val="7"/>
              <c:delete val="1"/>
              <c:extLst>
                <c:ext xmlns:c15="http://schemas.microsoft.com/office/drawing/2012/chart" uri="{CE6537A1-D6FC-4f65-9D91-7224C49458BB}"/>
                <c:ext xmlns:c16="http://schemas.microsoft.com/office/drawing/2014/chart" uri="{C3380CC4-5D6E-409C-BE32-E72D297353CC}">
                  <c16:uniqueId val="{00000007-213F-443C-971B-4B5C371ABFBF}"/>
                </c:ext>
              </c:extLst>
            </c:dLbl>
            <c:dLbl>
              <c:idx val="8"/>
              <c:delete val="1"/>
              <c:extLst>
                <c:ext xmlns:c15="http://schemas.microsoft.com/office/drawing/2012/chart" uri="{CE6537A1-D6FC-4f65-9D91-7224C49458BB}"/>
                <c:ext xmlns:c16="http://schemas.microsoft.com/office/drawing/2014/chart" uri="{C3380CC4-5D6E-409C-BE32-E72D297353CC}">
                  <c16:uniqueId val="{00000008-213F-443C-971B-4B5C371ABFBF}"/>
                </c:ext>
              </c:extLst>
            </c:dLbl>
            <c:dLbl>
              <c:idx val="10"/>
              <c:delete val="1"/>
              <c:extLst>
                <c:ext xmlns:c15="http://schemas.microsoft.com/office/drawing/2012/chart" uri="{CE6537A1-D6FC-4f65-9D91-7224C49458BB}"/>
                <c:ext xmlns:c16="http://schemas.microsoft.com/office/drawing/2014/chart" uri="{C3380CC4-5D6E-409C-BE32-E72D297353CC}">
                  <c16:uniqueId val="{00000009-213F-443C-971B-4B5C371ABFBF}"/>
                </c:ext>
              </c:extLst>
            </c:dLbl>
            <c:dLbl>
              <c:idx val="11"/>
              <c:delete val="1"/>
              <c:extLst>
                <c:ext xmlns:c15="http://schemas.microsoft.com/office/drawing/2012/chart" uri="{CE6537A1-D6FC-4f65-9D91-7224C49458BB}"/>
                <c:ext xmlns:c16="http://schemas.microsoft.com/office/drawing/2014/chart" uri="{C3380CC4-5D6E-409C-BE32-E72D297353CC}">
                  <c16:uniqueId val="{0000000A-213F-443C-971B-4B5C371ABFBF}"/>
                </c:ext>
              </c:extLst>
            </c:dLbl>
            <c:dLbl>
              <c:idx val="12"/>
              <c:delete val="1"/>
              <c:extLst>
                <c:ext xmlns:c15="http://schemas.microsoft.com/office/drawing/2012/chart" uri="{CE6537A1-D6FC-4f65-9D91-7224C49458BB}"/>
                <c:ext xmlns:c16="http://schemas.microsoft.com/office/drawing/2014/chart" uri="{C3380CC4-5D6E-409C-BE32-E72D297353CC}">
                  <c16:uniqueId val="{0000000B-213F-443C-971B-4B5C371ABFBF}"/>
                </c:ext>
              </c:extLst>
            </c:dLbl>
            <c:dLbl>
              <c:idx val="13"/>
              <c:layout>
                <c:manualLayout>
                  <c:x val="-7.4257428637148227E-3"/>
                  <c:y val="-5.7416246311176233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213F-443C-971B-4B5C371ABFBF}"/>
                </c:ext>
              </c:extLst>
            </c:dLbl>
            <c:dLbl>
              <c:idx val="14"/>
              <c:layout>
                <c:manualLayout>
                  <c:x val="-1.6042785477262247E-2"/>
                  <c:y val="-3.609927015045152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213F-443C-971B-4B5C371ABFBF}"/>
                </c:ext>
              </c:extLst>
            </c:dLbl>
            <c:dLbl>
              <c:idx val="15"/>
              <c:delete val="1"/>
              <c:extLst>
                <c:ext xmlns:c15="http://schemas.microsoft.com/office/drawing/2012/chart" uri="{CE6537A1-D6FC-4f65-9D91-7224C49458BB}"/>
                <c:ext xmlns:c16="http://schemas.microsoft.com/office/drawing/2014/chart" uri="{C3380CC4-5D6E-409C-BE32-E72D297353CC}">
                  <c16:uniqueId val="{0000000E-213F-443C-971B-4B5C371ABFBF}"/>
                </c:ext>
              </c:extLst>
            </c:dLbl>
            <c:dLbl>
              <c:idx val="16"/>
              <c:delete val="1"/>
              <c:extLst>
                <c:ext xmlns:c15="http://schemas.microsoft.com/office/drawing/2012/chart" uri="{CE6537A1-D6FC-4f65-9D91-7224C49458BB}"/>
                <c:ext xmlns:c16="http://schemas.microsoft.com/office/drawing/2014/chart" uri="{C3380CC4-5D6E-409C-BE32-E72D297353CC}">
                  <c16:uniqueId val="{0000000F-213F-443C-971B-4B5C371ABFBF}"/>
                </c:ext>
              </c:extLst>
            </c:dLbl>
            <c:dLbl>
              <c:idx val="17"/>
              <c:layout>
                <c:manualLayout>
                  <c:x val="-2.4170619721703136E-2"/>
                  <c:y val="-3.910754266298915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213F-443C-971B-4B5C371ABFBF}"/>
                </c:ext>
              </c:extLst>
            </c:dLbl>
            <c:spPr>
              <a:noFill/>
              <a:ln>
                <a:noFill/>
              </a:ln>
              <a:effectLst/>
            </c:spPr>
            <c:txPr>
              <a:bodyPr rot="0" spcFirstLastPara="1" vertOverflow="ellipsis" vert="horz" wrap="square" anchor="ctr" anchorCtr="1"/>
              <a:lstStyle/>
              <a:p>
                <a:pPr>
                  <a:defRPr sz="8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'Сценарио 1'!$C$33:$L$33</c:f>
              <c:numCache>
                <c:formatCode>General</c:formatCode>
                <c:ptCount val="10"/>
                <c:pt idx="0">
                  <c:v>2018</c:v>
                </c:pt>
                <c:pt idx="1">
                  <c:v>2019</c:v>
                </c:pt>
                <c:pt idx="2">
                  <c:v>2020</c:v>
                </c:pt>
                <c:pt idx="3">
                  <c:v>2021</c:v>
                </c:pt>
                <c:pt idx="4">
                  <c:v>2022</c:v>
                </c:pt>
                <c:pt idx="5">
                  <c:v>2023</c:v>
                </c:pt>
                <c:pt idx="6">
                  <c:v>2024</c:v>
                </c:pt>
                <c:pt idx="7">
                  <c:v>2025</c:v>
                </c:pt>
                <c:pt idx="8">
                  <c:v>2026</c:v>
                </c:pt>
                <c:pt idx="9">
                  <c:v>2027</c:v>
                </c:pt>
              </c:numCache>
            </c:numRef>
          </c:cat>
          <c:val>
            <c:numRef>
              <c:f>'manje prilg + manji rast'!$C$39:$L$39</c:f>
              <c:numCache>
                <c:formatCode>#,##0.0</c:formatCode>
                <c:ptCount val="10"/>
                <c:pt idx="0">
                  <c:v>54.5</c:v>
                </c:pt>
                <c:pt idx="1">
                  <c:v>52.9</c:v>
                </c:pt>
                <c:pt idx="2">
                  <c:v>51.4</c:v>
                </c:pt>
                <c:pt idx="3">
                  <c:v>50.3</c:v>
                </c:pt>
                <c:pt idx="4">
                  <c:v>48.4</c:v>
                </c:pt>
                <c:pt idx="5">
                  <c:v>47.842870740529222</c:v>
                </c:pt>
                <c:pt idx="6">
                  <c:v>49.262117628539954</c:v>
                </c:pt>
                <c:pt idx="7">
                  <c:v>50.768781425425246</c:v>
                </c:pt>
                <c:pt idx="8">
                  <c:v>52.868808340213874</c:v>
                </c:pt>
                <c:pt idx="9">
                  <c:v>54.9316082889721</c:v>
                </c:pt>
              </c:numCache>
            </c:numRef>
          </c:val>
          <c:smooth val="1"/>
          <c:extLst>
            <c:ext xmlns:c16="http://schemas.microsoft.com/office/drawing/2014/chart" uri="{C3380CC4-5D6E-409C-BE32-E72D297353CC}">
              <c16:uniqueId val="{00000011-213F-443C-971B-4B5C371ABFBF}"/>
            </c:ext>
          </c:extLst>
        </c:ser>
        <c:ser>
          <c:idx val="2"/>
          <c:order val="1"/>
          <c:tx>
            <c:strRef>
              <c:f>'manji rast'!$B$33</c:f>
              <c:strCache>
                <c:ptCount val="1"/>
                <c:pt idx="0">
                  <c:v>Успорен раст након 2023</c:v>
                </c:pt>
              </c:strCache>
            </c:strRef>
          </c:tx>
          <c:spPr>
            <a:ln w="19050" cap="rnd">
              <a:solidFill>
                <a:srgbClr val="00A651"/>
              </a:solidFill>
              <a:round/>
            </a:ln>
            <a:effectLst/>
          </c:spPr>
          <c:marker>
            <c:symbol val="none"/>
          </c:marker>
          <c:dLbls>
            <c:dLbl>
              <c:idx val="0"/>
              <c:delete val="1"/>
              <c:extLst>
                <c:ext xmlns:c15="http://schemas.microsoft.com/office/drawing/2012/chart" uri="{CE6537A1-D6FC-4f65-9D91-7224C49458BB}"/>
                <c:ext xmlns:c16="http://schemas.microsoft.com/office/drawing/2014/chart" uri="{C3380CC4-5D6E-409C-BE32-E72D297353CC}">
                  <c16:uniqueId val="{00000012-213F-443C-971B-4B5C371ABFBF}"/>
                </c:ext>
              </c:extLst>
            </c:dLbl>
            <c:dLbl>
              <c:idx val="1"/>
              <c:delete val="1"/>
              <c:extLst>
                <c:ext xmlns:c15="http://schemas.microsoft.com/office/drawing/2012/chart" uri="{CE6537A1-D6FC-4f65-9D91-7224C49458BB}"/>
                <c:ext xmlns:c16="http://schemas.microsoft.com/office/drawing/2014/chart" uri="{C3380CC4-5D6E-409C-BE32-E72D297353CC}">
                  <c16:uniqueId val="{00000013-213F-443C-971B-4B5C371ABFBF}"/>
                </c:ext>
              </c:extLst>
            </c:dLbl>
            <c:dLbl>
              <c:idx val="2"/>
              <c:delete val="1"/>
              <c:extLst>
                <c:ext xmlns:c15="http://schemas.microsoft.com/office/drawing/2012/chart" uri="{CE6537A1-D6FC-4f65-9D91-7224C49458BB}"/>
                <c:ext xmlns:c16="http://schemas.microsoft.com/office/drawing/2014/chart" uri="{C3380CC4-5D6E-409C-BE32-E72D297353CC}">
                  <c16:uniqueId val="{00000014-213F-443C-971B-4B5C371ABFBF}"/>
                </c:ext>
              </c:extLst>
            </c:dLbl>
            <c:dLbl>
              <c:idx val="3"/>
              <c:delete val="1"/>
              <c:extLst>
                <c:ext xmlns:c15="http://schemas.microsoft.com/office/drawing/2012/chart" uri="{CE6537A1-D6FC-4f65-9D91-7224C49458BB}"/>
                <c:ext xmlns:c16="http://schemas.microsoft.com/office/drawing/2014/chart" uri="{C3380CC4-5D6E-409C-BE32-E72D297353CC}">
                  <c16:uniqueId val="{00000015-213F-443C-971B-4B5C371ABFBF}"/>
                </c:ext>
              </c:extLst>
            </c:dLbl>
            <c:dLbl>
              <c:idx val="4"/>
              <c:delete val="1"/>
              <c:extLst>
                <c:ext xmlns:c15="http://schemas.microsoft.com/office/drawing/2012/chart" uri="{CE6537A1-D6FC-4f65-9D91-7224C49458BB}"/>
                <c:ext xmlns:c16="http://schemas.microsoft.com/office/drawing/2014/chart" uri="{C3380CC4-5D6E-409C-BE32-E72D297353CC}">
                  <c16:uniqueId val="{00000016-213F-443C-971B-4B5C371ABFBF}"/>
                </c:ext>
              </c:extLst>
            </c:dLbl>
            <c:dLbl>
              <c:idx val="5"/>
              <c:delete val="1"/>
              <c:extLst>
                <c:ext xmlns:c15="http://schemas.microsoft.com/office/drawing/2012/chart" uri="{CE6537A1-D6FC-4f65-9D91-7224C49458BB}"/>
                <c:ext xmlns:c16="http://schemas.microsoft.com/office/drawing/2014/chart" uri="{C3380CC4-5D6E-409C-BE32-E72D297353CC}">
                  <c16:uniqueId val="{00000017-213F-443C-971B-4B5C371ABFBF}"/>
                </c:ext>
              </c:extLst>
            </c:dLbl>
            <c:dLbl>
              <c:idx val="6"/>
              <c:delete val="1"/>
              <c:extLst>
                <c:ext xmlns:c15="http://schemas.microsoft.com/office/drawing/2012/chart" uri="{CE6537A1-D6FC-4f65-9D91-7224C49458BB}"/>
                <c:ext xmlns:c16="http://schemas.microsoft.com/office/drawing/2014/chart" uri="{C3380CC4-5D6E-409C-BE32-E72D297353CC}">
                  <c16:uniqueId val="{00000018-213F-443C-971B-4B5C371ABFBF}"/>
                </c:ext>
              </c:extLst>
            </c:dLbl>
            <c:dLbl>
              <c:idx val="7"/>
              <c:delete val="1"/>
              <c:extLst>
                <c:ext xmlns:c15="http://schemas.microsoft.com/office/drawing/2012/chart" uri="{CE6537A1-D6FC-4f65-9D91-7224C49458BB}"/>
                <c:ext xmlns:c16="http://schemas.microsoft.com/office/drawing/2014/chart" uri="{C3380CC4-5D6E-409C-BE32-E72D297353CC}">
                  <c16:uniqueId val="{00000019-213F-443C-971B-4B5C371ABFBF}"/>
                </c:ext>
              </c:extLst>
            </c:dLbl>
            <c:dLbl>
              <c:idx val="8"/>
              <c:delete val="1"/>
              <c:extLst>
                <c:ext xmlns:c15="http://schemas.microsoft.com/office/drawing/2012/chart" uri="{CE6537A1-D6FC-4f65-9D91-7224C49458BB}"/>
                <c:ext xmlns:c16="http://schemas.microsoft.com/office/drawing/2014/chart" uri="{C3380CC4-5D6E-409C-BE32-E72D297353CC}">
                  <c16:uniqueId val="{0000001A-213F-443C-971B-4B5C371ABFBF}"/>
                </c:ext>
              </c:extLst>
            </c:dLbl>
            <c:dLbl>
              <c:idx val="9"/>
              <c:layout>
                <c:manualLayout>
                  <c:x val="-1.8506512537500599E-2"/>
                  <c:y val="2.4576583099526352E-2"/>
                </c:manualLayout>
              </c:layout>
              <c:tx>
                <c:rich>
                  <a:bodyPr/>
                  <a:lstStyle/>
                  <a:p>
                    <a:r>
                      <a:rPr lang="en-US"/>
                      <a:t>44,9</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B-213F-443C-971B-4B5C371ABFBF}"/>
                </c:ext>
              </c:extLst>
            </c:dLbl>
            <c:dLbl>
              <c:idx val="10"/>
              <c:delete val="1"/>
              <c:extLst>
                <c:ext xmlns:c15="http://schemas.microsoft.com/office/drawing/2012/chart" uri="{CE6537A1-D6FC-4f65-9D91-7224C49458BB}"/>
                <c:ext xmlns:c16="http://schemas.microsoft.com/office/drawing/2014/chart" uri="{C3380CC4-5D6E-409C-BE32-E72D297353CC}">
                  <c16:uniqueId val="{0000001C-213F-443C-971B-4B5C371ABFBF}"/>
                </c:ext>
              </c:extLst>
            </c:dLbl>
            <c:dLbl>
              <c:idx val="11"/>
              <c:delete val="1"/>
              <c:extLst>
                <c:ext xmlns:c15="http://schemas.microsoft.com/office/drawing/2012/chart" uri="{CE6537A1-D6FC-4f65-9D91-7224C49458BB}"/>
                <c:ext xmlns:c16="http://schemas.microsoft.com/office/drawing/2014/chart" uri="{C3380CC4-5D6E-409C-BE32-E72D297353CC}">
                  <c16:uniqueId val="{0000001D-213F-443C-971B-4B5C371ABFBF}"/>
                </c:ext>
              </c:extLst>
            </c:dLbl>
            <c:dLbl>
              <c:idx val="12"/>
              <c:delete val="1"/>
              <c:extLst>
                <c:ext xmlns:c15="http://schemas.microsoft.com/office/drawing/2012/chart" uri="{CE6537A1-D6FC-4f65-9D91-7224C49458BB}"/>
                <c:ext xmlns:c16="http://schemas.microsoft.com/office/drawing/2014/chart" uri="{C3380CC4-5D6E-409C-BE32-E72D297353CC}">
                  <c16:uniqueId val="{0000001E-213F-443C-971B-4B5C371ABFBF}"/>
                </c:ext>
              </c:extLst>
            </c:dLbl>
            <c:dLbl>
              <c:idx val="13"/>
              <c:layout>
                <c:manualLayout>
                  <c:x val="-7.4257428637148227E-3"/>
                  <c:y val="-8.612436946676356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F-213F-443C-971B-4B5C371ABFBF}"/>
                </c:ext>
              </c:extLst>
            </c:dLbl>
            <c:dLbl>
              <c:idx val="14"/>
              <c:layout>
                <c:manualLayout>
                  <c:x val="-1.7647064024988345E-2"/>
                  <c:y val="-4.813236020060203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0-213F-443C-971B-4B5C371ABFBF}"/>
                </c:ext>
              </c:extLst>
            </c:dLbl>
            <c:dLbl>
              <c:idx val="15"/>
              <c:delete val="1"/>
              <c:extLst>
                <c:ext xmlns:c15="http://schemas.microsoft.com/office/drawing/2012/chart" uri="{CE6537A1-D6FC-4f65-9D91-7224C49458BB}"/>
                <c:ext xmlns:c16="http://schemas.microsoft.com/office/drawing/2014/chart" uri="{C3380CC4-5D6E-409C-BE32-E72D297353CC}">
                  <c16:uniqueId val="{00000021-213F-443C-971B-4B5C371ABFBF}"/>
                </c:ext>
              </c:extLst>
            </c:dLbl>
            <c:dLbl>
              <c:idx val="16"/>
              <c:delete val="1"/>
              <c:extLst>
                <c:ext xmlns:c15="http://schemas.microsoft.com/office/drawing/2012/chart" uri="{CE6537A1-D6FC-4f65-9D91-7224C49458BB}"/>
                <c:ext xmlns:c16="http://schemas.microsoft.com/office/drawing/2014/chart" uri="{C3380CC4-5D6E-409C-BE32-E72D297353CC}">
                  <c16:uniqueId val="{00000022-213F-443C-971B-4B5C371ABFBF}"/>
                </c:ext>
              </c:extLst>
            </c:dLbl>
            <c:dLbl>
              <c:idx val="17"/>
              <c:layout>
                <c:manualLayout>
                  <c:x val="-2.2748818561602949E-2"/>
                  <c:y val="-4.211581517552678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3-213F-443C-971B-4B5C371ABFBF}"/>
                </c:ext>
              </c:extLst>
            </c:dLbl>
            <c:spPr>
              <a:noFill/>
              <a:ln>
                <a:noFill/>
              </a:ln>
              <a:effectLst/>
            </c:spPr>
            <c:txPr>
              <a:bodyPr rot="0" spcFirstLastPara="1" vertOverflow="ellipsis" vert="horz" wrap="square" anchor="ctr" anchorCtr="1"/>
              <a:lstStyle/>
              <a:p>
                <a:pPr>
                  <a:defRPr sz="8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'Сценарио 1'!$C$33:$L$33</c:f>
              <c:numCache>
                <c:formatCode>General</c:formatCode>
                <c:ptCount val="10"/>
                <c:pt idx="0">
                  <c:v>2018</c:v>
                </c:pt>
                <c:pt idx="1">
                  <c:v>2019</c:v>
                </c:pt>
                <c:pt idx="2">
                  <c:v>2020</c:v>
                </c:pt>
                <c:pt idx="3">
                  <c:v>2021</c:v>
                </c:pt>
                <c:pt idx="4">
                  <c:v>2022</c:v>
                </c:pt>
                <c:pt idx="5">
                  <c:v>2023</c:v>
                </c:pt>
                <c:pt idx="6">
                  <c:v>2024</c:v>
                </c:pt>
                <c:pt idx="7">
                  <c:v>2025</c:v>
                </c:pt>
                <c:pt idx="8">
                  <c:v>2026</c:v>
                </c:pt>
                <c:pt idx="9">
                  <c:v>2027</c:v>
                </c:pt>
              </c:numCache>
            </c:numRef>
          </c:cat>
          <c:val>
            <c:numRef>
              <c:f>'manji rast'!$C$39:$L$39</c:f>
              <c:numCache>
                <c:formatCode>#,##0.0</c:formatCode>
                <c:ptCount val="10"/>
                <c:pt idx="0">
                  <c:v>54.5</c:v>
                </c:pt>
                <c:pt idx="1">
                  <c:v>52.9</c:v>
                </c:pt>
                <c:pt idx="2">
                  <c:v>51.4</c:v>
                </c:pt>
                <c:pt idx="3">
                  <c:v>50.3</c:v>
                </c:pt>
                <c:pt idx="4">
                  <c:v>48.4</c:v>
                </c:pt>
                <c:pt idx="5">
                  <c:v>47.188079192842189</c:v>
                </c:pt>
                <c:pt idx="6">
                  <c:v>46.469707754680371</c:v>
                </c:pt>
                <c:pt idx="7">
                  <c:v>45.882216509097574</c:v>
                </c:pt>
                <c:pt idx="8">
                  <c:v>45.419937689204318</c:v>
                </c:pt>
                <c:pt idx="9">
                  <c:v>44.967354153260132</c:v>
                </c:pt>
              </c:numCache>
            </c:numRef>
          </c:val>
          <c:smooth val="1"/>
          <c:extLst>
            <c:ext xmlns:c16="http://schemas.microsoft.com/office/drawing/2014/chart" uri="{C3380CC4-5D6E-409C-BE32-E72D297353CC}">
              <c16:uniqueId val="{00000024-213F-443C-971B-4B5C371ABFBF}"/>
            </c:ext>
          </c:extLst>
        </c:ser>
        <c:ser>
          <c:idx val="4"/>
          <c:order val="2"/>
          <c:tx>
            <c:strRef>
              <c:f>'manje prilagodjavanje'!$B$33</c:f>
              <c:strCache>
                <c:ptCount val="1"/>
                <c:pt idx="0">
                  <c:v>Фискална експанзија након 2023</c:v>
                </c:pt>
              </c:strCache>
            </c:strRef>
          </c:tx>
          <c:spPr>
            <a:ln w="22225" cap="rnd">
              <a:solidFill>
                <a:srgbClr val="7F3F98"/>
              </a:solidFill>
              <a:round/>
            </a:ln>
            <a:effectLst/>
          </c:spPr>
          <c:marker>
            <c:symbol val="none"/>
          </c:marker>
          <c:dLbls>
            <c:dLbl>
              <c:idx val="0"/>
              <c:delete val="1"/>
              <c:extLst>
                <c:ext xmlns:c15="http://schemas.microsoft.com/office/drawing/2012/chart" uri="{CE6537A1-D6FC-4f65-9D91-7224C49458BB}"/>
                <c:ext xmlns:c16="http://schemas.microsoft.com/office/drawing/2014/chart" uri="{C3380CC4-5D6E-409C-BE32-E72D297353CC}">
                  <c16:uniqueId val="{00000025-213F-443C-971B-4B5C371ABFBF}"/>
                </c:ext>
              </c:extLst>
            </c:dLbl>
            <c:dLbl>
              <c:idx val="1"/>
              <c:delete val="1"/>
              <c:extLst>
                <c:ext xmlns:c15="http://schemas.microsoft.com/office/drawing/2012/chart" uri="{CE6537A1-D6FC-4f65-9D91-7224C49458BB}"/>
                <c:ext xmlns:c16="http://schemas.microsoft.com/office/drawing/2014/chart" uri="{C3380CC4-5D6E-409C-BE32-E72D297353CC}">
                  <c16:uniqueId val="{00000026-213F-443C-971B-4B5C371ABFBF}"/>
                </c:ext>
              </c:extLst>
            </c:dLbl>
            <c:dLbl>
              <c:idx val="2"/>
              <c:delete val="1"/>
              <c:extLst>
                <c:ext xmlns:c15="http://schemas.microsoft.com/office/drawing/2012/chart" uri="{CE6537A1-D6FC-4f65-9D91-7224C49458BB}"/>
                <c:ext xmlns:c16="http://schemas.microsoft.com/office/drawing/2014/chart" uri="{C3380CC4-5D6E-409C-BE32-E72D297353CC}">
                  <c16:uniqueId val="{00000027-213F-443C-971B-4B5C371ABFBF}"/>
                </c:ext>
              </c:extLst>
            </c:dLbl>
            <c:dLbl>
              <c:idx val="3"/>
              <c:delete val="1"/>
              <c:extLst>
                <c:ext xmlns:c15="http://schemas.microsoft.com/office/drawing/2012/chart" uri="{CE6537A1-D6FC-4f65-9D91-7224C49458BB}"/>
                <c:ext xmlns:c16="http://schemas.microsoft.com/office/drawing/2014/chart" uri="{C3380CC4-5D6E-409C-BE32-E72D297353CC}">
                  <c16:uniqueId val="{00000028-213F-443C-971B-4B5C371ABFBF}"/>
                </c:ext>
              </c:extLst>
            </c:dLbl>
            <c:dLbl>
              <c:idx val="4"/>
              <c:delete val="1"/>
              <c:extLst>
                <c:ext xmlns:c15="http://schemas.microsoft.com/office/drawing/2012/chart" uri="{CE6537A1-D6FC-4f65-9D91-7224C49458BB}"/>
                <c:ext xmlns:c16="http://schemas.microsoft.com/office/drawing/2014/chart" uri="{C3380CC4-5D6E-409C-BE32-E72D297353CC}">
                  <c16:uniqueId val="{00000029-213F-443C-971B-4B5C371ABFBF}"/>
                </c:ext>
              </c:extLst>
            </c:dLbl>
            <c:dLbl>
              <c:idx val="5"/>
              <c:delete val="1"/>
              <c:extLst>
                <c:ext xmlns:c15="http://schemas.microsoft.com/office/drawing/2012/chart" uri="{CE6537A1-D6FC-4f65-9D91-7224C49458BB}"/>
                <c:ext xmlns:c16="http://schemas.microsoft.com/office/drawing/2014/chart" uri="{C3380CC4-5D6E-409C-BE32-E72D297353CC}">
                  <c16:uniqueId val="{0000002A-213F-443C-971B-4B5C371ABFBF}"/>
                </c:ext>
              </c:extLst>
            </c:dLbl>
            <c:dLbl>
              <c:idx val="6"/>
              <c:delete val="1"/>
              <c:extLst>
                <c:ext xmlns:c15="http://schemas.microsoft.com/office/drawing/2012/chart" uri="{CE6537A1-D6FC-4f65-9D91-7224C49458BB}"/>
                <c:ext xmlns:c16="http://schemas.microsoft.com/office/drawing/2014/chart" uri="{C3380CC4-5D6E-409C-BE32-E72D297353CC}">
                  <c16:uniqueId val="{0000002B-213F-443C-971B-4B5C371ABFBF}"/>
                </c:ext>
              </c:extLst>
            </c:dLbl>
            <c:dLbl>
              <c:idx val="7"/>
              <c:delete val="1"/>
              <c:extLst>
                <c:ext xmlns:c15="http://schemas.microsoft.com/office/drawing/2012/chart" uri="{CE6537A1-D6FC-4f65-9D91-7224C49458BB}"/>
                <c:ext xmlns:c16="http://schemas.microsoft.com/office/drawing/2014/chart" uri="{C3380CC4-5D6E-409C-BE32-E72D297353CC}">
                  <c16:uniqueId val="{0000002C-213F-443C-971B-4B5C371ABFBF}"/>
                </c:ext>
              </c:extLst>
            </c:dLbl>
            <c:dLbl>
              <c:idx val="8"/>
              <c:delete val="1"/>
              <c:extLst>
                <c:ext xmlns:c15="http://schemas.microsoft.com/office/drawing/2012/chart" uri="{CE6537A1-D6FC-4f65-9D91-7224C49458BB}"/>
                <c:ext xmlns:c16="http://schemas.microsoft.com/office/drawing/2014/chart" uri="{C3380CC4-5D6E-409C-BE32-E72D297353CC}">
                  <c16:uniqueId val="{0000002D-213F-443C-971B-4B5C371ABFBF}"/>
                </c:ext>
              </c:extLst>
            </c:dLbl>
            <c:dLbl>
              <c:idx val="9"/>
              <c:layout>
                <c:manualLayout>
                  <c:x val="-6.1032370953630795E-3"/>
                  <c:y val="-3.6412117400597459E-2"/>
                </c:manualLayout>
              </c:layout>
              <c:tx>
                <c:rich>
                  <a:bodyPr/>
                  <a:lstStyle/>
                  <a:p>
                    <a:r>
                      <a:rPr lang="en-US"/>
                      <a:t>48,4</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E-213F-443C-971B-4B5C371ABFBF}"/>
                </c:ext>
              </c:extLst>
            </c:dLbl>
            <c:dLbl>
              <c:idx val="10"/>
              <c:delete val="1"/>
              <c:extLst>
                <c:ext xmlns:c15="http://schemas.microsoft.com/office/drawing/2012/chart" uri="{CE6537A1-D6FC-4f65-9D91-7224C49458BB}"/>
                <c:ext xmlns:c16="http://schemas.microsoft.com/office/drawing/2014/chart" uri="{C3380CC4-5D6E-409C-BE32-E72D297353CC}">
                  <c16:uniqueId val="{0000002F-213F-443C-971B-4B5C371ABFBF}"/>
                </c:ext>
              </c:extLst>
            </c:dLbl>
            <c:dLbl>
              <c:idx val="11"/>
              <c:delete val="1"/>
              <c:extLst>
                <c:ext xmlns:c15="http://schemas.microsoft.com/office/drawing/2012/chart" uri="{CE6537A1-D6FC-4f65-9D91-7224C49458BB}"/>
                <c:ext xmlns:c16="http://schemas.microsoft.com/office/drawing/2014/chart" uri="{C3380CC4-5D6E-409C-BE32-E72D297353CC}">
                  <c16:uniqueId val="{00000030-213F-443C-971B-4B5C371ABFBF}"/>
                </c:ext>
              </c:extLst>
            </c:dLbl>
            <c:dLbl>
              <c:idx val="12"/>
              <c:delete val="1"/>
              <c:extLst>
                <c:ext xmlns:c15="http://schemas.microsoft.com/office/drawing/2012/chart" uri="{CE6537A1-D6FC-4f65-9D91-7224C49458BB}"/>
                <c:ext xmlns:c16="http://schemas.microsoft.com/office/drawing/2014/chart" uri="{C3380CC4-5D6E-409C-BE32-E72D297353CC}">
                  <c16:uniqueId val="{00000031-213F-443C-971B-4B5C371ABFBF}"/>
                </c:ext>
              </c:extLst>
            </c:dLbl>
            <c:dLbl>
              <c:idx val="13"/>
              <c:layout>
                <c:manualLayout>
                  <c:x val="-8.9108914364579191E-3"/>
                  <c:y val="-1.435406157779403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32-213F-443C-971B-4B5C371ABFBF}"/>
                </c:ext>
              </c:extLst>
            </c:dLbl>
            <c:dLbl>
              <c:idx val="14"/>
              <c:layout>
                <c:manualLayout>
                  <c:x val="-1.6042785477262012E-2"/>
                  <c:y val="-4.211581517552683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33-213F-443C-971B-4B5C371ABFBF}"/>
                </c:ext>
              </c:extLst>
            </c:dLbl>
            <c:dLbl>
              <c:idx val="15"/>
              <c:delete val="1"/>
              <c:extLst>
                <c:ext xmlns:c15="http://schemas.microsoft.com/office/drawing/2012/chart" uri="{CE6537A1-D6FC-4f65-9D91-7224C49458BB}"/>
                <c:ext xmlns:c16="http://schemas.microsoft.com/office/drawing/2014/chart" uri="{C3380CC4-5D6E-409C-BE32-E72D297353CC}">
                  <c16:uniqueId val="{00000034-213F-443C-971B-4B5C371ABFBF}"/>
                </c:ext>
              </c:extLst>
            </c:dLbl>
            <c:dLbl>
              <c:idx val="16"/>
              <c:delete val="1"/>
              <c:extLst>
                <c:ext xmlns:c15="http://schemas.microsoft.com/office/drawing/2012/chart" uri="{CE6537A1-D6FC-4f65-9D91-7224C49458BB}"/>
                <c:ext xmlns:c16="http://schemas.microsoft.com/office/drawing/2014/chart" uri="{C3380CC4-5D6E-409C-BE32-E72D297353CC}">
                  <c16:uniqueId val="{00000035-213F-443C-971B-4B5C371ABFBF}"/>
                </c:ext>
              </c:extLst>
            </c:dLbl>
            <c:dLbl>
              <c:idx val="17"/>
              <c:layout>
                <c:manualLayout>
                  <c:x val="-2.4170619721703136E-2"/>
                  <c:y val="4.211581517552678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36-213F-443C-971B-4B5C371ABFBF}"/>
                </c:ext>
              </c:extLst>
            </c:dLbl>
            <c:spPr>
              <a:noFill/>
              <a:ln>
                <a:noFill/>
              </a:ln>
              <a:effectLst/>
            </c:spPr>
            <c:txPr>
              <a:bodyPr rot="0" spcFirstLastPara="1" vertOverflow="ellipsis" vert="horz" wrap="square" anchor="ctr" anchorCtr="1"/>
              <a:lstStyle/>
              <a:p>
                <a:pPr>
                  <a:defRPr sz="8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'Сценарио 1'!$C$33:$L$33</c:f>
              <c:numCache>
                <c:formatCode>General</c:formatCode>
                <c:ptCount val="10"/>
                <c:pt idx="0">
                  <c:v>2018</c:v>
                </c:pt>
                <c:pt idx="1">
                  <c:v>2019</c:v>
                </c:pt>
                <c:pt idx="2">
                  <c:v>2020</c:v>
                </c:pt>
                <c:pt idx="3">
                  <c:v>2021</c:v>
                </c:pt>
                <c:pt idx="4">
                  <c:v>2022</c:v>
                </c:pt>
                <c:pt idx="5">
                  <c:v>2023</c:v>
                </c:pt>
                <c:pt idx="6">
                  <c:v>2024</c:v>
                </c:pt>
                <c:pt idx="7">
                  <c:v>2025</c:v>
                </c:pt>
                <c:pt idx="8">
                  <c:v>2026</c:v>
                </c:pt>
                <c:pt idx="9">
                  <c:v>2027</c:v>
                </c:pt>
              </c:numCache>
            </c:numRef>
          </c:cat>
          <c:val>
            <c:numRef>
              <c:f>'manje prilagodjavanje'!$C$39:$L$39</c:f>
              <c:numCache>
                <c:formatCode>#,##0.0</c:formatCode>
                <c:ptCount val="10"/>
                <c:pt idx="0">
                  <c:v>54.5</c:v>
                </c:pt>
                <c:pt idx="1">
                  <c:v>52.9</c:v>
                </c:pt>
                <c:pt idx="2">
                  <c:v>51.4</c:v>
                </c:pt>
                <c:pt idx="3">
                  <c:v>50.3</c:v>
                </c:pt>
                <c:pt idx="4">
                  <c:v>48.4</c:v>
                </c:pt>
                <c:pt idx="5">
                  <c:v>47.790231516056757</c:v>
                </c:pt>
                <c:pt idx="6">
                  <c:v>47.713342258805596</c:v>
                </c:pt>
                <c:pt idx="7">
                  <c:v>47.640598934619057</c:v>
                </c:pt>
                <c:pt idx="8">
                  <c:v>48.071777991318456</c:v>
                </c:pt>
                <c:pt idx="9">
                  <c:v>48.479707512623008</c:v>
                </c:pt>
              </c:numCache>
            </c:numRef>
          </c:val>
          <c:smooth val="1"/>
          <c:extLst>
            <c:ext xmlns:c16="http://schemas.microsoft.com/office/drawing/2014/chart" uri="{C3380CC4-5D6E-409C-BE32-E72D297353CC}">
              <c16:uniqueId val="{00000037-213F-443C-971B-4B5C371ABFBF}"/>
            </c:ext>
          </c:extLst>
        </c:ser>
        <c:ser>
          <c:idx val="0"/>
          <c:order val="3"/>
          <c:tx>
            <c:strRef>
              <c:f>'Сценарио 1'!$B$33</c:f>
              <c:strCache>
                <c:ptCount val="1"/>
                <c:pt idx="0">
                  <c:v>Основни сценарио</c:v>
                </c:pt>
              </c:strCache>
            </c:strRef>
          </c:tx>
          <c:spPr>
            <a:ln w="25400" cap="rnd">
              <a:solidFill>
                <a:srgbClr val="1F83C4"/>
              </a:solidFill>
              <a:round/>
            </a:ln>
            <a:effectLst/>
          </c:spPr>
          <c:marker>
            <c:symbol val="none"/>
          </c:marker>
          <c:dLbls>
            <c:dLbl>
              <c:idx val="0"/>
              <c:layout>
                <c:manualLayout>
                  <c:x val="-2.1442247424033671E-17"/>
                  <c:y val="-1.6189962223421527E-2"/>
                </c:manualLayout>
              </c:layout>
              <c:tx>
                <c:rich>
                  <a:bodyPr/>
                  <a:lstStyle/>
                  <a:p>
                    <a:r>
                      <a:rPr lang="en-US"/>
                      <a:t>54,4</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F1B-4174-8F9D-A2C3A7145919}"/>
                </c:ext>
              </c:extLst>
            </c:dLbl>
            <c:dLbl>
              <c:idx val="1"/>
              <c:layout>
                <c:manualLayout>
                  <c:x val="1.2666942947920984E-2"/>
                  <c:y val="-1.733855718116185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38-213F-443C-971B-4B5C371ABFBF}"/>
                </c:ext>
              </c:extLst>
            </c:dLbl>
            <c:dLbl>
              <c:idx val="2"/>
              <c:layout>
                <c:manualLayout>
                  <c:x val="2.180816871575255E-2"/>
                  <c:y val="-1.1365905894251125E-2"/>
                </c:manualLayout>
              </c:layout>
              <c:showLegendKey val="0"/>
              <c:showVal val="1"/>
              <c:showCatName val="0"/>
              <c:showSerName val="0"/>
              <c:showPercent val="0"/>
              <c:showBubbleSize val="0"/>
              <c:extLst>
                <c:ext xmlns:c15="http://schemas.microsoft.com/office/drawing/2012/chart" uri="{CE6537A1-D6FC-4f65-9D91-7224C49458BB}">
                  <c15:layout>
                    <c:manualLayout>
                      <c:w val="9.0268821660450346E-2"/>
                      <c:h val="6.5596542741925196E-2"/>
                    </c:manualLayout>
                  </c15:layout>
                </c:ext>
                <c:ext xmlns:c16="http://schemas.microsoft.com/office/drawing/2014/chart" uri="{C3380CC4-5D6E-409C-BE32-E72D297353CC}">
                  <c16:uniqueId val="{00000039-213F-443C-971B-4B5C371ABFBF}"/>
                </c:ext>
              </c:extLst>
            </c:dLbl>
            <c:dLbl>
              <c:idx val="3"/>
              <c:layout>
                <c:manualLayout>
                  <c:x val="1.6361375880646411E-2"/>
                  <c:y val="3.1168864280523532E-3"/>
                </c:manualLayout>
              </c:layout>
              <c:tx>
                <c:rich>
                  <a:bodyPr/>
                  <a:lstStyle/>
                  <a:p>
                    <a:r>
                      <a:rPr lang="en-US"/>
                      <a:t>50,1</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3A-213F-443C-971B-4B5C371ABFBF}"/>
                </c:ext>
              </c:extLst>
            </c:dLbl>
            <c:dLbl>
              <c:idx val="4"/>
              <c:layout>
                <c:manualLayout>
                  <c:x val="-2.1608647542540962E-2"/>
                  <c:y val="6.0165450250752539E-2"/>
                </c:manualLayout>
              </c:layout>
              <c:tx>
                <c:rich>
                  <a:bodyPr/>
                  <a:lstStyle/>
                  <a:p>
                    <a:r>
                      <a:rPr lang="en-US"/>
                      <a:t>48,3</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3B-213F-443C-971B-4B5C371ABFBF}"/>
                </c:ext>
              </c:extLst>
            </c:dLbl>
            <c:dLbl>
              <c:idx val="5"/>
              <c:delete val="1"/>
              <c:extLst>
                <c:ext xmlns:c15="http://schemas.microsoft.com/office/drawing/2012/chart" uri="{CE6537A1-D6FC-4f65-9D91-7224C49458BB}"/>
                <c:ext xmlns:c16="http://schemas.microsoft.com/office/drawing/2014/chart" uri="{C3380CC4-5D6E-409C-BE32-E72D297353CC}">
                  <c16:uniqueId val="{0000003C-213F-443C-971B-4B5C371ABFBF}"/>
                </c:ext>
              </c:extLst>
            </c:dLbl>
            <c:dLbl>
              <c:idx val="6"/>
              <c:delete val="1"/>
              <c:extLst>
                <c:ext xmlns:c15="http://schemas.microsoft.com/office/drawing/2012/chart" uri="{CE6537A1-D6FC-4f65-9D91-7224C49458BB}"/>
                <c:ext xmlns:c16="http://schemas.microsoft.com/office/drawing/2014/chart" uri="{C3380CC4-5D6E-409C-BE32-E72D297353CC}">
                  <c16:uniqueId val="{0000003D-213F-443C-971B-4B5C371ABFBF}"/>
                </c:ext>
              </c:extLst>
            </c:dLbl>
            <c:dLbl>
              <c:idx val="7"/>
              <c:delete val="1"/>
              <c:extLst>
                <c:ext xmlns:c15="http://schemas.microsoft.com/office/drawing/2012/chart" uri="{CE6537A1-D6FC-4f65-9D91-7224C49458BB}"/>
                <c:ext xmlns:c16="http://schemas.microsoft.com/office/drawing/2014/chart" uri="{C3380CC4-5D6E-409C-BE32-E72D297353CC}">
                  <c16:uniqueId val="{0000003E-213F-443C-971B-4B5C371ABFBF}"/>
                </c:ext>
              </c:extLst>
            </c:dLbl>
            <c:dLbl>
              <c:idx val="8"/>
              <c:delete val="1"/>
              <c:extLst>
                <c:ext xmlns:c15="http://schemas.microsoft.com/office/drawing/2012/chart" uri="{CE6537A1-D6FC-4f65-9D91-7224C49458BB}"/>
                <c:ext xmlns:c16="http://schemas.microsoft.com/office/drawing/2014/chart" uri="{C3380CC4-5D6E-409C-BE32-E72D297353CC}">
                  <c16:uniqueId val="{0000003F-213F-443C-971B-4B5C371ABFBF}"/>
                </c:ext>
              </c:extLst>
            </c:dLbl>
            <c:dLbl>
              <c:idx val="9"/>
              <c:tx>
                <c:rich>
                  <a:bodyPr/>
                  <a:lstStyle/>
                  <a:p>
                    <a:r>
                      <a:rPr lang="en-US"/>
                      <a:t>38,7</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DC5-44DC-ADAB-B4FDCC6AE3B9}"/>
                </c:ext>
              </c:extLst>
            </c:dLbl>
            <c:dLbl>
              <c:idx val="10"/>
              <c:delete val="1"/>
              <c:extLst>
                <c:ext xmlns:c15="http://schemas.microsoft.com/office/drawing/2012/chart" uri="{CE6537A1-D6FC-4f65-9D91-7224C49458BB}"/>
                <c:ext xmlns:c16="http://schemas.microsoft.com/office/drawing/2014/chart" uri="{C3380CC4-5D6E-409C-BE32-E72D297353CC}">
                  <c16:uniqueId val="{00000040-213F-443C-971B-4B5C371ABFBF}"/>
                </c:ext>
              </c:extLst>
            </c:dLbl>
            <c:dLbl>
              <c:idx val="11"/>
              <c:delete val="1"/>
              <c:extLst>
                <c:ext xmlns:c15="http://schemas.microsoft.com/office/drawing/2012/chart" uri="{CE6537A1-D6FC-4f65-9D91-7224C49458BB}"/>
                <c:ext xmlns:c16="http://schemas.microsoft.com/office/drawing/2014/chart" uri="{C3380CC4-5D6E-409C-BE32-E72D297353CC}">
                  <c16:uniqueId val="{00000041-213F-443C-971B-4B5C371ABFBF}"/>
                </c:ext>
              </c:extLst>
            </c:dLbl>
            <c:dLbl>
              <c:idx val="12"/>
              <c:delete val="1"/>
              <c:extLst>
                <c:ext xmlns:c15="http://schemas.microsoft.com/office/drawing/2012/chart" uri="{CE6537A1-D6FC-4f65-9D91-7224C49458BB}"/>
                <c:ext xmlns:c16="http://schemas.microsoft.com/office/drawing/2014/chart" uri="{C3380CC4-5D6E-409C-BE32-E72D297353CC}">
                  <c16:uniqueId val="{00000042-213F-443C-971B-4B5C371ABFBF}"/>
                </c:ext>
              </c:extLst>
            </c:dLbl>
            <c:dLbl>
              <c:idx val="13"/>
              <c:layout>
                <c:manualLayout>
                  <c:x val="-1.1881188581944001E-2"/>
                  <c:y val="-2.296649852447028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43-213F-443C-971B-4B5C371ABFBF}"/>
                </c:ext>
              </c:extLst>
            </c:dLbl>
            <c:dLbl>
              <c:idx val="14"/>
              <c:layout>
                <c:manualLayout>
                  <c:x val="-2.2459899668166864E-2"/>
                  <c:y val="3.910754266298904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44-213F-443C-971B-4B5C371ABFBF}"/>
                </c:ext>
              </c:extLst>
            </c:dLbl>
            <c:dLbl>
              <c:idx val="15"/>
              <c:delete val="1"/>
              <c:extLst>
                <c:ext xmlns:c15="http://schemas.microsoft.com/office/drawing/2012/chart" uri="{CE6537A1-D6FC-4f65-9D91-7224C49458BB}"/>
                <c:ext xmlns:c16="http://schemas.microsoft.com/office/drawing/2014/chart" uri="{C3380CC4-5D6E-409C-BE32-E72D297353CC}">
                  <c16:uniqueId val="{00000045-213F-443C-971B-4B5C371ABFBF}"/>
                </c:ext>
              </c:extLst>
            </c:dLbl>
            <c:dLbl>
              <c:idx val="16"/>
              <c:delete val="1"/>
              <c:extLst>
                <c:ext xmlns:c15="http://schemas.microsoft.com/office/drawing/2012/chart" uri="{CE6537A1-D6FC-4f65-9D91-7224C49458BB}"/>
                <c:ext xmlns:c16="http://schemas.microsoft.com/office/drawing/2014/chart" uri="{C3380CC4-5D6E-409C-BE32-E72D297353CC}">
                  <c16:uniqueId val="{00000046-213F-443C-971B-4B5C371ABFBF}"/>
                </c:ext>
              </c:extLst>
            </c:dLbl>
            <c:dLbl>
              <c:idx val="17"/>
              <c:layout>
                <c:manualLayout>
                  <c:x val="-2.1327017401502765E-2"/>
                  <c:y val="-4.211581517552678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47-213F-443C-971B-4B5C371ABFBF}"/>
                </c:ext>
              </c:extLst>
            </c:dLbl>
            <c:numFmt formatCode="#,##0.0" sourceLinked="0"/>
            <c:spPr>
              <a:noFill/>
              <a:ln>
                <a:noFill/>
              </a:ln>
              <a:effectLst/>
            </c:spPr>
            <c:txPr>
              <a:bodyPr rot="0" spcFirstLastPara="1" vertOverflow="ellipsis" vert="horz" wrap="square" anchor="ctr" anchorCtr="1"/>
              <a:lstStyle/>
              <a:p>
                <a:pPr>
                  <a:defRPr sz="8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'Сценарио 1'!$C$33:$L$33</c:f>
              <c:numCache>
                <c:formatCode>General</c:formatCode>
                <c:ptCount val="10"/>
                <c:pt idx="0">
                  <c:v>2018</c:v>
                </c:pt>
                <c:pt idx="1">
                  <c:v>2019</c:v>
                </c:pt>
                <c:pt idx="2">
                  <c:v>2020</c:v>
                </c:pt>
                <c:pt idx="3">
                  <c:v>2021</c:v>
                </c:pt>
                <c:pt idx="4">
                  <c:v>2022</c:v>
                </c:pt>
                <c:pt idx="5">
                  <c:v>2023</c:v>
                </c:pt>
                <c:pt idx="6">
                  <c:v>2024</c:v>
                </c:pt>
                <c:pt idx="7">
                  <c:v>2025</c:v>
                </c:pt>
                <c:pt idx="8">
                  <c:v>2026</c:v>
                </c:pt>
                <c:pt idx="9">
                  <c:v>2027</c:v>
                </c:pt>
              </c:numCache>
            </c:numRef>
          </c:cat>
          <c:val>
            <c:numRef>
              <c:f>'Сценарио 1'!$C$39:$L$39</c:f>
              <c:numCache>
                <c:formatCode>#,##0.0</c:formatCode>
                <c:ptCount val="10"/>
                <c:pt idx="0">
                  <c:v>54.5</c:v>
                </c:pt>
                <c:pt idx="1">
                  <c:v>52.9</c:v>
                </c:pt>
                <c:pt idx="2">
                  <c:v>51.4</c:v>
                </c:pt>
                <c:pt idx="3">
                  <c:v>50.3</c:v>
                </c:pt>
                <c:pt idx="4">
                  <c:v>48.4</c:v>
                </c:pt>
                <c:pt idx="5">
                  <c:v>46.24685586258402</c:v>
                </c:pt>
                <c:pt idx="6">
                  <c:v>44.211740686845651</c:v>
                </c:pt>
                <c:pt idx="7">
                  <c:v>42.288184475931189</c:v>
                </c:pt>
                <c:pt idx="8">
                  <c:v>40.4700718989832</c:v>
                </c:pt>
                <c:pt idx="9">
                  <c:v>38.751622849404882</c:v>
                </c:pt>
              </c:numCache>
            </c:numRef>
          </c:val>
          <c:smooth val="1"/>
          <c:extLst>
            <c:ext xmlns:c16="http://schemas.microsoft.com/office/drawing/2014/chart" uri="{C3380CC4-5D6E-409C-BE32-E72D297353CC}">
              <c16:uniqueId val="{00000048-213F-443C-971B-4B5C371ABFBF}"/>
            </c:ext>
          </c:extLst>
        </c:ser>
        <c:dLbls>
          <c:showLegendKey val="0"/>
          <c:showVal val="0"/>
          <c:showCatName val="0"/>
          <c:showSerName val="0"/>
          <c:showPercent val="0"/>
          <c:showBubbleSize val="0"/>
        </c:dLbls>
        <c:smooth val="0"/>
        <c:axId val="452504848"/>
        <c:axId val="452505408"/>
      </c:lineChart>
      <c:catAx>
        <c:axId val="452504848"/>
        <c:scaling>
          <c:orientation val="minMax"/>
        </c:scaling>
        <c:delete val="0"/>
        <c:axPos val="b"/>
        <c:majorGridlines>
          <c:spPr>
            <a:ln w="9525" cap="flat" cmpd="sng" algn="ctr">
              <a:noFill/>
              <a:round/>
            </a:ln>
            <a:effectLst/>
          </c:spPr>
        </c:majorGridlines>
        <c:numFmt formatCode="General" sourceLinked="1"/>
        <c:majorTickMark val="none"/>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crossAx val="452505408"/>
        <c:crosses val="autoZero"/>
        <c:auto val="1"/>
        <c:lblAlgn val="ctr"/>
        <c:lblOffset val="100"/>
        <c:noMultiLvlLbl val="0"/>
      </c:catAx>
      <c:valAx>
        <c:axId val="452505408"/>
        <c:scaling>
          <c:orientation val="minMax"/>
          <c:max val="65"/>
          <c:min val="30"/>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r>
                  <a:rPr lang="sr-Cyrl-RS"/>
                  <a:t>% </a:t>
                </a:r>
                <a:r>
                  <a:rPr lang="en-US"/>
                  <a:t> </a:t>
                </a:r>
                <a:r>
                  <a:rPr lang="sr-Cyrl-RS"/>
                  <a:t>БДП </a:t>
                </a:r>
                <a:endParaRPr lang="en-US"/>
              </a:p>
            </c:rich>
          </c:tx>
          <c:layout>
            <c:manualLayout>
              <c:xMode val="edge"/>
              <c:yMode val="edge"/>
              <c:x val="1.7419717272183079E-2"/>
              <c:y val="0.38737565386625644"/>
            </c:manualLayout>
          </c:layout>
          <c:overlay val="0"/>
          <c:spPr>
            <a:noFill/>
            <a:ln>
              <a:noFill/>
            </a:ln>
            <a:effectLst/>
          </c:spPr>
          <c:txPr>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crossAx val="452504848"/>
        <c:crosses val="autoZero"/>
        <c:crossBetween val="between"/>
        <c:majorUnit val="5"/>
      </c:valAx>
      <c:spPr>
        <a:noFill/>
        <a:ln>
          <a:noFill/>
        </a:ln>
        <a:effectLst/>
      </c:spPr>
    </c:plotArea>
    <c:legend>
      <c:legendPos val="b"/>
      <c:layout>
        <c:manualLayout>
          <c:xMode val="edge"/>
          <c:yMode val="edge"/>
          <c:x val="1.8904199475065615E-2"/>
          <c:y val="0.85265179683084669"/>
          <c:w val="0.96382317438746568"/>
          <c:h val="0.14334193115229188"/>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sz="800">
          <a:latin typeface="+mn-lt"/>
        </a:defRPr>
      </a:pPr>
      <a:endParaRPr lang="en-US"/>
    </a:p>
  </c:txPr>
  <c:externalData r:id="rId3">
    <c:autoUpdate val="0"/>
  </c:externalData>
  <c:userShapes r:id="rId4"/>
</c:chartSpace>
</file>

<file path=word/charts/chart5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8252053796081997E-2"/>
          <c:y val="5.0617226501430711E-2"/>
          <c:w val="0.90916365972175073"/>
          <c:h val="0.56739239433635813"/>
        </c:manualLayout>
      </c:layout>
      <c:barChart>
        <c:barDir val="col"/>
        <c:grouping val="stacked"/>
        <c:varyColors val="0"/>
        <c:ser>
          <c:idx val="0"/>
          <c:order val="0"/>
          <c:tx>
            <c:strRef>
              <c:f>ucesce!$A$5</c:f>
              <c:strCache>
                <c:ptCount val="1"/>
                <c:pt idx="0">
                  <c:v>Директне обавезе</c:v>
                </c:pt>
              </c:strCache>
            </c:strRef>
          </c:tx>
          <c:spPr>
            <a:solidFill>
              <a:srgbClr val="10103C"/>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ucesce!$B$4:$E$4</c:f>
              <c:strCache>
                <c:ptCount val="4"/>
                <c:pt idx="0">
                  <c:v>2016</c:v>
                </c:pt>
                <c:pt idx="1">
                  <c:v>2017</c:v>
                </c:pt>
                <c:pt idx="2">
                  <c:v>2018</c:v>
                </c:pt>
                <c:pt idx="3">
                  <c:v>2019/VIII</c:v>
                </c:pt>
              </c:strCache>
            </c:strRef>
          </c:cat>
          <c:val>
            <c:numRef>
              <c:f>ucesce!$B$5:$E$5</c:f>
              <c:numCache>
                <c:formatCode>0.0%</c:formatCode>
                <c:ptCount val="4"/>
                <c:pt idx="0">
                  <c:v>0.61926158253012531</c:v>
                </c:pt>
                <c:pt idx="1">
                  <c:v>0.53471108880302431</c:v>
                </c:pt>
                <c:pt idx="2">
                  <c:v>0.50113871952036926</c:v>
                </c:pt>
                <c:pt idx="3">
                  <c:v>0.485509405220651</c:v>
                </c:pt>
              </c:numCache>
            </c:numRef>
          </c:val>
          <c:extLst>
            <c:ext xmlns:c16="http://schemas.microsoft.com/office/drawing/2014/chart" uri="{C3380CC4-5D6E-409C-BE32-E72D297353CC}">
              <c16:uniqueId val="{00000000-E5FF-44F3-977D-B0387A522DC1}"/>
            </c:ext>
          </c:extLst>
        </c:ser>
        <c:ser>
          <c:idx val="1"/>
          <c:order val="1"/>
          <c:tx>
            <c:strRef>
              <c:f>ucesce!$A$6</c:f>
              <c:strCache>
                <c:ptCount val="1"/>
                <c:pt idx="0">
                  <c:v>Индиректне обавезе</c:v>
                </c:pt>
              </c:strCache>
            </c:strRef>
          </c:tx>
          <c:spPr>
            <a:solidFill>
              <a:srgbClr val="2F3E9A"/>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lt1"/>
                    </a:solidFill>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ucesce!$B$4:$E$4</c:f>
              <c:strCache>
                <c:ptCount val="4"/>
                <c:pt idx="0">
                  <c:v>2016</c:v>
                </c:pt>
                <c:pt idx="1">
                  <c:v>2017</c:v>
                </c:pt>
                <c:pt idx="2">
                  <c:v>2018</c:v>
                </c:pt>
                <c:pt idx="3">
                  <c:v>2019/VIII</c:v>
                </c:pt>
              </c:strCache>
            </c:strRef>
          </c:cat>
          <c:val>
            <c:numRef>
              <c:f>ucesce!$B$6:$E$6</c:f>
              <c:numCache>
                <c:formatCode>0.0%</c:formatCode>
                <c:ptCount val="4"/>
                <c:pt idx="0">
                  <c:v>5.8560145258351029E-2</c:v>
                </c:pt>
                <c:pt idx="1">
                  <c:v>4.3929936437264054E-2</c:v>
                </c:pt>
                <c:pt idx="2">
                  <c:v>3.5539689755347617E-2</c:v>
                </c:pt>
                <c:pt idx="3">
                  <c:v>3.2693797339049875E-2</c:v>
                </c:pt>
              </c:numCache>
            </c:numRef>
          </c:val>
          <c:extLst>
            <c:ext xmlns:c16="http://schemas.microsoft.com/office/drawing/2014/chart" uri="{C3380CC4-5D6E-409C-BE32-E72D297353CC}">
              <c16:uniqueId val="{00000001-E5FF-44F3-977D-B0387A522DC1}"/>
            </c:ext>
          </c:extLst>
        </c:ser>
        <c:ser>
          <c:idx val="2"/>
          <c:order val="2"/>
          <c:tx>
            <c:strRef>
              <c:f>ucesce!$A$7</c:f>
              <c:strCache>
                <c:ptCount val="1"/>
                <c:pt idx="0">
                  <c:v>Негарантовани дуг јединица локалне самоуправе и ЈП Путеви Србије</c:v>
                </c:pt>
              </c:strCache>
            </c:strRef>
          </c:tx>
          <c:spPr>
            <a:solidFill>
              <a:srgbClr val="51BBE7">
                <a:alpha val="50000"/>
              </a:srgbClr>
            </a:solidFill>
            <a:ln>
              <a:noFill/>
            </a:ln>
            <a:effectLst/>
          </c:spPr>
          <c:invertIfNegative val="0"/>
          <c:dLbls>
            <c:dLbl>
              <c:idx val="0"/>
              <c:layout>
                <c:manualLayout>
                  <c:x val="-2.8032302694319029E-17"/>
                  <c:y val="-2.8301893800300564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E5FF-44F3-977D-B0387A522DC1}"/>
                </c:ext>
              </c:extLst>
            </c:dLbl>
            <c:dLbl>
              <c:idx val="1"/>
              <c:layout>
                <c:manualLayout>
                  <c:x val="-3.0581047119132925E-3"/>
                  <c:y val="-3.7735858400400731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E5FF-44F3-977D-B0387A522DC1}"/>
                </c:ext>
              </c:extLst>
            </c:dLbl>
            <c:dLbl>
              <c:idx val="2"/>
              <c:layout>
                <c:manualLayout>
                  <c:x val="0"/>
                  <c:y val="-3.1446548667000612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E5FF-44F3-977D-B0387A522DC1}"/>
                </c:ext>
              </c:extLst>
            </c:dLbl>
            <c:dLbl>
              <c:idx val="3"/>
              <c:layout>
                <c:manualLayout>
                  <c:x val="0"/>
                  <c:y val="-2.8301893800300577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E5FF-44F3-977D-B0387A522DC1}"/>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2"/>
                    </a:solidFill>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ucesce!$B$4:$E$4</c:f>
              <c:strCache>
                <c:ptCount val="4"/>
                <c:pt idx="0">
                  <c:v>2016</c:v>
                </c:pt>
                <c:pt idx="1">
                  <c:v>2017</c:v>
                </c:pt>
                <c:pt idx="2">
                  <c:v>2018</c:v>
                </c:pt>
                <c:pt idx="3">
                  <c:v>2019/VIII</c:v>
                </c:pt>
              </c:strCache>
            </c:strRef>
          </c:cat>
          <c:val>
            <c:numRef>
              <c:f>ucesce!$B$7:$E$7</c:f>
              <c:numCache>
                <c:formatCode>0.0%</c:formatCode>
                <c:ptCount val="4"/>
                <c:pt idx="0">
                  <c:v>1.02152901587252E-2</c:v>
                </c:pt>
                <c:pt idx="1">
                  <c:v>8.2838729084952455E-3</c:v>
                </c:pt>
                <c:pt idx="2">
                  <c:v>7.318347546378179E-3</c:v>
                </c:pt>
                <c:pt idx="3">
                  <c:v>7.3246249742041272E-3</c:v>
                </c:pt>
              </c:numCache>
            </c:numRef>
          </c:val>
          <c:extLst>
            <c:ext xmlns:c16="http://schemas.microsoft.com/office/drawing/2014/chart" uri="{C3380CC4-5D6E-409C-BE32-E72D297353CC}">
              <c16:uniqueId val="{00000006-E5FF-44F3-977D-B0387A522DC1}"/>
            </c:ext>
          </c:extLst>
        </c:ser>
        <c:dLbls>
          <c:dLblPos val="ctr"/>
          <c:showLegendKey val="0"/>
          <c:showVal val="1"/>
          <c:showCatName val="0"/>
          <c:showSerName val="0"/>
          <c:showPercent val="0"/>
          <c:showBubbleSize val="0"/>
        </c:dLbls>
        <c:gapWidth val="79"/>
        <c:overlap val="100"/>
        <c:axId val="1055131856"/>
        <c:axId val="1055129680"/>
      </c:barChart>
      <c:catAx>
        <c:axId val="1055131856"/>
        <c:scaling>
          <c:orientation val="minMax"/>
        </c:scaling>
        <c:delete val="0"/>
        <c:axPos val="b"/>
        <c:numFmt formatCode="General" sourceLinked="1"/>
        <c:majorTickMark val="none"/>
        <c:minorTickMark val="none"/>
        <c:tickLblPos val="nextTo"/>
        <c:spPr>
          <a:noFill/>
          <a:ln w="9525" cap="flat" cmpd="sng" algn="ctr">
            <a:noFill/>
            <a:round/>
          </a:ln>
          <a:effectLst/>
        </c:spPr>
        <c:txPr>
          <a:bodyPr rot="-60000000" spcFirstLastPara="1" vertOverflow="ellipsis" vert="horz" wrap="square" anchor="ctr" anchorCtr="1"/>
          <a:lstStyle/>
          <a:p>
            <a:pPr>
              <a:defRPr sz="750" b="0" i="0" u="none" strike="noStrike" kern="1200" cap="all" spc="120" normalizeH="0" baseline="0">
                <a:solidFill>
                  <a:schemeClr val="tx1">
                    <a:lumMod val="65000"/>
                    <a:lumOff val="35000"/>
                  </a:schemeClr>
                </a:solidFill>
                <a:latin typeface="+mn-lt"/>
                <a:ea typeface="+mn-ea"/>
                <a:cs typeface="+mn-cs"/>
              </a:defRPr>
            </a:pPr>
            <a:endParaRPr lang="en-US"/>
          </a:p>
        </c:txPr>
        <c:crossAx val="1055129680"/>
        <c:crosses val="autoZero"/>
        <c:auto val="1"/>
        <c:lblAlgn val="ctr"/>
        <c:lblOffset val="100"/>
        <c:noMultiLvlLbl val="0"/>
      </c:catAx>
      <c:valAx>
        <c:axId val="1055129680"/>
        <c:scaling>
          <c:orientation val="minMax"/>
          <c:max val="0.75000000000000011"/>
          <c:min val="0"/>
        </c:scaling>
        <c:delete val="1"/>
        <c:axPos val="l"/>
        <c:numFmt formatCode="0%" sourceLinked="0"/>
        <c:majorTickMark val="none"/>
        <c:minorTickMark val="none"/>
        <c:tickLblPos val="nextTo"/>
        <c:crossAx val="1055131856"/>
        <c:crosses val="autoZero"/>
        <c:crossBetween val="between"/>
      </c:valAx>
      <c:spPr>
        <a:noFill/>
        <a:ln>
          <a:noFill/>
        </a:ln>
        <a:effectLst/>
      </c:spPr>
    </c:plotArea>
    <c:legend>
      <c:legendPos val="t"/>
      <c:layout>
        <c:manualLayout>
          <c:xMode val="edge"/>
          <c:yMode val="edge"/>
          <c:x val="6.1162094238265845E-2"/>
          <c:y val="0.75765592081258903"/>
          <c:w val="0.88915449975532701"/>
          <c:h val="0.24075562303590972"/>
        </c:manualLayout>
      </c:layout>
      <c:overlay val="0"/>
      <c:spPr>
        <a:noFill/>
        <a:ln>
          <a:noFill/>
        </a:ln>
        <a:effectLst/>
      </c:spPr>
      <c:txPr>
        <a:bodyPr rot="0" spcFirstLastPara="1" vertOverflow="ellipsis" vert="horz" wrap="square" anchor="ctr" anchorCtr="1"/>
        <a:lstStyle/>
        <a:p>
          <a:pPr>
            <a:defRPr sz="6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lt1"/>
    </a:solidFill>
    <a:ln w="9525" cap="flat" cmpd="sng" algn="ctr">
      <a:noFill/>
      <a:round/>
    </a:ln>
    <a:effectLst/>
  </c:spPr>
  <c:txPr>
    <a:bodyPr/>
    <a:lstStyle/>
    <a:p>
      <a:pPr>
        <a:defRPr/>
      </a:pPr>
      <a:endParaRPr lang="en-US"/>
    </a:p>
  </c:txPr>
  <c:externalData r:id="rId4">
    <c:autoUpdate val="0"/>
  </c:externalData>
</c:chartSpace>
</file>

<file path=word/charts/chart5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7289336635108885E-2"/>
          <c:y val="7.4689633864290325E-2"/>
          <c:w val="0.91606508156755739"/>
          <c:h val="0.79312142700502786"/>
        </c:manualLayout>
      </c:layout>
      <c:barChart>
        <c:barDir val="col"/>
        <c:grouping val="stacked"/>
        <c:varyColors val="0"/>
        <c:ser>
          <c:idx val="0"/>
          <c:order val="0"/>
          <c:tx>
            <c:strRef>
              <c:f>valutna!$A$5</c:f>
              <c:strCache>
                <c:ptCount val="1"/>
                <c:pt idx="0">
                  <c:v>EUR</c:v>
                </c:pt>
              </c:strCache>
            </c:strRef>
          </c:tx>
          <c:spPr>
            <a:solidFill>
              <a:srgbClr val="10103C"/>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valutna!$B$4:$E$4</c:f>
              <c:strCache>
                <c:ptCount val="4"/>
                <c:pt idx="0">
                  <c:v>2016</c:v>
                </c:pt>
                <c:pt idx="1">
                  <c:v>2017</c:v>
                </c:pt>
                <c:pt idx="2">
                  <c:v>2018</c:v>
                </c:pt>
                <c:pt idx="3">
                  <c:v>2019/VIII</c:v>
                </c:pt>
              </c:strCache>
            </c:strRef>
          </c:cat>
          <c:val>
            <c:numRef>
              <c:f>valutna!$B$5:$E$5</c:f>
              <c:numCache>
                <c:formatCode>0.0%</c:formatCode>
                <c:ptCount val="4"/>
                <c:pt idx="0">
                  <c:v>0.40241451909381964</c:v>
                </c:pt>
                <c:pt idx="1">
                  <c:v>0.42154645131822072</c:v>
                </c:pt>
                <c:pt idx="2">
                  <c:v>0.40641595607242059</c:v>
                </c:pt>
                <c:pt idx="3">
                  <c:v>0.42570000000000002</c:v>
                </c:pt>
              </c:numCache>
            </c:numRef>
          </c:val>
          <c:extLst>
            <c:ext xmlns:c16="http://schemas.microsoft.com/office/drawing/2014/chart" uri="{C3380CC4-5D6E-409C-BE32-E72D297353CC}">
              <c16:uniqueId val="{00000000-563E-4D3E-BE37-47559109B197}"/>
            </c:ext>
          </c:extLst>
        </c:ser>
        <c:ser>
          <c:idx val="1"/>
          <c:order val="1"/>
          <c:tx>
            <c:strRef>
              <c:f>valutna!$A$6</c:f>
              <c:strCache>
                <c:ptCount val="1"/>
                <c:pt idx="0">
                  <c:v>USD</c:v>
                </c:pt>
              </c:strCache>
            </c:strRef>
          </c:tx>
          <c:spPr>
            <a:solidFill>
              <a:srgbClr val="002060"/>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valutna!$B$4:$E$4</c:f>
              <c:strCache>
                <c:ptCount val="4"/>
                <c:pt idx="0">
                  <c:v>2016</c:v>
                </c:pt>
                <c:pt idx="1">
                  <c:v>2017</c:v>
                </c:pt>
                <c:pt idx="2">
                  <c:v>2018</c:v>
                </c:pt>
                <c:pt idx="3">
                  <c:v>2019/VIII</c:v>
                </c:pt>
              </c:strCache>
            </c:strRef>
          </c:cat>
          <c:val>
            <c:numRef>
              <c:f>valutna!$B$6:$E$6</c:f>
              <c:numCache>
                <c:formatCode>0.0%</c:formatCode>
                <c:ptCount val="4"/>
                <c:pt idx="0">
                  <c:v>0.33382599399341911</c:v>
                </c:pt>
                <c:pt idx="1">
                  <c:v>0.29071708104415483</c:v>
                </c:pt>
                <c:pt idx="2">
                  <c:v>0.26123751938392553</c:v>
                </c:pt>
                <c:pt idx="3">
                  <c:v>0.22070000000000001</c:v>
                </c:pt>
              </c:numCache>
            </c:numRef>
          </c:val>
          <c:extLst>
            <c:ext xmlns:c16="http://schemas.microsoft.com/office/drawing/2014/chart" uri="{C3380CC4-5D6E-409C-BE32-E72D297353CC}">
              <c16:uniqueId val="{00000001-563E-4D3E-BE37-47559109B197}"/>
            </c:ext>
          </c:extLst>
        </c:ser>
        <c:ser>
          <c:idx val="2"/>
          <c:order val="2"/>
          <c:tx>
            <c:strRef>
              <c:f>valutna!$A$7</c:f>
              <c:strCache>
                <c:ptCount val="1"/>
                <c:pt idx="0">
                  <c:v>RSD</c:v>
                </c:pt>
              </c:strCache>
            </c:strRef>
          </c:tx>
          <c:spPr>
            <a:solidFill>
              <a:srgbClr val="2F3E9A"/>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valutna!$B$4:$E$4</c:f>
              <c:strCache>
                <c:ptCount val="4"/>
                <c:pt idx="0">
                  <c:v>2016</c:v>
                </c:pt>
                <c:pt idx="1">
                  <c:v>2017</c:v>
                </c:pt>
                <c:pt idx="2">
                  <c:v>2018</c:v>
                </c:pt>
                <c:pt idx="3">
                  <c:v>2019/VIII</c:v>
                </c:pt>
              </c:strCache>
            </c:strRef>
          </c:cat>
          <c:val>
            <c:numRef>
              <c:f>valutna!$B$7:$E$7</c:f>
              <c:numCache>
                <c:formatCode>0.0%</c:formatCode>
                <c:ptCount val="4"/>
                <c:pt idx="0">
                  <c:v>0.20937269396762218</c:v>
                </c:pt>
                <c:pt idx="1">
                  <c:v>0.22903807367756407</c:v>
                </c:pt>
                <c:pt idx="2">
                  <c:v>0.25890412889768505</c:v>
                </c:pt>
                <c:pt idx="3">
                  <c:v>0.2737</c:v>
                </c:pt>
              </c:numCache>
            </c:numRef>
          </c:val>
          <c:extLst>
            <c:ext xmlns:c16="http://schemas.microsoft.com/office/drawing/2014/chart" uri="{C3380CC4-5D6E-409C-BE32-E72D297353CC}">
              <c16:uniqueId val="{00000002-563E-4D3E-BE37-47559109B197}"/>
            </c:ext>
          </c:extLst>
        </c:ser>
        <c:ser>
          <c:idx val="3"/>
          <c:order val="3"/>
          <c:tx>
            <c:strRef>
              <c:f>valutna!$A$8</c:f>
              <c:strCache>
                <c:ptCount val="1"/>
                <c:pt idx="0">
                  <c:v>SDR</c:v>
                </c:pt>
              </c:strCache>
            </c:strRef>
          </c:tx>
          <c:spPr>
            <a:solidFill>
              <a:srgbClr val="51BBE7"/>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valutna!$B$4:$E$4</c:f>
              <c:strCache>
                <c:ptCount val="4"/>
                <c:pt idx="0">
                  <c:v>2016</c:v>
                </c:pt>
                <c:pt idx="1">
                  <c:v>2017</c:v>
                </c:pt>
                <c:pt idx="2">
                  <c:v>2018</c:v>
                </c:pt>
                <c:pt idx="3">
                  <c:v>2019/VIII</c:v>
                </c:pt>
              </c:strCache>
            </c:strRef>
          </c:cat>
          <c:val>
            <c:numRef>
              <c:f>valutna!$B$8:$E$8</c:f>
              <c:numCache>
                <c:formatCode>0.0%</c:formatCode>
                <c:ptCount val="4"/>
                <c:pt idx="0">
                  <c:v>3.5984591021838763E-2</c:v>
                </c:pt>
                <c:pt idx="1">
                  <c:v>3.3595171603561673E-2</c:v>
                </c:pt>
                <c:pt idx="2">
                  <c:v>3.2232383859172806E-2</c:v>
                </c:pt>
                <c:pt idx="3">
                  <c:v>2.9700000000000001E-2</c:v>
                </c:pt>
              </c:numCache>
            </c:numRef>
          </c:val>
          <c:extLst>
            <c:ext xmlns:c16="http://schemas.microsoft.com/office/drawing/2014/chart" uri="{C3380CC4-5D6E-409C-BE32-E72D297353CC}">
              <c16:uniqueId val="{00000003-563E-4D3E-BE37-47559109B197}"/>
            </c:ext>
          </c:extLst>
        </c:ser>
        <c:ser>
          <c:idx val="4"/>
          <c:order val="4"/>
          <c:tx>
            <c:strRef>
              <c:f>valutna!$A$9</c:f>
              <c:strCache>
                <c:ptCount val="1"/>
                <c:pt idx="0">
                  <c:v>Остале валуте</c:v>
                </c:pt>
              </c:strCache>
            </c:strRef>
          </c:tx>
          <c:spPr>
            <a:solidFill>
              <a:srgbClr val="C9E4EB"/>
            </a:solidFill>
            <a:ln>
              <a:noFill/>
            </a:ln>
            <a:effectLst/>
          </c:spPr>
          <c:invertIfNegative val="0"/>
          <c:dLbls>
            <c:dLbl>
              <c:idx val="0"/>
              <c:spPr>
                <a:noFill/>
                <a:ln>
                  <a:noFill/>
                </a:ln>
                <a:effectLst/>
              </c:spPr>
              <c:txPr>
                <a:bodyPr rot="0" spcFirstLastPara="1" vertOverflow="ellipsis" horzOverflow="clip" vert="horz" wrap="square" lIns="38100" tIns="19050" rIns="38100" bIns="19050" anchor="ctr" anchorCtr="1">
                  <a:noAutofit/>
                </a:bodyPr>
                <a:lstStyle/>
                <a:p>
                  <a:pPr>
                    <a:defRPr sz="750" b="1" i="0" u="none" strike="noStrike" kern="1200" baseline="0">
                      <a:solidFill>
                        <a:schemeClr val="tx2"/>
                      </a:solidFill>
                      <a:latin typeface="+mn-lt"/>
                      <a:ea typeface="+mn-ea"/>
                      <a:cs typeface="+mn-cs"/>
                    </a:defRPr>
                  </a:pPr>
                  <a:endParaRPr lang="en-US"/>
                </a:p>
              </c:txPr>
              <c:dLblPos val="inBase"/>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a:noFill/>
                    <a:ln>
                      <a:noFill/>
                    </a:ln>
                  </c15:spPr>
                </c:ext>
                <c:ext xmlns:c16="http://schemas.microsoft.com/office/drawing/2014/chart" uri="{C3380CC4-5D6E-409C-BE32-E72D297353CC}">
                  <c16:uniqueId val="{00000004-563E-4D3E-BE37-47559109B197}"/>
                </c:ext>
              </c:extLst>
            </c:dLbl>
            <c:dLbl>
              <c:idx val="1"/>
              <c:layout>
                <c:manualLayout>
                  <c:x val="4.6296296296295869E-3"/>
                  <c:y val="-1.9099929581972985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563E-4D3E-BE37-47559109B197}"/>
                </c:ext>
              </c:extLst>
            </c:dLbl>
            <c:dLbl>
              <c:idx val="2"/>
              <c:layout>
                <c:manualLayout>
                  <c:x val="0"/>
                  <c:y val="-1.668215863260995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563E-4D3E-BE37-47559109B197}"/>
                </c:ext>
              </c:extLst>
            </c:dLbl>
            <c:dLbl>
              <c:idx val="3"/>
              <c:layout>
                <c:manualLayout>
                  <c:x val="0"/>
                  <c:y val="-2.2736060431470455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563E-4D3E-BE37-47559109B197}"/>
                </c:ext>
              </c:extLst>
            </c:dLbl>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tx2"/>
                    </a:solidFill>
                    <a:latin typeface="+mn-lt"/>
                    <a:ea typeface="+mn-ea"/>
                    <a:cs typeface="+mn-cs"/>
                  </a:defRPr>
                </a:pPr>
                <a:endParaRPr lang="en-U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valutna!$B$4:$E$4</c:f>
              <c:strCache>
                <c:ptCount val="4"/>
                <c:pt idx="0">
                  <c:v>2016</c:v>
                </c:pt>
                <c:pt idx="1">
                  <c:v>2017</c:v>
                </c:pt>
                <c:pt idx="2">
                  <c:v>2018</c:v>
                </c:pt>
                <c:pt idx="3">
                  <c:v>2019/VIII</c:v>
                </c:pt>
              </c:strCache>
            </c:strRef>
          </c:cat>
          <c:val>
            <c:numRef>
              <c:f>valutna!$B$9:$E$9</c:f>
              <c:numCache>
                <c:formatCode>0.0%</c:formatCode>
                <c:ptCount val="4"/>
                <c:pt idx="0">
                  <c:v>1.8402201923300211E-2</c:v>
                </c:pt>
                <c:pt idx="1">
                  <c:v>2.5103222356498693E-2</c:v>
                </c:pt>
                <c:pt idx="2">
                  <c:v>4.121001178679598E-2</c:v>
                </c:pt>
                <c:pt idx="3">
                  <c:v>5.0099999999999999E-2</c:v>
                </c:pt>
              </c:numCache>
            </c:numRef>
          </c:val>
          <c:extLst>
            <c:ext xmlns:c16="http://schemas.microsoft.com/office/drawing/2014/chart" uri="{C3380CC4-5D6E-409C-BE32-E72D297353CC}">
              <c16:uniqueId val="{00000008-563E-4D3E-BE37-47559109B197}"/>
            </c:ext>
          </c:extLst>
        </c:ser>
        <c:dLbls>
          <c:dLblPos val="ctr"/>
          <c:showLegendKey val="0"/>
          <c:showVal val="1"/>
          <c:showCatName val="0"/>
          <c:showSerName val="0"/>
          <c:showPercent val="0"/>
          <c:showBubbleSize val="0"/>
        </c:dLbls>
        <c:gapWidth val="79"/>
        <c:overlap val="100"/>
        <c:axId val="1055122064"/>
        <c:axId val="1055127504"/>
      </c:barChart>
      <c:catAx>
        <c:axId val="1055122064"/>
        <c:scaling>
          <c:orientation val="minMax"/>
        </c:scaling>
        <c:delete val="0"/>
        <c:axPos val="b"/>
        <c:numFmt formatCode="General" sourceLinked="1"/>
        <c:majorTickMark val="none"/>
        <c:minorTickMark val="none"/>
        <c:tickLblPos val="nextTo"/>
        <c:spPr>
          <a:noFill/>
          <a:ln w="9525" cap="flat" cmpd="sng" algn="ctr">
            <a:noFill/>
            <a:round/>
          </a:ln>
          <a:effectLst/>
        </c:spPr>
        <c:txPr>
          <a:bodyPr rot="-60000000" spcFirstLastPara="1" vertOverflow="ellipsis" vert="horz" wrap="square" anchor="ctr" anchorCtr="1"/>
          <a:lstStyle/>
          <a:p>
            <a:pPr>
              <a:defRPr sz="750" b="0" i="0" u="none" strike="noStrike" kern="1200" cap="all" spc="120" normalizeH="0" baseline="0">
                <a:solidFill>
                  <a:schemeClr val="tx1">
                    <a:lumMod val="65000"/>
                    <a:lumOff val="35000"/>
                  </a:schemeClr>
                </a:solidFill>
                <a:latin typeface="+mn-lt"/>
                <a:ea typeface="+mn-ea"/>
                <a:cs typeface="+mn-cs"/>
              </a:defRPr>
            </a:pPr>
            <a:endParaRPr lang="en-US"/>
          </a:p>
        </c:txPr>
        <c:crossAx val="1055127504"/>
        <c:crosses val="autoZero"/>
        <c:auto val="1"/>
        <c:lblAlgn val="ctr"/>
        <c:lblOffset val="100"/>
        <c:noMultiLvlLbl val="0"/>
      </c:catAx>
      <c:valAx>
        <c:axId val="1055127504"/>
        <c:scaling>
          <c:orientation val="minMax"/>
          <c:max val="1"/>
          <c:min val="0"/>
        </c:scaling>
        <c:delete val="1"/>
        <c:axPos val="l"/>
        <c:numFmt formatCode="0%" sourceLinked="0"/>
        <c:majorTickMark val="none"/>
        <c:minorTickMark val="none"/>
        <c:tickLblPos val="nextTo"/>
        <c:crossAx val="1055122064"/>
        <c:crosses val="autoZero"/>
        <c:crossBetween val="between"/>
      </c:valAx>
      <c:spPr>
        <a:noFill/>
        <a:ln>
          <a:noFill/>
        </a:ln>
        <a:effectLst/>
      </c:spPr>
    </c:plotArea>
    <c:legend>
      <c:legendPos val="t"/>
      <c:layout>
        <c:manualLayout>
          <c:xMode val="edge"/>
          <c:yMode val="edge"/>
          <c:x val="0.20007456882137442"/>
          <c:y val="0.95145898496978243"/>
          <c:w val="0.69327573636628759"/>
          <c:h val="4.4164415256261261E-2"/>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lt1"/>
    </a:solidFill>
    <a:ln w="9525" cap="flat" cmpd="sng" algn="ctr">
      <a:noFill/>
      <a:round/>
    </a:ln>
    <a:effectLst/>
  </c:spPr>
  <c:txPr>
    <a:bodyPr/>
    <a:lstStyle/>
    <a:p>
      <a:pPr>
        <a:defRPr/>
      </a:pPr>
      <a:endParaRPr lang="en-US"/>
    </a:p>
  </c:txPr>
  <c:externalData r:id="rId4">
    <c:autoUpdate val="0"/>
  </c:externalData>
</c:chartSpace>
</file>

<file path=word/charts/chart5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4313099041539137E-2"/>
          <c:y val="0.11697286155107009"/>
          <c:w val="0.92201738463599303"/>
          <c:h val="0.69105764014135107"/>
        </c:manualLayout>
      </c:layout>
      <c:barChart>
        <c:barDir val="col"/>
        <c:grouping val="stacked"/>
        <c:varyColors val="0"/>
        <c:ser>
          <c:idx val="0"/>
          <c:order val="0"/>
          <c:tx>
            <c:strRef>
              <c:f>kamatna!$A$5</c:f>
              <c:strCache>
                <c:ptCount val="1"/>
                <c:pt idx="0">
                  <c:v>Фиксне каматне стопе</c:v>
                </c:pt>
              </c:strCache>
            </c:strRef>
          </c:tx>
          <c:spPr>
            <a:solidFill>
              <a:srgbClr val="002060"/>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kamatna!$B$4:$E$4</c:f>
              <c:strCache>
                <c:ptCount val="4"/>
                <c:pt idx="0">
                  <c:v>2016</c:v>
                </c:pt>
                <c:pt idx="1">
                  <c:v>2017</c:v>
                </c:pt>
                <c:pt idx="2">
                  <c:v>2018</c:v>
                </c:pt>
                <c:pt idx="3">
                  <c:v>2019/VIII</c:v>
                </c:pt>
              </c:strCache>
            </c:strRef>
          </c:cat>
          <c:val>
            <c:numRef>
              <c:f>kamatna!$B$5:$E$5</c:f>
              <c:numCache>
                <c:formatCode>0.0%</c:formatCode>
                <c:ptCount val="4"/>
                <c:pt idx="0">
                  <c:v>0.78520524407902215</c:v>
                </c:pt>
                <c:pt idx="1">
                  <c:v>0.78942242347415104</c:v>
                </c:pt>
                <c:pt idx="2">
                  <c:v>0.80328692085923303</c:v>
                </c:pt>
                <c:pt idx="3">
                  <c:v>0.80769999999999997</c:v>
                </c:pt>
              </c:numCache>
            </c:numRef>
          </c:val>
          <c:extLst>
            <c:ext xmlns:c16="http://schemas.microsoft.com/office/drawing/2014/chart" uri="{C3380CC4-5D6E-409C-BE32-E72D297353CC}">
              <c16:uniqueId val="{00000000-B0F5-4A1C-90A1-00D7CC588F8B}"/>
            </c:ext>
          </c:extLst>
        </c:ser>
        <c:ser>
          <c:idx val="1"/>
          <c:order val="1"/>
          <c:tx>
            <c:strRef>
              <c:f>kamatna!$A$6</c:f>
              <c:strCache>
                <c:ptCount val="1"/>
                <c:pt idx="0">
                  <c:v>Варијабилне каматне стопе</c:v>
                </c:pt>
              </c:strCache>
            </c:strRef>
          </c:tx>
          <c:spPr>
            <a:solidFill>
              <a:srgbClr val="2F3E9A"/>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kamatna!$B$4:$E$4</c:f>
              <c:strCache>
                <c:ptCount val="4"/>
                <c:pt idx="0">
                  <c:v>2016</c:v>
                </c:pt>
                <c:pt idx="1">
                  <c:v>2017</c:v>
                </c:pt>
                <c:pt idx="2">
                  <c:v>2018</c:v>
                </c:pt>
                <c:pt idx="3">
                  <c:v>2019/VIII</c:v>
                </c:pt>
              </c:strCache>
            </c:strRef>
          </c:cat>
          <c:val>
            <c:numRef>
              <c:f>kamatna!$B$6:$E$6</c:f>
              <c:numCache>
                <c:formatCode>0.0%</c:formatCode>
                <c:ptCount val="4"/>
                <c:pt idx="0">
                  <c:v>0.21479475592097785</c:v>
                </c:pt>
                <c:pt idx="1">
                  <c:v>0.21057757652584888</c:v>
                </c:pt>
                <c:pt idx="2">
                  <c:v>0.19671307914076705</c:v>
                </c:pt>
                <c:pt idx="3">
                  <c:v>0.1923</c:v>
                </c:pt>
              </c:numCache>
            </c:numRef>
          </c:val>
          <c:extLst>
            <c:ext xmlns:c16="http://schemas.microsoft.com/office/drawing/2014/chart" uri="{C3380CC4-5D6E-409C-BE32-E72D297353CC}">
              <c16:uniqueId val="{00000001-B0F5-4A1C-90A1-00D7CC588F8B}"/>
            </c:ext>
          </c:extLst>
        </c:ser>
        <c:dLbls>
          <c:dLblPos val="ctr"/>
          <c:showLegendKey val="0"/>
          <c:showVal val="1"/>
          <c:showCatName val="0"/>
          <c:showSerName val="0"/>
          <c:showPercent val="0"/>
          <c:showBubbleSize val="0"/>
        </c:dLbls>
        <c:gapWidth val="79"/>
        <c:overlap val="100"/>
        <c:axId val="1055132944"/>
        <c:axId val="1055128048"/>
      </c:barChart>
      <c:catAx>
        <c:axId val="1055132944"/>
        <c:scaling>
          <c:orientation val="minMax"/>
        </c:scaling>
        <c:delete val="0"/>
        <c:axPos val="b"/>
        <c:numFmt formatCode="General" sourceLinked="1"/>
        <c:majorTickMark val="none"/>
        <c:minorTickMark val="none"/>
        <c:tickLblPos val="nextTo"/>
        <c:spPr>
          <a:noFill/>
          <a:ln w="9525" cap="flat" cmpd="sng" algn="ctr">
            <a:noFill/>
            <a:round/>
          </a:ln>
          <a:effectLst/>
        </c:spPr>
        <c:txPr>
          <a:bodyPr rot="-60000000" spcFirstLastPara="1" vertOverflow="ellipsis" vert="horz" wrap="square" anchor="ctr" anchorCtr="1"/>
          <a:lstStyle/>
          <a:p>
            <a:pPr>
              <a:defRPr sz="800" b="0" i="0" u="none" strike="noStrike" kern="1200" cap="all" spc="120" normalizeH="0" baseline="0">
                <a:solidFill>
                  <a:schemeClr val="tx1">
                    <a:lumMod val="65000"/>
                    <a:lumOff val="35000"/>
                  </a:schemeClr>
                </a:solidFill>
                <a:latin typeface="+mn-lt"/>
                <a:ea typeface="+mn-ea"/>
                <a:cs typeface="+mn-cs"/>
              </a:defRPr>
            </a:pPr>
            <a:endParaRPr lang="en-US"/>
          </a:p>
        </c:txPr>
        <c:crossAx val="1055128048"/>
        <c:crosses val="autoZero"/>
        <c:auto val="1"/>
        <c:lblAlgn val="ctr"/>
        <c:lblOffset val="100"/>
        <c:noMultiLvlLbl val="0"/>
      </c:catAx>
      <c:valAx>
        <c:axId val="1055128048"/>
        <c:scaling>
          <c:orientation val="minMax"/>
          <c:max val="1"/>
          <c:min val="0"/>
        </c:scaling>
        <c:delete val="1"/>
        <c:axPos val="l"/>
        <c:numFmt formatCode="0%" sourceLinked="0"/>
        <c:majorTickMark val="none"/>
        <c:minorTickMark val="none"/>
        <c:tickLblPos val="nextTo"/>
        <c:crossAx val="1055132944"/>
        <c:crosses val="autoZero"/>
        <c:crossBetween val="between"/>
      </c:valAx>
      <c:spPr>
        <a:noFill/>
        <a:ln w="25400">
          <a:noFill/>
        </a:ln>
        <a:effectLst/>
      </c:spPr>
    </c:plotArea>
    <c:legend>
      <c:legendPos val="t"/>
      <c:layout>
        <c:manualLayout>
          <c:xMode val="edge"/>
          <c:yMode val="edge"/>
          <c:x val="7.915879265091863E-2"/>
          <c:y val="0.93890499194846999"/>
          <c:w val="0.8083490813648293"/>
          <c:h val="6.0789430306718906E-2"/>
        </c:manualLayout>
      </c:layout>
      <c:overlay val="0"/>
      <c:spPr>
        <a:noFill/>
        <a:ln>
          <a:noFill/>
        </a:ln>
        <a:effectLst/>
      </c:spPr>
      <c:txPr>
        <a:bodyPr rot="0" spcFirstLastPara="1" vertOverflow="ellipsis" vert="horz" wrap="square" anchor="ctr" anchorCtr="1"/>
        <a:lstStyle/>
        <a:p>
          <a:pPr>
            <a:defRPr sz="6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lt1"/>
    </a:solidFill>
    <a:ln w="9525" cap="flat" cmpd="sng" algn="ctr">
      <a:noFill/>
      <a:round/>
    </a:ln>
    <a:effectLst/>
  </c:spPr>
  <c:txPr>
    <a:bodyPr/>
    <a:lstStyle/>
    <a:p>
      <a:pPr>
        <a:defRPr/>
      </a:pPr>
      <a:endParaRPr lang="en-US"/>
    </a:p>
  </c:txPr>
  <c:externalData r:id="rId4">
    <c:autoUpdate val="0"/>
  </c:externalData>
</c:chartSpace>
</file>

<file path=word/charts/chart5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9.3298933286404609E-2"/>
          <c:y val="6.1565790344303539E-2"/>
          <c:w val="0.85973014906866396"/>
          <c:h val="0.68089784776902884"/>
        </c:manualLayout>
      </c:layout>
      <c:lineChart>
        <c:grouping val="standard"/>
        <c:varyColors val="0"/>
        <c:ser>
          <c:idx val="0"/>
          <c:order val="0"/>
          <c:tx>
            <c:strRef>
              <c:f>'WAR on primary auctions - RSD'!$G$3</c:f>
              <c:strCache>
                <c:ptCount val="1"/>
                <c:pt idx="0">
                  <c:v>2014</c:v>
                </c:pt>
              </c:strCache>
            </c:strRef>
          </c:tx>
          <c:marker>
            <c:symbol val="square"/>
            <c:size val="3"/>
          </c:marker>
          <c:dLbls>
            <c:dLbl>
              <c:idx val="6"/>
              <c:delete val="1"/>
              <c:extLst>
                <c:ext xmlns:c15="http://schemas.microsoft.com/office/drawing/2012/chart" uri="{CE6537A1-D6FC-4f65-9D91-7224C49458BB}"/>
                <c:ext xmlns:c16="http://schemas.microsoft.com/office/drawing/2014/chart" uri="{C3380CC4-5D6E-409C-BE32-E72D297353CC}">
                  <c16:uniqueId val="{00000006-7F41-42FC-BE64-F63E4F3FB34C}"/>
                </c:ext>
              </c:extLst>
            </c:dLbl>
            <c:spPr>
              <a:noFill/>
              <a:ln>
                <a:noFill/>
              </a:ln>
              <a:effectLst/>
            </c:spPr>
            <c:txPr>
              <a:bodyPr/>
              <a:lstStyle/>
              <a:p>
                <a:pPr>
                  <a:defRPr sz="700" baseline="0">
                    <a:solidFill>
                      <a:schemeClr val="tx1">
                        <a:lumMod val="65000"/>
                        <a:lumOff val="35000"/>
                      </a:schemeClr>
                    </a:solidFill>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'WAR on primary auctions - RSD'!$C$4:$C$11</c:f>
              <c:strCache>
                <c:ptCount val="8"/>
                <c:pt idx="0">
                  <c:v>3M</c:v>
                </c:pt>
                <c:pt idx="1">
                  <c:v>6M</c:v>
                </c:pt>
                <c:pt idx="2">
                  <c:v>53W</c:v>
                </c:pt>
                <c:pt idx="3">
                  <c:v>2Y</c:v>
                </c:pt>
                <c:pt idx="4">
                  <c:v>3Y</c:v>
                </c:pt>
                <c:pt idx="5">
                  <c:v>5Y</c:v>
                </c:pt>
                <c:pt idx="6">
                  <c:v>7Y</c:v>
                </c:pt>
                <c:pt idx="7">
                  <c:v>10Y</c:v>
                </c:pt>
              </c:strCache>
            </c:strRef>
          </c:cat>
          <c:val>
            <c:numRef>
              <c:f>'WAR on primary auctions - RSD'!$G$4:$G$11</c:f>
              <c:numCache>
                <c:formatCode>0.00%</c:formatCode>
                <c:ptCount val="8"/>
                <c:pt idx="0">
                  <c:v>7.3468533707053724E-2</c:v>
                </c:pt>
                <c:pt idx="1">
                  <c:v>7.5380391763085336E-2</c:v>
                </c:pt>
                <c:pt idx="2">
                  <c:v>8.4879368443006004E-2</c:v>
                </c:pt>
                <c:pt idx="3">
                  <c:v>9.2075564136107582E-2</c:v>
                </c:pt>
                <c:pt idx="4">
                  <c:v>0.10155991831303504</c:v>
                </c:pt>
                <c:pt idx="5">
                  <c:v>0.10931231263607823</c:v>
                </c:pt>
                <c:pt idx="6">
                  <c:v>0.11987205744538962</c:v>
                </c:pt>
                <c:pt idx="7">
                  <c:v>0.12989999999999999</c:v>
                </c:pt>
              </c:numCache>
            </c:numRef>
          </c:val>
          <c:smooth val="0"/>
          <c:extLst>
            <c:ext xmlns:c16="http://schemas.microsoft.com/office/drawing/2014/chart" uri="{C3380CC4-5D6E-409C-BE32-E72D297353CC}">
              <c16:uniqueId val="{00000008-7F41-42FC-BE64-F63E4F3FB34C}"/>
            </c:ext>
          </c:extLst>
        </c:ser>
        <c:ser>
          <c:idx val="1"/>
          <c:order val="1"/>
          <c:tx>
            <c:strRef>
              <c:f>'WAR on primary auctions - RSD'!$H$3</c:f>
              <c:strCache>
                <c:ptCount val="1"/>
                <c:pt idx="0">
                  <c:v>2015</c:v>
                </c:pt>
              </c:strCache>
            </c:strRef>
          </c:tx>
          <c:marker>
            <c:symbol val="square"/>
            <c:size val="3"/>
          </c:marker>
          <c:dLbls>
            <c:dLbl>
              <c:idx val="0"/>
              <c:layout>
                <c:manualLayout>
                  <c:x val="-4.3410852713178294E-2"/>
                  <c:y val="-1.016518288791511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7F41-42FC-BE64-F63E4F3FB34C}"/>
                </c:ext>
              </c:extLst>
            </c:dLbl>
            <c:dLbl>
              <c:idx val="1"/>
              <c:layout>
                <c:manualLayout>
                  <c:x val="2.0671834625322618E-3"/>
                  <c:y val="-3.388394295971644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7F41-42FC-BE64-F63E4F3FB34C}"/>
                </c:ext>
              </c:extLst>
            </c:dLbl>
            <c:dLbl>
              <c:idx val="2"/>
              <c:layout>
                <c:manualLayout>
                  <c:x val="-1.6537467700258397E-2"/>
                  <c:y val="1.355357718388676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7F41-42FC-BE64-F63E4F3FB34C}"/>
                </c:ext>
              </c:extLst>
            </c:dLbl>
            <c:dLbl>
              <c:idx val="3"/>
              <c:layout>
                <c:manualLayout>
                  <c:x val="-5.1679586563307491E-2"/>
                  <c:y val="-4.066073155166047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7F41-42FC-BE64-F63E4F3FB34C}"/>
                </c:ext>
              </c:extLst>
            </c:dLbl>
            <c:dLbl>
              <c:idx val="4"/>
              <c:layout>
                <c:manualLayout>
                  <c:x val="-2.8940568475452271E-2"/>
                  <c:y val="-3.049554866374535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7F41-42FC-BE64-F63E4F3FB34C}"/>
                </c:ext>
              </c:extLst>
            </c:dLbl>
            <c:dLbl>
              <c:idx val="5"/>
              <c:layout>
                <c:manualLayout>
                  <c:x val="6.2015503875967474E-3"/>
                  <c:y val="-4.066073155166047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7F41-42FC-BE64-F63E4F3FB34C}"/>
                </c:ext>
              </c:extLst>
            </c:dLbl>
            <c:dLbl>
              <c:idx val="6"/>
              <c:layout>
                <c:manualLayout>
                  <c:x val="-4.9612403100775193E-2"/>
                  <c:y val="-2.371876007180195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7F41-42FC-BE64-F63E4F3FB34C}"/>
                </c:ext>
              </c:extLst>
            </c:dLbl>
            <c:spPr>
              <a:noFill/>
            </c:spPr>
            <c:txPr>
              <a:bodyPr/>
              <a:lstStyle/>
              <a:p>
                <a:pPr>
                  <a:defRPr sz="700" baseline="0">
                    <a:solidFill>
                      <a:schemeClr val="tx1">
                        <a:lumMod val="65000"/>
                        <a:lumOff val="35000"/>
                      </a:schemeClr>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'WAR on primary auctions - RSD'!$C$4:$C$11</c:f>
              <c:strCache>
                <c:ptCount val="8"/>
                <c:pt idx="0">
                  <c:v>3M</c:v>
                </c:pt>
                <c:pt idx="1">
                  <c:v>6M</c:v>
                </c:pt>
                <c:pt idx="2">
                  <c:v>53W</c:v>
                </c:pt>
                <c:pt idx="3">
                  <c:v>2Y</c:v>
                </c:pt>
                <c:pt idx="4">
                  <c:v>3Y</c:v>
                </c:pt>
                <c:pt idx="5">
                  <c:v>5Y</c:v>
                </c:pt>
                <c:pt idx="6">
                  <c:v>7Y</c:v>
                </c:pt>
                <c:pt idx="7">
                  <c:v>10Y</c:v>
                </c:pt>
              </c:strCache>
            </c:strRef>
          </c:cat>
          <c:val>
            <c:numRef>
              <c:f>'WAR on primary auctions - RSD'!$H$4:$H$11</c:f>
              <c:numCache>
                <c:formatCode>0.00%</c:formatCode>
                <c:ptCount val="8"/>
                <c:pt idx="0">
                  <c:v>4.9599999999999998E-2</c:v>
                </c:pt>
                <c:pt idx="1">
                  <c:v>4.4200000000000003E-2</c:v>
                </c:pt>
                <c:pt idx="2">
                  <c:v>5.9400000000000001E-2</c:v>
                </c:pt>
                <c:pt idx="3">
                  <c:v>7.0599999999999996E-2</c:v>
                </c:pt>
                <c:pt idx="4">
                  <c:v>8.6199999999999999E-2</c:v>
                </c:pt>
                <c:pt idx="5">
                  <c:v>6.5000000000000002E-2</c:v>
                </c:pt>
                <c:pt idx="6">
                  <c:v>0.11990000000000001</c:v>
                </c:pt>
              </c:numCache>
            </c:numRef>
          </c:val>
          <c:smooth val="0"/>
          <c:extLst>
            <c:ext xmlns:c16="http://schemas.microsoft.com/office/drawing/2014/chart" uri="{C3380CC4-5D6E-409C-BE32-E72D297353CC}">
              <c16:uniqueId val="{00000010-7F41-42FC-BE64-F63E4F3FB34C}"/>
            </c:ext>
          </c:extLst>
        </c:ser>
        <c:ser>
          <c:idx val="2"/>
          <c:order val="2"/>
          <c:tx>
            <c:strRef>
              <c:f>'WAR on primary auctions - RSD'!$I$3</c:f>
              <c:strCache>
                <c:ptCount val="1"/>
                <c:pt idx="0">
                  <c:v>2016</c:v>
                </c:pt>
              </c:strCache>
            </c:strRef>
          </c:tx>
          <c:marker>
            <c:symbol val="square"/>
            <c:size val="3"/>
          </c:marker>
          <c:dLbls>
            <c:dLbl>
              <c:idx val="0"/>
              <c:layout>
                <c:manualLayout>
                  <c:x val="-3.7209302325581395E-2"/>
                  <c:y val="3.049554866374535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7F41-42FC-BE64-F63E4F3FB34C}"/>
                </c:ext>
              </c:extLst>
            </c:dLbl>
            <c:dLbl>
              <c:idx val="1"/>
              <c:layout>
                <c:manualLayout>
                  <c:x val="-4.3410852713178336E-2"/>
                  <c:y val="-3.727233725568882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7F41-42FC-BE64-F63E4F3FB34C}"/>
                </c:ext>
              </c:extLst>
            </c:dLbl>
            <c:dLbl>
              <c:idx val="2"/>
              <c:layout>
                <c:manualLayout>
                  <c:x val="-3.5142118863049097E-2"/>
                  <c:y val="-2.033036577583029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7F41-42FC-BE64-F63E4F3FB34C}"/>
                </c:ext>
              </c:extLst>
            </c:dLbl>
            <c:dLbl>
              <c:idx val="3"/>
              <c:layout>
                <c:manualLayout>
                  <c:x val="-4.7545219638242896E-2"/>
                  <c:y val="-3.388394295971709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4-7F41-42FC-BE64-F63E4F3FB34C}"/>
                </c:ext>
              </c:extLst>
            </c:dLbl>
            <c:dLbl>
              <c:idx val="4"/>
              <c:layout>
                <c:manualLayout>
                  <c:x val="-4.9612403100775269E-2"/>
                  <c:y val="-3.388394295971702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5-7F41-42FC-BE64-F63E4F3FB34C}"/>
                </c:ext>
              </c:extLst>
            </c:dLbl>
            <c:dLbl>
              <c:idx val="5"/>
              <c:layout>
                <c:manualLayout>
                  <c:x val="-5.5813953488372092E-2"/>
                  <c:y val="-2.710715436777358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6-7F41-42FC-BE64-F63E4F3FB34C}"/>
                </c:ext>
              </c:extLst>
            </c:dLbl>
            <c:dLbl>
              <c:idx val="6"/>
              <c:layout>
                <c:manualLayout>
                  <c:x val="-3.3074935400516793E-2"/>
                  <c:y val="-2.371876007180194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7-7F41-42FC-BE64-F63E4F3FB34C}"/>
                </c:ext>
              </c:extLst>
            </c:dLbl>
            <c:spPr>
              <a:noFill/>
              <a:ln>
                <a:noFill/>
              </a:ln>
              <a:effectLst/>
            </c:spPr>
            <c:txPr>
              <a:bodyPr/>
              <a:lstStyle/>
              <a:p>
                <a:pPr>
                  <a:defRPr sz="700" baseline="0">
                    <a:solidFill>
                      <a:schemeClr val="tx1">
                        <a:lumMod val="65000"/>
                        <a:lumOff val="35000"/>
                      </a:schemeClr>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'WAR on primary auctions - RSD'!$C$4:$C$11</c:f>
              <c:strCache>
                <c:ptCount val="8"/>
                <c:pt idx="0">
                  <c:v>3M</c:v>
                </c:pt>
                <c:pt idx="1">
                  <c:v>6M</c:v>
                </c:pt>
                <c:pt idx="2">
                  <c:v>53W</c:v>
                </c:pt>
                <c:pt idx="3">
                  <c:v>2Y</c:v>
                </c:pt>
                <c:pt idx="4">
                  <c:v>3Y</c:v>
                </c:pt>
                <c:pt idx="5">
                  <c:v>5Y</c:v>
                </c:pt>
                <c:pt idx="6">
                  <c:v>7Y</c:v>
                </c:pt>
                <c:pt idx="7">
                  <c:v>10Y</c:v>
                </c:pt>
              </c:strCache>
            </c:strRef>
          </c:cat>
          <c:val>
            <c:numRef>
              <c:f>'WAR on primary auctions - RSD'!$I$4:$I$11</c:f>
              <c:numCache>
                <c:formatCode>0.00%</c:formatCode>
                <c:ptCount val="8"/>
                <c:pt idx="0">
                  <c:v>2.7828542094455851E-2</c:v>
                </c:pt>
                <c:pt idx="1">
                  <c:v>3.134348238444587E-2</c:v>
                </c:pt>
                <c:pt idx="2">
                  <c:v>3.9337242154189392E-2</c:v>
                </c:pt>
                <c:pt idx="3">
                  <c:v>4.7811460067649983E-2</c:v>
                </c:pt>
                <c:pt idx="4">
                  <c:v>5.3818376487193224E-2</c:v>
                </c:pt>
                <c:pt idx="5">
                  <c:v>5.6809188243596612E-2</c:v>
                </c:pt>
                <c:pt idx="6">
                  <c:v>5.8299999999999998E-2</c:v>
                </c:pt>
              </c:numCache>
            </c:numRef>
          </c:val>
          <c:smooth val="0"/>
          <c:extLst>
            <c:ext xmlns:c16="http://schemas.microsoft.com/office/drawing/2014/chart" uri="{C3380CC4-5D6E-409C-BE32-E72D297353CC}">
              <c16:uniqueId val="{00000018-7F41-42FC-BE64-F63E4F3FB34C}"/>
            </c:ext>
          </c:extLst>
        </c:ser>
        <c:ser>
          <c:idx val="3"/>
          <c:order val="3"/>
          <c:tx>
            <c:strRef>
              <c:f>'WAR on primary auctions - RSD'!$J$3</c:f>
              <c:strCache>
                <c:ptCount val="1"/>
                <c:pt idx="0">
                  <c:v>2017</c:v>
                </c:pt>
              </c:strCache>
            </c:strRef>
          </c:tx>
          <c:marker>
            <c:symbol val="square"/>
            <c:size val="3"/>
          </c:marker>
          <c:dLbls>
            <c:dLbl>
              <c:idx val="0"/>
              <c:layout>
                <c:manualLayout>
                  <c:x val="-1.6537467700258397E-2"/>
                  <c:y val="2.371876007180188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9-7F41-42FC-BE64-F63E4F3FB34C}"/>
                </c:ext>
              </c:extLst>
            </c:dLbl>
            <c:dLbl>
              <c:idx val="2"/>
              <c:layout>
                <c:manualLayout>
                  <c:x val="-8.2687338501291983E-3"/>
                  <c:y val="1.016518288791511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A-7F41-42FC-BE64-F63E4F3FB34C}"/>
                </c:ext>
              </c:extLst>
            </c:dLbl>
            <c:dLbl>
              <c:idx val="3"/>
              <c:layout>
                <c:manualLayout>
                  <c:x val="-1.8604651162790697E-2"/>
                  <c:y val="1.355357718388688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B-7F41-42FC-BE64-F63E4F3FB34C}"/>
                </c:ext>
              </c:extLst>
            </c:dLbl>
            <c:dLbl>
              <c:idx val="4"/>
              <c:layout>
                <c:manualLayout>
                  <c:x val="8.2687338501291983E-3"/>
                  <c:y val="-2.033036577583029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C-7F41-42FC-BE64-F63E4F3FB34C}"/>
                </c:ext>
              </c:extLst>
            </c:dLbl>
            <c:dLbl>
              <c:idx val="5"/>
              <c:delete val="1"/>
              <c:extLst>
                <c:ext xmlns:c15="http://schemas.microsoft.com/office/drawing/2012/chart" uri="{CE6537A1-D6FC-4f65-9D91-7224C49458BB}"/>
                <c:ext xmlns:c16="http://schemas.microsoft.com/office/drawing/2014/chart" uri="{C3380CC4-5D6E-409C-BE32-E72D297353CC}">
                  <c16:uniqueId val="{0000001D-7F41-42FC-BE64-F63E4F3FB34C}"/>
                </c:ext>
              </c:extLst>
            </c:dLbl>
            <c:dLbl>
              <c:idx val="6"/>
              <c:layout>
                <c:manualLayout>
                  <c:x val="0"/>
                  <c:y val="-1.355357718388688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E-7F41-42FC-BE64-F63E4F3FB34C}"/>
                </c:ext>
              </c:extLst>
            </c:dLbl>
            <c:spPr>
              <a:noFill/>
              <a:ln>
                <a:noFill/>
              </a:ln>
              <a:effectLst/>
            </c:spPr>
            <c:txPr>
              <a:bodyPr/>
              <a:lstStyle/>
              <a:p>
                <a:pPr>
                  <a:defRPr sz="700" baseline="0">
                    <a:solidFill>
                      <a:schemeClr val="tx1">
                        <a:lumMod val="65000"/>
                        <a:lumOff val="35000"/>
                      </a:schemeClr>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'WAR on primary auctions - RSD'!$C$4:$C$11</c:f>
              <c:strCache>
                <c:ptCount val="8"/>
                <c:pt idx="0">
                  <c:v>3M</c:v>
                </c:pt>
                <c:pt idx="1">
                  <c:v>6M</c:v>
                </c:pt>
                <c:pt idx="2">
                  <c:v>53W</c:v>
                </c:pt>
                <c:pt idx="3">
                  <c:v>2Y</c:v>
                </c:pt>
                <c:pt idx="4">
                  <c:v>3Y</c:v>
                </c:pt>
                <c:pt idx="5">
                  <c:v>5Y</c:v>
                </c:pt>
                <c:pt idx="6">
                  <c:v>7Y</c:v>
                </c:pt>
                <c:pt idx="7">
                  <c:v>10Y</c:v>
                </c:pt>
              </c:strCache>
            </c:strRef>
          </c:cat>
          <c:val>
            <c:numRef>
              <c:f>'WAR on primary auctions - RSD'!$J$4:$J$11</c:f>
              <c:numCache>
                <c:formatCode>0.00%</c:formatCode>
                <c:ptCount val="8"/>
                <c:pt idx="1">
                  <c:v>2.64E-2</c:v>
                </c:pt>
                <c:pt idx="2">
                  <c:v>3.4799999999999998E-2</c:v>
                </c:pt>
                <c:pt idx="3">
                  <c:v>4.5571173144751329E-2</c:v>
                </c:pt>
                <c:pt idx="4">
                  <c:v>4.8338312800935847E-2</c:v>
                </c:pt>
                <c:pt idx="5">
                  <c:v>5.116768326523416E-2</c:v>
                </c:pt>
                <c:pt idx="6">
                  <c:v>5.3997053729532465E-2</c:v>
                </c:pt>
              </c:numCache>
            </c:numRef>
          </c:val>
          <c:smooth val="0"/>
          <c:extLst>
            <c:ext xmlns:c16="http://schemas.microsoft.com/office/drawing/2014/chart" uri="{C3380CC4-5D6E-409C-BE32-E72D297353CC}">
              <c16:uniqueId val="{0000001F-7F41-42FC-BE64-F63E4F3FB34C}"/>
            </c:ext>
          </c:extLst>
        </c:ser>
        <c:ser>
          <c:idx val="4"/>
          <c:order val="4"/>
          <c:tx>
            <c:strRef>
              <c:f>'WAR on primary auctions - RSD'!$K$3</c:f>
              <c:strCache>
                <c:ptCount val="1"/>
                <c:pt idx="0">
                  <c:v>2018</c:v>
                </c:pt>
              </c:strCache>
            </c:strRef>
          </c:tx>
          <c:marker>
            <c:symbol val="square"/>
            <c:size val="3"/>
          </c:marker>
          <c:dLbls>
            <c:dLbl>
              <c:idx val="0"/>
              <c:layout>
                <c:manualLayout>
                  <c:x val="-3.7209302325581395E-2"/>
                  <c:y val="2.710715436777352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0-7F41-42FC-BE64-F63E4F3FB34C}"/>
                </c:ext>
              </c:extLst>
            </c:dLbl>
            <c:dLbl>
              <c:idx val="4"/>
              <c:layout>
                <c:manualLayout>
                  <c:x val="-1.8604651162790774E-2"/>
                  <c:y val="-2.033036577583023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1-7F41-42FC-BE64-F63E4F3FB34C}"/>
                </c:ext>
              </c:extLst>
            </c:dLbl>
            <c:dLbl>
              <c:idx val="5"/>
              <c:layout>
                <c:manualLayout>
                  <c:x val="-2.2739018087855296E-2"/>
                  <c:y val="-2.71071543677736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2-7F41-42FC-BE64-F63E4F3FB34C}"/>
                </c:ext>
              </c:extLst>
            </c:dLbl>
            <c:dLbl>
              <c:idx val="6"/>
              <c:delete val="1"/>
              <c:extLst>
                <c:ext xmlns:c15="http://schemas.microsoft.com/office/drawing/2012/chart" uri="{CE6537A1-D6FC-4f65-9D91-7224C49458BB}"/>
                <c:ext xmlns:c16="http://schemas.microsoft.com/office/drawing/2014/chart" uri="{C3380CC4-5D6E-409C-BE32-E72D297353CC}">
                  <c16:uniqueId val="{00000023-7F41-42FC-BE64-F63E4F3FB34C}"/>
                </c:ext>
              </c:extLst>
            </c:dLbl>
            <c:dLbl>
              <c:idx val="7"/>
              <c:layout>
                <c:manualLayout>
                  <c:x val="-1.5159170271874968E-16"/>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4-7F41-42FC-BE64-F63E4F3FB34C}"/>
                </c:ext>
              </c:extLst>
            </c:dLbl>
            <c:spPr>
              <a:noFill/>
              <a:ln>
                <a:noFill/>
              </a:ln>
              <a:effectLst/>
            </c:spPr>
            <c:txPr>
              <a:bodyPr/>
              <a:lstStyle/>
              <a:p>
                <a:pPr>
                  <a:defRPr sz="700" baseline="0">
                    <a:solidFill>
                      <a:schemeClr val="tx1">
                        <a:lumMod val="65000"/>
                        <a:lumOff val="35000"/>
                      </a:schemeClr>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'WAR on primary auctions - RSD'!$C$4:$C$11</c:f>
              <c:strCache>
                <c:ptCount val="8"/>
                <c:pt idx="0">
                  <c:v>3M</c:v>
                </c:pt>
                <c:pt idx="1">
                  <c:v>6M</c:v>
                </c:pt>
                <c:pt idx="2">
                  <c:v>53W</c:v>
                </c:pt>
                <c:pt idx="3">
                  <c:v>2Y</c:v>
                </c:pt>
                <c:pt idx="4">
                  <c:v>3Y</c:v>
                </c:pt>
                <c:pt idx="5">
                  <c:v>5Y</c:v>
                </c:pt>
                <c:pt idx="6">
                  <c:v>7Y</c:v>
                </c:pt>
                <c:pt idx="7">
                  <c:v>10Y</c:v>
                </c:pt>
              </c:strCache>
            </c:strRef>
          </c:cat>
          <c:val>
            <c:numRef>
              <c:f>'WAR on primary auctions - RSD'!$K$4:$K$11</c:f>
              <c:numCache>
                <c:formatCode>General</c:formatCode>
                <c:ptCount val="8"/>
                <c:pt idx="4" formatCode="0.00%">
                  <c:v>3.8278184992579532E-2</c:v>
                </c:pt>
                <c:pt idx="5" formatCode="0.00%">
                  <c:v>4.1742905834370771E-2</c:v>
                </c:pt>
                <c:pt idx="6" formatCode="0.00%">
                  <c:v>0.05</c:v>
                </c:pt>
                <c:pt idx="7" formatCode="0.00%">
                  <c:v>5.1847071771341881E-2</c:v>
                </c:pt>
              </c:numCache>
            </c:numRef>
          </c:val>
          <c:smooth val="0"/>
          <c:extLst>
            <c:ext xmlns:c16="http://schemas.microsoft.com/office/drawing/2014/chart" uri="{C3380CC4-5D6E-409C-BE32-E72D297353CC}">
              <c16:uniqueId val="{00000025-7F41-42FC-BE64-F63E4F3FB34C}"/>
            </c:ext>
          </c:extLst>
        </c:ser>
        <c:ser>
          <c:idx val="5"/>
          <c:order val="5"/>
          <c:tx>
            <c:strRef>
              <c:f>'WAR on primary auctions - RSD'!$L$3</c:f>
              <c:strCache>
                <c:ptCount val="1"/>
                <c:pt idx="0">
                  <c:v>VIII/2019</c:v>
                </c:pt>
              </c:strCache>
            </c:strRef>
          </c:tx>
          <c:marker>
            <c:symbol val="square"/>
            <c:size val="3"/>
          </c:marker>
          <c:dLbls>
            <c:dLbl>
              <c:idx val="0"/>
              <c:layout>
                <c:manualLayout>
                  <c:x val="-2.0671834625323016E-2"/>
                  <c:y val="2.710715436777352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6-7F41-42FC-BE64-F63E4F3FB34C}"/>
                </c:ext>
              </c:extLst>
            </c:dLbl>
            <c:dLbl>
              <c:idx val="1"/>
              <c:layout>
                <c:manualLayout>
                  <c:x val="-5.374677002583983E-2"/>
                  <c:y val="-2.71071543677736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7-7F41-42FC-BE64-F63E4F3FB34C}"/>
                </c:ext>
              </c:extLst>
            </c:dLbl>
            <c:dLbl>
              <c:idx val="2"/>
              <c:layout>
                <c:manualLayout>
                  <c:x val="-2.8940568475452271E-2"/>
                  <c:y val="-3.388394295971706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8-7F41-42FC-BE64-F63E4F3FB34C}"/>
                </c:ext>
              </c:extLst>
            </c:dLbl>
            <c:dLbl>
              <c:idx val="3"/>
              <c:layout>
                <c:manualLayout>
                  <c:x val="-2.8940568475452195E-2"/>
                  <c:y val="-4.066073155166047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9-7F41-42FC-BE64-F63E4F3FB34C}"/>
                </c:ext>
              </c:extLst>
            </c:dLbl>
            <c:dLbl>
              <c:idx val="4"/>
              <c:layout>
                <c:manualLayout>
                  <c:x val="-2.4806201550387597E-2"/>
                  <c:y val="3.388394295971706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A-7F41-42FC-BE64-F63E4F3FB34C}"/>
                </c:ext>
              </c:extLst>
            </c:dLbl>
            <c:dLbl>
              <c:idx val="5"/>
              <c:layout>
                <c:manualLayout>
                  <c:x val="-3.1007751937984572E-2"/>
                  <c:y val="3.388394295971706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B-7F41-42FC-BE64-F63E4F3FB34C}"/>
                </c:ext>
              </c:extLst>
            </c:dLbl>
            <c:dLbl>
              <c:idx val="6"/>
              <c:layout>
                <c:manualLayout>
                  <c:x val="-3.3074935400516793E-2"/>
                  <c:y val="3.72723372556886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C-7F41-42FC-BE64-F63E4F3FB34C}"/>
                </c:ext>
              </c:extLst>
            </c:dLbl>
            <c:spPr>
              <a:noFill/>
              <a:ln>
                <a:noFill/>
              </a:ln>
              <a:effectLst/>
            </c:spPr>
            <c:txPr>
              <a:bodyPr/>
              <a:lstStyle/>
              <a:p>
                <a:pPr>
                  <a:defRPr sz="700" baseline="0">
                    <a:solidFill>
                      <a:schemeClr val="tx1">
                        <a:lumMod val="65000"/>
                        <a:lumOff val="35000"/>
                      </a:schemeClr>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'WAR on primary auctions - RSD'!$C$4:$C$11</c:f>
              <c:strCache>
                <c:ptCount val="8"/>
                <c:pt idx="0">
                  <c:v>3M</c:v>
                </c:pt>
                <c:pt idx="1">
                  <c:v>6M</c:v>
                </c:pt>
                <c:pt idx="2">
                  <c:v>53W</c:v>
                </c:pt>
                <c:pt idx="3">
                  <c:v>2Y</c:v>
                </c:pt>
                <c:pt idx="4">
                  <c:v>3Y</c:v>
                </c:pt>
                <c:pt idx="5">
                  <c:v>5Y</c:v>
                </c:pt>
                <c:pt idx="6">
                  <c:v>7Y</c:v>
                </c:pt>
                <c:pt idx="7">
                  <c:v>10Y</c:v>
                </c:pt>
              </c:strCache>
            </c:strRef>
          </c:cat>
          <c:val>
            <c:numRef>
              <c:f>'WAR on primary auctions - RSD'!$L$4:$L$11</c:f>
              <c:numCache>
                <c:formatCode>General</c:formatCode>
                <c:ptCount val="8"/>
                <c:pt idx="4" formatCode="0.00%">
                  <c:v>3.6903347853351767E-2</c:v>
                </c:pt>
                <c:pt idx="5" formatCode="0.00%">
                  <c:v>0.04</c:v>
                </c:pt>
                <c:pt idx="6" formatCode="0.00%">
                  <c:v>4.2599999999999999E-2</c:v>
                </c:pt>
              </c:numCache>
            </c:numRef>
          </c:val>
          <c:smooth val="0"/>
          <c:extLst>
            <c:ext xmlns:c16="http://schemas.microsoft.com/office/drawing/2014/chart" uri="{C3380CC4-5D6E-409C-BE32-E72D297353CC}">
              <c16:uniqueId val="{0000002D-7F41-42FC-BE64-F63E4F3FB34C}"/>
            </c:ext>
          </c:extLst>
        </c:ser>
        <c:dLbls>
          <c:showLegendKey val="0"/>
          <c:showVal val="0"/>
          <c:showCatName val="0"/>
          <c:showSerName val="0"/>
          <c:showPercent val="0"/>
          <c:showBubbleSize val="0"/>
        </c:dLbls>
        <c:marker val="1"/>
        <c:smooth val="0"/>
        <c:axId val="1055136208"/>
        <c:axId val="1055124784"/>
      </c:lineChart>
      <c:catAx>
        <c:axId val="1055136208"/>
        <c:scaling>
          <c:orientation val="minMax"/>
        </c:scaling>
        <c:delete val="0"/>
        <c:axPos val="b"/>
        <c:numFmt formatCode="General" sourceLinked="0"/>
        <c:majorTickMark val="out"/>
        <c:minorTickMark val="none"/>
        <c:tickLblPos val="nextTo"/>
        <c:crossAx val="1055124784"/>
        <c:crosses val="autoZero"/>
        <c:auto val="1"/>
        <c:lblAlgn val="ctr"/>
        <c:lblOffset val="100"/>
        <c:noMultiLvlLbl val="0"/>
      </c:catAx>
      <c:valAx>
        <c:axId val="1055124784"/>
        <c:scaling>
          <c:orientation val="minMax"/>
        </c:scaling>
        <c:delete val="0"/>
        <c:axPos val="l"/>
        <c:majorGridlines>
          <c:spPr>
            <a:ln>
              <a:noFill/>
            </a:ln>
          </c:spPr>
        </c:majorGridlines>
        <c:numFmt formatCode="0%" sourceLinked="0"/>
        <c:majorTickMark val="out"/>
        <c:minorTickMark val="none"/>
        <c:tickLblPos val="nextTo"/>
        <c:txPr>
          <a:bodyPr/>
          <a:lstStyle/>
          <a:p>
            <a:pPr>
              <a:defRPr sz="800"/>
            </a:pPr>
            <a:endParaRPr lang="en-US"/>
          </a:p>
        </c:txPr>
        <c:crossAx val="1055136208"/>
        <c:crosses val="autoZero"/>
        <c:crossBetween val="between"/>
      </c:valAx>
      <c:spPr>
        <a:noFill/>
        <a:ln>
          <a:noFill/>
        </a:ln>
      </c:spPr>
    </c:plotArea>
    <c:legend>
      <c:legendPos val="r"/>
      <c:layout>
        <c:manualLayout>
          <c:xMode val="edge"/>
          <c:yMode val="edge"/>
          <c:x val="1.7256834938073059E-2"/>
          <c:y val="0.85622830728248522"/>
          <c:w val="0.90793569901905502"/>
          <c:h val="0.12237826614956712"/>
        </c:manualLayout>
      </c:layout>
      <c:overlay val="0"/>
      <c:txPr>
        <a:bodyPr/>
        <a:lstStyle/>
        <a:p>
          <a:pPr>
            <a:defRPr sz="800"/>
          </a:pPr>
          <a:endParaRPr lang="en-US"/>
        </a:p>
      </c:txPr>
    </c:legend>
    <c:plotVisOnly val="1"/>
    <c:dispBlanksAs val="gap"/>
    <c:showDLblsOverMax val="0"/>
  </c:chart>
  <c:spPr>
    <a:noFill/>
    <a:ln>
      <a:noFill/>
    </a:ln>
  </c:spPr>
  <c:externalData r:id="rId2">
    <c:autoUpdate val="0"/>
  </c:externalData>
</c:chartSpace>
</file>

<file path=word/charts/chart5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8354940982093691E-2"/>
          <c:y val="3.6779809303498077E-2"/>
          <c:w val="0.90294270872095617"/>
          <c:h val="0.61951925500837823"/>
        </c:manualLayout>
      </c:layout>
      <c:lineChart>
        <c:grouping val="standard"/>
        <c:varyColors val="0"/>
        <c:ser>
          <c:idx val="2"/>
          <c:order val="0"/>
          <c:tx>
            <c:strRef>
              <c:f>'WAR on primary auctions - EUR'!$G$3</c:f>
              <c:strCache>
                <c:ptCount val="1"/>
                <c:pt idx="0">
                  <c:v>2014</c:v>
                </c:pt>
              </c:strCache>
            </c:strRef>
          </c:tx>
          <c:marker>
            <c:symbol val="square"/>
            <c:size val="3"/>
          </c:marker>
          <c:dLbls>
            <c:dLbl>
              <c:idx val="0"/>
              <c:layout>
                <c:manualLayout>
                  <c:x val="-3.5450516986706072E-2"/>
                  <c:y val="-3.938946942694835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D8E1-4FAE-9B69-96082DDE96A6}"/>
                </c:ext>
              </c:extLst>
            </c:dLbl>
            <c:dLbl>
              <c:idx val="1"/>
              <c:layout>
                <c:manualLayout>
                  <c:x val="-4.5297882816346627E-2"/>
                  <c:y val="-3.93894694269483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D8E1-4FAE-9B69-96082DDE96A6}"/>
                </c:ext>
              </c:extLst>
            </c:dLbl>
            <c:dLbl>
              <c:idx val="2"/>
              <c:layout>
                <c:manualLayout>
                  <c:x val="-7.0901189050039351E-2"/>
                  <c:y val="-2.757262859886384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D8E1-4FAE-9B69-96082DDE96A6}"/>
                </c:ext>
              </c:extLst>
            </c:dLbl>
            <c:dLbl>
              <c:idx val="3"/>
              <c:layout>
                <c:manualLayout>
                  <c:x val="-4.7267355982274745E-2"/>
                  <c:y val="-1.773355996054716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8E1-4FAE-9B69-96082DDE96A6}"/>
                </c:ext>
              </c:extLst>
            </c:dLbl>
            <c:dLbl>
              <c:idx val="4"/>
              <c:layout>
                <c:manualLayout>
                  <c:x val="-4.9236829148202856E-2"/>
                  <c:y val="-4.331199820072674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D8E1-4FAE-9B69-96082DDE96A6}"/>
                </c:ext>
              </c:extLst>
            </c:dLbl>
            <c:dLbl>
              <c:idx val="5"/>
              <c:layout>
                <c:manualLayout>
                  <c:x val="-4.7267355982274745E-2"/>
                  <c:y val="2.363368165616901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D8E1-4FAE-9B69-96082DDE96A6}"/>
                </c:ext>
              </c:extLst>
            </c:dLbl>
            <c:spPr>
              <a:noFill/>
              <a:ln>
                <a:noFill/>
              </a:ln>
              <a:effectLst/>
            </c:spPr>
            <c:txPr>
              <a:bodyPr/>
              <a:lstStyle/>
              <a:p>
                <a:pPr>
                  <a:defRPr sz="700" baseline="0"/>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'WAR on primary auctions - EUR'!$C$4:$C$9</c:f>
              <c:strCache>
                <c:ptCount val="6"/>
                <c:pt idx="0">
                  <c:v>53W</c:v>
                </c:pt>
                <c:pt idx="1">
                  <c:v>2Y</c:v>
                </c:pt>
                <c:pt idx="2">
                  <c:v>3Y</c:v>
                </c:pt>
                <c:pt idx="3">
                  <c:v>5Y</c:v>
                </c:pt>
                <c:pt idx="4">
                  <c:v>10Y</c:v>
                </c:pt>
                <c:pt idx="5">
                  <c:v>15Y</c:v>
                </c:pt>
              </c:strCache>
            </c:strRef>
          </c:cat>
          <c:val>
            <c:numRef>
              <c:f>'WAR on primary auctions - EUR'!$G$4:$G$9</c:f>
              <c:numCache>
                <c:formatCode>0.00%</c:formatCode>
                <c:ptCount val="6"/>
                <c:pt idx="0">
                  <c:v>3.0418185954225487E-2</c:v>
                </c:pt>
                <c:pt idx="1">
                  <c:v>3.9104744879831482E-2</c:v>
                </c:pt>
                <c:pt idx="2">
                  <c:v>4.7138205908340364E-2</c:v>
                </c:pt>
                <c:pt idx="3">
                  <c:v>4.9891847307430133E-2</c:v>
                </c:pt>
                <c:pt idx="4">
                  <c:v>5.5E-2</c:v>
                </c:pt>
              </c:numCache>
            </c:numRef>
          </c:val>
          <c:smooth val="0"/>
          <c:extLst>
            <c:ext xmlns:c16="http://schemas.microsoft.com/office/drawing/2014/chart" uri="{C3380CC4-5D6E-409C-BE32-E72D297353CC}">
              <c16:uniqueId val="{00000006-D8E1-4FAE-9B69-96082DDE96A6}"/>
            </c:ext>
          </c:extLst>
        </c:ser>
        <c:ser>
          <c:idx val="3"/>
          <c:order val="1"/>
          <c:tx>
            <c:strRef>
              <c:f>'WAR on primary auctions - EUR'!$H$3</c:f>
              <c:strCache>
                <c:ptCount val="1"/>
                <c:pt idx="0">
                  <c:v>2015</c:v>
                </c:pt>
              </c:strCache>
            </c:strRef>
          </c:tx>
          <c:marker>
            <c:symbol val="square"/>
            <c:size val="3"/>
          </c:marker>
          <c:dLbls>
            <c:dLbl>
              <c:idx val="2"/>
              <c:layout>
                <c:manualLayout>
                  <c:x val="-2.9542097488921643E-2"/>
                  <c:y val="3.15115755415586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D8E1-4FAE-9B69-96082DDE96A6}"/>
                </c:ext>
              </c:extLst>
            </c:dLbl>
            <c:dLbl>
              <c:idx val="3"/>
              <c:layout>
                <c:manualLayout>
                  <c:x val="-1.1816994072195924E-2"/>
                  <c:y val="-2.143636125096347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D8E1-4FAE-9B69-96082DDE96A6}"/>
                </c:ext>
              </c:extLst>
            </c:dLbl>
            <c:dLbl>
              <c:idx val="4"/>
              <c:delete val="1"/>
              <c:extLst>
                <c:ext xmlns:c15="http://schemas.microsoft.com/office/drawing/2012/chart" uri="{CE6537A1-D6FC-4f65-9D91-7224C49458BB}"/>
                <c:ext xmlns:c16="http://schemas.microsoft.com/office/drawing/2014/chart" uri="{C3380CC4-5D6E-409C-BE32-E72D297353CC}">
                  <c16:uniqueId val="{00000009-D8E1-4FAE-9B69-96082DDE96A6}"/>
                </c:ext>
              </c:extLst>
            </c:dLbl>
            <c:spPr>
              <a:noFill/>
              <a:ln>
                <a:noFill/>
              </a:ln>
              <a:effectLst/>
            </c:spPr>
            <c:txPr>
              <a:bodyPr/>
              <a:lstStyle/>
              <a:p>
                <a:pPr>
                  <a:defRPr sz="700" baseline="0"/>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'WAR on primary auctions - EUR'!$C$4:$C$9</c:f>
              <c:strCache>
                <c:ptCount val="6"/>
                <c:pt idx="0">
                  <c:v>53W</c:v>
                </c:pt>
                <c:pt idx="1">
                  <c:v>2Y</c:v>
                </c:pt>
                <c:pt idx="2">
                  <c:v>3Y</c:v>
                </c:pt>
                <c:pt idx="3">
                  <c:v>5Y</c:v>
                </c:pt>
                <c:pt idx="4">
                  <c:v>10Y</c:v>
                </c:pt>
                <c:pt idx="5">
                  <c:v>15Y</c:v>
                </c:pt>
              </c:strCache>
            </c:strRef>
          </c:cat>
          <c:val>
            <c:numRef>
              <c:f>'WAR on primary auctions - EUR'!$H$4:$H$9</c:f>
              <c:numCache>
                <c:formatCode>0.00%</c:formatCode>
                <c:ptCount val="6"/>
                <c:pt idx="0">
                  <c:v>1.83E-2</c:v>
                </c:pt>
                <c:pt idx="1">
                  <c:v>2.6700000000000002E-2</c:v>
                </c:pt>
                <c:pt idx="2">
                  <c:v>0.04</c:v>
                </c:pt>
                <c:pt idx="3">
                  <c:v>4.4900000000000002E-2</c:v>
                </c:pt>
                <c:pt idx="4">
                  <c:v>4.48E-2</c:v>
                </c:pt>
              </c:numCache>
            </c:numRef>
          </c:val>
          <c:smooth val="0"/>
          <c:extLst>
            <c:ext xmlns:c16="http://schemas.microsoft.com/office/drawing/2014/chart" uri="{C3380CC4-5D6E-409C-BE32-E72D297353CC}">
              <c16:uniqueId val="{0000000A-D8E1-4FAE-9B69-96082DDE96A6}"/>
            </c:ext>
          </c:extLst>
        </c:ser>
        <c:ser>
          <c:idx val="4"/>
          <c:order val="2"/>
          <c:tx>
            <c:strRef>
              <c:f>'WAR on primary auctions - EUR'!$I$3</c:f>
              <c:strCache>
                <c:ptCount val="1"/>
                <c:pt idx="0">
                  <c:v>2016</c:v>
                </c:pt>
              </c:strCache>
            </c:strRef>
          </c:tx>
          <c:marker>
            <c:symbol val="square"/>
            <c:size val="3"/>
          </c:marker>
          <c:dLbls>
            <c:dLbl>
              <c:idx val="0"/>
              <c:layout>
                <c:manualLayout>
                  <c:x val="-4.9236829148202856E-2"/>
                  <c:y val="-4.726736331233794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D8E1-4FAE-9B69-96082DDE96A6}"/>
                </c:ext>
              </c:extLst>
            </c:dLbl>
            <c:dLbl>
              <c:idx val="2"/>
              <c:layout>
                <c:manualLayout>
                  <c:x val="-1.7725258493353099E-2"/>
                  <c:y val="3.938946942694835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D8E1-4FAE-9B69-96082DDE96A6}"/>
                </c:ext>
              </c:extLst>
            </c:dLbl>
            <c:dLbl>
              <c:idx val="3"/>
              <c:layout>
                <c:manualLayout>
                  <c:x val="-3.5450516986706058E-2"/>
                  <c:y val="3.938946942694835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D8E1-4FAE-9B69-96082DDE96A6}"/>
                </c:ext>
              </c:extLst>
            </c:dLbl>
            <c:dLbl>
              <c:idx val="4"/>
              <c:layout>
                <c:manualLayout>
                  <c:x val="-7.4839980305268339E-2"/>
                  <c:y val="-2.517196179355682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D8E1-4FAE-9B69-96082DDE96A6}"/>
                </c:ext>
              </c:extLst>
            </c:dLbl>
            <c:dLbl>
              <c:idx val="5"/>
              <c:layout>
                <c:manualLayout>
                  <c:x val="-6.6962087641555881E-2"/>
                  <c:y val="-3.347280824854335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D8E1-4FAE-9B69-96082DDE96A6}"/>
                </c:ext>
              </c:extLst>
            </c:dLbl>
            <c:spPr>
              <a:noFill/>
              <a:ln>
                <a:noFill/>
              </a:ln>
              <a:effectLst/>
            </c:spPr>
            <c:txPr>
              <a:bodyPr wrap="square" lIns="38100" tIns="19050" rIns="38100" bIns="19050" anchor="ctr">
                <a:spAutoFit/>
              </a:bodyPr>
              <a:lstStyle/>
              <a:p>
                <a:pPr>
                  <a:defRPr sz="700" baseline="0"/>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'WAR on primary auctions - EUR'!$C$4:$C$9</c:f>
              <c:strCache>
                <c:ptCount val="6"/>
                <c:pt idx="0">
                  <c:v>53W</c:v>
                </c:pt>
                <c:pt idx="1">
                  <c:v>2Y</c:v>
                </c:pt>
                <c:pt idx="2">
                  <c:v>3Y</c:v>
                </c:pt>
                <c:pt idx="3">
                  <c:v>5Y</c:v>
                </c:pt>
                <c:pt idx="4">
                  <c:v>10Y</c:v>
                </c:pt>
                <c:pt idx="5">
                  <c:v>15Y</c:v>
                </c:pt>
              </c:strCache>
            </c:strRef>
          </c:cat>
          <c:val>
            <c:numRef>
              <c:f>'WAR on primary auctions - EUR'!$I$4:$I$9</c:f>
              <c:numCache>
                <c:formatCode>0.00%</c:formatCode>
                <c:ptCount val="6"/>
                <c:pt idx="0">
                  <c:v>9.4417358622498043E-3</c:v>
                </c:pt>
                <c:pt idx="1">
                  <c:v>1.3644036041361296E-2</c:v>
                </c:pt>
                <c:pt idx="2">
                  <c:v>2.9759600523163947E-2</c:v>
                </c:pt>
                <c:pt idx="3">
                  <c:v>3.1357142857142854E-2</c:v>
                </c:pt>
                <c:pt idx="4">
                  <c:v>4.2000000000000003E-2</c:v>
                </c:pt>
                <c:pt idx="5">
                  <c:v>4.2000000000000003E-2</c:v>
                </c:pt>
              </c:numCache>
            </c:numRef>
          </c:val>
          <c:smooth val="0"/>
          <c:extLst>
            <c:ext xmlns:c16="http://schemas.microsoft.com/office/drawing/2014/chart" uri="{C3380CC4-5D6E-409C-BE32-E72D297353CC}">
              <c16:uniqueId val="{00000010-D8E1-4FAE-9B69-96082DDE96A6}"/>
            </c:ext>
          </c:extLst>
        </c:ser>
        <c:ser>
          <c:idx val="5"/>
          <c:order val="3"/>
          <c:tx>
            <c:strRef>
              <c:f>'WAR on primary auctions - EUR'!$J$3</c:f>
              <c:strCache>
                <c:ptCount val="1"/>
                <c:pt idx="0">
                  <c:v>2017</c:v>
                </c:pt>
              </c:strCache>
            </c:strRef>
          </c:tx>
          <c:dLbls>
            <c:dLbl>
              <c:idx val="0"/>
              <c:layout>
                <c:manualLayout>
                  <c:x val="-7.4839980305268339E-2"/>
                  <c:y val="-2.231520549902904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D8E1-4FAE-9B69-96082DDE96A6}"/>
                </c:ext>
              </c:extLst>
            </c:dLbl>
            <c:dLbl>
              <c:idx val="2"/>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D8E1-4FAE-9B69-96082DDE96A6}"/>
                </c:ext>
              </c:extLst>
            </c:dLbl>
            <c:spPr>
              <a:noFill/>
              <a:ln>
                <a:noFill/>
              </a:ln>
              <a:effectLst/>
            </c:spPr>
            <c:txPr>
              <a:bodyPr wrap="square" lIns="38100" tIns="19050" rIns="38100" bIns="19050" anchor="ctr">
                <a:spAutoFit/>
              </a:bodyPr>
              <a:lstStyle/>
              <a:p>
                <a:pPr>
                  <a:defRPr sz="700" baseline="0"/>
                </a:pPr>
                <a:endParaRPr lang="en-US"/>
              </a:p>
            </c:txPr>
            <c:showLegendKey val="0"/>
            <c:showVal val="0"/>
            <c:showCatName val="0"/>
            <c:showSerName val="0"/>
            <c:showPercent val="0"/>
            <c:showBubbleSize val="0"/>
            <c:extLst>
              <c:ext xmlns:c15="http://schemas.microsoft.com/office/drawing/2012/chart" uri="{CE6537A1-D6FC-4f65-9D91-7224C49458BB}">
                <c15:showLeaderLines val="1"/>
              </c:ext>
            </c:extLst>
          </c:dLbls>
          <c:cat>
            <c:strRef>
              <c:f>'WAR on primary auctions - EUR'!$C$4:$C$9</c:f>
              <c:strCache>
                <c:ptCount val="6"/>
                <c:pt idx="0">
                  <c:v>53W</c:v>
                </c:pt>
                <c:pt idx="1">
                  <c:v>2Y</c:v>
                </c:pt>
                <c:pt idx="2">
                  <c:v>3Y</c:v>
                </c:pt>
                <c:pt idx="3">
                  <c:v>5Y</c:v>
                </c:pt>
                <c:pt idx="4">
                  <c:v>10Y</c:v>
                </c:pt>
                <c:pt idx="5">
                  <c:v>15Y</c:v>
                </c:pt>
              </c:strCache>
            </c:strRef>
          </c:cat>
          <c:val>
            <c:numRef>
              <c:f>'WAR on primary auctions - EUR'!$J$4:$J$9</c:f>
              <c:numCache>
                <c:formatCode>0.00%</c:formatCode>
                <c:ptCount val="6"/>
                <c:pt idx="0">
                  <c:v>6.2635145185452766E-3</c:v>
                </c:pt>
                <c:pt idx="1">
                  <c:v>1.0360033899389172E-2</c:v>
                </c:pt>
                <c:pt idx="2">
                  <c:v>1.8649799295294825E-2</c:v>
                </c:pt>
                <c:pt idx="3">
                  <c:v>2.6212040071733351E-2</c:v>
                </c:pt>
                <c:pt idx="4">
                  <c:v>0.04</c:v>
                </c:pt>
                <c:pt idx="5">
                  <c:v>4.2000000000000003E-2</c:v>
                </c:pt>
              </c:numCache>
            </c:numRef>
          </c:val>
          <c:smooth val="0"/>
          <c:extLst>
            <c:ext xmlns:c16="http://schemas.microsoft.com/office/drawing/2014/chart" uri="{C3380CC4-5D6E-409C-BE32-E72D297353CC}">
              <c16:uniqueId val="{00000013-D8E1-4FAE-9B69-96082DDE96A6}"/>
            </c:ext>
          </c:extLst>
        </c:ser>
        <c:ser>
          <c:idx val="0"/>
          <c:order val="4"/>
          <c:tx>
            <c:strRef>
              <c:f>'WAR on primary auctions - EUR'!$K$3</c:f>
              <c:strCache>
                <c:ptCount val="1"/>
                <c:pt idx="0">
                  <c:v>2018</c:v>
                </c:pt>
              </c:strCache>
            </c:strRef>
          </c:tx>
          <c:dLbls>
            <c:dLbl>
              <c:idx val="0"/>
              <c:layout>
                <c:manualLayout>
                  <c:x val="-8.2717872968980796E-2"/>
                  <c:y val="7.43840183300963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4-D8E1-4FAE-9B69-96082DDE96A6}"/>
                </c:ext>
              </c:extLst>
            </c:dLbl>
            <c:dLbl>
              <c:idx val="4"/>
              <c:layout>
                <c:manualLayout>
                  <c:x val="-1.7725258493353029E-2"/>
                  <c:y val="-1.859600458252409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5-D8E1-4FAE-9B69-96082DDE96A6}"/>
                </c:ext>
              </c:extLst>
            </c:dLbl>
            <c:spPr>
              <a:noFill/>
              <a:ln>
                <a:noFill/>
              </a:ln>
              <a:effectLst/>
            </c:spPr>
            <c:txPr>
              <a:bodyPr wrap="square" lIns="38100" tIns="19050" rIns="38100" bIns="19050" anchor="ctr">
                <a:spAutoFit/>
              </a:bodyPr>
              <a:lstStyle/>
              <a:p>
                <a:pPr>
                  <a:defRPr sz="700" baseline="0"/>
                </a:pPr>
                <a:endParaRPr lang="en-US"/>
              </a:p>
            </c:txPr>
            <c:showLegendKey val="0"/>
            <c:showVal val="0"/>
            <c:showCatName val="0"/>
            <c:showSerName val="0"/>
            <c:showPercent val="0"/>
            <c:showBubbleSize val="0"/>
            <c:extLst>
              <c:ext xmlns:c15="http://schemas.microsoft.com/office/drawing/2012/chart" uri="{CE6537A1-D6FC-4f65-9D91-7224C49458BB}">
                <c15:showLeaderLines val="1"/>
              </c:ext>
            </c:extLst>
          </c:dLbls>
          <c:cat>
            <c:strRef>
              <c:f>'WAR on primary auctions - EUR'!$C$4:$C$9</c:f>
              <c:strCache>
                <c:ptCount val="6"/>
                <c:pt idx="0">
                  <c:v>53W</c:v>
                </c:pt>
                <c:pt idx="1">
                  <c:v>2Y</c:v>
                </c:pt>
                <c:pt idx="2">
                  <c:v>3Y</c:v>
                </c:pt>
                <c:pt idx="3">
                  <c:v>5Y</c:v>
                </c:pt>
                <c:pt idx="4">
                  <c:v>10Y</c:v>
                </c:pt>
                <c:pt idx="5">
                  <c:v>15Y</c:v>
                </c:pt>
              </c:strCache>
            </c:strRef>
          </c:cat>
          <c:val>
            <c:numRef>
              <c:f>'WAR on primary auctions - EUR'!$K$4:$K$9</c:f>
              <c:numCache>
                <c:formatCode>0.00%</c:formatCode>
                <c:ptCount val="6"/>
                <c:pt idx="0">
                  <c:v>4.5989898989898994E-3</c:v>
                </c:pt>
                <c:pt idx="1">
                  <c:v>8.7888787429136698E-3</c:v>
                </c:pt>
                <c:pt idx="2">
                  <c:v>1.2512238579642383E-2</c:v>
                </c:pt>
                <c:pt idx="3">
                  <c:v>1.8924744210098623E-2</c:v>
                </c:pt>
                <c:pt idx="4">
                  <c:v>3.5000000000000003E-2</c:v>
                </c:pt>
              </c:numCache>
            </c:numRef>
          </c:val>
          <c:smooth val="0"/>
          <c:extLst>
            <c:ext xmlns:c16="http://schemas.microsoft.com/office/drawing/2014/chart" uri="{C3380CC4-5D6E-409C-BE32-E72D297353CC}">
              <c16:uniqueId val="{00000016-D8E1-4FAE-9B69-96082DDE96A6}"/>
            </c:ext>
          </c:extLst>
        </c:ser>
        <c:ser>
          <c:idx val="1"/>
          <c:order val="5"/>
          <c:tx>
            <c:strRef>
              <c:f>'WAR on primary auctions - EUR'!$L$3</c:f>
              <c:strCache>
                <c:ptCount val="1"/>
                <c:pt idx="0">
                  <c:v>VIII/2019</c:v>
                </c:pt>
              </c:strCache>
            </c:strRef>
          </c:tx>
          <c:dLbls>
            <c:dLbl>
              <c:idx val="5"/>
              <c:layout>
                <c:manualLayout>
                  <c:x val="0"/>
                  <c:y val="-1.859600458252412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7-D8E1-4FAE-9B69-96082DDE96A6}"/>
                </c:ext>
              </c:extLst>
            </c:dLbl>
            <c:spPr>
              <a:noFill/>
              <a:ln>
                <a:noFill/>
              </a:ln>
              <a:effectLst/>
            </c:spPr>
            <c:txPr>
              <a:bodyPr wrap="square" lIns="38100" tIns="19050" rIns="38100" bIns="19050" anchor="ctr">
                <a:spAutoFit/>
              </a:bodyPr>
              <a:lstStyle/>
              <a:p>
                <a:pPr>
                  <a:defRPr sz="700" baseline="0"/>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'WAR on primary auctions - EUR'!$C$4:$C$9</c:f>
              <c:strCache>
                <c:ptCount val="6"/>
                <c:pt idx="0">
                  <c:v>53W</c:v>
                </c:pt>
                <c:pt idx="1">
                  <c:v>2Y</c:v>
                </c:pt>
                <c:pt idx="2">
                  <c:v>3Y</c:v>
                </c:pt>
                <c:pt idx="3">
                  <c:v>5Y</c:v>
                </c:pt>
                <c:pt idx="4">
                  <c:v>10Y</c:v>
                </c:pt>
                <c:pt idx="5">
                  <c:v>15Y</c:v>
                </c:pt>
              </c:strCache>
            </c:strRef>
          </c:cat>
          <c:val>
            <c:numRef>
              <c:f>'WAR on primary auctions - EUR'!$L$4:$L$9</c:f>
              <c:numCache>
                <c:formatCode>0.00%</c:formatCode>
                <c:ptCount val="6"/>
                <c:pt idx="1">
                  <c:v>9.182369146005509E-3</c:v>
                </c:pt>
                <c:pt idx="2">
                  <c:v>1.209122608726175E-2</c:v>
                </c:pt>
                <c:pt idx="3">
                  <c:v>1.6516079933938894E-2</c:v>
                </c:pt>
                <c:pt idx="4">
                  <c:v>3.2500000000000001E-2</c:v>
                </c:pt>
                <c:pt idx="5">
                  <c:v>3.5999999999999997E-2</c:v>
                </c:pt>
              </c:numCache>
            </c:numRef>
          </c:val>
          <c:smooth val="0"/>
          <c:extLst>
            <c:ext xmlns:c16="http://schemas.microsoft.com/office/drawing/2014/chart" uri="{C3380CC4-5D6E-409C-BE32-E72D297353CC}">
              <c16:uniqueId val="{00000018-D8E1-4FAE-9B69-96082DDE96A6}"/>
            </c:ext>
          </c:extLst>
        </c:ser>
        <c:dLbls>
          <c:showLegendKey val="0"/>
          <c:showVal val="0"/>
          <c:showCatName val="0"/>
          <c:showSerName val="0"/>
          <c:showPercent val="0"/>
          <c:showBubbleSize val="0"/>
        </c:dLbls>
        <c:marker val="1"/>
        <c:smooth val="0"/>
        <c:axId val="1055139472"/>
        <c:axId val="1055131312"/>
      </c:lineChart>
      <c:catAx>
        <c:axId val="1055139472"/>
        <c:scaling>
          <c:orientation val="minMax"/>
        </c:scaling>
        <c:delete val="0"/>
        <c:axPos val="b"/>
        <c:numFmt formatCode="General" sourceLinked="1"/>
        <c:majorTickMark val="out"/>
        <c:minorTickMark val="none"/>
        <c:tickLblPos val="nextTo"/>
        <c:crossAx val="1055131312"/>
        <c:crosses val="autoZero"/>
        <c:auto val="1"/>
        <c:lblAlgn val="ctr"/>
        <c:lblOffset val="100"/>
        <c:noMultiLvlLbl val="0"/>
      </c:catAx>
      <c:valAx>
        <c:axId val="1055131312"/>
        <c:scaling>
          <c:orientation val="minMax"/>
        </c:scaling>
        <c:delete val="0"/>
        <c:axPos val="l"/>
        <c:numFmt formatCode="0%" sourceLinked="0"/>
        <c:majorTickMark val="out"/>
        <c:minorTickMark val="none"/>
        <c:tickLblPos val="nextTo"/>
        <c:crossAx val="1055139472"/>
        <c:crosses val="autoZero"/>
        <c:crossBetween val="between"/>
      </c:valAx>
      <c:spPr>
        <a:noFill/>
      </c:spPr>
    </c:plotArea>
    <c:legend>
      <c:legendPos val="r"/>
      <c:layout>
        <c:manualLayout>
          <c:xMode val="edge"/>
          <c:yMode val="edge"/>
          <c:x val="0"/>
          <c:y val="0.79736702403724957"/>
          <c:w val="1"/>
          <c:h val="0.20263297596275043"/>
        </c:manualLayout>
      </c:layout>
      <c:overlay val="0"/>
    </c:legend>
    <c:plotVisOnly val="1"/>
    <c:dispBlanksAs val="gap"/>
    <c:showDLblsOverMax val="0"/>
  </c:chart>
  <c:spPr>
    <a:noFill/>
    <a:ln>
      <a:noFill/>
    </a:ln>
  </c:spPr>
  <c:txPr>
    <a:bodyPr/>
    <a:lstStyle/>
    <a:p>
      <a:pPr>
        <a:defRPr sz="800">
          <a:latin typeface="+mn-lt"/>
          <a:cs typeface="Arial" panose="020B0604020202020204" pitchFamily="34" charset="0"/>
        </a:defRPr>
      </a:pPr>
      <a:endParaRPr lang="en-US"/>
    </a:p>
  </c:txPr>
  <c:externalData r:id="rId2">
    <c:autoUpdate val="0"/>
  </c:externalData>
</c:chartSpace>
</file>

<file path=word/charts/chart5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9747922134733159"/>
          <c:y val="0.16135873292744274"/>
          <c:w val="0.67833777211672053"/>
          <c:h val="0.56682197269719992"/>
        </c:manualLayout>
      </c:layout>
      <c:scatterChart>
        <c:scatterStyle val="lineMarker"/>
        <c:varyColors val="0"/>
        <c:ser>
          <c:idx val="0"/>
          <c:order val="0"/>
          <c:tx>
            <c:strRef>
              <c:f>'C:\Users\milena\Desktop\2019-2022 15oct19\[MTDS oct 2o19.xlsm]3Y_OUTPUT'!$C$123</c:f>
              <c:strCache>
                <c:ptCount val="1"/>
                <c:pt idx="0">
                  <c:v>C1</c:v>
                </c:pt>
              </c:strCache>
            </c:strRef>
          </c:tx>
          <c:spPr>
            <a:ln w="25400" cap="flat" cmpd="dbl" algn="ctr">
              <a:solidFill>
                <a:schemeClr val="accent1">
                  <a:alpha val="50000"/>
                </a:schemeClr>
              </a:solidFill>
              <a:round/>
            </a:ln>
            <a:effectLst/>
          </c:spPr>
          <c:marker>
            <c:symbol val="circle"/>
            <c:size val="10"/>
            <c:spPr>
              <a:solidFill>
                <a:srgbClr val="FF0000"/>
              </a:solidFill>
              <a:ln w="9525" cap="flat" cmpd="dbl" algn="ctr">
                <a:solidFill>
                  <a:srgbClr val="FF0000">
                    <a:alpha val="70000"/>
                  </a:srgbClr>
                </a:solidFill>
                <a:round/>
              </a:ln>
              <a:effectLst/>
            </c:spPr>
          </c:marker>
          <c:dLbls>
            <c:spPr>
              <a:noFill/>
              <a:ln>
                <a:noFill/>
              </a:ln>
              <a:effectLst/>
            </c:spPr>
            <c:txPr>
              <a:bodyPr rot="0" vert="horz"/>
              <a:lstStyle/>
              <a:p>
                <a:pPr>
                  <a:defRPr/>
                </a:pPr>
                <a:endParaRPr lang="en-U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'C:\Users\milena\Desktop\2019-2022 15oct19\[MTDS oct 2o19.xlsm]3Y_OUTPUT'!$C$129</c:f>
              <c:numCache>
                <c:formatCode>General</c:formatCode>
                <c:ptCount val="1"/>
                <c:pt idx="0">
                  <c:v>4.5768070559444922</c:v>
                </c:pt>
              </c:numCache>
            </c:numRef>
          </c:xVal>
          <c:yVal>
            <c:numRef>
              <c:f>'C:\Users\milena\Desktop\2019-2022 15oct19\[MTDS oct 2o19.xlsm]3Y_OUTPUT'!$C$124</c:f>
              <c:numCache>
                <c:formatCode>General</c:formatCode>
                <c:ptCount val="1"/>
                <c:pt idx="0">
                  <c:v>44.105918771070151</c:v>
                </c:pt>
              </c:numCache>
            </c:numRef>
          </c:yVal>
          <c:smooth val="0"/>
          <c:extLst>
            <c:ext xmlns:c16="http://schemas.microsoft.com/office/drawing/2014/chart" uri="{C3380CC4-5D6E-409C-BE32-E72D297353CC}">
              <c16:uniqueId val="{00000000-AC4F-4ECE-807B-FF6C7818F9B1}"/>
            </c:ext>
          </c:extLst>
        </c:ser>
        <c:ser>
          <c:idx val="1"/>
          <c:order val="1"/>
          <c:tx>
            <c:strRef>
              <c:f>'C:\Users\milena\Desktop\2019-2022 15oct19\[MTDS oct 2o19.xlsm]3Y_OUTPUT'!$D$123</c:f>
              <c:strCache>
                <c:ptCount val="1"/>
                <c:pt idx="0">
                  <c:v>C2</c:v>
                </c:pt>
              </c:strCache>
            </c:strRef>
          </c:tx>
          <c:spPr>
            <a:ln w="127000" cap="flat" cmpd="dbl" algn="ctr">
              <a:solidFill>
                <a:srgbClr val="00B050">
                  <a:alpha val="50000"/>
                </a:srgbClr>
              </a:solidFill>
              <a:round/>
            </a:ln>
            <a:effectLst/>
          </c:spPr>
          <c:marker>
            <c:symbol val="circle"/>
            <c:size val="10"/>
            <c:spPr>
              <a:solidFill>
                <a:srgbClr val="00B050"/>
              </a:solidFill>
              <a:ln w="9525" cap="flat" cmpd="dbl" algn="ctr">
                <a:solidFill>
                  <a:srgbClr val="00B050">
                    <a:alpha val="70000"/>
                  </a:srgbClr>
                </a:solidFill>
                <a:round/>
              </a:ln>
              <a:effectLst/>
            </c:spPr>
          </c:marker>
          <c:dLbls>
            <c:spPr>
              <a:noFill/>
              <a:ln>
                <a:noFill/>
              </a:ln>
              <a:effectLst/>
            </c:spPr>
            <c:txPr>
              <a:bodyPr rot="0" vert="horz"/>
              <a:lstStyle/>
              <a:p>
                <a:pPr>
                  <a:defRPr/>
                </a:pPr>
                <a:endParaRPr lang="en-U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'C:\Users\milena\Desktop\2019-2022 15oct19\[MTDS oct 2o19.xlsm]3Y_OUTPUT'!$D$129</c:f>
              <c:numCache>
                <c:formatCode>General</c:formatCode>
                <c:ptCount val="1"/>
                <c:pt idx="0">
                  <c:v>4.8408843839669657</c:v>
                </c:pt>
              </c:numCache>
            </c:numRef>
          </c:xVal>
          <c:yVal>
            <c:numRef>
              <c:f>'C:\Users\milena\Desktop\2019-2022 15oct19\[MTDS oct 2o19.xlsm]3Y_OUTPUT'!$D$124</c:f>
              <c:numCache>
                <c:formatCode>General</c:formatCode>
                <c:ptCount val="1"/>
                <c:pt idx="0">
                  <c:v>44.013086395964315</c:v>
                </c:pt>
              </c:numCache>
            </c:numRef>
          </c:yVal>
          <c:smooth val="0"/>
          <c:extLst>
            <c:ext xmlns:c16="http://schemas.microsoft.com/office/drawing/2014/chart" uri="{C3380CC4-5D6E-409C-BE32-E72D297353CC}">
              <c16:uniqueId val="{00000001-AC4F-4ECE-807B-FF6C7818F9B1}"/>
            </c:ext>
          </c:extLst>
        </c:ser>
        <c:ser>
          <c:idx val="2"/>
          <c:order val="2"/>
          <c:tx>
            <c:strRef>
              <c:f>'C:\Users\milena\Desktop\2019-2022 15oct19\[MTDS oct 2o19.xlsm]3Y_OUTPUT'!$E$123</c:f>
              <c:strCache>
                <c:ptCount val="1"/>
                <c:pt idx="0">
                  <c:v>C3</c:v>
                </c:pt>
              </c:strCache>
            </c:strRef>
          </c:tx>
          <c:spPr>
            <a:ln w="127000" cap="flat" cmpd="dbl" algn="ctr">
              <a:solidFill>
                <a:srgbClr val="9BBB59">
                  <a:alpha val="50000"/>
                </a:srgbClr>
              </a:solidFill>
              <a:round/>
            </a:ln>
            <a:effectLst/>
          </c:spPr>
          <c:marker>
            <c:symbol val="circle"/>
            <c:size val="10"/>
            <c:spPr>
              <a:solidFill>
                <a:srgbClr val="7030A0"/>
              </a:solidFill>
              <a:ln w="9525" cap="flat" cmpd="dbl" algn="ctr">
                <a:solidFill>
                  <a:srgbClr val="7030A0">
                    <a:alpha val="70000"/>
                  </a:srgbClr>
                </a:solidFill>
                <a:round/>
              </a:ln>
              <a:effectLst/>
            </c:spPr>
          </c:marker>
          <c:dLbls>
            <c:spPr>
              <a:noFill/>
              <a:ln>
                <a:noFill/>
              </a:ln>
              <a:effectLst/>
            </c:spPr>
            <c:txPr>
              <a:bodyPr rot="0" vert="horz"/>
              <a:lstStyle/>
              <a:p>
                <a:pPr>
                  <a:defRPr/>
                </a:pPr>
                <a:endParaRPr lang="en-U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'C:\Users\milena\Desktop\2019-2022 15oct19\[MTDS oct 2o19.xlsm]3Y_OUTPUT'!$E$129</c:f>
              <c:numCache>
                <c:formatCode>General</c:formatCode>
                <c:ptCount val="1"/>
                <c:pt idx="0">
                  <c:v>5.1923238483242713</c:v>
                </c:pt>
              </c:numCache>
            </c:numRef>
          </c:xVal>
          <c:yVal>
            <c:numRef>
              <c:f>'C:\Users\milena\Desktop\2019-2022 15oct19\[MTDS oct 2o19.xlsm]3Y_OUTPUT'!$E$124</c:f>
              <c:numCache>
                <c:formatCode>General</c:formatCode>
                <c:ptCount val="1"/>
                <c:pt idx="0">
                  <c:v>43.853045274973859</c:v>
                </c:pt>
              </c:numCache>
            </c:numRef>
          </c:yVal>
          <c:smooth val="0"/>
          <c:extLst>
            <c:ext xmlns:c16="http://schemas.microsoft.com/office/drawing/2014/chart" uri="{C3380CC4-5D6E-409C-BE32-E72D297353CC}">
              <c16:uniqueId val="{00000002-AC4F-4ECE-807B-FF6C7818F9B1}"/>
            </c:ext>
          </c:extLst>
        </c:ser>
        <c:ser>
          <c:idx val="3"/>
          <c:order val="3"/>
          <c:tx>
            <c:strRef>
              <c:f>'C:\Users\milena\Desktop\2019-2022 15oct19\[MTDS oct 2o19.xlsm]3Y_OUTPUT'!$F$123</c:f>
              <c:strCache>
                <c:ptCount val="1"/>
                <c:pt idx="0">
                  <c:v>C4</c:v>
                </c:pt>
              </c:strCache>
            </c:strRef>
          </c:tx>
          <c:spPr>
            <a:ln w="25400" cap="flat" cmpd="dbl" algn="ctr">
              <a:noFill/>
              <a:round/>
            </a:ln>
            <a:effectLst/>
          </c:spPr>
          <c:marker>
            <c:symbol val="circle"/>
            <c:size val="10"/>
            <c:spPr>
              <a:solidFill>
                <a:srgbClr val="1F497D">
                  <a:alpha val="98000"/>
                </a:srgbClr>
              </a:solidFill>
              <a:ln w="9525" cap="flat" cmpd="dbl" algn="ctr">
                <a:solidFill>
                  <a:srgbClr val="1F497D">
                    <a:alpha val="70000"/>
                  </a:srgbClr>
                </a:solidFill>
                <a:round/>
              </a:ln>
              <a:effectLst/>
            </c:spPr>
          </c:marker>
          <c:dLbls>
            <c:dLbl>
              <c:idx val="0"/>
              <c:layout>
                <c:manualLayout>
                  <c:x val="-1.2254901960784314E-2"/>
                  <c:y val="-5.9171597633136092E-2"/>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3-AC4F-4ECE-807B-FF6C7818F9B1}"/>
                </c:ext>
              </c:extLst>
            </c:dLbl>
            <c:spPr>
              <a:noFill/>
              <a:ln>
                <a:noFill/>
              </a:ln>
              <a:effectLst/>
            </c:spPr>
            <c:txPr>
              <a:bodyPr rot="0" vert="horz"/>
              <a:lstStyle/>
              <a:p>
                <a:pPr>
                  <a:defRPr/>
                </a:pPr>
                <a:endParaRPr lang="en-U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'C:\Users\milena\Desktop\2019-2022 15oct19\[MTDS oct 2o19.xlsm]3Y_OUTPUT'!$F$129</c:f>
              <c:numCache>
                <c:formatCode>General</c:formatCode>
                <c:ptCount val="1"/>
                <c:pt idx="0">
                  <c:v>4.483494323344722</c:v>
                </c:pt>
              </c:numCache>
            </c:numRef>
          </c:xVal>
          <c:yVal>
            <c:numRef>
              <c:f>'C:\Users\milena\Desktop\2019-2022 15oct19\[MTDS oct 2o19.xlsm]3Y_OUTPUT'!$F$124</c:f>
              <c:numCache>
                <c:formatCode>General</c:formatCode>
                <c:ptCount val="1"/>
                <c:pt idx="0">
                  <c:v>44.135209188946654</c:v>
                </c:pt>
              </c:numCache>
            </c:numRef>
          </c:yVal>
          <c:smooth val="0"/>
          <c:extLst>
            <c:ext xmlns:c16="http://schemas.microsoft.com/office/drawing/2014/chart" uri="{C3380CC4-5D6E-409C-BE32-E72D297353CC}">
              <c16:uniqueId val="{00000004-AC4F-4ECE-807B-FF6C7818F9B1}"/>
            </c:ext>
          </c:extLst>
        </c:ser>
        <c:dLbls>
          <c:showLegendKey val="0"/>
          <c:showVal val="0"/>
          <c:showCatName val="0"/>
          <c:showSerName val="0"/>
          <c:showPercent val="0"/>
          <c:showBubbleSize val="0"/>
        </c:dLbls>
        <c:axId val="1055121520"/>
        <c:axId val="1055141104"/>
      </c:scatterChart>
      <c:valAx>
        <c:axId val="1055121520"/>
        <c:scaling>
          <c:orientation val="minMax"/>
          <c:max val="5.2"/>
          <c:min val="4.4000000000000004"/>
        </c:scaling>
        <c:delete val="0"/>
        <c:axPos val="b"/>
        <c:majorGridlines>
          <c:spPr>
            <a:ln w="9525" cap="flat" cmpd="sng" algn="ctr">
              <a:noFill/>
              <a:round/>
            </a:ln>
            <a:effectLst/>
          </c:spPr>
        </c:majorGridlines>
        <c:minorGridlines>
          <c:spPr>
            <a:ln w="9525" cap="flat" cmpd="sng" algn="ctr">
              <a:noFill/>
              <a:round/>
            </a:ln>
            <a:effectLst/>
          </c:spPr>
        </c:minorGridlines>
        <c:title>
          <c:tx>
            <c:rich>
              <a:bodyPr rot="0" vert="horz"/>
              <a:lstStyle/>
              <a:p>
                <a:pPr>
                  <a:defRPr/>
                </a:pPr>
                <a:r>
                  <a:rPr lang="sr-Cyrl-BA"/>
                  <a:t>Ризик</a:t>
                </a:r>
              </a:p>
            </c:rich>
          </c:tx>
          <c:layout>
            <c:manualLayout>
              <c:xMode val="edge"/>
              <c:yMode val="edge"/>
              <c:x val="0.4712499835945263"/>
              <c:y val="0.935530611677861"/>
            </c:manualLayout>
          </c:layout>
          <c:overlay val="0"/>
          <c:spPr>
            <a:noFill/>
            <a:ln>
              <a:noFill/>
            </a:ln>
            <a:effectLst/>
          </c:spPr>
        </c:title>
        <c:numFmt formatCode="0.00" sourceLinked="0"/>
        <c:majorTickMark val="none"/>
        <c:minorTickMark val="none"/>
        <c:tickLblPos val="nextTo"/>
        <c:spPr>
          <a:noFill/>
          <a:ln>
            <a:noFill/>
          </a:ln>
          <a:effectLst/>
        </c:spPr>
        <c:txPr>
          <a:bodyPr rot="0"/>
          <a:lstStyle/>
          <a:p>
            <a:pPr>
              <a:defRPr/>
            </a:pPr>
            <a:endParaRPr lang="en-US"/>
          </a:p>
        </c:txPr>
        <c:crossAx val="1055141104"/>
        <c:crosses val="autoZero"/>
        <c:crossBetween val="midCat"/>
        <c:majorUnit val="0.2"/>
        <c:minorUnit val="0.1"/>
      </c:valAx>
      <c:valAx>
        <c:axId val="1055141104"/>
        <c:scaling>
          <c:orientation val="minMax"/>
          <c:min val="43.85"/>
        </c:scaling>
        <c:delete val="0"/>
        <c:axPos val="l"/>
        <c:majorGridlines>
          <c:spPr>
            <a:ln w="9525" cap="flat" cmpd="sng" algn="ctr">
              <a:noFill/>
              <a:round/>
            </a:ln>
            <a:effectLst/>
          </c:spPr>
        </c:majorGridlines>
        <c:minorGridlines>
          <c:spPr>
            <a:ln w="9525" cap="flat" cmpd="sng" algn="ctr">
              <a:noFill/>
              <a:round/>
            </a:ln>
            <a:effectLst/>
          </c:spPr>
        </c:minorGridlines>
        <c:title>
          <c:tx>
            <c:rich>
              <a:bodyPr rot="-5400000" vert="horz"/>
              <a:lstStyle/>
              <a:p>
                <a:pPr>
                  <a:defRPr/>
                </a:pPr>
                <a:r>
                  <a:rPr lang="sr-Cyrl-BA"/>
                  <a:t>Трошкови (%)</a:t>
                </a:r>
              </a:p>
            </c:rich>
          </c:tx>
          <c:layout>
            <c:manualLayout>
              <c:xMode val="edge"/>
              <c:yMode val="edge"/>
              <c:x val="1.7915959034532408E-4"/>
              <c:y val="0.31713530261380052"/>
            </c:manualLayout>
          </c:layout>
          <c:overlay val="0"/>
          <c:spPr>
            <a:noFill/>
            <a:ln>
              <a:noFill/>
            </a:ln>
            <a:effectLst/>
          </c:spPr>
        </c:title>
        <c:numFmt formatCode="0.00" sourceLinked="0"/>
        <c:majorTickMark val="none"/>
        <c:minorTickMark val="none"/>
        <c:tickLblPos val="nextTo"/>
        <c:spPr>
          <a:noFill/>
          <a:ln>
            <a:noFill/>
          </a:ln>
          <a:effectLst/>
        </c:spPr>
        <c:txPr>
          <a:bodyPr rot="0"/>
          <a:lstStyle/>
          <a:p>
            <a:pPr>
              <a:defRPr/>
            </a:pPr>
            <a:endParaRPr lang="en-US"/>
          </a:p>
        </c:txPr>
        <c:crossAx val="1055121520"/>
        <c:crosses val="autoZero"/>
        <c:crossBetween val="midCat"/>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900">
          <a:latin typeface="+mn-lt"/>
        </a:defRPr>
      </a:pPr>
      <a:endParaRPr lang="en-US"/>
    </a:p>
  </c:txPr>
  <c:externalData r:id="rId2">
    <c:autoUpdate val="0"/>
  </c:externalData>
</c:chartSpace>
</file>

<file path=word/charts/chart5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1724515993772275"/>
          <c:y val="0.13410141771739853"/>
          <c:w val="0.634920561873074"/>
          <c:h val="0.65023834125338165"/>
        </c:manualLayout>
      </c:layout>
      <c:scatterChart>
        <c:scatterStyle val="lineMarker"/>
        <c:varyColors val="0"/>
        <c:ser>
          <c:idx val="0"/>
          <c:order val="0"/>
          <c:tx>
            <c:strRef>
              <c:f>'C:\Users\milena\Desktop\2019-2022 15oct19\[MTDS oct 2o19.xlsm]3Y_OUTPUT'!$C$133</c:f>
              <c:strCache>
                <c:ptCount val="1"/>
                <c:pt idx="0">
                  <c:v>C1</c:v>
                </c:pt>
              </c:strCache>
            </c:strRef>
          </c:tx>
          <c:spPr>
            <a:ln w="25400" cap="flat" cmpd="dbl" algn="ctr">
              <a:solidFill>
                <a:schemeClr val="accent1">
                  <a:alpha val="50000"/>
                </a:schemeClr>
              </a:solidFill>
              <a:round/>
            </a:ln>
            <a:effectLst/>
          </c:spPr>
          <c:marker>
            <c:symbol val="circle"/>
            <c:size val="10"/>
            <c:spPr>
              <a:solidFill>
                <a:srgbClr val="FF0000"/>
              </a:solidFill>
              <a:ln w="9525" cap="flat" cmpd="dbl" algn="ctr">
                <a:solidFill>
                  <a:srgbClr val="FF0000">
                    <a:alpha val="70000"/>
                  </a:srgbClr>
                </a:solidFill>
                <a:round/>
              </a:ln>
              <a:effectLst/>
            </c:spPr>
          </c:marker>
          <c:dLbls>
            <c:spPr>
              <a:noFill/>
              <a:ln>
                <a:noFill/>
              </a:ln>
              <a:effectLst/>
            </c:spPr>
            <c:txPr>
              <a:bodyPr rot="0" vert="horz"/>
              <a:lstStyle/>
              <a:p>
                <a:pPr>
                  <a:defRPr/>
                </a:pPr>
                <a:endParaRPr lang="en-U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'C:\Users\milena\Desktop\2019-2022 15oct19\[MTDS oct 2o19.xlsm]3Y_OUTPUT'!$C$139</c:f>
              <c:numCache>
                <c:formatCode>General</c:formatCode>
                <c:ptCount val="1"/>
                <c:pt idx="0">
                  <c:v>0.60416503598802107</c:v>
                </c:pt>
              </c:numCache>
            </c:numRef>
          </c:xVal>
          <c:yVal>
            <c:numRef>
              <c:f>'C:\Users\milena\Desktop\2019-2022 15oct19\[MTDS oct 2o19.xlsm]3Y_OUTPUT'!$C$134</c:f>
              <c:numCache>
                <c:formatCode>General</c:formatCode>
                <c:ptCount val="1"/>
                <c:pt idx="0">
                  <c:v>1.5426483885765401</c:v>
                </c:pt>
              </c:numCache>
            </c:numRef>
          </c:yVal>
          <c:smooth val="0"/>
          <c:extLst>
            <c:ext xmlns:c16="http://schemas.microsoft.com/office/drawing/2014/chart" uri="{C3380CC4-5D6E-409C-BE32-E72D297353CC}">
              <c16:uniqueId val="{00000000-EBC8-45FB-9DE6-38868EDBF5C1}"/>
            </c:ext>
          </c:extLst>
        </c:ser>
        <c:ser>
          <c:idx val="1"/>
          <c:order val="1"/>
          <c:tx>
            <c:strRef>
              <c:f>'C:\Users\milena\Desktop\2019-2022 15oct19\[MTDS oct 2o19.xlsm]3Y_OUTPUT'!$D$133</c:f>
              <c:strCache>
                <c:ptCount val="1"/>
                <c:pt idx="0">
                  <c:v>C2</c:v>
                </c:pt>
              </c:strCache>
            </c:strRef>
          </c:tx>
          <c:spPr>
            <a:ln w="25400" cap="flat" cmpd="dbl" algn="ctr">
              <a:noFill/>
              <a:round/>
            </a:ln>
            <a:effectLst/>
          </c:spPr>
          <c:marker>
            <c:symbol val="circle"/>
            <c:size val="10"/>
            <c:spPr>
              <a:solidFill>
                <a:srgbClr val="00B050"/>
              </a:solidFill>
              <a:ln w="34925" cap="flat" cmpd="dbl" algn="ctr">
                <a:noFill/>
                <a:round/>
              </a:ln>
              <a:effectLst/>
            </c:spPr>
          </c:marker>
          <c:dLbls>
            <c:spPr>
              <a:noFill/>
              <a:ln>
                <a:noFill/>
              </a:ln>
              <a:effectLst/>
            </c:spPr>
            <c:txPr>
              <a:bodyPr rot="0" vert="horz"/>
              <a:lstStyle/>
              <a:p>
                <a:pPr>
                  <a:defRPr/>
                </a:pPr>
                <a:endParaRPr lang="en-U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'C:\Users\milena\Desktop\2019-2022 15oct19\[MTDS oct 2o19.xlsm]3Y_OUTPUT'!$D$139</c:f>
              <c:numCache>
                <c:formatCode>General</c:formatCode>
                <c:ptCount val="1"/>
                <c:pt idx="0">
                  <c:v>0.60148479703465552</c:v>
                </c:pt>
              </c:numCache>
            </c:numRef>
          </c:xVal>
          <c:yVal>
            <c:numRef>
              <c:f>'C:\Users\milena\Desktop\2019-2022 15oct19\[MTDS oct 2o19.xlsm]3Y_OUTPUT'!$D$134</c:f>
              <c:numCache>
                <c:formatCode>General</c:formatCode>
                <c:ptCount val="1"/>
                <c:pt idx="0">
                  <c:v>1.4339456378945614</c:v>
                </c:pt>
              </c:numCache>
            </c:numRef>
          </c:yVal>
          <c:smooth val="0"/>
          <c:extLst>
            <c:ext xmlns:c16="http://schemas.microsoft.com/office/drawing/2014/chart" uri="{C3380CC4-5D6E-409C-BE32-E72D297353CC}">
              <c16:uniqueId val="{00000001-EBC8-45FB-9DE6-38868EDBF5C1}"/>
            </c:ext>
          </c:extLst>
        </c:ser>
        <c:ser>
          <c:idx val="2"/>
          <c:order val="2"/>
          <c:tx>
            <c:strRef>
              <c:f>'C:\Users\milena\Desktop\2019-2022 15oct19\[MTDS oct 2o19.xlsm]3Y_OUTPUT'!$E$133</c:f>
              <c:strCache>
                <c:ptCount val="1"/>
                <c:pt idx="0">
                  <c:v>C3</c:v>
                </c:pt>
              </c:strCache>
            </c:strRef>
          </c:tx>
          <c:spPr>
            <a:ln w="25400" cap="flat" cmpd="dbl" algn="ctr">
              <a:solidFill>
                <a:schemeClr val="accent3">
                  <a:alpha val="50000"/>
                </a:schemeClr>
              </a:solidFill>
              <a:round/>
            </a:ln>
            <a:effectLst/>
          </c:spPr>
          <c:marker>
            <c:symbol val="circle"/>
            <c:size val="10"/>
            <c:spPr>
              <a:solidFill>
                <a:srgbClr val="7030A0"/>
              </a:solidFill>
              <a:ln w="9525" cap="flat" cmpd="dbl" algn="ctr">
                <a:solidFill>
                  <a:srgbClr val="7030A0">
                    <a:alpha val="70000"/>
                  </a:srgbClr>
                </a:solidFill>
                <a:round/>
              </a:ln>
              <a:effectLst/>
            </c:spPr>
          </c:marker>
          <c:dLbls>
            <c:spPr>
              <a:noFill/>
              <a:ln>
                <a:noFill/>
              </a:ln>
              <a:effectLst/>
            </c:spPr>
            <c:txPr>
              <a:bodyPr rot="0" vert="horz"/>
              <a:lstStyle/>
              <a:p>
                <a:pPr>
                  <a:defRPr/>
                </a:pPr>
                <a:endParaRPr lang="en-U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'C:\Users\milena\Desktop\2019-2022 15oct19\[MTDS oct 2o19.xlsm]3Y_OUTPUT'!$E$139</c:f>
              <c:numCache>
                <c:formatCode>General</c:formatCode>
                <c:ptCount val="1"/>
                <c:pt idx="0">
                  <c:v>0.48282084481016363</c:v>
                </c:pt>
              </c:numCache>
            </c:numRef>
          </c:xVal>
          <c:yVal>
            <c:numRef>
              <c:f>'C:\Users\milena\Desktop\2019-2022 15oct19\[MTDS oct 2o19.xlsm]3Y_OUTPUT'!$E$134</c:f>
              <c:numCache>
                <c:formatCode>General</c:formatCode>
                <c:ptCount val="1"/>
                <c:pt idx="0">
                  <c:v>1.2636609425617851</c:v>
                </c:pt>
              </c:numCache>
            </c:numRef>
          </c:yVal>
          <c:smooth val="0"/>
          <c:extLst>
            <c:ext xmlns:c16="http://schemas.microsoft.com/office/drawing/2014/chart" uri="{C3380CC4-5D6E-409C-BE32-E72D297353CC}">
              <c16:uniqueId val="{00000002-EBC8-45FB-9DE6-38868EDBF5C1}"/>
            </c:ext>
          </c:extLst>
        </c:ser>
        <c:ser>
          <c:idx val="3"/>
          <c:order val="3"/>
          <c:tx>
            <c:strRef>
              <c:f>'C:\Users\milena\Desktop\2019-2022 15oct19\[MTDS oct 2o19.xlsm]3Y_OUTPUT'!$F$133</c:f>
              <c:strCache>
                <c:ptCount val="1"/>
                <c:pt idx="0">
                  <c:v>C4</c:v>
                </c:pt>
              </c:strCache>
            </c:strRef>
          </c:tx>
          <c:spPr>
            <a:ln w="25400" cap="flat" cmpd="dbl" algn="ctr">
              <a:solidFill>
                <a:schemeClr val="accent4">
                  <a:alpha val="50000"/>
                </a:schemeClr>
              </a:solidFill>
              <a:round/>
            </a:ln>
            <a:effectLst/>
          </c:spPr>
          <c:marker>
            <c:symbol val="circle"/>
            <c:size val="10"/>
            <c:spPr>
              <a:solidFill>
                <a:srgbClr val="0070C0"/>
              </a:solidFill>
              <a:ln w="9525" cap="flat" cmpd="dbl" algn="ctr">
                <a:solidFill>
                  <a:srgbClr val="0070C0">
                    <a:alpha val="70000"/>
                  </a:srgbClr>
                </a:solidFill>
                <a:round/>
              </a:ln>
              <a:effectLst/>
            </c:spPr>
          </c:marker>
          <c:dLbls>
            <c:spPr>
              <a:noFill/>
              <a:ln>
                <a:noFill/>
              </a:ln>
              <a:effectLst/>
            </c:spPr>
            <c:txPr>
              <a:bodyPr rot="0" vert="horz"/>
              <a:lstStyle/>
              <a:p>
                <a:pPr>
                  <a:defRPr/>
                </a:pPr>
                <a:endParaRPr lang="en-U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'C:\Users\milena\Desktop\2019-2022 15oct19\[MTDS oct 2o19.xlsm]3Y_OUTPUT'!$F$139</c:f>
              <c:numCache>
                <c:formatCode>General</c:formatCode>
                <c:ptCount val="1"/>
                <c:pt idx="0">
                  <c:v>0.6049816667849679</c:v>
                </c:pt>
              </c:numCache>
            </c:numRef>
          </c:xVal>
          <c:yVal>
            <c:numRef>
              <c:f>'C:\Users\milena\Desktop\2019-2022 15oct19\[MTDS oct 2o19.xlsm]3Y_OUTPUT'!$F$134</c:f>
              <c:numCache>
                <c:formatCode>General</c:formatCode>
                <c:ptCount val="1"/>
                <c:pt idx="0">
                  <c:v>1.5786091216320302</c:v>
                </c:pt>
              </c:numCache>
            </c:numRef>
          </c:yVal>
          <c:smooth val="0"/>
          <c:extLst>
            <c:ext xmlns:c16="http://schemas.microsoft.com/office/drawing/2014/chart" uri="{C3380CC4-5D6E-409C-BE32-E72D297353CC}">
              <c16:uniqueId val="{00000003-EBC8-45FB-9DE6-38868EDBF5C1}"/>
            </c:ext>
          </c:extLst>
        </c:ser>
        <c:dLbls>
          <c:showLegendKey val="0"/>
          <c:showVal val="0"/>
          <c:showCatName val="0"/>
          <c:showSerName val="0"/>
          <c:showPercent val="0"/>
          <c:showBubbleSize val="0"/>
        </c:dLbls>
        <c:axId val="1055146000"/>
        <c:axId val="1055143280"/>
      </c:scatterChart>
      <c:valAx>
        <c:axId val="1055146000"/>
        <c:scaling>
          <c:orientation val="minMax"/>
          <c:max val="0.65000000000000013"/>
          <c:min val="0.45"/>
        </c:scaling>
        <c:delete val="0"/>
        <c:axPos val="b"/>
        <c:majorGridlines>
          <c:spPr>
            <a:ln w="9525" cap="flat" cmpd="sng" algn="ctr">
              <a:noFill/>
              <a:prstDash val="dash"/>
              <a:round/>
            </a:ln>
            <a:effectLst/>
          </c:spPr>
        </c:majorGridlines>
        <c:minorGridlines>
          <c:spPr>
            <a:ln w="9525" cap="flat" cmpd="sng" algn="ctr">
              <a:solidFill>
                <a:sysClr val="window" lastClr="FFFFFF"/>
              </a:solidFill>
              <a:round/>
            </a:ln>
            <a:effectLst/>
          </c:spPr>
        </c:minorGridlines>
        <c:title>
          <c:tx>
            <c:rich>
              <a:bodyPr rot="0" vert="horz"/>
              <a:lstStyle/>
              <a:p>
                <a:pPr>
                  <a:defRPr/>
                </a:pPr>
                <a:r>
                  <a:rPr lang="sr-Cyrl-RS"/>
                  <a:t>Ризик</a:t>
                </a:r>
              </a:p>
            </c:rich>
          </c:tx>
          <c:layout>
            <c:manualLayout>
              <c:xMode val="edge"/>
              <c:yMode val="edge"/>
              <c:x val="0.47124973398595482"/>
              <c:y val="0.92970168612191961"/>
            </c:manualLayout>
          </c:layout>
          <c:overlay val="0"/>
          <c:spPr>
            <a:noFill/>
            <a:ln>
              <a:noFill/>
            </a:ln>
            <a:effectLst/>
          </c:spPr>
        </c:title>
        <c:numFmt formatCode="0.00" sourceLinked="0"/>
        <c:majorTickMark val="none"/>
        <c:minorTickMark val="none"/>
        <c:tickLblPos val="nextTo"/>
        <c:spPr>
          <a:noFill/>
          <a:ln>
            <a:noFill/>
          </a:ln>
          <a:effectLst/>
        </c:spPr>
        <c:txPr>
          <a:bodyPr rot="0"/>
          <a:lstStyle/>
          <a:p>
            <a:pPr>
              <a:defRPr/>
            </a:pPr>
            <a:endParaRPr lang="en-US"/>
          </a:p>
        </c:txPr>
        <c:crossAx val="1055143280"/>
        <c:crosses val="autoZero"/>
        <c:crossBetween val="midCat"/>
      </c:valAx>
      <c:valAx>
        <c:axId val="1055143280"/>
        <c:scaling>
          <c:orientation val="minMax"/>
          <c:max val="1.7000000000000002"/>
          <c:min val="1.1000000000000001"/>
        </c:scaling>
        <c:delete val="0"/>
        <c:axPos val="l"/>
        <c:majorGridlines>
          <c:spPr>
            <a:ln w="9525" cap="flat" cmpd="sng" algn="ctr">
              <a:noFill/>
              <a:prstDash val="dash"/>
              <a:round/>
            </a:ln>
            <a:effectLst/>
          </c:spPr>
        </c:majorGridlines>
        <c:minorGridlines>
          <c:spPr>
            <a:ln w="9525" cap="flat" cmpd="sng" algn="ctr">
              <a:noFill/>
              <a:round/>
            </a:ln>
            <a:effectLst/>
          </c:spPr>
        </c:minorGridlines>
        <c:title>
          <c:tx>
            <c:rich>
              <a:bodyPr rot="-5400000" vert="horz"/>
              <a:lstStyle/>
              <a:p>
                <a:pPr>
                  <a:defRPr/>
                </a:pPr>
                <a:r>
                  <a:rPr lang="sr-Cyrl-CS"/>
                  <a:t>Т</a:t>
                </a:r>
                <a:r>
                  <a:rPr lang="sr-Cyrl-RS"/>
                  <a:t>рошкови</a:t>
                </a:r>
                <a:r>
                  <a:rPr lang="sr-Cyrl-CS"/>
                  <a:t> (%)</a:t>
                </a:r>
              </a:p>
            </c:rich>
          </c:tx>
          <c:layout>
            <c:manualLayout>
              <c:xMode val="edge"/>
              <c:yMode val="edge"/>
              <c:x val="1.0238880612896361E-2"/>
              <c:y val="0.26999805958107376"/>
            </c:manualLayout>
          </c:layout>
          <c:overlay val="0"/>
          <c:spPr>
            <a:noFill/>
            <a:ln>
              <a:noFill/>
            </a:ln>
            <a:effectLst/>
          </c:spPr>
        </c:title>
        <c:numFmt formatCode="0.00" sourceLinked="0"/>
        <c:majorTickMark val="none"/>
        <c:minorTickMark val="none"/>
        <c:tickLblPos val="nextTo"/>
        <c:spPr>
          <a:noFill/>
          <a:ln>
            <a:noFill/>
          </a:ln>
          <a:effectLst/>
        </c:spPr>
        <c:txPr>
          <a:bodyPr rot="0"/>
          <a:lstStyle/>
          <a:p>
            <a:pPr>
              <a:defRPr/>
            </a:pPr>
            <a:endParaRPr lang="en-US"/>
          </a:p>
        </c:txPr>
        <c:crossAx val="1055146000"/>
        <c:crosses val="autoZero"/>
        <c:crossBetween val="midCat"/>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900">
          <a:latin typeface="+mn-lt"/>
          <a:cs typeface="Calibri" panose="020F0502020204030204" pitchFamily="34" charset="0"/>
        </a:defRPr>
      </a:pPr>
      <a:endParaRPr lang="en-US"/>
    </a:p>
  </c:txPr>
  <c:externalData r:id="rId2">
    <c:autoUpdate val="0"/>
  </c:externalData>
</c:chartSpace>
</file>

<file path=word/charts/chart5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7368051268925991E-2"/>
          <c:y val="2.4498269896193772E-2"/>
          <c:w val="0.9372012977727866"/>
          <c:h val="0.90122138542350005"/>
        </c:manualLayout>
      </c:layout>
      <c:lineChart>
        <c:grouping val="standard"/>
        <c:varyColors val="0"/>
        <c:ser>
          <c:idx val="0"/>
          <c:order val="0"/>
          <c:spPr>
            <a:ln w="28575" cap="rnd" cmpd="sng" algn="ctr">
              <a:solidFill>
                <a:schemeClr val="accent1">
                  <a:shade val="37000"/>
                  <a:shade val="95000"/>
                  <a:satMod val="105000"/>
                </a:schemeClr>
              </a:solidFill>
              <a:prstDash val="solid"/>
              <a:round/>
            </a:ln>
            <a:effectLst/>
          </c:spPr>
          <c:marker>
            <c:spPr>
              <a:solidFill>
                <a:schemeClr val="accent1">
                  <a:shade val="38000"/>
                </a:schemeClr>
              </a:solidFill>
              <a:ln w="9525" cap="flat" cmpd="sng" algn="ctr">
                <a:solidFill>
                  <a:schemeClr val="accent1">
                    <a:shade val="38000"/>
                    <a:shade val="95000"/>
                    <a:satMod val="105000"/>
                  </a:schemeClr>
                </a:solidFill>
                <a:prstDash val="solid"/>
                <a:round/>
              </a:ln>
              <a:effectLst/>
            </c:spPr>
          </c:marker>
          <c:dLbls>
            <c:numFmt formatCode="#,##0.0" sourceLinked="0"/>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solidFill>
                    <a:latin typeface="+mn-lt"/>
                    <a:ea typeface="+mn-ea"/>
                    <a:cs typeface="+mn-cs"/>
                  </a:defRPr>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'uticaj promene kursa'!$H$56:$N$56</c:f>
              <c:numCache>
                <c:formatCode>General</c:formatCode>
                <c:ptCount val="7"/>
                <c:pt idx="0">
                  <c:v>2016</c:v>
                </c:pt>
                <c:pt idx="1">
                  <c:v>2017</c:v>
                </c:pt>
                <c:pt idx="2">
                  <c:v>2018</c:v>
                </c:pt>
                <c:pt idx="3">
                  <c:v>2019</c:v>
                </c:pt>
                <c:pt idx="4">
                  <c:v>2020</c:v>
                </c:pt>
                <c:pt idx="5">
                  <c:v>2021</c:v>
                </c:pt>
                <c:pt idx="6">
                  <c:v>2022</c:v>
                </c:pt>
              </c:numCache>
            </c:numRef>
          </c:cat>
          <c:val>
            <c:numRef>
              <c:f>'uticaj promene kursa'!$H$56:$N$56</c:f>
              <c:numCache>
                <c:formatCode>General</c:formatCode>
                <c:ptCount val="7"/>
                <c:pt idx="0">
                  <c:v>2016</c:v>
                </c:pt>
                <c:pt idx="1">
                  <c:v>2017</c:v>
                </c:pt>
                <c:pt idx="2">
                  <c:v>2018</c:v>
                </c:pt>
                <c:pt idx="3">
                  <c:v>2019</c:v>
                </c:pt>
                <c:pt idx="4">
                  <c:v>2020</c:v>
                </c:pt>
                <c:pt idx="5">
                  <c:v>2021</c:v>
                </c:pt>
                <c:pt idx="6">
                  <c:v>2022</c:v>
                </c:pt>
              </c:numCache>
            </c:numRef>
          </c:val>
          <c:smooth val="0"/>
          <c:extLst>
            <c:ext xmlns:c16="http://schemas.microsoft.com/office/drawing/2014/chart" uri="{C3380CC4-5D6E-409C-BE32-E72D297353CC}">
              <c16:uniqueId val="{00000000-772F-4BDB-8D18-5845DD85570A}"/>
            </c:ext>
          </c:extLst>
        </c:ser>
        <c:ser>
          <c:idx val="1"/>
          <c:order val="1"/>
          <c:spPr>
            <a:ln w="28575" cap="rnd" cmpd="sng" algn="ctr">
              <a:solidFill>
                <a:schemeClr val="accent1">
                  <a:shade val="45000"/>
                  <a:shade val="95000"/>
                  <a:satMod val="105000"/>
                </a:schemeClr>
              </a:solidFill>
              <a:prstDash val="solid"/>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'uticaj promene kursa'!$H$56:$N$56</c:f>
              <c:numCache>
                <c:formatCode>General</c:formatCode>
                <c:ptCount val="7"/>
                <c:pt idx="0">
                  <c:v>2016</c:v>
                </c:pt>
                <c:pt idx="1">
                  <c:v>2017</c:v>
                </c:pt>
                <c:pt idx="2">
                  <c:v>2018</c:v>
                </c:pt>
                <c:pt idx="3">
                  <c:v>2019</c:v>
                </c:pt>
                <c:pt idx="4">
                  <c:v>2020</c:v>
                </c:pt>
                <c:pt idx="5">
                  <c:v>2021</c:v>
                </c:pt>
                <c:pt idx="6">
                  <c:v>2022</c:v>
                </c:pt>
              </c:numCache>
            </c:numRef>
          </c:cat>
          <c:val>
            <c:numRef>
              <c:f>'uticaj promene kursa'!$H$57:$N$57</c:f>
              <c:numCache>
                <c:formatCode>#,##0.0</c:formatCode>
                <c:ptCount val="7"/>
                <c:pt idx="0">
                  <c:v>67.782172778847638</c:v>
                </c:pt>
                <c:pt idx="1">
                  <c:v>57.865017571873537</c:v>
                </c:pt>
                <c:pt idx="2">
                  <c:v>53.7</c:v>
                </c:pt>
                <c:pt idx="3">
                  <c:v>51.921562287731135</c:v>
                </c:pt>
                <c:pt idx="4">
                  <c:v>50.326827436337837</c:v>
                </c:pt>
                <c:pt idx="5">
                  <c:v>49</c:v>
                </c:pt>
                <c:pt idx="6">
                  <c:v>47.2</c:v>
                </c:pt>
              </c:numCache>
            </c:numRef>
          </c:val>
          <c:smooth val="0"/>
          <c:extLst>
            <c:ext xmlns:c16="http://schemas.microsoft.com/office/drawing/2014/chart" uri="{C3380CC4-5D6E-409C-BE32-E72D297353CC}">
              <c16:uniqueId val="{00000001-772F-4BDB-8D18-5845DD85570A}"/>
            </c:ext>
          </c:extLst>
        </c:ser>
        <c:ser>
          <c:idx val="2"/>
          <c:order val="2"/>
          <c:spPr>
            <a:ln w="28575" cap="rnd" cmpd="sng" algn="ctr">
              <a:solidFill>
                <a:schemeClr val="accent1">
                  <a:shade val="53000"/>
                  <a:shade val="95000"/>
                  <a:satMod val="105000"/>
                </a:schemeClr>
              </a:solidFill>
              <a:prstDash val="solid"/>
              <a:round/>
            </a:ln>
            <a:effectLst/>
          </c:spPr>
          <c:marker>
            <c:symbol val="none"/>
          </c:marker>
          <c:cat>
            <c:numRef>
              <c:f>'uticaj promene kursa'!$H$56:$N$56</c:f>
              <c:numCache>
                <c:formatCode>General</c:formatCode>
                <c:ptCount val="7"/>
                <c:pt idx="0">
                  <c:v>2016</c:v>
                </c:pt>
                <c:pt idx="1">
                  <c:v>2017</c:v>
                </c:pt>
                <c:pt idx="2">
                  <c:v>2018</c:v>
                </c:pt>
                <c:pt idx="3">
                  <c:v>2019</c:v>
                </c:pt>
                <c:pt idx="4">
                  <c:v>2020</c:v>
                </c:pt>
                <c:pt idx="5">
                  <c:v>2021</c:v>
                </c:pt>
                <c:pt idx="6">
                  <c:v>2022</c:v>
                </c:pt>
              </c:numCache>
            </c:numRef>
          </c:cat>
          <c:val>
            <c:numRef>
              <c:f>'uticaj promene kursa'!$H$58:$N$58</c:f>
              <c:numCache>
                <c:formatCode>#,##0.0</c:formatCode>
                <c:ptCount val="7"/>
                <c:pt idx="0">
                  <c:v>67.782172778847638</c:v>
                </c:pt>
                <c:pt idx="1">
                  <c:v>57.865017571873537</c:v>
                </c:pt>
                <c:pt idx="2">
                  <c:v>53.7</c:v>
                </c:pt>
                <c:pt idx="3">
                  <c:v>52.690001409589563</c:v>
                </c:pt>
                <c:pt idx="4">
                  <c:v>51.051533751421104</c:v>
                </c:pt>
                <c:pt idx="5">
                  <c:v>49.885285340123524</c:v>
                </c:pt>
                <c:pt idx="6">
                  <c:v>47.971544085273791</c:v>
                </c:pt>
              </c:numCache>
            </c:numRef>
          </c:val>
          <c:smooth val="0"/>
          <c:extLst>
            <c:ext xmlns:c16="http://schemas.microsoft.com/office/drawing/2014/chart" uri="{C3380CC4-5D6E-409C-BE32-E72D297353CC}">
              <c16:uniqueId val="{00000002-772F-4BDB-8D18-5845DD85570A}"/>
            </c:ext>
          </c:extLst>
        </c:ser>
        <c:ser>
          <c:idx val="3"/>
          <c:order val="3"/>
          <c:spPr>
            <a:ln w="28575" cap="rnd" cmpd="sng" algn="ctr">
              <a:solidFill>
                <a:schemeClr val="accent1">
                  <a:shade val="61000"/>
                  <a:shade val="95000"/>
                  <a:satMod val="105000"/>
                </a:schemeClr>
              </a:solidFill>
              <a:prstDash val="solid"/>
              <a:round/>
            </a:ln>
            <a:effectLst/>
          </c:spPr>
          <c:marker>
            <c:symbol val="none"/>
          </c:marker>
          <c:cat>
            <c:numRef>
              <c:f>'uticaj promene kursa'!$H$56:$N$56</c:f>
              <c:numCache>
                <c:formatCode>General</c:formatCode>
                <c:ptCount val="7"/>
                <c:pt idx="0">
                  <c:v>2016</c:v>
                </c:pt>
                <c:pt idx="1">
                  <c:v>2017</c:v>
                </c:pt>
                <c:pt idx="2">
                  <c:v>2018</c:v>
                </c:pt>
                <c:pt idx="3">
                  <c:v>2019</c:v>
                </c:pt>
                <c:pt idx="4">
                  <c:v>2020</c:v>
                </c:pt>
                <c:pt idx="5">
                  <c:v>2021</c:v>
                </c:pt>
                <c:pt idx="6">
                  <c:v>2022</c:v>
                </c:pt>
              </c:numCache>
            </c:numRef>
          </c:cat>
          <c:val>
            <c:numRef>
              <c:f>'uticaj promene kursa'!$H$59:$N$59</c:f>
              <c:numCache>
                <c:formatCode>#,##0.0</c:formatCode>
                <c:ptCount val="7"/>
                <c:pt idx="0">
                  <c:v>67.782172778847638</c:v>
                </c:pt>
                <c:pt idx="1">
                  <c:v>57.865017571873537</c:v>
                </c:pt>
                <c:pt idx="2">
                  <c:v>53.7</c:v>
                </c:pt>
                <c:pt idx="3">
                  <c:v>53.458440531447984</c:v>
                </c:pt>
                <c:pt idx="4">
                  <c:v>51.776240066504378</c:v>
                </c:pt>
                <c:pt idx="5">
                  <c:v>50.574036814247513</c:v>
                </c:pt>
                <c:pt idx="6">
                  <c:v>48.615203319251435</c:v>
                </c:pt>
              </c:numCache>
            </c:numRef>
          </c:val>
          <c:smooth val="0"/>
          <c:extLst>
            <c:ext xmlns:c16="http://schemas.microsoft.com/office/drawing/2014/chart" uri="{C3380CC4-5D6E-409C-BE32-E72D297353CC}">
              <c16:uniqueId val="{00000003-772F-4BDB-8D18-5845DD85570A}"/>
            </c:ext>
          </c:extLst>
        </c:ser>
        <c:ser>
          <c:idx val="4"/>
          <c:order val="4"/>
          <c:spPr>
            <a:ln w="28575" cap="rnd" cmpd="sng" algn="ctr">
              <a:solidFill>
                <a:schemeClr val="accent1">
                  <a:shade val="68000"/>
                  <a:shade val="95000"/>
                  <a:satMod val="105000"/>
                </a:schemeClr>
              </a:solidFill>
              <a:prstDash val="solid"/>
              <a:round/>
            </a:ln>
            <a:effectLst/>
          </c:spPr>
          <c:marker>
            <c:symbol val="none"/>
          </c:marker>
          <c:cat>
            <c:numRef>
              <c:f>'uticaj promene kursa'!$H$56:$N$56</c:f>
              <c:numCache>
                <c:formatCode>General</c:formatCode>
                <c:ptCount val="7"/>
                <c:pt idx="0">
                  <c:v>2016</c:v>
                </c:pt>
                <c:pt idx="1">
                  <c:v>2017</c:v>
                </c:pt>
                <c:pt idx="2">
                  <c:v>2018</c:v>
                </c:pt>
                <c:pt idx="3">
                  <c:v>2019</c:v>
                </c:pt>
                <c:pt idx="4">
                  <c:v>2020</c:v>
                </c:pt>
                <c:pt idx="5">
                  <c:v>2021</c:v>
                </c:pt>
                <c:pt idx="6">
                  <c:v>2022</c:v>
                </c:pt>
              </c:numCache>
            </c:numRef>
          </c:cat>
          <c:val>
            <c:numRef>
              <c:f>'uticaj promene kursa'!$H$60:$N$60</c:f>
              <c:numCache>
                <c:formatCode>#,##0.0</c:formatCode>
                <c:ptCount val="7"/>
                <c:pt idx="0">
                  <c:v>67.782172778847638</c:v>
                </c:pt>
                <c:pt idx="1">
                  <c:v>57.865017571873537</c:v>
                </c:pt>
                <c:pt idx="2">
                  <c:v>53.7</c:v>
                </c:pt>
                <c:pt idx="3">
                  <c:v>54.226879653306405</c:v>
                </c:pt>
                <c:pt idx="4">
                  <c:v>52.500946381587632</c:v>
                </c:pt>
                <c:pt idx="5">
                  <c:v>51.262788288371517</c:v>
                </c:pt>
                <c:pt idx="6">
                  <c:v>49.258862553229058</c:v>
                </c:pt>
              </c:numCache>
            </c:numRef>
          </c:val>
          <c:smooth val="0"/>
          <c:extLst>
            <c:ext xmlns:c16="http://schemas.microsoft.com/office/drawing/2014/chart" uri="{C3380CC4-5D6E-409C-BE32-E72D297353CC}">
              <c16:uniqueId val="{00000004-772F-4BDB-8D18-5845DD85570A}"/>
            </c:ext>
          </c:extLst>
        </c:ser>
        <c:ser>
          <c:idx val="5"/>
          <c:order val="5"/>
          <c:spPr>
            <a:ln w="28575" cap="rnd" cmpd="sng" algn="ctr">
              <a:solidFill>
                <a:schemeClr val="accent1">
                  <a:shade val="76000"/>
                  <a:shade val="95000"/>
                  <a:satMod val="105000"/>
                </a:schemeClr>
              </a:solidFill>
              <a:prstDash val="solid"/>
              <a:round/>
            </a:ln>
            <a:effectLst/>
          </c:spPr>
          <c:marker>
            <c:symbol val="none"/>
          </c:marker>
          <c:cat>
            <c:numRef>
              <c:f>'uticaj promene kursa'!$H$56:$N$56</c:f>
              <c:numCache>
                <c:formatCode>General</c:formatCode>
                <c:ptCount val="7"/>
                <c:pt idx="0">
                  <c:v>2016</c:v>
                </c:pt>
                <c:pt idx="1">
                  <c:v>2017</c:v>
                </c:pt>
                <c:pt idx="2">
                  <c:v>2018</c:v>
                </c:pt>
                <c:pt idx="3">
                  <c:v>2019</c:v>
                </c:pt>
                <c:pt idx="4">
                  <c:v>2020</c:v>
                </c:pt>
                <c:pt idx="5">
                  <c:v>2021</c:v>
                </c:pt>
                <c:pt idx="6">
                  <c:v>2022</c:v>
                </c:pt>
              </c:numCache>
            </c:numRef>
          </c:cat>
          <c:val>
            <c:numRef>
              <c:f>'uticaj promene kursa'!$H$61:$N$61</c:f>
              <c:numCache>
                <c:formatCode>#,##0.0</c:formatCode>
                <c:ptCount val="7"/>
                <c:pt idx="0">
                  <c:v>67.782172778847638</c:v>
                </c:pt>
                <c:pt idx="1">
                  <c:v>57.865017571873537</c:v>
                </c:pt>
                <c:pt idx="2">
                  <c:v>53.7</c:v>
                </c:pt>
                <c:pt idx="3">
                  <c:v>54.995318775164826</c:v>
                </c:pt>
                <c:pt idx="4">
                  <c:v>53.225652696670899</c:v>
                </c:pt>
                <c:pt idx="5">
                  <c:v>51.9515397624955</c:v>
                </c:pt>
                <c:pt idx="6">
                  <c:v>49.90252178720668</c:v>
                </c:pt>
              </c:numCache>
            </c:numRef>
          </c:val>
          <c:smooth val="0"/>
          <c:extLst>
            <c:ext xmlns:c16="http://schemas.microsoft.com/office/drawing/2014/chart" uri="{C3380CC4-5D6E-409C-BE32-E72D297353CC}">
              <c16:uniqueId val="{00000005-772F-4BDB-8D18-5845DD85570A}"/>
            </c:ext>
          </c:extLst>
        </c:ser>
        <c:ser>
          <c:idx val="6"/>
          <c:order val="6"/>
          <c:spPr>
            <a:ln w="28575" cap="rnd" cmpd="sng" algn="ctr">
              <a:solidFill>
                <a:schemeClr val="accent1">
                  <a:shade val="84000"/>
                  <a:shade val="95000"/>
                  <a:satMod val="105000"/>
                </a:schemeClr>
              </a:solidFill>
              <a:prstDash val="solid"/>
              <a:round/>
            </a:ln>
            <a:effectLst/>
          </c:spPr>
          <c:marker>
            <c:symbol val="none"/>
          </c:marker>
          <c:cat>
            <c:numRef>
              <c:f>'uticaj promene kursa'!$H$56:$N$56</c:f>
              <c:numCache>
                <c:formatCode>General</c:formatCode>
                <c:ptCount val="7"/>
                <c:pt idx="0">
                  <c:v>2016</c:v>
                </c:pt>
                <c:pt idx="1">
                  <c:v>2017</c:v>
                </c:pt>
                <c:pt idx="2">
                  <c:v>2018</c:v>
                </c:pt>
                <c:pt idx="3">
                  <c:v>2019</c:v>
                </c:pt>
                <c:pt idx="4">
                  <c:v>2020</c:v>
                </c:pt>
                <c:pt idx="5">
                  <c:v>2021</c:v>
                </c:pt>
                <c:pt idx="6">
                  <c:v>2022</c:v>
                </c:pt>
              </c:numCache>
            </c:numRef>
          </c:cat>
          <c:val>
            <c:numRef>
              <c:f>'uticaj promene kursa'!$H$62:$N$62</c:f>
              <c:numCache>
                <c:formatCode>#,##0.0</c:formatCode>
                <c:ptCount val="7"/>
                <c:pt idx="0">
                  <c:v>67.782172778847638</c:v>
                </c:pt>
                <c:pt idx="1">
                  <c:v>57.865017571873537</c:v>
                </c:pt>
                <c:pt idx="2">
                  <c:v>53.7</c:v>
                </c:pt>
                <c:pt idx="3">
                  <c:v>55.763757897023247</c:v>
                </c:pt>
                <c:pt idx="4">
                  <c:v>53.950359011754166</c:v>
                </c:pt>
                <c:pt idx="5">
                  <c:v>52.640291236619497</c:v>
                </c:pt>
                <c:pt idx="6">
                  <c:v>50.54618102118431</c:v>
                </c:pt>
              </c:numCache>
            </c:numRef>
          </c:val>
          <c:smooth val="0"/>
          <c:extLst>
            <c:ext xmlns:c16="http://schemas.microsoft.com/office/drawing/2014/chart" uri="{C3380CC4-5D6E-409C-BE32-E72D297353CC}">
              <c16:uniqueId val="{00000006-772F-4BDB-8D18-5845DD85570A}"/>
            </c:ext>
          </c:extLst>
        </c:ser>
        <c:ser>
          <c:idx val="7"/>
          <c:order val="7"/>
          <c:spPr>
            <a:ln w="28575" cap="rnd" cmpd="sng" algn="ctr">
              <a:solidFill>
                <a:schemeClr val="accent1">
                  <a:shade val="92000"/>
                  <a:shade val="95000"/>
                  <a:satMod val="105000"/>
                </a:schemeClr>
              </a:solidFill>
              <a:prstDash val="solid"/>
              <a:round/>
            </a:ln>
            <a:effectLst/>
          </c:spPr>
          <c:marker>
            <c:symbol val="none"/>
          </c:marker>
          <c:cat>
            <c:numRef>
              <c:f>'uticaj promene kursa'!$H$56:$N$56</c:f>
              <c:numCache>
                <c:formatCode>General</c:formatCode>
                <c:ptCount val="7"/>
                <c:pt idx="0">
                  <c:v>2016</c:v>
                </c:pt>
                <c:pt idx="1">
                  <c:v>2017</c:v>
                </c:pt>
                <c:pt idx="2">
                  <c:v>2018</c:v>
                </c:pt>
                <c:pt idx="3">
                  <c:v>2019</c:v>
                </c:pt>
                <c:pt idx="4">
                  <c:v>2020</c:v>
                </c:pt>
                <c:pt idx="5">
                  <c:v>2021</c:v>
                </c:pt>
                <c:pt idx="6">
                  <c:v>2022</c:v>
                </c:pt>
              </c:numCache>
            </c:numRef>
          </c:cat>
          <c:val>
            <c:numRef>
              <c:f>'uticaj promene kursa'!$H$63:$N$63</c:f>
              <c:numCache>
                <c:formatCode>#,##0.0</c:formatCode>
                <c:ptCount val="7"/>
                <c:pt idx="0">
                  <c:v>67.782172778847638</c:v>
                </c:pt>
                <c:pt idx="1">
                  <c:v>57.865017571873537</c:v>
                </c:pt>
                <c:pt idx="2">
                  <c:v>53.7</c:v>
                </c:pt>
                <c:pt idx="3">
                  <c:v>56.532197018881668</c:v>
                </c:pt>
                <c:pt idx="4">
                  <c:v>54.675065326837434</c:v>
                </c:pt>
                <c:pt idx="5">
                  <c:v>53.329042710743501</c:v>
                </c:pt>
                <c:pt idx="6">
                  <c:v>51.189840255161947</c:v>
                </c:pt>
              </c:numCache>
            </c:numRef>
          </c:val>
          <c:smooth val="0"/>
          <c:extLst>
            <c:ext xmlns:c16="http://schemas.microsoft.com/office/drawing/2014/chart" uri="{C3380CC4-5D6E-409C-BE32-E72D297353CC}">
              <c16:uniqueId val="{00000007-772F-4BDB-8D18-5845DD85570A}"/>
            </c:ext>
          </c:extLst>
        </c:ser>
        <c:ser>
          <c:idx val="8"/>
          <c:order val="8"/>
          <c:spPr>
            <a:ln w="28575" cap="rnd" cmpd="sng" algn="ctr">
              <a:solidFill>
                <a:schemeClr val="accent1">
                  <a:shade val="95000"/>
                  <a:satMod val="105000"/>
                </a:schemeClr>
              </a:solidFill>
              <a:prstDash val="solid"/>
              <a:round/>
            </a:ln>
            <a:effectLst/>
          </c:spPr>
          <c:marker>
            <c:symbol val="none"/>
          </c:marker>
          <c:cat>
            <c:numRef>
              <c:f>'uticaj promene kursa'!$H$56:$N$56</c:f>
              <c:numCache>
                <c:formatCode>General</c:formatCode>
                <c:ptCount val="7"/>
                <c:pt idx="0">
                  <c:v>2016</c:v>
                </c:pt>
                <c:pt idx="1">
                  <c:v>2017</c:v>
                </c:pt>
                <c:pt idx="2">
                  <c:v>2018</c:v>
                </c:pt>
                <c:pt idx="3">
                  <c:v>2019</c:v>
                </c:pt>
                <c:pt idx="4">
                  <c:v>2020</c:v>
                </c:pt>
                <c:pt idx="5">
                  <c:v>2021</c:v>
                </c:pt>
                <c:pt idx="6">
                  <c:v>2022</c:v>
                </c:pt>
              </c:numCache>
            </c:numRef>
          </c:cat>
          <c:val>
            <c:numRef>
              <c:f>'uticaj promene kursa'!$H$64:$N$64</c:f>
              <c:numCache>
                <c:formatCode>#,##0.0</c:formatCode>
                <c:ptCount val="7"/>
                <c:pt idx="0">
                  <c:v>67.782172778847638</c:v>
                </c:pt>
                <c:pt idx="1">
                  <c:v>57.865017571873537</c:v>
                </c:pt>
                <c:pt idx="2">
                  <c:v>53.7</c:v>
                </c:pt>
                <c:pt idx="3">
                  <c:v>57.300636140740082</c:v>
                </c:pt>
                <c:pt idx="4">
                  <c:v>55.399771641920694</c:v>
                </c:pt>
                <c:pt idx="5">
                  <c:v>54.017794184867483</c:v>
                </c:pt>
                <c:pt idx="6">
                  <c:v>51.833499489139555</c:v>
                </c:pt>
              </c:numCache>
            </c:numRef>
          </c:val>
          <c:smooth val="0"/>
          <c:extLst>
            <c:ext xmlns:c16="http://schemas.microsoft.com/office/drawing/2014/chart" uri="{C3380CC4-5D6E-409C-BE32-E72D297353CC}">
              <c16:uniqueId val="{00000008-772F-4BDB-8D18-5845DD85570A}"/>
            </c:ext>
          </c:extLst>
        </c:ser>
        <c:ser>
          <c:idx val="9"/>
          <c:order val="9"/>
          <c:spPr>
            <a:ln w="28575" cap="rnd" cmpd="sng" algn="ctr">
              <a:solidFill>
                <a:schemeClr val="accent1">
                  <a:tint val="93000"/>
                  <a:shade val="95000"/>
                  <a:satMod val="105000"/>
                </a:schemeClr>
              </a:solidFill>
              <a:prstDash val="solid"/>
              <a:round/>
            </a:ln>
            <a:effectLst/>
          </c:spPr>
          <c:marker>
            <c:symbol val="none"/>
          </c:marker>
          <c:cat>
            <c:numRef>
              <c:f>'uticaj promene kursa'!$H$56:$N$56</c:f>
              <c:numCache>
                <c:formatCode>General</c:formatCode>
                <c:ptCount val="7"/>
                <c:pt idx="0">
                  <c:v>2016</c:v>
                </c:pt>
                <c:pt idx="1">
                  <c:v>2017</c:v>
                </c:pt>
                <c:pt idx="2">
                  <c:v>2018</c:v>
                </c:pt>
                <c:pt idx="3">
                  <c:v>2019</c:v>
                </c:pt>
                <c:pt idx="4">
                  <c:v>2020</c:v>
                </c:pt>
                <c:pt idx="5">
                  <c:v>2021</c:v>
                </c:pt>
                <c:pt idx="6">
                  <c:v>2022</c:v>
                </c:pt>
              </c:numCache>
            </c:numRef>
          </c:cat>
          <c:val>
            <c:numRef>
              <c:f>'uticaj promene kursa'!$H$65:$N$65</c:f>
              <c:numCache>
                <c:formatCode>#,##0.0</c:formatCode>
                <c:ptCount val="7"/>
                <c:pt idx="0">
                  <c:v>67.782172778847638</c:v>
                </c:pt>
                <c:pt idx="1">
                  <c:v>57.865017571873537</c:v>
                </c:pt>
                <c:pt idx="2">
                  <c:v>53.7</c:v>
                </c:pt>
                <c:pt idx="3">
                  <c:v>58.069075262598503</c:v>
                </c:pt>
                <c:pt idx="4">
                  <c:v>56.124477957003961</c:v>
                </c:pt>
                <c:pt idx="5">
                  <c:v>54.70654565899148</c:v>
                </c:pt>
                <c:pt idx="6">
                  <c:v>52.477158723117199</c:v>
                </c:pt>
              </c:numCache>
            </c:numRef>
          </c:val>
          <c:smooth val="0"/>
          <c:extLst>
            <c:ext xmlns:c16="http://schemas.microsoft.com/office/drawing/2014/chart" uri="{C3380CC4-5D6E-409C-BE32-E72D297353CC}">
              <c16:uniqueId val="{00000009-772F-4BDB-8D18-5845DD85570A}"/>
            </c:ext>
          </c:extLst>
        </c:ser>
        <c:ser>
          <c:idx val="10"/>
          <c:order val="10"/>
          <c:spPr>
            <a:ln w="28575" cap="rnd" cmpd="sng" algn="ctr">
              <a:solidFill>
                <a:schemeClr val="accent1">
                  <a:tint val="85000"/>
                  <a:shade val="95000"/>
                  <a:satMod val="105000"/>
                </a:schemeClr>
              </a:solidFill>
              <a:prstDash val="solid"/>
              <a:round/>
            </a:ln>
            <a:effectLst/>
          </c:spPr>
          <c:marker>
            <c:spPr>
              <a:solidFill>
                <a:schemeClr val="accent1">
                  <a:tint val="80000"/>
                </a:schemeClr>
              </a:solidFill>
              <a:ln w="9525" cap="flat" cmpd="sng" algn="ctr">
                <a:solidFill>
                  <a:schemeClr val="accent1">
                    <a:tint val="80000"/>
                    <a:shade val="95000"/>
                    <a:satMod val="105000"/>
                  </a:schemeClr>
                </a:solidFill>
                <a:prstDash val="solid"/>
                <a:round/>
              </a:ln>
              <a:effectLst/>
            </c:spPr>
          </c:marker>
          <c:dLbls>
            <c:dLbl>
              <c:idx val="0"/>
              <c:delete val="1"/>
              <c:extLst>
                <c:ext xmlns:c15="http://schemas.microsoft.com/office/drawing/2012/chart" uri="{CE6537A1-D6FC-4f65-9D91-7224C49458BB}"/>
                <c:ext xmlns:c16="http://schemas.microsoft.com/office/drawing/2014/chart" uri="{C3380CC4-5D6E-409C-BE32-E72D297353CC}">
                  <c16:uniqueId val="{0000000A-772F-4BDB-8D18-5845DD85570A}"/>
                </c:ext>
              </c:extLst>
            </c:dLbl>
            <c:dLbl>
              <c:idx val="1"/>
              <c:delete val="1"/>
              <c:extLst>
                <c:ext xmlns:c15="http://schemas.microsoft.com/office/drawing/2012/chart" uri="{CE6537A1-D6FC-4f65-9D91-7224C49458BB}"/>
                <c:ext xmlns:c16="http://schemas.microsoft.com/office/drawing/2014/chart" uri="{C3380CC4-5D6E-409C-BE32-E72D297353CC}">
                  <c16:uniqueId val="{0000000B-772F-4BDB-8D18-5845DD85570A}"/>
                </c:ext>
              </c:extLst>
            </c:dLbl>
            <c:dLbl>
              <c:idx val="2"/>
              <c:delete val="1"/>
              <c:extLst>
                <c:ext xmlns:c15="http://schemas.microsoft.com/office/drawing/2012/chart" uri="{CE6537A1-D6FC-4f65-9D91-7224C49458BB}"/>
                <c:ext xmlns:c16="http://schemas.microsoft.com/office/drawing/2014/chart" uri="{C3380CC4-5D6E-409C-BE32-E72D297353CC}">
                  <c16:uniqueId val="{0000000C-772F-4BDB-8D18-5845DD85570A}"/>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solidFill>
                    <a:latin typeface="+mn-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'uticaj promene kursa'!$H$56:$N$56</c:f>
              <c:numCache>
                <c:formatCode>General</c:formatCode>
                <c:ptCount val="7"/>
                <c:pt idx="0">
                  <c:v>2016</c:v>
                </c:pt>
                <c:pt idx="1">
                  <c:v>2017</c:v>
                </c:pt>
                <c:pt idx="2">
                  <c:v>2018</c:v>
                </c:pt>
                <c:pt idx="3">
                  <c:v>2019</c:v>
                </c:pt>
                <c:pt idx="4">
                  <c:v>2020</c:v>
                </c:pt>
                <c:pt idx="5">
                  <c:v>2021</c:v>
                </c:pt>
                <c:pt idx="6">
                  <c:v>2022</c:v>
                </c:pt>
              </c:numCache>
            </c:numRef>
          </c:cat>
          <c:val>
            <c:numRef>
              <c:f>'uticaj promene kursa'!$H$66:$N$66</c:f>
              <c:numCache>
                <c:formatCode>#,##0.0</c:formatCode>
                <c:ptCount val="7"/>
                <c:pt idx="0">
                  <c:v>67.782172778847638</c:v>
                </c:pt>
                <c:pt idx="1">
                  <c:v>57.865017571873537</c:v>
                </c:pt>
                <c:pt idx="2">
                  <c:v>53.7</c:v>
                </c:pt>
                <c:pt idx="3">
                  <c:v>58.837514384456924</c:v>
                </c:pt>
                <c:pt idx="4">
                  <c:v>56.849184272087214</c:v>
                </c:pt>
                <c:pt idx="5">
                  <c:v>55.395297133115463</c:v>
                </c:pt>
                <c:pt idx="6">
                  <c:v>53.120817957094822</c:v>
                </c:pt>
              </c:numCache>
            </c:numRef>
          </c:val>
          <c:smooth val="0"/>
          <c:extLst>
            <c:ext xmlns:c16="http://schemas.microsoft.com/office/drawing/2014/chart" uri="{C3380CC4-5D6E-409C-BE32-E72D297353CC}">
              <c16:uniqueId val="{0000000D-772F-4BDB-8D18-5845DD85570A}"/>
            </c:ext>
          </c:extLst>
        </c:ser>
        <c:ser>
          <c:idx val="11"/>
          <c:order val="11"/>
          <c:spPr>
            <a:ln w="28575" cap="rnd" cmpd="sng" algn="ctr">
              <a:solidFill>
                <a:schemeClr val="accent1">
                  <a:tint val="77000"/>
                  <a:shade val="95000"/>
                  <a:satMod val="105000"/>
                </a:schemeClr>
              </a:solidFill>
              <a:prstDash val="solid"/>
              <a:round/>
            </a:ln>
            <a:effectLst/>
          </c:spPr>
          <c:marker>
            <c:symbol val="none"/>
          </c:marker>
          <c:cat>
            <c:numRef>
              <c:f>'uticaj promene kursa'!$H$56:$N$56</c:f>
              <c:numCache>
                <c:formatCode>General</c:formatCode>
                <c:ptCount val="7"/>
                <c:pt idx="0">
                  <c:v>2016</c:v>
                </c:pt>
                <c:pt idx="1">
                  <c:v>2017</c:v>
                </c:pt>
                <c:pt idx="2">
                  <c:v>2018</c:v>
                </c:pt>
                <c:pt idx="3">
                  <c:v>2019</c:v>
                </c:pt>
                <c:pt idx="4">
                  <c:v>2020</c:v>
                </c:pt>
                <c:pt idx="5">
                  <c:v>2021</c:v>
                </c:pt>
                <c:pt idx="6">
                  <c:v>2022</c:v>
                </c:pt>
              </c:numCache>
            </c:numRef>
          </c:cat>
          <c:val>
            <c:numRef>
              <c:f>'uticaj promene kursa'!$H$67:$N$67</c:f>
              <c:numCache>
                <c:formatCode>#,##0.0</c:formatCode>
                <c:ptCount val="7"/>
                <c:pt idx="0">
                  <c:v>67.782172778847638</c:v>
                </c:pt>
                <c:pt idx="1">
                  <c:v>57.865017571873537</c:v>
                </c:pt>
                <c:pt idx="2">
                  <c:v>53.7</c:v>
                </c:pt>
                <c:pt idx="3">
                  <c:v>59.605953506315345</c:v>
                </c:pt>
                <c:pt idx="4">
                  <c:v>57.573890587170482</c:v>
                </c:pt>
                <c:pt idx="5">
                  <c:v>56.084048607239467</c:v>
                </c:pt>
                <c:pt idx="6">
                  <c:v>53.764477191072444</c:v>
                </c:pt>
              </c:numCache>
            </c:numRef>
          </c:val>
          <c:smooth val="0"/>
          <c:extLst>
            <c:ext xmlns:c16="http://schemas.microsoft.com/office/drawing/2014/chart" uri="{C3380CC4-5D6E-409C-BE32-E72D297353CC}">
              <c16:uniqueId val="{0000000E-772F-4BDB-8D18-5845DD85570A}"/>
            </c:ext>
          </c:extLst>
        </c:ser>
        <c:ser>
          <c:idx val="12"/>
          <c:order val="12"/>
          <c:spPr>
            <a:ln w="28575" cap="rnd" cmpd="sng" algn="ctr">
              <a:solidFill>
                <a:schemeClr val="accent1">
                  <a:tint val="69000"/>
                  <a:shade val="95000"/>
                  <a:satMod val="105000"/>
                </a:schemeClr>
              </a:solidFill>
              <a:prstDash val="solid"/>
              <a:round/>
            </a:ln>
            <a:effectLst/>
          </c:spPr>
          <c:marker>
            <c:symbol val="none"/>
          </c:marker>
          <c:cat>
            <c:numRef>
              <c:f>'uticaj promene kursa'!$H$56:$N$56</c:f>
              <c:numCache>
                <c:formatCode>General</c:formatCode>
                <c:ptCount val="7"/>
                <c:pt idx="0">
                  <c:v>2016</c:v>
                </c:pt>
                <c:pt idx="1">
                  <c:v>2017</c:v>
                </c:pt>
                <c:pt idx="2">
                  <c:v>2018</c:v>
                </c:pt>
                <c:pt idx="3">
                  <c:v>2019</c:v>
                </c:pt>
                <c:pt idx="4">
                  <c:v>2020</c:v>
                </c:pt>
                <c:pt idx="5">
                  <c:v>2021</c:v>
                </c:pt>
                <c:pt idx="6">
                  <c:v>2022</c:v>
                </c:pt>
              </c:numCache>
            </c:numRef>
          </c:cat>
          <c:val>
            <c:numRef>
              <c:f>'uticaj promene kursa'!$H$68:$N$68</c:f>
              <c:numCache>
                <c:formatCode>#,##0.0</c:formatCode>
                <c:ptCount val="7"/>
                <c:pt idx="0">
                  <c:v>67.782172778847638</c:v>
                </c:pt>
                <c:pt idx="1">
                  <c:v>57.865017571873537</c:v>
                </c:pt>
                <c:pt idx="2">
                  <c:v>53.7</c:v>
                </c:pt>
                <c:pt idx="3">
                  <c:v>51.153123165872714</c:v>
                </c:pt>
                <c:pt idx="4">
                  <c:v>49.602121121254577</c:v>
                </c:pt>
                <c:pt idx="5">
                  <c:v>48.507782391875537</c:v>
                </c:pt>
                <c:pt idx="6">
                  <c:v>46.684225617318539</c:v>
                </c:pt>
              </c:numCache>
            </c:numRef>
          </c:val>
          <c:smooth val="0"/>
          <c:extLst>
            <c:ext xmlns:c16="http://schemas.microsoft.com/office/drawing/2014/chart" uri="{C3380CC4-5D6E-409C-BE32-E72D297353CC}">
              <c16:uniqueId val="{0000000F-772F-4BDB-8D18-5845DD85570A}"/>
            </c:ext>
          </c:extLst>
        </c:ser>
        <c:ser>
          <c:idx val="13"/>
          <c:order val="13"/>
          <c:spPr>
            <a:ln w="28575" cap="rnd" cmpd="sng" algn="ctr">
              <a:solidFill>
                <a:schemeClr val="accent1">
                  <a:tint val="62000"/>
                  <a:shade val="95000"/>
                  <a:satMod val="105000"/>
                </a:schemeClr>
              </a:solidFill>
              <a:prstDash val="solid"/>
              <a:round/>
            </a:ln>
            <a:effectLst/>
          </c:spPr>
          <c:marker>
            <c:symbol val="none"/>
          </c:marker>
          <c:cat>
            <c:numRef>
              <c:f>'uticaj promene kursa'!$H$56:$N$56</c:f>
              <c:numCache>
                <c:formatCode>General</c:formatCode>
                <c:ptCount val="7"/>
                <c:pt idx="0">
                  <c:v>2016</c:v>
                </c:pt>
                <c:pt idx="1">
                  <c:v>2017</c:v>
                </c:pt>
                <c:pt idx="2">
                  <c:v>2018</c:v>
                </c:pt>
                <c:pt idx="3">
                  <c:v>2019</c:v>
                </c:pt>
                <c:pt idx="4">
                  <c:v>2020</c:v>
                </c:pt>
                <c:pt idx="5">
                  <c:v>2021</c:v>
                </c:pt>
                <c:pt idx="6">
                  <c:v>2022</c:v>
                </c:pt>
              </c:numCache>
            </c:numRef>
          </c:cat>
          <c:val>
            <c:numRef>
              <c:f>'uticaj promene kursa'!$H$69:$N$69</c:f>
              <c:numCache>
                <c:formatCode>#,##0.0</c:formatCode>
                <c:ptCount val="7"/>
                <c:pt idx="0">
                  <c:v>67.782172778847638</c:v>
                </c:pt>
                <c:pt idx="1">
                  <c:v>57.865017571873537</c:v>
                </c:pt>
                <c:pt idx="2">
                  <c:v>53.7</c:v>
                </c:pt>
                <c:pt idx="3">
                  <c:v>50.384684044014293</c:v>
                </c:pt>
                <c:pt idx="4">
                  <c:v>48.877414806171309</c:v>
                </c:pt>
                <c:pt idx="5">
                  <c:v>47.819030917751547</c:v>
                </c:pt>
                <c:pt idx="6">
                  <c:v>46.040566383340916</c:v>
                </c:pt>
              </c:numCache>
            </c:numRef>
          </c:val>
          <c:smooth val="0"/>
          <c:extLst>
            <c:ext xmlns:c16="http://schemas.microsoft.com/office/drawing/2014/chart" uri="{C3380CC4-5D6E-409C-BE32-E72D297353CC}">
              <c16:uniqueId val="{00000010-772F-4BDB-8D18-5845DD85570A}"/>
            </c:ext>
          </c:extLst>
        </c:ser>
        <c:ser>
          <c:idx val="14"/>
          <c:order val="14"/>
          <c:spPr>
            <a:ln w="28575" cap="rnd" cmpd="sng" algn="ctr">
              <a:solidFill>
                <a:schemeClr val="accent1">
                  <a:tint val="54000"/>
                  <a:shade val="95000"/>
                  <a:satMod val="105000"/>
                </a:schemeClr>
              </a:solidFill>
              <a:prstDash val="solid"/>
              <a:round/>
            </a:ln>
            <a:effectLst/>
          </c:spPr>
          <c:marker>
            <c:symbol val="none"/>
          </c:marker>
          <c:cat>
            <c:numRef>
              <c:f>'uticaj promene kursa'!$H$56:$N$56</c:f>
              <c:numCache>
                <c:formatCode>General</c:formatCode>
                <c:ptCount val="7"/>
                <c:pt idx="0">
                  <c:v>2016</c:v>
                </c:pt>
                <c:pt idx="1">
                  <c:v>2017</c:v>
                </c:pt>
                <c:pt idx="2">
                  <c:v>2018</c:v>
                </c:pt>
                <c:pt idx="3">
                  <c:v>2019</c:v>
                </c:pt>
                <c:pt idx="4">
                  <c:v>2020</c:v>
                </c:pt>
                <c:pt idx="5">
                  <c:v>2021</c:v>
                </c:pt>
                <c:pt idx="6">
                  <c:v>2022</c:v>
                </c:pt>
              </c:numCache>
            </c:numRef>
          </c:cat>
          <c:val>
            <c:numRef>
              <c:f>'uticaj promene kursa'!$H$70:$N$70</c:f>
              <c:numCache>
                <c:formatCode>#,##0.0</c:formatCode>
                <c:ptCount val="7"/>
                <c:pt idx="0">
                  <c:v>67.782172778847638</c:v>
                </c:pt>
                <c:pt idx="1">
                  <c:v>57.865017571873537</c:v>
                </c:pt>
                <c:pt idx="2">
                  <c:v>53.7</c:v>
                </c:pt>
                <c:pt idx="3">
                  <c:v>49.616244922155872</c:v>
                </c:pt>
                <c:pt idx="4">
                  <c:v>48.152708491088042</c:v>
                </c:pt>
                <c:pt idx="5">
                  <c:v>47.130279443627558</c:v>
                </c:pt>
                <c:pt idx="6">
                  <c:v>45.396907149363287</c:v>
                </c:pt>
              </c:numCache>
            </c:numRef>
          </c:val>
          <c:smooth val="0"/>
          <c:extLst>
            <c:ext xmlns:c16="http://schemas.microsoft.com/office/drawing/2014/chart" uri="{C3380CC4-5D6E-409C-BE32-E72D297353CC}">
              <c16:uniqueId val="{00000011-772F-4BDB-8D18-5845DD85570A}"/>
            </c:ext>
          </c:extLst>
        </c:ser>
        <c:ser>
          <c:idx val="15"/>
          <c:order val="15"/>
          <c:spPr>
            <a:ln w="28575" cap="rnd" cmpd="sng" algn="ctr">
              <a:solidFill>
                <a:schemeClr val="accent1">
                  <a:tint val="46000"/>
                  <a:shade val="95000"/>
                  <a:satMod val="105000"/>
                </a:schemeClr>
              </a:solidFill>
              <a:prstDash val="solid"/>
              <a:round/>
            </a:ln>
            <a:effectLst/>
          </c:spPr>
          <c:marker>
            <c:spPr>
              <a:noFill/>
              <a:ln w="9525" cap="flat" cmpd="sng" algn="ctr">
                <a:solidFill>
                  <a:schemeClr val="accent1">
                    <a:tint val="39000"/>
                    <a:shade val="95000"/>
                    <a:satMod val="105000"/>
                  </a:schemeClr>
                </a:solidFill>
                <a:prstDash val="solid"/>
                <a:round/>
              </a:ln>
              <a:effectLst/>
            </c:spPr>
          </c:marker>
          <c:dLbls>
            <c:dLbl>
              <c:idx val="0"/>
              <c:delete val="1"/>
              <c:extLst>
                <c:ext xmlns:c15="http://schemas.microsoft.com/office/drawing/2012/chart" uri="{CE6537A1-D6FC-4f65-9D91-7224C49458BB}"/>
                <c:ext xmlns:c16="http://schemas.microsoft.com/office/drawing/2014/chart" uri="{C3380CC4-5D6E-409C-BE32-E72D297353CC}">
                  <c16:uniqueId val="{00000012-772F-4BDB-8D18-5845DD85570A}"/>
                </c:ext>
              </c:extLst>
            </c:dLbl>
            <c:dLbl>
              <c:idx val="1"/>
              <c:delete val="1"/>
              <c:extLst>
                <c:ext xmlns:c15="http://schemas.microsoft.com/office/drawing/2012/chart" uri="{CE6537A1-D6FC-4f65-9D91-7224C49458BB}"/>
                <c:ext xmlns:c16="http://schemas.microsoft.com/office/drawing/2014/chart" uri="{C3380CC4-5D6E-409C-BE32-E72D297353CC}">
                  <c16:uniqueId val="{00000013-772F-4BDB-8D18-5845DD85570A}"/>
                </c:ext>
              </c:extLst>
            </c:dLbl>
            <c:dLbl>
              <c:idx val="2"/>
              <c:delete val="1"/>
              <c:extLst>
                <c:ext xmlns:c15="http://schemas.microsoft.com/office/drawing/2012/chart" uri="{CE6537A1-D6FC-4f65-9D91-7224C49458BB}"/>
                <c:ext xmlns:c16="http://schemas.microsoft.com/office/drawing/2014/chart" uri="{C3380CC4-5D6E-409C-BE32-E72D297353CC}">
                  <c16:uniqueId val="{00000014-772F-4BDB-8D18-5845DD85570A}"/>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solidFill>
                    <a:latin typeface="+mn-lt"/>
                    <a:ea typeface="+mn-ea"/>
                    <a:cs typeface="+mn-cs"/>
                  </a:defRPr>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'uticaj promene kursa'!$H$56:$N$56</c:f>
              <c:numCache>
                <c:formatCode>General</c:formatCode>
                <c:ptCount val="7"/>
                <c:pt idx="0">
                  <c:v>2016</c:v>
                </c:pt>
                <c:pt idx="1">
                  <c:v>2017</c:v>
                </c:pt>
                <c:pt idx="2">
                  <c:v>2018</c:v>
                </c:pt>
                <c:pt idx="3">
                  <c:v>2019</c:v>
                </c:pt>
                <c:pt idx="4">
                  <c:v>2020</c:v>
                </c:pt>
                <c:pt idx="5">
                  <c:v>2021</c:v>
                </c:pt>
                <c:pt idx="6">
                  <c:v>2022</c:v>
                </c:pt>
              </c:numCache>
            </c:numRef>
          </c:cat>
          <c:val>
            <c:numRef>
              <c:f>'uticaj promene kursa'!$H$71:$N$71</c:f>
              <c:numCache>
                <c:formatCode>#,##0.0</c:formatCode>
                <c:ptCount val="7"/>
                <c:pt idx="0">
                  <c:v>67.782172778847638</c:v>
                </c:pt>
                <c:pt idx="1">
                  <c:v>57.865017571873537</c:v>
                </c:pt>
                <c:pt idx="2">
                  <c:v>53.7</c:v>
                </c:pt>
                <c:pt idx="3">
                  <c:v>48.847805800297458</c:v>
                </c:pt>
                <c:pt idx="4">
                  <c:v>47.428002176004782</c:v>
                </c:pt>
                <c:pt idx="5">
                  <c:v>46.441527969503554</c:v>
                </c:pt>
                <c:pt idx="6">
                  <c:v>44.753247915385657</c:v>
                </c:pt>
              </c:numCache>
            </c:numRef>
          </c:val>
          <c:smooth val="0"/>
          <c:extLst>
            <c:ext xmlns:c16="http://schemas.microsoft.com/office/drawing/2014/chart" uri="{C3380CC4-5D6E-409C-BE32-E72D297353CC}">
              <c16:uniqueId val="{00000015-772F-4BDB-8D18-5845DD85570A}"/>
            </c:ext>
          </c:extLst>
        </c:ser>
        <c:ser>
          <c:idx val="16"/>
          <c:order val="16"/>
          <c:spPr>
            <a:ln w="28575" cap="rnd" cmpd="sng" algn="ctr">
              <a:solidFill>
                <a:schemeClr val="accent1">
                  <a:tint val="38000"/>
                  <a:shade val="95000"/>
                  <a:satMod val="105000"/>
                </a:schemeClr>
              </a:solidFill>
              <a:prstDash val="solid"/>
              <a:round/>
            </a:ln>
            <a:effectLst/>
          </c:spPr>
          <c:marker>
            <c:spPr>
              <a:solidFill>
                <a:schemeClr val="accent1">
                  <a:tint val="38000"/>
                </a:schemeClr>
              </a:solidFill>
              <a:ln w="9525" cap="flat" cmpd="sng" algn="ctr">
                <a:solidFill>
                  <a:schemeClr val="accent1">
                    <a:tint val="38000"/>
                    <a:shade val="95000"/>
                    <a:satMod val="105000"/>
                  </a:schemeClr>
                </a:solidFill>
                <a:prstDash val="solid"/>
                <a:round/>
              </a:ln>
              <a:effectLst/>
            </c:spPr>
          </c:marker>
          <c:cat>
            <c:numRef>
              <c:f>'uticaj promene kursa'!$H$56:$N$56</c:f>
              <c:numCache>
                <c:formatCode>General</c:formatCode>
                <c:ptCount val="7"/>
                <c:pt idx="0">
                  <c:v>2016</c:v>
                </c:pt>
                <c:pt idx="1">
                  <c:v>2017</c:v>
                </c:pt>
                <c:pt idx="2">
                  <c:v>2018</c:v>
                </c:pt>
                <c:pt idx="3">
                  <c:v>2019</c:v>
                </c:pt>
                <c:pt idx="4">
                  <c:v>2020</c:v>
                </c:pt>
                <c:pt idx="5">
                  <c:v>2021</c:v>
                </c:pt>
                <c:pt idx="6">
                  <c:v>2022</c:v>
                </c:pt>
              </c:numCache>
            </c:numRef>
          </c:cat>
          <c:val>
            <c:numRef>
              <c:f>'uticaj promene kursa'!$H$72:$N$72</c:f>
              <c:numCache>
                <c:formatCode>#,##0.0</c:formatCode>
                <c:ptCount val="7"/>
                <c:pt idx="0">
                  <c:v>67.782172778847638</c:v>
                </c:pt>
                <c:pt idx="1">
                  <c:v>57.865017571873537</c:v>
                </c:pt>
                <c:pt idx="2">
                  <c:v>53.7</c:v>
                </c:pt>
                <c:pt idx="3">
                  <c:v>48.079366678439037</c:v>
                </c:pt>
                <c:pt idx="4">
                  <c:v>46.703295860921521</c:v>
                </c:pt>
                <c:pt idx="5">
                  <c:v>45.752776495379564</c:v>
                </c:pt>
                <c:pt idx="6">
                  <c:v>44.109588681408027</c:v>
                </c:pt>
              </c:numCache>
            </c:numRef>
          </c:val>
          <c:smooth val="0"/>
          <c:extLst>
            <c:ext xmlns:c16="http://schemas.microsoft.com/office/drawing/2014/chart" uri="{C3380CC4-5D6E-409C-BE32-E72D297353CC}">
              <c16:uniqueId val="{00000016-772F-4BDB-8D18-5845DD85570A}"/>
            </c:ext>
          </c:extLst>
        </c:ser>
        <c:dLbls>
          <c:showLegendKey val="0"/>
          <c:showVal val="0"/>
          <c:showCatName val="0"/>
          <c:showSerName val="0"/>
          <c:showPercent val="0"/>
          <c:showBubbleSize val="0"/>
        </c:dLbls>
        <c:marker val="1"/>
        <c:smooth val="0"/>
        <c:axId val="1055149808"/>
        <c:axId val="1055133488"/>
      </c:lineChart>
      <c:catAx>
        <c:axId val="1055149808"/>
        <c:scaling>
          <c:orientation val="minMax"/>
        </c:scaling>
        <c:delete val="0"/>
        <c:axPos val="b"/>
        <c:majorGridlines>
          <c:spPr>
            <a:ln w="9525" cap="flat" cmpd="sng" algn="ctr">
              <a:noFill/>
              <a:prstDash val="solid"/>
              <a:round/>
            </a:ln>
            <a:effectLst/>
          </c:spPr>
        </c:majorGridlines>
        <c:minorGridlines>
          <c:spPr>
            <a:ln w="9525" cap="flat" cmpd="sng" algn="ctr">
              <a:noFill/>
              <a:prstDash val="solid"/>
              <a:round/>
            </a:ln>
            <a:effectLst/>
          </c:spPr>
        </c:minorGridlines>
        <c:numFmt formatCode="General" sourceLinked="1"/>
        <c:majorTickMark val="none"/>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800" b="1" i="0" u="none" strike="noStrike" kern="1200" baseline="0">
                <a:solidFill>
                  <a:schemeClr val="tx1"/>
                </a:solidFill>
                <a:latin typeface="+mn-lt"/>
                <a:ea typeface="+mn-ea"/>
                <a:cs typeface="+mn-cs"/>
              </a:defRPr>
            </a:pPr>
            <a:endParaRPr lang="en-US"/>
          </a:p>
        </c:txPr>
        <c:crossAx val="1055133488"/>
        <c:crosses val="autoZero"/>
        <c:auto val="1"/>
        <c:lblAlgn val="ctr"/>
        <c:lblOffset val="100"/>
        <c:noMultiLvlLbl val="0"/>
      </c:catAx>
      <c:valAx>
        <c:axId val="1055133488"/>
        <c:scaling>
          <c:orientation val="minMax"/>
          <c:max val="70"/>
          <c:min val="40"/>
        </c:scaling>
        <c:delete val="0"/>
        <c:axPos val="l"/>
        <c:majorGridlines>
          <c:spPr>
            <a:ln w="9525" cap="flat" cmpd="sng" algn="ctr">
              <a:noFill/>
              <a:prstDash val="solid"/>
              <a:round/>
            </a:ln>
            <a:effectLst/>
          </c:spPr>
        </c:majorGridlines>
        <c:numFmt formatCode="#,##0.0"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800" b="1" i="0" u="none" strike="noStrike" kern="1200" baseline="0">
                <a:solidFill>
                  <a:schemeClr val="tx1"/>
                </a:solidFill>
                <a:latin typeface="+mn-lt"/>
                <a:ea typeface="+mn-ea"/>
                <a:cs typeface="+mn-cs"/>
              </a:defRPr>
            </a:pPr>
            <a:endParaRPr lang="en-US"/>
          </a:p>
        </c:txPr>
        <c:crossAx val="1055149808"/>
        <c:crosses val="autoZero"/>
        <c:crossBetween val="between"/>
        <c:majorUnit val="10"/>
        <c:minorUnit val="2"/>
      </c:valAx>
      <c:spPr>
        <a:noFill/>
        <a:ln>
          <a:noFill/>
        </a:ln>
        <a:effectLst/>
      </c:spPr>
    </c:plotArea>
    <c:plotVisOnly val="1"/>
    <c:dispBlanksAs val="gap"/>
    <c:showDLblsOverMax val="0"/>
  </c:chart>
  <c:spPr>
    <a:solidFill>
      <a:schemeClr val="bg1"/>
    </a:solidFill>
    <a:ln w="9525" cap="flat" cmpd="sng" algn="ctr">
      <a:noFill/>
      <a:prstDash val="solid"/>
      <a:round/>
    </a:ln>
    <a:effectLst/>
  </c:spPr>
  <c:txPr>
    <a:bodyPr/>
    <a:lstStyle/>
    <a:p>
      <a:pPr>
        <a:defRPr/>
      </a:pPr>
      <a:endParaRPr lang="en-US"/>
    </a:p>
  </c:txPr>
  <c:externalData r:id="rId4">
    <c:autoUpdate val="0"/>
  </c:externalData>
</c:chartSpace>
</file>

<file path=word/charts/chart5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9926970425767898E-2"/>
          <c:y val="4.0034425699919364E-2"/>
          <c:w val="0.86867268865957059"/>
          <c:h val="0.48948353896707802"/>
        </c:manualLayout>
      </c:layout>
      <c:lineChart>
        <c:grouping val="standard"/>
        <c:varyColors val="0"/>
        <c:ser>
          <c:idx val="0"/>
          <c:order val="0"/>
          <c:tx>
            <c:strRef>
              <c:f>Sheet1!$B$2</c:f>
              <c:strCache>
                <c:ptCount val="1"/>
                <c:pt idx="0">
                  <c:v>3Г 2017</c:v>
                </c:pt>
              </c:strCache>
            </c:strRef>
          </c:tx>
          <c:marker>
            <c:symbol val="none"/>
          </c:marker>
          <c:cat>
            <c:strRef>
              <c:f>Sheet1!$A$13:$A$21</c:f>
              <c:strCache>
                <c:ptCount val="9"/>
                <c:pt idx="0">
                  <c:v>јануар 2019</c:v>
                </c:pt>
                <c:pt idx="1">
                  <c:v>фебруар 2019</c:v>
                </c:pt>
                <c:pt idx="2">
                  <c:v>март 2019</c:v>
                </c:pt>
                <c:pt idx="3">
                  <c:v>април 2019</c:v>
                </c:pt>
                <c:pt idx="4">
                  <c:v>мај 2019 </c:v>
                </c:pt>
                <c:pt idx="5">
                  <c:v>јун 2019</c:v>
                </c:pt>
                <c:pt idx="6">
                  <c:v>јул 2019</c:v>
                </c:pt>
                <c:pt idx="7">
                  <c:v>август 2019</c:v>
                </c:pt>
                <c:pt idx="8">
                  <c:v>септембар 2019</c:v>
                </c:pt>
              </c:strCache>
            </c:strRef>
          </c:cat>
          <c:val>
            <c:numRef>
              <c:f>Sheet1!$B$13:$B$21</c:f>
              <c:numCache>
                <c:formatCode>0.00%</c:formatCode>
                <c:ptCount val="9"/>
                <c:pt idx="0">
                  <c:v>3.2099999999999997E-2</c:v>
                </c:pt>
                <c:pt idx="1">
                  <c:v>3.2000000000000001E-2</c:v>
                </c:pt>
                <c:pt idx="2">
                  <c:v>3.1800000000000002E-2</c:v>
                </c:pt>
                <c:pt idx="3">
                  <c:v>3.15E-2</c:v>
                </c:pt>
                <c:pt idx="4">
                  <c:v>0.03</c:v>
                </c:pt>
                <c:pt idx="5">
                  <c:v>2.7999999999999997E-2</c:v>
                </c:pt>
                <c:pt idx="6">
                  <c:v>2.3199999999999998E-2</c:v>
                </c:pt>
                <c:pt idx="7">
                  <c:v>1.95E-2</c:v>
                </c:pt>
                <c:pt idx="8">
                  <c:v>1.8500000000000003E-2</c:v>
                </c:pt>
              </c:numCache>
            </c:numRef>
          </c:val>
          <c:smooth val="0"/>
          <c:extLst>
            <c:ext xmlns:c16="http://schemas.microsoft.com/office/drawing/2014/chart" uri="{C3380CC4-5D6E-409C-BE32-E72D297353CC}">
              <c16:uniqueId val="{00000000-8AF1-4807-8E04-F3E8E70F5D65}"/>
            </c:ext>
          </c:extLst>
        </c:ser>
        <c:ser>
          <c:idx val="1"/>
          <c:order val="1"/>
          <c:tx>
            <c:strRef>
              <c:f>Sheet1!$C$2</c:f>
              <c:strCache>
                <c:ptCount val="1"/>
                <c:pt idx="0">
                  <c:v>5Г 2018</c:v>
                </c:pt>
              </c:strCache>
            </c:strRef>
          </c:tx>
          <c:marker>
            <c:symbol val="none"/>
          </c:marker>
          <c:cat>
            <c:strRef>
              <c:f>Sheet1!$A$13:$A$21</c:f>
              <c:strCache>
                <c:ptCount val="9"/>
                <c:pt idx="0">
                  <c:v>јануар 2019</c:v>
                </c:pt>
                <c:pt idx="1">
                  <c:v>фебруар 2019</c:v>
                </c:pt>
                <c:pt idx="2">
                  <c:v>март 2019</c:v>
                </c:pt>
                <c:pt idx="3">
                  <c:v>април 2019</c:v>
                </c:pt>
                <c:pt idx="4">
                  <c:v>мај 2019 </c:v>
                </c:pt>
                <c:pt idx="5">
                  <c:v>јун 2019</c:v>
                </c:pt>
                <c:pt idx="6">
                  <c:v>јул 2019</c:v>
                </c:pt>
                <c:pt idx="7">
                  <c:v>август 2019</c:v>
                </c:pt>
                <c:pt idx="8">
                  <c:v>септембар 2019</c:v>
                </c:pt>
              </c:strCache>
            </c:strRef>
          </c:cat>
          <c:val>
            <c:numRef>
              <c:f>Sheet1!$C$13:$C$21</c:f>
              <c:numCache>
                <c:formatCode>0.00%</c:formatCode>
                <c:ptCount val="9"/>
                <c:pt idx="0">
                  <c:v>3.6200000000000003E-2</c:v>
                </c:pt>
                <c:pt idx="1">
                  <c:v>3.7999999999999999E-2</c:v>
                </c:pt>
                <c:pt idx="2">
                  <c:v>3.7999999999999999E-2</c:v>
                </c:pt>
                <c:pt idx="3">
                  <c:v>3.7900000000000003E-2</c:v>
                </c:pt>
                <c:pt idx="4">
                  <c:v>3.7200000000000004E-2</c:v>
                </c:pt>
                <c:pt idx="5">
                  <c:v>2.8500000000000001E-2</c:v>
                </c:pt>
                <c:pt idx="6">
                  <c:v>2.3799999999999998E-2</c:v>
                </c:pt>
                <c:pt idx="7">
                  <c:v>2.3300000000000001E-2</c:v>
                </c:pt>
                <c:pt idx="8">
                  <c:v>2.3300000000000001E-2</c:v>
                </c:pt>
              </c:numCache>
            </c:numRef>
          </c:val>
          <c:smooth val="0"/>
          <c:extLst>
            <c:ext xmlns:c16="http://schemas.microsoft.com/office/drawing/2014/chart" uri="{C3380CC4-5D6E-409C-BE32-E72D297353CC}">
              <c16:uniqueId val="{00000001-8AF1-4807-8E04-F3E8E70F5D65}"/>
            </c:ext>
          </c:extLst>
        </c:ser>
        <c:ser>
          <c:idx val="2"/>
          <c:order val="2"/>
          <c:tx>
            <c:strRef>
              <c:f>Sheet1!$D$2</c:f>
              <c:strCache>
                <c:ptCount val="1"/>
                <c:pt idx="0">
                  <c:v>7Г 2016</c:v>
                </c:pt>
              </c:strCache>
            </c:strRef>
          </c:tx>
          <c:marker>
            <c:symbol val="none"/>
          </c:marker>
          <c:cat>
            <c:strRef>
              <c:f>Sheet1!$A$13:$A$21</c:f>
              <c:strCache>
                <c:ptCount val="9"/>
                <c:pt idx="0">
                  <c:v>јануар 2019</c:v>
                </c:pt>
                <c:pt idx="1">
                  <c:v>фебруар 2019</c:v>
                </c:pt>
                <c:pt idx="2">
                  <c:v>март 2019</c:v>
                </c:pt>
                <c:pt idx="3">
                  <c:v>април 2019</c:v>
                </c:pt>
                <c:pt idx="4">
                  <c:v>мај 2019 </c:v>
                </c:pt>
                <c:pt idx="5">
                  <c:v>јун 2019</c:v>
                </c:pt>
                <c:pt idx="6">
                  <c:v>јул 2019</c:v>
                </c:pt>
                <c:pt idx="7">
                  <c:v>август 2019</c:v>
                </c:pt>
                <c:pt idx="8">
                  <c:v>септембар 2019</c:v>
                </c:pt>
              </c:strCache>
            </c:strRef>
          </c:cat>
          <c:val>
            <c:numRef>
              <c:f>Sheet1!$D$13:$D$21</c:f>
              <c:numCache>
                <c:formatCode>0.00%</c:formatCode>
                <c:ptCount val="9"/>
                <c:pt idx="0">
                  <c:v>3.8600000000000002E-2</c:v>
                </c:pt>
                <c:pt idx="1">
                  <c:v>3.85E-2</c:v>
                </c:pt>
                <c:pt idx="2">
                  <c:v>3.8699999999999998E-2</c:v>
                </c:pt>
                <c:pt idx="3">
                  <c:v>3.6699999999999997E-2</c:v>
                </c:pt>
                <c:pt idx="4">
                  <c:v>3.5699999999999996E-2</c:v>
                </c:pt>
                <c:pt idx="5">
                  <c:v>3.2000000000000001E-2</c:v>
                </c:pt>
                <c:pt idx="6">
                  <c:v>2.6499999999999999E-2</c:v>
                </c:pt>
                <c:pt idx="7">
                  <c:v>2.3E-2</c:v>
                </c:pt>
                <c:pt idx="8">
                  <c:v>2.29E-2</c:v>
                </c:pt>
              </c:numCache>
            </c:numRef>
          </c:val>
          <c:smooth val="0"/>
          <c:extLst>
            <c:ext xmlns:c16="http://schemas.microsoft.com/office/drawing/2014/chart" uri="{C3380CC4-5D6E-409C-BE32-E72D297353CC}">
              <c16:uniqueId val="{00000002-8AF1-4807-8E04-F3E8E70F5D65}"/>
            </c:ext>
          </c:extLst>
        </c:ser>
        <c:ser>
          <c:idx val="4"/>
          <c:order val="3"/>
          <c:tx>
            <c:strRef>
              <c:f>Sheet1!$E$2</c:f>
              <c:strCache>
                <c:ptCount val="1"/>
                <c:pt idx="0">
                  <c:v>10Г 2018</c:v>
                </c:pt>
              </c:strCache>
            </c:strRef>
          </c:tx>
          <c:marker>
            <c:symbol val="none"/>
          </c:marker>
          <c:cat>
            <c:strRef>
              <c:f>Sheet1!$A$13:$A$21</c:f>
              <c:strCache>
                <c:ptCount val="9"/>
                <c:pt idx="0">
                  <c:v>јануар 2019</c:v>
                </c:pt>
                <c:pt idx="1">
                  <c:v>фебруар 2019</c:v>
                </c:pt>
                <c:pt idx="2">
                  <c:v>март 2019</c:v>
                </c:pt>
                <c:pt idx="3">
                  <c:v>април 2019</c:v>
                </c:pt>
                <c:pt idx="4">
                  <c:v>мај 2019 </c:v>
                </c:pt>
                <c:pt idx="5">
                  <c:v>јун 2019</c:v>
                </c:pt>
                <c:pt idx="6">
                  <c:v>јул 2019</c:v>
                </c:pt>
                <c:pt idx="7">
                  <c:v>август 2019</c:v>
                </c:pt>
                <c:pt idx="8">
                  <c:v>септембар 2019</c:v>
                </c:pt>
              </c:strCache>
            </c:strRef>
          </c:cat>
          <c:val>
            <c:numRef>
              <c:f>Sheet1!$E$13:$E$21</c:f>
              <c:numCache>
                <c:formatCode>0.00%</c:formatCode>
                <c:ptCount val="9"/>
                <c:pt idx="0">
                  <c:v>4.87E-2</c:v>
                </c:pt>
                <c:pt idx="1">
                  <c:v>4.87E-2</c:v>
                </c:pt>
                <c:pt idx="2">
                  <c:v>4.8300000000000003E-2</c:v>
                </c:pt>
                <c:pt idx="3">
                  <c:v>4.82E-2</c:v>
                </c:pt>
                <c:pt idx="4">
                  <c:v>4.7E-2</c:v>
                </c:pt>
                <c:pt idx="5">
                  <c:v>4.1000000000000002E-2</c:v>
                </c:pt>
                <c:pt idx="6">
                  <c:v>3.7499999999999999E-2</c:v>
                </c:pt>
                <c:pt idx="7">
                  <c:v>3.4000000000000002E-2</c:v>
                </c:pt>
                <c:pt idx="8">
                  <c:v>3.4000000000000002E-2</c:v>
                </c:pt>
              </c:numCache>
            </c:numRef>
          </c:val>
          <c:smooth val="0"/>
          <c:extLst>
            <c:ext xmlns:c16="http://schemas.microsoft.com/office/drawing/2014/chart" uri="{C3380CC4-5D6E-409C-BE32-E72D297353CC}">
              <c16:uniqueId val="{00000003-8AF1-4807-8E04-F3E8E70F5D65}"/>
            </c:ext>
          </c:extLst>
        </c:ser>
        <c:ser>
          <c:idx val="3"/>
          <c:order val="4"/>
          <c:tx>
            <c:strRef>
              <c:f>Sheet1!$F$2</c:f>
              <c:strCache>
                <c:ptCount val="1"/>
                <c:pt idx="0">
                  <c:v>7Г 2019</c:v>
                </c:pt>
              </c:strCache>
            </c:strRef>
          </c:tx>
          <c:marker>
            <c:symbol val="none"/>
          </c:marker>
          <c:cat>
            <c:strRef>
              <c:f>Sheet1!$A$13:$A$21</c:f>
              <c:strCache>
                <c:ptCount val="9"/>
                <c:pt idx="0">
                  <c:v>јануар 2019</c:v>
                </c:pt>
                <c:pt idx="1">
                  <c:v>фебруар 2019</c:v>
                </c:pt>
                <c:pt idx="2">
                  <c:v>март 2019</c:v>
                </c:pt>
                <c:pt idx="3">
                  <c:v>април 2019</c:v>
                </c:pt>
                <c:pt idx="4">
                  <c:v>мај 2019 </c:v>
                </c:pt>
                <c:pt idx="5">
                  <c:v>јун 2019</c:v>
                </c:pt>
                <c:pt idx="6">
                  <c:v>јул 2019</c:v>
                </c:pt>
                <c:pt idx="7">
                  <c:v>август 2019</c:v>
                </c:pt>
                <c:pt idx="8">
                  <c:v>септембар 2019</c:v>
                </c:pt>
              </c:strCache>
            </c:strRef>
          </c:cat>
          <c:val>
            <c:numRef>
              <c:f>Sheet1!$F$13:$F$21</c:f>
              <c:numCache>
                <c:formatCode>0.00%</c:formatCode>
                <c:ptCount val="9"/>
                <c:pt idx="0">
                  <c:v>4.5699999999999998E-2</c:v>
                </c:pt>
                <c:pt idx="1">
                  <c:v>4.5699999999999998E-2</c:v>
                </c:pt>
                <c:pt idx="2">
                  <c:v>4.5400000000000003E-2</c:v>
                </c:pt>
                <c:pt idx="3">
                  <c:v>4.4999999999999998E-2</c:v>
                </c:pt>
                <c:pt idx="4">
                  <c:v>4.4600000000000001E-2</c:v>
                </c:pt>
                <c:pt idx="5">
                  <c:v>4.1500000000000002E-2</c:v>
                </c:pt>
                <c:pt idx="6">
                  <c:v>3.5900000000000001E-2</c:v>
                </c:pt>
                <c:pt idx="7">
                  <c:v>3.39E-2</c:v>
                </c:pt>
                <c:pt idx="8">
                  <c:v>3.2000000000000001E-2</c:v>
                </c:pt>
              </c:numCache>
            </c:numRef>
          </c:val>
          <c:smooth val="0"/>
          <c:extLst>
            <c:ext xmlns:c16="http://schemas.microsoft.com/office/drawing/2014/chart" uri="{C3380CC4-5D6E-409C-BE32-E72D297353CC}">
              <c16:uniqueId val="{00000004-8AF1-4807-8E04-F3E8E70F5D65}"/>
            </c:ext>
          </c:extLst>
        </c:ser>
        <c:ser>
          <c:idx val="5"/>
          <c:order val="5"/>
          <c:tx>
            <c:strRef>
              <c:f>Sheet1!$G$2</c:f>
              <c:strCache>
                <c:ptCount val="1"/>
                <c:pt idx="0">
                  <c:v>3Г 2019</c:v>
                </c:pt>
              </c:strCache>
            </c:strRef>
          </c:tx>
          <c:marker>
            <c:symbol val="none"/>
          </c:marker>
          <c:cat>
            <c:strRef>
              <c:f>Sheet1!$A$13:$A$21</c:f>
              <c:strCache>
                <c:ptCount val="9"/>
                <c:pt idx="0">
                  <c:v>јануар 2019</c:v>
                </c:pt>
                <c:pt idx="1">
                  <c:v>фебруар 2019</c:v>
                </c:pt>
                <c:pt idx="2">
                  <c:v>март 2019</c:v>
                </c:pt>
                <c:pt idx="3">
                  <c:v>април 2019</c:v>
                </c:pt>
                <c:pt idx="4">
                  <c:v>мај 2019 </c:v>
                </c:pt>
                <c:pt idx="5">
                  <c:v>јун 2019</c:v>
                </c:pt>
                <c:pt idx="6">
                  <c:v>јул 2019</c:v>
                </c:pt>
                <c:pt idx="7">
                  <c:v>август 2019</c:v>
                </c:pt>
                <c:pt idx="8">
                  <c:v>септембар 2019</c:v>
                </c:pt>
              </c:strCache>
            </c:strRef>
          </c:cat>
          <c:val>
            <c:numRef>
              <c:f>Sheet1!$G$13:$G$21</c:f>
              <c:numCache>
                <c:formatCode>0.00%</c:formatCode>
                <c:ptCount val="9"/>
                <c:pt idx="0">
                  <c:v>3.73E-2</c:v>
                </c:pt>
                <c:pt idx="1">
                  <c:v>3.6900000000000002E-2</c:v>
                </c:pt>
                <c:pt idx="2">
                  <c:v>3.6900000000000002E-2</c:v>
                </c:pt>
                <c:pt idx="3">
                  <c:v>3.6699999999999997E-2</c:v>
                </c:pt>
                <c:pt idx="4">
                  <c:v>3.6230000000000005E-2</c:v>
                </c:pt>
                <c:pt idx="5">
                  <c:v>3.3000000000000002E-2</c:v>
                </c:pt>
                <c:pt idx="6">
                  <c:v>3.0499999999999999E-2</c:v>
                </c:pt>
                <c:pt idx="7">
                  <c:v>2.4E-2</c:v>
                </c:pt>
                <c:pt idx="8">
                  <c:v>2.3700000000000002E-2</c:v>
                </c:pt>
              </c:numCache>
            </c:numRef>
          </c:val>
          <c:smooth val="0"/>
          <c:extLst>
            <c:ext xmlns:c16="http://schemas.microsoft.com/office/drawing/2014/chart" uri="{C3380CC4-5D6E-409C-BE32-E72D297353CC}">
              <c16:uniqueId val="{00000005-8AF1-4807-8E04-F3E8E70F5D65}"/>
            </c:ext>
          </c:extLst>
        </c:ser>
        <c:ser>
          <c:idx val="6"/>
          <c:order val="6"/>
          <c:tx>
            <c:strRef>
              <c:f>Sheet1!$H$2</c:f>
              <c:strCache>
                <c:ptCount val="1"/>
                <c:pt idx="0">
                  <c:v>Референтна каматна стопа НБС</c:v>
                </c:pt>
              </c:strCache>
            </c:strRef>
          </c:tx>
          <c:marker>
            <c:symbol val="none"/>
          </c:marker>
          <c:cat>
            <c:strRef>
              <c:f>Sheet1!$A$13:$A$21</c:f>
              <c:strCache>
                <c:ptCount val="9"/>
                <c:pt idx="0">
                  <c:v>јануар 2019</c:v>
                </c:pt>
                <c:pt idx="1">
                  <c:v>фебруар 2019</c:v>
                </c:pt>
                <c:pt idx="2">
                  <c:v>март 2019</c:v>
                </c:pt>
                <c:pt idx="3">
                  <c:v>април 2019</c:v>
                </c:pt>
                <c:pt idx="4">
                  <c:v>мај 2019 </c:v>
                </c:pt>
                <c:pt idx="5">
                  <c:v>јун 2019</c:v>
                </c:pt>
                <c:pt idx="6">
                  <c:v>јул 2019</c:v>
                </c:pt>
                <c:pt idx="7">
                  <c:v>август 2019</c:v>
                </c:pt>
                <c:pt idx="8">
                  <c:v>септембар 2019</c:v>
                </c:pt>
              </c:strCache>
            </c:strRef>
          </c:cat>
          <c:val>
            <c:numRef>
              <c:f>Sheet1!$H$13:$H$21</c:f>
              <c:numCache>
                <c:formatCode>0.00%</c:formatCode>
                <c:ptCount val="9"/>
                <c:pt idx="0">
                  <c:v>0.03</c:v>
                </c:pt>
                <c:pt idx="1">
                  <c:v>0.03</c:v>
                </c:pt>
                <c:pt idx="2">
                  <c:v>0.03</c:v>
                </c:pt>
                <c:pt idx="3">
                  <c:v>0.03</c:v>
                </c:pt>
                <c:pt idx="4">
                  <c:v>0.03</c:v>
                </c:pt>
                <c:pt idx="5">
                  <c:v>0.03</c:v>
                </c:pt>
                <c:pt idx="6">
                  <c:v>0.03</c:v>
                </c:pt>
                <c:pt idx="7">
                  <c:v>2.75E-2</c:v>
                </c:pt>
                <c:pt idx="8">
                  <c:v>2.5000000000000001E-2</c:v>
                </c:pt>
              </c:numCache>
            </c:numRef>
          </c:val>
          <c:smooth val="0"/>
          <c:extLst>
            <c:ext xmlns:c16="http://schemas.microsoft.com/office/drawing/2014/chart" uri="{C3380CC4-5D6E-409C-BE32-E72D297353CC}">
              <c16:uniqueId val="{00000006-8AF1-4807-8E04-F3E8E70F5D65}"/>
            </c:ext>
          </c:extLst>
        </c:ser>
        <c:dLbls>
          <c:showLegendKey val="0"/>
          <c:showVal val="0"/>
          <c:showCatName val="0"/>
          <c:showSerName val="0"/>
          <c:showPercent val="0"/>
          <c:showBubbleSize val="0"/>
        </c:dLbls>
        <c:smooth val="0"/>
        <c:axId val="1607104032"/>
        <c:axId val="1607081728"/>
      </c:lineChart>
      <c:dateAx>
        <c:axId val="1607104032"/>
        <c:scaling>
          <c:orientation val="minMax"/>
        </c:scaling>
        <c:delete val="0"/>
        <c:axPos val="b"/>
        <c:numFmt formatCode="General" sourceLinked="1"/>
        <c:majorTickMark val="out"/>
        <c:minorTickMark val="none"/>
        <c:tickLblPos val="nextTo"/>
        <c:txPr>
          <a:bodyPr/>
          <a:lstStyle/>
          <a:p>
            <a:pPr>
              <a:defRPr sz="800"/>
            </a:pPr>
            <a:endParaRPr lang="en-US"/>
          </a:p>
        </c:txPr>
        <c:crossAx val="1607081728"/>
        <c:crosses val="autoZero"/>
        <c:auto val="0"/>
        <c:lblOffset val="100"/>
        <c:baseTimeUnit val="days"/>
      </c:dateAx>
      <c:valAx>
        <c:axId val="1607081728"/>
        <c:scaling>
          <c:orientation val="minMax"/>
          <c:max val="6.0000000000000012E-2"/>
          <c:min val="1.0000000000000002E-2"/>
        </c:scaling>
        <c:delete val="0"/>
        <c:axPos val="l"/>
        <c:numFmt formatCode="0.0%" sourceLinked="0"/>
        <c:majorTickMark val="out"/>
        <c:minorTickMark val="none"/>
        <c:tickLblPos val="nextTo"/>
        <c:txPr>
          <a:bodyPr/>
          <a:lstStyle/>
          <a:p>
            <a:pPr>
              <a:defRPr sz="800"/>
            </a:pPr>
            <a:endParaRPr lang="en-US"/>
          </a:p>
        </c:txPr>
        <c:crossAx val="1607104032"/>
        <c:crosses val="autoZero"/>
        <c:crossBetween val="between"/>
        <c:majorUnit val="1.0000000000000002E-2"/>
      </c:valAx>
      <c:spPr>
        <a:pattFill prst="dotGrid">
          <a:fgClr>
            <a:srgbClr val="000000">
              <a:alpha val="0"/>
            </a:srgbClr>
          </a:fgClr>
          <a:bgClr>
            <a:srgbClr val="FFFFFF"/>
          </a:bgClr>
        </a:pattFill>
        <a:ln w="25400">
          <a:noFill/>
        </a:ln>
      </c:spPr>
    </c:plotArea>
    <c:legend>
      <c:legendPos val="b"/>
      <c:layout>
        <c:manualLayout>
          <c:xMode val="edge"/>
          <c:yMode val="edge"/>
          <c:x val="0"/>
          <c:y val="0.76825881418753128"/>
          <c:w val="0.99882733522038014"/>
          <c:h val="0.23174118581246872"/>
        </c:manualLayout>
      </c:layout>
      <c:overlay val="0"/>
      <c:txPr>
        <a:bodyPr/>
        <a:lstStyle/>
        <a:p>
          <a:pPr>
            <a:defRPr sz="600"/>
          </a:pPr>
          <a:endParaRPr lang="en-US"/>
        </a:p>
      </c:txPr>
    </c:legend>
    <c:plotVisOnly val="1"/>
    <c:dispBlanksAs val="gap"/>
    <c:showDLblsOverMax val="0"/>
  </c:chart>
  <c:spPr>
    <a:ln>
      <a:noFill/>
    </a:ln>
  </c:spPr>
  <c:externalData r:id="rId2">
    <c:autoUpdate val="0"/>
  </c:externalData>
</c:chartSpace>
</file>

<file path=word/charts/chart6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813655901707939"/>
          <c:y val="5.118188584635875E-2"/>
          <c:w val="0.82536695816248773"/>
          <c:h val="0.52054459150053056"/>
        </c:manualLayout>
      </c:layout>
      <c:lineChart>
        <c:grouping val="standard"/>
        <c:varyColors val="0"/>
        <c:ser>
          <c:idx val="0"/>
          <c:order val="0"/>
          <c:tx>
            <c:strRef>
              <c:f>ATM!$B$2</c:f>
              <c:strCache>
                <c:ptCount val="1"/>
                <c:pt idx="0">
                  <c:v>Просечно време до доспећа динарских државних ХоВ</c:v>
                </c:pt>
              </c:strCache>
            </c:strRef>
          </c:tx>
          <c:marker>
            <c:symbol val="none"/>
          </c:marker>
          <c:cat>
            <c:numRef>
              <c:f>ATM!$A$23:$A$97</c:f>
              <c:numCache>
                <c:formatCode>[$-281A]d\/\ mmmm\ yyyy\/;@</c:formatCode>
                <c:ptCount val="56"/>
                <c:pt idx="0">
                  <c:v>41730</c:v>
                </c:pt>
                <c:pt idx="1">
                  <c:v>41760</c:v>
                </c:pt>
                <c:pt idx="2">
                  <c:v>41791</c:v>
                </c:pt>
                <c:pt idx="3">
                  <c:v>41821</c:v>
                </c:pt>
                <c:pt idx="4">
                  <c:v>41852</c:v>
                </c:pt>
                <c:pt idx="5">
                  <c:v>41883</c:v>
                </c:pt>
                <c:pt idx="6">
                  <c:v>41913</c:v>
                </c:pt>
                <c:pt idx="7">
                  <c:v>41944</c:v>
                </c:pt>
                <c:pt idx="8">
                  <c:v>41974</c:v>
                </c:pt>
                <c:pt idx="9">
                  <c:v>42005</c:v>
                </c:pt>
                <c:pt idx="10">
                  <c:v>42036</c:v>
                </c:pt>
                <c:pt idx="11">
                  <c:v>42064</c:v>
                </c:pt>
                <c:pt idx="12">
                  <c:v>42095</c:v>
                </c:pt>
                <c:pt idx="13">
                  <c:v>42125</c:v>
                </c:pt>
                <c:pt idx="14">
                  <c:v>42156</c:v>
                </c:pt>
                <c:pt idx="15">
                  <c:v>42186</c:v>
                </c:pt>
                <c:pt idx="16">
                  <c:v>42217</c:v>
                </c:pt>
                <c:pt idx="17">
                  <c:v>42248</c:v>
                </c:pt>
                <c:pt idx="18">
                  <c:v>42278</c:v>
                </c:pt>
                <c:pt idx="19">
                  <c:v>42309</c:v>
                </c:pt>
                <c:pt idx="20">
                  <c:v>42339</c:v>
                </c:pt>
                <c:pt idx="21">
                  <c:v>42370</c:v>
                </c:pt>
                <c:pt idx="22">
                  <c:v>42401</c:v>
                </c:pt>
                <c:pt idx="23">
                  <c:v>42430</c:v>
                </c:pt>
                <c:pt idx="24">
                  <c:v>42461</c:v>
                </c:pt>
                <c:pt idx="25">
                  <c:v>42491</c:v>
                </c:pt>
                <c:pt idx="26">
                  <c:v>42522</c:v>
                </c:pt>
                <c:pt idx="27">
                  <c:v>42552</c:v>
                </c:pt>
                <c:pt idx="28">
                  <c:v>42583</c:v>
                </c:pt>
                <c:pt idx="29">
                  <c:v>42614</c:v>
                </c:pt>
                <c:pt idx="30">
                  <c:v>42644</c:v>
                </c:pt>
                <c:pt idx="31">
                  <c:v>42675</c:v>
                </c:pt>
                <c:pt idx="32">
                  <c:v>42705</c:v>
                </c:pt>
                <c:pt idx="33">
                  <c:v>42736</c:v>
                </c:pt>
                <c:pt idx="34">
                  <c:v>42767</c:v>
                </c:pt>
                <c:pt idx="35">
                  <c:v>42795</c:v>
                </c:pt>
                <c:pt idx="36">
                  <c:v>42826</c:v>
                </c:pt>
                <c:pt idx="37">
                  <c:v>42856</c:v>
                </c:pt>
                <c:pt idx="38">
                  <c:v>42917</c:v>
                </c:pt>
                <c:pt idx="39">
                  <c:v>42948</c:v>
                </c:pt>
                <c:pt idx="40">
                  <c:v>43009</c:v>
                </c:pt>
                <c:pt idx="41">
                  <c:v>43040</c:v>
                </c:pt>
                <c:pt idx="42">
                  <c:v>43070</c:v>
                </c:pt>
                <c:pt idx="43">
                  <c:v>43190</c:v>
                </c:pt>
                <c:pt idx="44">
                  <c:v>43251</c:v>
                </c:pt>
                <c:pt idx="45">
                  <c:v>43281</c:v>
                </c:pt>
                <c:pt idx="46">
                  <c:v>43312</c:v>
                </c:pt>
                <c:pt idx="47">
                  <c:v>43343</c:v>
                </c:pt>
                <c:pt idx="48">
                  <c:v>43373</c:v>
                </c:pt>
                <c:pt idx="49">
                  <c:v>43404</c:v>
                </c:pt>
                <c:pt idx="50">
                  <c:v>43434</c:v>
                </c:pt>
                <c:pt idx="51">
                  <c:v>43465</c:v>
                </c:pt>
                <c:pt idx="52">
                  <c:v>43496</c:v>
                </c:pt>
                <c:pt idx="53">
                  <c:v>43524</c:v>
                </c:pt>
                <c:pt idx="54">
                  <c:v>43555</c:v>
                </c:pt>
                <c:pt idx="55">
                  <c:v>43708</c:v>
                </c:pt>
              </c:numCache>
              <c:extLst/>
            </c:numRef>
          </c:cat>
          <c:val>
            <c:numRef>
              <c:f>ATM!$B$23:$B$97</c:f>
              <c:numCache>
                <c:formatCode>General</c:formatCode>
                <c:ptCount val="56"/>
                <c:pt idx="0">
                  <c:v>1.4436024426867939</c:v>
                </c:pt>
                <c:pt idx="1">
                  <c:v>1.5329903844193717</c:v>
                </c:pt>
                <c:pt idx="2">
                  <c:v>1.6472684011800438</c:v>
                </c:pt>
                <c:pt idx="3">
                  <c:v>1.6520159643144481</c:v>
                </c:pt>
                <c:pt idx="4">
                  <c:v>1.646038075334189</c:v>
                </c:pt>
                <c:pt idx="5">
                  <c:v>1.6636196949720554</c:v>
                </c:pt>
                <c:pt idx="6">
                  <c:v>1.7934239827287251</c:v>
                </c:pt>
                <c:pt idx="7">
                  <c:v>1.7629999999999999</c:v>
                </c:pt>
                <c:pt idx="8">
                  <c:v>1.768</c:v>
                </c:pt>
                <c:pt idx="9">
                  <c:v>1.7529999999999999</c:v>
                </c:pt>
                <c:pt idx="10">
                  <c:v>2.2095359624414899</c:v>
                </c:pt>
                <c:pt idx="11">
                  <c:v>2.2879999999999998</c:v>
                </c:pt>
                <c:pt idx="12">
                  <c:v>2.3410000000000002</c:v>
                </c:pt>
                <c:pt idx="13">
                  <c:v>2.294</c:v>
                </c:pt>
                <c:pt idx="14">
                  <c:v>2.2603897324428486</c:v>
                </c:pt>
                <c:pt idx="15">
                  <c:v>2.2077087372185296</c:v>
                </c:pt>
                <c:pt idx="16">
                  <c:v>2.1494398237896024</c:v>
                </c:pt>
                <c:pt idx="17">
                  <c:v>2.1257627775527754</c:v>
                </c:pt>
                <c:pt idx="18">
                  <c:v>2.1580379897093489</c:v>
                </c:pt>
                <c:pt idx="19">
                  <c:v>2.1080321767184924</c:v>
                </c:pt>
                <c:pt idx="20">
                  <c:v>2.0507865324382712</c:v>
                </c:pt>
                <c:pt idx="21">
                  <c:v>1.9927548032469462</c:v>
                </c:pt>
                <c:pt idx="22">
                  <c:v>2.056801146453648</c:v>
                </c:pt>
                <c:pt idx="23">
                  <c:v>2.0500627238112212</c:v>
                </c:pt>
                <c:pt idx="24">
                  <c:v>2.0588595366361742</c:v>
                </c:pt>
                <c:pt idx="25">
                  <c:v>2.0300464388955963</c:v>
                </c:pt>
                <c:pt idx="26">
                  <c:v>2.0732533699565043</c:v>
                </c:pt>
                <c:pt idx="27">
                  <c:v>2.2210505169622756</c:v>
                </c:pt>
                <c:pt idx="28">
                  <c:v>2.2013296916896659</c:v>
                </c:pt>
                <c:pt idx="29">
                  <c:v>2.1522780532789878</c:v>
                </c:pt>
                <c:pt idx="30">
                  <c:v>2.310255445518175</c:v>
                </c:pt>
                <c:pt idx="31">
                  <c:v>2.2585243726656423</c:v>
                </c:pt>
                <c:pt idx="32">
                  <c:v>2.223348207651866</c:v>
                </c:pt>
                <c:pt idx="33">
                  <c:v>2.2271039612720687</c:v>
                </c:pt>
                <c:pt idx="34">
                  <c:v>2.2840635476106992</c:v>
                </c:pt>
                <c:pt idx="35">
                  <c:v>2.2504071868760942</c:v>
                </c:pt>
                <c:pt idx="36">
                  <c:v>2.3172899540698109</c:v>
                </c:pt>
                <c:pt idx="37" formatCode="0.0">
                  <c:v>2.4184749420368528</c:v>
                </c:pt>
                <c:pt idx="38">
                  <c:v>2.4</c:v>
                </c:pt>
                <c:pt idx="39">
                  <c:v>2.4</c:v>
                </c:pt>
                <c:pt idx="40">
                  <c:v>2.4</c:v>
                </c:pt>
                <c:pt idx="41">
                  <c:v>2.4</c:v>
                </c:pt>
                <c:pt idx="42">
                  <c:v>2.2999999999999998</c:v>
                </c:pt>
                <c:pt idx="43">
                  <c:v>3.4</c:v>
                </c:pt>
                <c:pt idx="44">
                  <c:v>3.6</c:v>
                </c:pt>
                <c:pt idx="45">
                  <c:v>3.6</c:v>
                </c:pt>
                <c:pt idx="46">
                  <c:v>4</c:v>
                </c:pt>
                <c:pt idx="47">
                  <c:v>4</c:v>
                </c:pt>
                <c:pt idx="48">
                  <c:v>4.0999999999999996</c:v>
                </c:pt>
                <c:pt idx="49">
                  <c:v>3.4569999999999999</c:v>
                </c:pt>
                <c:pt idx="50">
                  <c:v>3.375</c:v>
                </c:pt>
                <c:pt idx="51">
                  <c:v>3.29</c:v>
                </c:pt>
                <c:pt idx="52">
                  <c:v>3.4060000000000001</c:v>
                </c:pt>
                <c:pt idx="53">
                  <c:v>3.9489999999999998</c:v>
                </c:pt>
                <c:pt idx="54">
                  <c:v>3.871</c:v>
                </c:pt>
                <c:pt idx="55">
                  <c:v>3.93</c:v>
                </c:pt>
              </c:numCache>
              <c:extLst/>
            </c:numRef>
          </c:val>
          <c:smooth val="0"/>
          <c:extLst>
            <c:ext xmlns:c16="http://schemas.microsoft.com/office/drawing/2014/chart" uri="{C3380CC4-5D6E-409C-BE32-E72D297353CC}">
              <c16:uniqueId val="{00000000-D1A6-4BC1-8D45-331C94234A22}"/>
            </c:ext>
          </c:extLst>
        </c:ser>
        <c:ser>
          <c:idx val="1"/>
          <c:order val="1"/>
          <c:tx>
            <c:strRef>
              <c:f>ATM!$C$2</c:f>
              <c:strCache>
                <c:ptCount val="1"/>
                <c:pt idx="0">
                  <c:v>Просечно време до доспећа евро деноминованих државних ХоВ</c:v>
                </c:pt>
              </c:strCache>
            </c:strRef>
          </c:tx>
          <c:marker>
            <c:symbol val="none"/>
          </c:marker>
          <c:cat>
            <c:numRef>
              <c:f>ATM!$A$23:$A$97</c:f>
              <c:numCache>
                <c:formatCode>[$-281A]d\/\ mmmm\ yyyy\/;@</c:formatCode>
                <c:ptCount val="56"/>
                <c:pt idx="0">
                  <c:v>41730</c:v>
                </c:pt>
                <c:pt idx="1">
                  <c:v>41760</c:v>
                </c:pt>
                <c:pt idx="2">
                  <c:v>41791</c:v>
                </c:pt>
                <c:pt idx="3">
                  <c:v>41821</c:v>
                </c:pt>
                <c:pt idx="4">
                  <c:v>41852</c:v>
                </c:pt>
                <c:pt idx="5">
                  <c:v>41883</c:v>
                </c:pt>
                <c:pt idx="6">
                  <c:v>41913</c:v>
                </c:pt>
                <c:pt idx="7">
                  <c:v>41944</c:v>
                </c:pt>
                <c:pt idx="8">
                  <c:v>41974</c:v>
                </c:pt>
                <c:pt idx="9">
                  <c:v>42005</c:v>
                </c:pt>
                <c:pt idx="10">
                  <c:v>42036</c:v>
                </c:pt>
                <c:pt idx="11">
                  <c:v>42064</c:v>
                </c:pt>
                <c:pt idx="12">
                  <c:v>42095</c:v>
                </c:pt>
                <c:pt idx="13">
                  <c:v>42125</c:v>
                </c:pt>
                <c:pt idx="14">
                  <c:v>42156</c:v>
                </c:pt>
                <c:pt idx="15">
                  <c:v>42186</c:v>
                </c:pt>
                <c:pt idx="16">
                  <c:v>42217</c:v>
                </c:pt>
                <c:pt idx="17">
                  <c:v>42248</c:v>
                </c:pt>
                <c:pt idx="18">
                  <c:v>42278</c:v>
                </c:pt>
                <c:pt idx="19">
                  <c:v>42309</c:v>
                </c:pt>
                <c:pt idx="20">
                  <c:v>42339</c:v>
                </c:pt>
                <c:pt idx="21">
                  <c:v>42370</c:v>
                </c:pt>
                <c:pt idx="22">
                  <c:v>42401</c:v>
                </c:pt>
                <c:pt idx="23">
                  <c:v>42430</c:v>
                </c:pt>
                <c:pt idx="24">
                  <c:v>42461</c:v>
                </c:pt>
                <c:pt idx="25">
                  <c:v>42491</c:v>
                </c:pt>
                <c:pt idx="26">
                  <c:v>42522</c:v>
                </c:pt>
                <c:pt idx="27">
                  <c:v>42552</c:v>
                </c:pt>
                <c:pt idx="28">
                  <c:v>42583</c:v>
                </c:pt>
                <c:pt idx="29">
                  <c:v>42614</c:v>
                </c:pt>
                <c:pt idx="30">
                  <c:v>42644</c:v>
                </c:pt>
                <c:pt idx="31">
                  <c:v>42675</c:v>
                </c:pt>
                <c:pt idx="32">
                  <c:v>42705</c:v>
                </c:pt>
                <c:pt idx="33">
                  <c:v>42736</c:v>
                </c:pt>
                <c:pt idx="34">
                  <c:v>42767</c:v>
                </c:pt>
                <c:pt idx="35">
                  <c:v>42795</c:v>
                </c:pt>
                <c:pt idx="36">
                  <c:v>42826</c:v>
                </c:pt>
                <c:pt idx="37">
                  <c:v>42856</c:v>
                </c:pt>
                <c:pt idx="38">
                  <c:v>42917</c:v>
                </c:pt>
                <c:pt idx="39">
                  <c:v>42948</c:v>
                </c:pt>
                <c:pt idx="40">
                  <c:v>43009</c:v>
                </c:pt>
                <c:pt idx="41">
                  <c:v>43040</c:v>
                </c:pt>
                <c:pt idx="42">
                  <c:v>43070</c:v>
                </c:pt>
                <c:pt idx="43">
                  <c:v>43190</c:v>
                </c:pt>
                <c:pt idx="44">
                  <c:v>43251</c:v>
                </c:pt>
                <c:pt idx="45">
                  <c:v>43281</c:v>
                </c:pt>
                <c:pt idx="46">
                  <c:v>43312</c:v>
                </c:pt>
                <c:pt idx="47">
                  <c:v>43343</c:v>
                </c:pt>
                <c:pt idx="48">
                  <c:v>43373</c:v>
                </c:pt>
                <c:pt idx="49">
                  <c:v>43404</c:v>
                </c:pt>
                <c:pt idx="50">
                  <c:v>43434</c:v>
                </c:pt>
                <c:pt idx="51">
                  <c:v>43465</c:v>
                </c:pt>
                <c:pt idx="52">
                  <c:v>43496</c:v>
                </c:pt>
                <c:pt idx="53">
                  <c:v>43524</c:v>
                </c:pt>
                <c:pt idx="54">
                  <c:v>43555</c:v>
                </c:pt>
                <c:pt idx="55">
                  <c:v>43708</c:v>
                </c:pt>
              </c:numCache>
              <c:extLst/>
            </c:numRef>
          </c:cat>
          <c:val>
            <c:numRef>
              <c:f>ATM!$C$23:$C$97</c:f>
              <c:numCache>
                <c:formatCode>General</c:formatCode>
                <c:ptCount val="56"/>
                <c:pt idx="0">
                  <c:v>3.0838267113446558</c:v>
                </c:pt>
                <c:pt idx="1">
                  <c:v>2.9246176058929931</c:v>
                </c:pt>
                <c:pt idx="2">
                  <c:v>3.3504564129820777</c:v>
                </c:pt>
                <c:pt idx="3">
                  <c:v>3.2825351086963304</c:v>
                </c:pt>
                <c:pt idx="4">
                  <c:v>3.1658572633718389</c:v>
                </c:pt>
                <c:pt idx="5">
                  <c:v>3.0818323519355681</c:v>
                </c:pt>
                <c:pt idx="6">
                  <c:v>2.9818836263987962</c:v>
                </c:pt>
                <c:pt idx="7">
                  <c:v>3.0049999999999999</c:v>
                </c:pt>
                <c:pt idx="8">
                  <c:v>2.9140000000000001</c:v>
                </c:pt>
                <c:pt idx="9">
                  <c:v>2.9049999999999998</c:v>
                </c:pt>
                <c:pt idx="10">
                  <c:v>2.7987341278311022</c:v>
                </c:pt>
                <c:pt idx="11">
                  <c:v>2.88</c:v>
                </c:pt>
                <c:pt idx="12">
                  <c:v>2.8109999999999999</c:v>
                </c:pt>
                <c:pt idx="13">
                  <c:v>2.7839999999999998</c:v>
                </c:pt>
                <c:pt idx="14">
                  <c:v>2.7409674673809263</c:v>
                </c:pt>
                <c:pt idx="15">
                  <c:v>2.9445934084118077</c:v>
                </c:pt>
                <c:pt idx="16">
                  <c:v>2.9010109589106445</c:v>
                </c:pt>
                <c:pt idx="17">
                  <c:v>2.8055085853538961</c:v>
                </c:pt>
                <c:pt idx="18">
                  <c:v>2.7648133220952889</c:v>
                </c:pt>
                <c:pt idx="19">
                  <c:v>2.7817699015835227</c:v>
                </c:pt>
                <c:pt idx="20">
                  <c:v>2.8151000105737958</c:v>
                </c:pt>
                <c:pt idx="21">
                  <c:v>2.7950868348915776</c:v>
                </c:pt>
                <c:pt idx="22">
                  <c:v>2.781034591183166</c:v>
                </c:pt>
                <c:pt idx="23">
                  <c:v>2.8246716028100907</c:v>
                </c:pt>
                <c:pt idx="24">
                  <c:v>2.7537744363665655</c:v>
                </c:pt>
                <c:pt idx="25">
                  <c:v>3.0277837362105053</c:v>
                </c:pt>
                <c:pt idx="26">
                  <c:v>3.0711739358449046</c:v>
                </c:pt>
                <c:pt idx="27">
                  <c:v>3.0371340331891314</c:v>
                </c:pt>
                <c:pt idx="28">
                  <c:v>2.9509648385145577</c:v>
                </c:pt>
                <c:pt idx="29">
                  <c:v>2.972017780149562</c:v>
                </c:pt>
                <c:pt idx="30">
                  <c:v>3.2270107724313322</c:v>
                </c:pt>
                <c:pt idx="31">
                  <c:v>3.2367177030434138</c:v>
                </c:pt>
                <c:pt idx="32">
                  <c:v>3.1263111906126486</c:v>
                </c:pt>
                <c:pt idx="33">
                  <c:v>3.151451783643846</c:v>
                </c:pt>
                <c:pt idx="34">
                  <c:v>3.2490720493923231</c:v>
                </c:pt>
                <c:pt idx="35">
                  <c:v>3.3749675469110718</c:v>
                </c:pt>
                <c:pt idx="36">
                  <c:v>3.2957979336730352</c:v>
                </c:pt>
                <c:pt idx="37" formatCode="0.0">
                  <c:v>3.2501985419802555</c:v>
                </c:pt>
                <c:pt idx="38">
                  <c:v>3.4</c:v>
                </c:pt>
                <c:pt idx="39">
                  <c:v>3.3</c:v>
                </c:pt>
                <c:pt idx="40">
                  <c:v>3.5</c:v>
                </c:pt>
                <c:pt idx="41">
                  <c:v>3.5</c:v>
                </c:pt>
                <c:pt idx="42">
                  <c:v>3.5</c:v>
                </c:pt>
                <c:pt idx="43">
                  <c:v>3.7</c:v>
                </c:pt>
                <c:pt idx="44">
                  <c:v>3.8</c:v>
                </c:pt>
                <c:pt idx="45">
                  <c:v>3.8</c:v>
                </c:pt>
                <c:pt idx="46">
                  <c:v>3.9</c:v>
                </c:pt>
                <c:pt idx="47">
                  <c:v>3.9</c:v>
                </c:pt>
                <c:pt idx="48">
                  <c:v>4</c:v>
                </c:pt>
                <c:pt idx="49">
                  <c:v>3.64</c:v>
                </c:pt>
                <c:pt idx="50">
                  <c:v>3.5569999999999999</c:v>
                </c:pt>
                <c:pt idx="51">
                  <c:v>3.532</c:v>
                </c:pt>
                <c:pt idx="52">
                  <c:v>3.9140000000000001</c:v>
                </c:pt>
                <c:pt idx="53">
                  <c:v>4.0759999999999996</c:v>
                </c:pt>
                <c:pt idx="54">
                  <c:v>3.9870000000000001</c:v>
                </c:pt>
                <c:pt idx="55" formatCode="0.0">
                  <c:v>4.12</c:v>
                </c:pt>
              </c:numCache>
              <c:extLst/>
            </c:numRef>
          </c:val>
          <c:smooth val="0"/>
          <c:extLst>
            <c:ext xmlns:c16="http://schemas.microsoft.com/office/drawing/2014/chart" uri="{C3380CC4-5D6E-409C-BE32-E72D297353CC}">
              <c16:uniqueId val="{00000001-D1A6-4BC1-8D45-331C94234A22}"/>
            </c:ext>
          </c:extLst>
        </c:ser>
        <c:dLbls>
          <c:showLegendKey val="0"/>
          <c:showVal val="0"/>
          <c:showCatName val="0"/>
          <c:showSerName val="0"/>
          <c:showPercent val="0"/>
          <c:showBubbleSize val="0"/>
        </c:dLbls>
        <c:smooth val="0"/>
        <c:axId val="1372085040"/>
        <c:axId val="1601878256"/>
      </c:lineChart>
      <c:dateAx>
        <c:axId val="1372085040"/>
        <c:scaling>
          <c:orientation val="minMax"/>
          <c:max val="43678"/>
          <c:min val="41852"/>
        </c:scaling>
        <c:delete val="0"/>
        <c:axPos val="b"/>
        <c:numFmt formatCode="[$-C1A]d\.\ mmmm\ yyyy;@" sourceLinked="0"/>
        <c:majorTickMark val="out"/>
        <c:minorTickMark val="none"/>
        <c:tickLblPos val="nextTo"/>
        <c:txPr>
          <a:bodyPr rot="-2700000"/>
          <a:lstStyle/>
          <a:p>
            <a:pPr>
              <a:defRPr sz="700"/>
            </a:pPr>
            <a:endParaRPr lang="en-US"/>
          </a:p>
        </c:txPr>
        <c:crossAx val="1601878256"/>
        <c:crosses val="autoZero"/>
        <c:auto val="1"/>
        <c:lblOffset val="100"/>
        <c:baseTimeUnit val="months"/>
        <c:majorUnit val="6"/>
        <c:majorTimeUnit val="months"/>
        <c:minorUnit val="2"/>
        <c:minorTimeUnit val="months"/>
      </c:dateAx>
      <c:valAx>
        <c:axId val="1601878256"/>
        <c:scaling>
          <c:orientation val="minMax"/>
        </c:scaling>
        <c:delete val="0"/>
        <c:axPos val="l"/>
        <c:title>
          <c:tx>
            <c:rich>
              <a:bodyPr rot="-5400000" vert="horz"/>
              <a:lstStyle/>
              <a:p>
                <a:pPr>
                  <a:defRPr sz="800" b="0" i="1"/>
                </a:pPr>
                <a:r>
                  <a:rPr lang="sr-Cyrl-RS" sz="800" b="0" i="0" dirty="0" smtClean="0"/>
                  <a:t>У годинама</a:t>
                </a:r>
                <a:endParaRPr lang="sr-Latn-RS" sz="800" b="0" i="0" dirty="0"/>
              </a:p>
            </c:rich>
          </c:tx>
          <c:layout>
            <c:manualLayout>
              <c:xMode val="edge"/>
              <c:yMode val="edge"/>
              <c:x val="2.0642548713668857E-2"/>
              <c:y val="0.17623183296117839"/>
            </c:manualLayout>
          </c:layout>
          <c:overlay val="0"/>
        </c:title>
        <c:numFmt formatCode="General" sourceLinked="1"/>
        <c:majorTickMark val="out"/>
        <c:minorTickMark val="none"/>
        <c:tickLblPos val="nextTo"/>
        <c:crossAx val="1372085040"/>
        <c:crossesAt val="40969"/>
        <c:crossBetween val="between"/>
      </c:valAx>
    </c:plotArea>
    <c:legend>
      <c:legendPos val="r"/>
      <c:layout>
        <c:manualLayout>
          <c:xMode val="edge"/>
          <c:yMode val="edge"/>
          <c:x val="0"/>
          <c:y val="0.84640801202370708"/>
          <c:w val="0.99605275755624889"/>
          <c:h val="0.12993874715240428"/>
        </c:manualLayout>
      </c:layout>
      <c:overlay val="0"/>
      <c:txPr>
        <a:bodyPr/>
        <a:lstStyle/>
        <a:p>
          <a:pPr>
            <a:defRPr sz="650"/>
          </a:pPr>
          <a:endParaRPr lang="en-US"/>
        </a:p>
      </c:txPr>
    </c:legend>
    <c:plotVisOnly val="1"/>
    <c:dispBlanksAs val="gap"/>
    <c:showDLblsOverMax val="0"/>
  </c:chart>
  <c:spPr>
    <a:ln>
      <a:noFill/>
    </a:ln>
  </c:spPr>
  <c:txPr>
    <a:bodyPr/>
    <a:lstStyle/>
    <a:p>
      <a:pPr>
        <a:defRPr sz="800"/>
      </a:pPr>
      <a:endParaRPr lang="en-US"/>
    </a:p>
  </c:txPr>
  <c:externalData r:id="rId2">
    <c:autoUpdate val="0"/>
  </c:externalData>
</c:chartSpace>
</file>

<file path=word/charts/chart44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5956318891397163E-2"/>
          <c:y val="2.1195906742660208E-2"/>
          <c:w val="0.8766444001692163"/>
          <c:h val="0.86201338761496593"/>
        </c:manualLayout>
      </c:layout>
      <c:scatterChart>
        <c:scatterStyle val="lineMarker"/>
        <c:varyColors val="0"/>
        <c:ser>
          <c:idx val="0"/>
          <c:order val="0"/>
          <c:spPr>
            <a:ln w="28575" cap="rnd">
              <a:noFill/>
              <a:round/>
            </a:ln>
            <a:effectLst/>
          </c:spPr>
          <c:marker>
            <c:symbol val="diamond"/>
            <c:size val="5"/>
            <c:spPr>
              <a:solidFill>
                <a:srgbClr val="44546A"/>
              </a:solidFill>
              <a:ln w="9525">
                <a:noFill/>
              </a:ln>
              <a:effectLst/>
            </c:spPr>
          </c:marker>
          <c:dLbls>
            <c:dLbl>
              <c:idx val="0"/>
              <c:layout>
                <c:manualLayout>
                  <c:x val="6.4463300478113258E-2"/>
                  <c:y val="-4.4239495141978551E-2"/>
                </c:manualLayout>
              </c:layout>
              <c:tx>
                <c:rich>
                  <a:bodyPr/>
                  <a:lstStyle/>
                  <a:p>
                    <a:fld id="{BA392B60-6384-4C98-893D-62F6DA5F6761}"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{BA392B60-6384-4C98-893D-62F6DA5F6761}</c15:txfldGUID>
                      <c15:f>'S0 2018'!$B$4</c15:f>
                      <c15:dlblFieldTableCache>
                        <c:ptCount val="1"/>
                        <c:pt idx="0">
                          <c:v>Аустрија</c:v>
                        </c:pt>
                      </c15:dlblFieldTableCache>
                    </c15:dlblFTEntry>
                  </c15:dlblFieldTable>
                  <c15:showDataLabelsRange val="0"/>
                </c:ext>
                <c:ext xmlns:c16="http://schemas.microsoft.com/office/drawing/2014/chart" uri="{C3380CC4-5D6E-409C-BE32-E72D297353CC}">
                  <c16:uniqueId val="{00000000-DDE5-47BC-959A-2302127424EA}"/>
                </c:ext>
              </c:extLst>
            </c:dLbl>
            <c:dLbl>
              <c:idx val="1"/>
              <c:layout>
                <c:manualLayout>
                  <c:x val="2.9185643657860923E-2"/>
                  <c:y val="0.13262072609048481"/>
                </c:manualLayout>
              </c:layout>
              <c:tx>
                <c:rich>
                  <a:bodyPr/>
                  <a:lstStyle/>
                  <a:p>
                    <a:fld id="{4FC5DD49-2C76-4344-92E9-319A8FD3D55D}"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{4FC5DD49-2C76-4344-92E9-319A8FD3D55D}</c15:txfldGUID>
                      <c15:f>'S0 2018'!$B$5</c15:f>
                      <c15:dlblFieldTableCache>
                        <c:ptCount val="1"/>
                        <c:pt idx="0">
                          <c:v>Белгија</c:v>
                        </c:pt>
                      </c15:dlblFieldTableCache>
                    </c15:dlblFTEntry>
                  </c15:dlblFieldTable>
                  <c15:showDataLabelsRange val="0"/>
                </c:ext>
                <c:ext xmlns:c16="http://schemas.microsoft.com/office/drawing/2014/chart" uri="{C3380CC4-5D6E-409C-BE32-E72D297353CC}">
                  <c16:uniqueId val="{00000001-DDE5-47BC-959A-2302127424EA}"/>
                </c:ext>
              </c:extLst>
            </c:dLbl>
            <c:dLbl>
              <c:idx val="2"/>
              <c:layout>
                <c:manualLayout>
                  <c:x val="1.8690695224811659E-2"/>
                  <c:y val="-3.7342831287350595E-2"/>
                </c:manualLayout>
              </c:layout>
              <c:tx>
                <c:rich>
                  <a:bodyPr/>
                  <a:lstStyle/>
                  <a:p>
                    <a:fld id="{32139CEF-9A15-477E-B6F6-121E7939F07E}"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{32139CEF-9A15-477E-B6F6-121E7939F07E}</c15:txfldGUID>
                      <c15:f>'S0 2018'!$B$6</c15:f>
                      <c15:dlblFieldTableCache>
                        <c:ptCount val="1"/>
                        <c:pt idx="0">
                          <c:v>Бугарска</c:v>
                        </c:pt>
                      </c15:dlblFieldTableCache>
                    </c15:dlblFTEntry>
                  </c15:dlblFieldTable>
                  <c15:showDataLabelsRange val="0"/>
                </c:ext>
                <c:ext xmlns:c16="http://schemas.microsoft.com/office/drawing/2014/chart" uri="{C3380CC4-5D6E-409C-BE32-E72D297353CC}">
                  <c16:uniqueId val="{00000002-DDE5-47BC-959A-2302127424EA}"/>
                </c:ext>
              </c:extLst>
            </c:dLbl>
            <c:dLbl>
              <c:idx val="3"/>
              <c:layout>
                <c:manualLayout>
                  <c:x val="0.122943684581357"/>
                  <c:y val="-1.3451707674601982E-2"/>
                </c:manualLayout>
              </c:layout>
              <c:tx>
                <c:rich>
                  <a:bodyPr rot="0" spcFirstLastPara="1" vertOverflow="ellipsis" vert="horz" wrap="square" lIns="38100" tIns="19050" rIns="38100" bIns="19050" anchor="ctr" anchorCtr="1">
                    <a:noAutofit/>
                  </a:bodyPr>
                  <a:lstStyle/>
                  <a:p>
                    <a:pPr>
                      <a:defRPr sz="750" b="0" i="0" u="none" strike="noStrike" kern="1200" baseline="0">
                        <a:solidFill>
                          <a:srgbClr val="44546A"/>
                        </a:solidFill>
                        <a:latin typeface="+mj-lt"/>
                        <a:ea typeface="+mn-ea"/>
                        <a:cs typeface="+mn-cs"/>
                      </a:defRPr>
                    </a:pPr>
                    <a:fld id="{6D896CBC-E636-430C-86B1-96A8DE29A305}" type="CELLREF">
                      <a:rPr lang="sr-Cyrl-CS" sz="750">
                        <a:solidFill>
                          <a:srgbClr val="44546A"/>
                        </a:solidFill>
                      </a:rPr>
                      <a:pPr>
                        <a:defRPr sz="750">
                          <a:solidFill>
                            <a:srgbClr val="44546A"/>
                          </a:solidFill>
                          <a:latin typeface="+mj-lt"/>
                        </a:defRPr>
                      </a:pPr>
                      <a:t>[CELLREF]</a:t>
                    </a:fld>
                    <a:endParaRPr lang="en-US"/>
                  </a:p>
                </c:rich>
              </c:tx>
              <c:spPr>
                <a:noFill/>
                <a:ln>
                  <a:noFill/>
                </a:ln>
                <a:effectLst/>
              </c:spPr>
              <c:txPr>
                <a:bodyPr rot="0" spcFirstLastPara="1" vertOverflow="ellipsis" vert="horz" wrap="square" lIns="38100" tIns="19050" rIns="38100" bIns="19050" anchor="ctr" anchorCtr="1">
                  <a:noAutofit/>
                </a:bodyPr>
                <a:lstStyle/>
                <a:p>
                  <a:pPr>
                    <a:defRPr sz="750" b="0" i="0" u="none" strike="noStrike" kern="1200" baseline="0">
                      <a:solidFill>
                        <a:srgbClr val="44546A"/>
                      </a:solidFill>
                      <a:latin typeface="+mj-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15:layout>
                    <c:manualLayout>
                      <c:w val="6.0406086746680659E-2"/>
                      <c:h val="4.8839073680947198E-2"/>
                    </c:manualLayout>
                  </c15:layout>
                  <c15:dlblFieldTable>
                    <c15:dlblFTEntry>
                      <c15:txfldGUID>{6D896CBC-E636-430C-86B1-96A8DE29A305}</c15:txfldGUID>
                      <c15:f>'S0 2018'!$B$7</c15:f>
                      <c15:dlblFieldTableCache>
                        <c:ptCount val="1"/>
                        <c:pt idx="0">
                          <c:v>Чешка</c:v>
                        </c:pt>
                      </c15:dlblFieldTableCache>
                    </c15:dlblFTEntry>
                  </c15:dlblFieldTable>
                  <c15:showDataLabelsRange val="0"/>
                </c:ext>
                <c:ext xmlns:c16="http://schemas.microsoft.com/office/drawing/2014/chart" uri="{C3380CC4-5D6E-409C-BE32-E72D297353CC}">
                  <c16:uniqueId val="{00000003-DDE5-47BC-959A-2302127424EA}"/>
                </c:ext>
              </c:extLst>
            </c:dLbl>
            <c:dLbl>
              <c:idx val="4"/>
              <c:layout>
                <c:manualLayout>
                  <c:x val="2.395368974790044E-2"/>
                  <c:y val="5.2857340727918069E-2"/>
                </c:manualLayout>
              </c:layout>
              <c:tx>
                <c:rich>
                  <a:bodyPr/>
                  <a:lstStyle/>
                  <a:p>
                    <a:fld id="{F64B9FC9-ED52-4062-A0E6-D96A93A0E0EE}"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{F64B9FC9-ED52-4062-A0E6-D96A93A0E0EE}</c15:txfldGUID>
                      <c15:f>'S0 2018'!$B$8</c15:f>
                      <c15:dlblFieldTableCache>
                        <c:ptCount val="1"/>
                        <c:pt idx="0">
                          <c:v>Хрватска</c:v>
                        </c:pt>
                      </c15:dlblFieldTableCache>
                    </c15:dlblFTEntry>
                  </c15:dlblFieldTable>
                  <c15:showDataLabelsRange val="0"/>
                </c:ext>
                <c:ext xmlns:c16="http://schemas.microsoft.com/office/drawing/2014/chart" uri="{C3380CC4-5D6E-409C-BE32-E72D297353CC}">
                  <c16:uniqueId val="{00000004-DDE5-47BC-959A-2302127424EA}"/>
                </c:ext>
              </c:extLst>
            </c:dLbl>
            <c:dLbl>
              <c:idx val="5"/>
              <c:layout>
                <c:manualLayout>
                  <c:x val="2.8658392488639479E-3"/>
                  <c:y val="-6.0920530715880321E-2"/>
                </c:manualLayout>
              </c:layout>
              <c:tx>
                <c:rich>
                  <a:bodyPr/>
                  <a:lstStyle/>
                  <a:p>
                    <a:fld id="{A36E27CE-79A3-4684-895E-50D86AFDAF47}" type="CELLREF">
                      <a:rPr lang="sr-Cyrl-CS">
                        <a:solidFill>
                          <a:srgbClr val="44546A"/>
                        </a:solidFill>
                      </a:rPr>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{A36E27CE-79A3-4684-895E-50D86AFDAF47}</c15:txfldGUID>
                      <c15:f>'S0 2018'!$B$9</c15:f>
                      <c15:dlblFieldTableCache>
                        <c:ptCount val="1"/>
                        <c:pt idx="0">
                          <c:v>Кипар</c:v>
                        </c:pt>
                      </c15:dlblFieldTableCache>
                    </c15:dlblFTEntry>
                  </c15:dlblFieldTable>
                  <c15:showDataLabelsRange val="0"/>
                </c:ext>
                <c:ext xmlns:c16="http://schemas.microsoft.com/office/drawing/2014/chart" uri="{C3380CC4-5D6E-409C-BE32-E72D297353CC}">
                  <c16:uniqueId val="{00000005-DDE5-47BC-959A-2302127424EA}"/>
                </c:ext>
              </c:extLst>
            </c:dLbl>
            <c:dLbl>
              <c:idx val="6"/>
              <c:layout>
                <c:manualLayout>
                  <c:x val="6.060606504296912E-3"/>
                  <c:y val="2.4903727635493925E-2"/>
                </c:manualLayout>
              </c:layout>
              <c:tx>
                <c:rich>
                  <a:bodyPr/>
                  <a:lstStyle/>
                  <a:p>
                    <a:fld id="{C83F85E3-4FDB-4673-9DFE-B089FF68B746}"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layout>
                    <c:manualLayout>
                      <c:w val="6.4738859128619694E-2"/>
                      <c:h val="3.5416663665283558E-2"/>
                    </c:manualLayout>
                  </c15:layout>
                  <c15:dlblFieldTable>
                    <c15:dlblFTEntry>
                      <c15:txfldGUID>{C83F85E3-4FDB-4673-9DFE-B089FF68B746}</c15:txfldGUID>
                      <c15:f>'S0 2018'!$B$10</c15:f>
                      <c15:dlblFieldTableCache>
                        <c:ptCount val="1"/>
                        <c:pt idx="0">
                          <c:v>Данска</c:v>
                        </c:pt>
                      </c15:dlblFieldTableCache>
                    </c15:dlblFTEntry>
                  </c15:dlblFieldTable>
                  <c15:showDataLabelsRange val="0"/>
                </c:ext>
                <c:ext xmlns:c16="http://schemas.microsoft.com/office/drawing/2014/chart" uri="{C3380CC4-5D6E-409C-BE32-E72D297353CC}">
                  <c16:uniqueId val="{00000006-DDE5-47BC-959A-2302127424EA}"/>
                </c:ext>
              </c:extLst>
            </c:dLbl>
            <c:dLbl>
              <c:idx val="7"/>
              <c:layout>
                <c:manualLayout>
                  <c:x val="3.1845033545824859E-2"/>
                  <c:y val="4.6478698446614355E-2"/>
                </c:manualLayout>
              </c:layout>
              <c:tx>
                <c:rich>
                  <a:bodyPr/>
                  <a:lstStyle/>
                  <a:p>
                    <a:fld id="{F00A70DB-A5AE-4979-A92C-BF5289B8D745}"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{F00A70DB-A5AE-4979-A92C-BF5289B8D745}</c15:txfldGUID>
                      <c15:f>'S0 2018'!$B$11</c15:f>
                      <c15:dlblFieldTableCache>
                        <c:ptCount val="1"/>
                        <c:pt idx="0">
                          <c:v>Естонија</c:v>
                        </c:pt>
                      </c15:dlblFieldTableCache>
                    </c15:dlblFTEntry>
                  </c15:dlblFieldTable>
                  <c15:showDataLabelsRange val="0"/>
                </c:ext>
                <c:ext xmlns:c16="http://schemas.microsoft.com/office/drawing/2014/chart" uri="{C3380CC4-5D6E-409C-BE32-E72D297353CC}">
                  <c16:uniqueId val="{00000007-DDE5-47BC-959A-2302127424EA}"/>
                </c:ext>
              </c:extLst>
            </c:dLbl>
            <c:dLbl>
              <c:idx val="8"/>
              <c:layout>
                <c:manualLayout>
                  <c:x val="4.8830544900393305E-2"/>
                  <c:y val="-3.0068919302447008E-2"/>
                </c:manualLayout>
              </c:layout>
              <c:tx>
                <c:rich>
                  <a:bodyPr/>
                  <a:lstStyle/>
                  <a:p>
                    <a:fld id="{00D5BF60-5092-4A6D-A9C3-F8BCEE0DB10F}"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{00D5BF60-5092-4A6D-A9C3-F8BCEE0DB10F}</c15:txfldGUID>
                      <c15:f>'S0 2018'!$B$12</c15:f>
                      <c15:dlblFieldTableCache>
                        <c:ptCount val="1"/>
                        <c:pt idx="0">
                          <c:v>Финска</c:v>
                        </c:pt>
                      </c15:dlblFieldTableCache>
                    </c15:dlblFTEntry>
                  </c15:dlblFieldTable>
                  <c15:showDataLabelsRange val="0"/>
                </c:ext>
                <c:ext xmlns:c16="http://schemas.microsoft.com/office/drawing/2014/chart" uri="{C3380CC4-5D6E-409C-BE32-E72D297353CC}">
                  <c16:uniqueId val="{00000008-DDE5-47BC-959A-2302127424EA}"/>
                </c:ext>
              </c:extLst>
            </c:dLbl>
            <c:dLbl>
              <c:idx val="9"/>
              <c:layout>
                <c:manualLayout>
                  <c:x val="9.6293252971333416E-3"/>
                  <c:y val="4.8284261920104488E-2"/>
                </c:manualLayout>
              </c:layout>
              <c:tx>
                <c:rich>
                  <a:bodyPr/>
                  <a:lstStyle/>
                  <a:p>
                    <a:fld id="{B688661B-83E2-4D57-9F78-2026FC055CDE}"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{B688661B-83E2-4D57-9F78-2026FC055CDE}</c15:txfldGUID>
                      <c15:f>'S0 2018'!$B$13</c15:f>
                      <c15:dlblFieldTableCache>
                        <c:ptCount val="1"/>
                        <c:pt idx="0">
                          <c:v>Француска</c:v>
                        </c:pt>
                      </c15:dlblFieldTableCache>
                    </c15:dlblFTEntry>
                  </c15:dlblFieldTable>
                  <c15:showDataLabelsRange val="0"/>
                </c:ext>
                <c:ext xmlns:c16="http://schemas.microsoft.com/office/drawing/2014/chart" uri="{C3380CC4-5D6E-409C-BE32-E72D297353CC}">
                  <c16:uniqueId val="{00000009-DDE5-47BC-959A-2302127424EA}"/>
                </c:ext>
              </c:extLst>
            </c:dLbl>
            <c:dLbl>
              <c:idx val="10"/>
              <c:layout>
                <c:manualLayout>
                  <c:x val="2.9479797392647049E-2"/>
                  <c:y val="-4.8224783082325189E-2"/>
                </c:manualLayout>
              </c:layout>
              <c:tx>
                <c:rich>
                  <a:bodyPr/>
                  <a:lstStyle/>
                  <a:p>
                    <a:fld id="{97F88866-5997-46EE-A202-CB4146B5529B}"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{97F88866-5997-46EE-A202-CB4146B5529B}</c15:txfldGUID>
                      <c15:f>'S0 2018'!$B$14</c15:f>
                      <c15:dlblFieldTableCache>
                        <c:ptCount val="1"/>
                        <c:pt idx="0">
                          <c:v>Немачка</c:v>
                        </c:pt>
                      </c15:dlblFieldTableCache>
                    </c15:dlblFTEntry>
                  </c15:dlblFieldTable>
                  <c15:showDataLabelsRange val="0"/>
                </c:ext>
                <c:ext xmlns:c16="http://schemas.microsoft.com/office/drawing/2014/chart" uri="{C3380CC4-5D6E-409C-BE32-E72D297353CC}">
                  <c16:uniqueId val="{0000000A-DDE5-47BC-959A-2302127424EA}"/>
                </c:ext>
              </c:extLst>
            </c:dLbl>
            <c:dLbl>
              <c:idx val="11"/>
              <c:layout>
                <c:manualLayout>
                  <c:x val="-8.3677879258457322E-2"/>
                  <c:y val="9.7792264910921758E-3"/>
                </c:manualLayout>
              </c:layout>
              <c:tx>
                <c:rich>
                  <a:bodyPr/>
                  <a:lstStyle/>
                  <a:p>
                    <a:fld id="{7C4E8C15-33DC-404F-BA0E-A38CE1463503}" type="CELLREF">
                      <a:rPr lang="sr-Cyrl-CS">
                        <a:solidFill>
                          <a:srgbClr val="44546A"/>
                        </a:solidFill>
                      </a:rPr>
                      <a:pPr/>
                      <a:t>[CELLREF]</a:t>
                    </a:fld>
                    <a:endParaRPr lang="en-US"/>
                  </a:p>
                </c:rich>
              </c:tx>
              <c:showLegendKey val="0"/>
              <c:showVal val="0"/>
              <c:showCatName val="0"/>
              <c:showSerName val="0"/>
              <c:showPercent val="0"/>
              <c:showBubbleSize val="0"/>
              <c:extLst>
                <c:ext xmlns:c15="http://schemas.microsoft.com/office/drawing/2012/chart" uri="{CE6537A1-D6FC-4f65-9D91-7224C49458BB}">
                  <c15:dlblFieldTable>
                    <c15:dlblFTEntry>
                      <c15:txfldGUID>{7C4E8C15-33DC-404F-BA0E-A38CE1463503}</c15:txfldGUID>
                      <c15:f>'S0 2018'!$B$15</c15:f>
                      <c15:dlblFieldTableCache>
                        <c:ptCount val="1"/>
                        <c:pt idx="0">
                          <c:v>Мађарска</c:v>
                        </c:pt>
                      </c15:dlblFieldTableCache>
                    </c15:dlblFTEntry>
                  </c15:dlblFieldTable>
                  <c15:showDataLabelsRange val="0"/>
                </c:ext>
                <c:ext xmlns:c16="http://schemas.microsoft.com/office/drawing/2014/chart" uri="{C3380CC4-5D6E-409C-BE32-E72D297353CC}">
                  <c16:uniqueId val="{0000000B-DDE5-47BC-959A-2302127424EA}"/>
                </c:ext>
              </c:extLst>
            </c:dLbl>
            <c:dLbl>
              <c:idx val="12"/>
              <c:layout>
                <c:manualLayout>
                  <c:x val="4.5421641339771432E-2"/>
                  <c:y val="-8.0857055064849429E-2"/>
                </c:manualLayout>
              </c:layout>
              <c:tx>
                <c:rich>
                  <a:bodyPr/>
                  <a:lstStyle/>
                  <a:p>
                    <a:fld id="{F18339AF-639A-4A24-AD86-A39C2E17BF94}" type="CELLREF">
                      <a:rPr lang="sr-Cyrl-CS">
                        <a:solidFill>
                          <a:srgbClr val="44546A"/>
                        </a:solidFill>
                      </a:rPr>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{F18339AF-639A-4A24-AD86-A39C2E17BF94}</c15:txfldGUID>
                      <c15:f>'S0 2018'!$B$16</c15:f>
                      <c15:dlblFieldTableCache>
                        <c:ptCount val="1"/>
                        <c:pt idx="0">
                          <c:v>Ирска</c:v>
                        </c:pt>
                      </c15:dlblFieldTableCache>
                    </c15:dlblFTEntry>
                  </c15:dlblFieldTable>
                  <c15:showDataLabelsRange val="0"/>
                </c:ext>
                <c:ext xmlns:c16="http://schemas.microsoft.com/office/drawing/2014/chart" uri="{C3380CC4-5D6E-409C-BE32-E72D297353CC}">
                  <c16:uniqueId val="{0000000C-DDE5-47BC-959A-2302127424EA}"/>
                </c:ext>
              </c:extLst>
            </c:dLbl>
            <c:dLbl>
              <c:idx val="13"/>
              <c:layout>
                <c:manualLayout>
                  <c:x val="9.4353214650817994E-3"/>
                  <c:y val="-7.2675319019582948E-2"/>
                </c:manualLayout>
              </c:layout>
              <c:tx>
                <c:rich>
                  <a:bodyPr/>
                  <a:lstStyle/>
                  <a:p>
                    <a:fld id="{AB3130AF-8016-4600-B883-C19018188EA6}"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{AB3130AF-8016-4600-B883-C19018188EA6}</c15:txfldGUID>
                      <c15:f>'S0 2018'!$B$17</c15:f>
                      <c15:dlblFieldTableCache>
                        <c:ptCount val="1"/>
                        <c:pt idx="0">
                          <c:v>Италија</c:v>
                        </c:pt>
                      </c15:dlblFieldTableCache>
                    </c15:dlblFTEntry>
                  </c15:dlblFieldTable>
                  <c15:showDataLabelsRange val="0"/>
                </c:ext>
                <c:ext xmlns:c16="http://schemas.microsoft.com/office/drawing/2014/chart" uri="{C3380CC4-5D6E-409C-BE32-E72D297353CC}">
                  <c16:uniqueId val="{0000000D-DDE5-47BC-959A-2302127424EA}"/>
                </c:ext>
              </c:extLst>
            </c:dLbl>
            <c:dLbl>
              <c:idx val="14"/>
              <c:layout>
                <c:manualLayout>
                  <c:x val="4.4612155065336889E-2"/>
                  <c:y val="-1.4819885571698863E-2"/>
                </c:manualLayout>
              </c:layout>
              <c:tx>
                <c:rich>
                  <a:bodyPr/>
                  <a:lstStyle/>
                  <a:p>
                    <a:fld id="{7C38B323-9E7E-4C21-987E-2C1137AC4808}" type="CELLREF">
                      <a:rPr lang="sr-Cyrl-CS">
                        <a:solidFill>
                          <a:srgbClr val="44546A"/>
                        </a:solidFill>
                      </a:rPr>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{7C38B323-9E7E-4C21-987E-2C1137AC4808}</c15:txfldGUID>
                      <c15:f>'S0 2018'!$B$18</c15:f>
                      <c15:dlblFieldTableCache>
                        <c:ptCount val="1"/>
                        <c:pt idx="0">
                          <c:v>Летонија</c:v>
                        </c:pt>
                      </c15:dlblFieldTableCache>
                    </c15:dlblFTEntry>
                  </c15:dlblFieldTable>
                  <c15:showDataLabelsRange val="0"/>
                </c:ext>
                <c:ext xmlns:c16="http://schemas.microsoft.com/office/drawing/2014/chart" uri="{C3380CC4-5D6E-409C-BE32-E72D297353CC}">
                  <c16:uniqueId val="{0000000E-DDE5-47BC-959A-2302127424EA}"/>
                </c:ext>
              </c:extLst>
            </c:dLbl>
            <c:dLbl>
              <c:idx val="15"/>
              <c:layout>
                <c:manualLayout>
                  <c:x val="3.0856126465314587E-2"/>
                  <c:y val="-0.10818109803697196"/>
                </c:manualLayout>
              </c:layout>
              <c:tx>
                <c:rich>
                  <a:bodyPr/>
                  <a:lstStyle/>
                  <a:p>
                    <a:fld id="{9AB81056-CDF8-4B00-8BD3-955A22C90AC4}"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{9AB81056-CDF8-4B00-8BD3-955A22C90AC4}</c15:txfldGUID>
                      <c15:f>'S0 2018'!$B$19</c15:f>
                      <c15:dlblFieldTableCache>
                        <c:ptCount val="1"/>
                        <c:pt idx="0">
                          <c:v>Литванија</c:v>
                        </c:pt>
                      </c15:dlblFieldTableCache>
                    </c15:dlblFTEntry>
                  </c15:dlblFieldTable>
                  <c15:showDataLabelsRange val="0"/>
                </c:ext>
                <c:ext xmlns:c16="http://schemas.microsoft.com/office/drawing/2014/chart" uri="{C3380CC4-5D6E-409C-BE32-E72D297353CC}">
                  <c16:uniqueId val="{0000000F-DDE5-47BC-959A-2302127424EA}"/>
                </c:ext>
              </c:extLst>
            </c:dLbl>
            <c:dLbl>
              <c:idx val="16"/>
              <c:layout>
                <c:manualLayout>
                  <c:x val="9.5168762835366565E-3"/>
                  <c:y val="5.059591003753753E-2"/>
                </c:manualLayout>
              </c:layout>
              <c:tx>
                <c:rich>
                  <a:bodyPr/>
                  <a:lstStyle/>
                  <a:p>
                    <a:fld id="{6BD11BD5-81C9-4026-A90E-6E5A4E52F3E2}"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{6BD11BD5-81C9-4026-A90E-6E5A4E52F3E2}</c15:txfldGUID>
                      <c15:f>'S0 2018'!$B$20</c15:f>
                      <c15:dlblFieldTableCache>
                        <c:ptCount val="1"/>
                        <c:pt idx="0">
                          <c:v>Луксембург</c:v>
                        </c:pt>
                      </c15:dlblFieldTableCache>
                    </c15:dlblFTEntry>
                  </c15:dlblFieldTable>
                  <c15:showDataLabelsRange val="0"/>
                </c:ext>
                <c:ext xmlns:c16="http://schemas.microsoft.com/office/drawing/2014/chart" uri="{C3380CC4-5D6E-409C-BE32-E72D297353CC}">
                  <c16:uniqueId val="{00000010-DDE5-47BC-959A-2302127424EA}"/>
                </c:ext>
              </c:extLst>
            </c:dLbl>
            <c:dLbl>
              <c:idx val="17"/>
              <c:layout>
                <c:manualLayout>
                  <c:x val="5.9607494375353051E-2"/>
                  <c:y val="4.3160232078604272E-3"/>
                </c:manualLayout>
              </c:layout>
              <c:tx>
                <c:rich>
                  <a:bodyPr/>
                  <a:lstStyle/>
                  <a:p>
                    <a:fld id="{C037E7D2-FB9D-4BA8-9335-4772D70A5E74}"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{C037E7D2-FB9D-4BA8-9335-4772D70A5E74}</c15:txfldGUID>
                      <c15:f>'S0 2018'!$B$21</c15:f>
                      <c15:dlblFieldTableCache>
                        <c:ptCount val="1"/>
                        <c:pt idx="0">
                          <c:v>Малта</c:v>
                        </c:pt>
                      </c15:dlblFieldTableCache>
                    </c15:dlblFTEntry>
                  </c15:dlblFieldTable>
                  <c15:showDataLabelsRange val="0"/>
                </c:ext>
                <c:ext xmlns:c16="http://schemas.microsoft.com/office/drawing/2014/chart" uri="{C3380CC4-5D6E-409C-BE32-E72D297353CC}">
                  <c16:uniqueId val="{00000011-DDE5-47BC-959A-2302127424EA}"/>
                </c:ext>
              </c:extLst>
            </c:dLbl>
            <c:dLbl>
              <c:idx val="18"/>
              <c:layout>
                <c:manualLayout>
                  <c:x val="4.7295937984368997E-3"/>
                  <c:y val="1.8669151743275436E-2"/>
                </c:manualLayout>
              </c:layout>
              <c:tx>
                <c:rich>
                  <a:bodyPr/>
                  <a:lstStyle/>
                  <a:p>
                    <a:fld id="{57D188C4-E035-4D1A-AAE0-11941909A5FA}" type="CELLREF">
                      <a:rPr lang="sr-Cyrl-CS"/>
                      <a:pPr/>
                      <a:t>[CELLREF]</a:t>
                    </a:fld>
                    <a:endParaRPr lang="en-US"/>
                  </a:p>
                </c:rich>
              </c:tx>
              <c:showLegendKey val="0"/>
              <c:showVal val="0"/>
              <c:showCatName val="0"/>
              <c:showSerName val="0"/>
              <c:showPercent val="0"/>
              <c:showBubbleSize val="0"/>
              <c:extLst>
                <c:ext xmlns:c15="http://schemas.microsoft.com/office/drawing/2012/chart" uri="{CE6537A1-D6FC-4f65-9D91-7224C49458BB}">
                  <c15:dlblFieldTable>
                    <c15:dlblFTEntry>
                      <c15:txfldGUID>{57D188C4-E035-4D1A-AAE0-11941909A5FA}</c15:txfldGUID>
                      <c15:f>'S0 2018'!$B$22</c15:f>
                      <c15:dlblFieldTableCache>
                        <c:ptCount val="1"/>
                        <c:pt idx="0">
                          <c:v>Холандија</c:v>
                        </c:pt>
                      </c15:dlblFieldTableCache>
                    </c15:dlblFTEntry>
                  </c15:dlblFieldTable>
                  <c15:showDataLabelsRange val="0"/>
                </c:ext>
                <c:ext xmlns:c16="http://schemas.microsoft.com/office/drawing/2014/chart" uri="{C3380CC4-5D6E-409C-BE32-E72D297353CC}">
                  <c16:uniqueId val="{00000012-DDE5-47BC-959A-2302127424EA}"/>
                </c:ext>
              </c:extLst>
            </c:dLbl>
            <c:dLbl>
              <c:idx val="19"/>
              <c:layout>
                <c:manualLayout>
                  <c:x val="0.11920796681944636"/>
                  <c:y val="-4.6495195781923293E-2"/>
                </c:manualLayout>
              </c:layout>
              <c:tx>
                <c:rich>
                  <a:bodyPr/>
                  <a:lstStyle/>
                  <a:p>
                    <a:fld id="{5FDFF67F-972B-43B3-8EE2-7B465EB4AF78}"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{5FDFF67F-972B-43B3-8EE2-7B465EB4AF78}</c15:txfldGUID>
                      <c15:f>'S0 2018'!$B$23</c15:f>
                      <c15:dlblFieldTableCache>
                        <c:ptCount val="1"/>
                        <c:pt idx="0">
                          <c:v>Пољска</c:v>
                        </c:pt>
                      </c15:dlblFieldTableCache>
                    </c15:dlblFTEntry>
                  </c15:dlblFieldTable>
                  <c15:showDataLabelsRange val="0"/>
                </c:ext>
                <c:ext xmlns:c16="http://schemas.microsoft.com/office/drawing/2014/chart" uri="{C3380CC4-5D6E-409C-BE32-E72D297353CC}">
                  <c16:uniqueId val="{00000013-DDE5-47BC-959A-2302127424EA}"/>
                </c:ext>
              </c:extLst>
            </c:dLbl>
            <c:dLbl>
              <c:idx val="20"/>
              <c:layout>
                <c:manualLayout>
                  <c:x val="-0.12724785551018847"/>
                  <c:y val="-8.2656309298723682E-2"/>
                </c:manualLayout>
              </c:layout>
              <c:tx>
                <c:rich>
                  <a:bodyPr/>
                  <a:lstStyle/>
                  <a:p>
                    <a:fld id="{02172839-62B5-4FC7-B565-A161ABEA694F}"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{02172839-62B5-4FC7-B565-A161ABEA694F}</c15:txfldGUID>
                      <c15:f>'S0 2018'!$B$24</c15:f>
                      <c15:dlblFieldTableCache>
                        <c:ptCount val="1"/>
                        <c:pt idx="0">
                          <c:v>Португал</c:v>
                        </c:pt>
                      </c15:dlblFieldTableCache>
                    </c15:dlblFTEntry>
                  </c15:dlblFieldTable>
                  <c15:showDataLabelsRange val="0"/>
                </c:ext>
                <c:ext xmlns:c16="http://schemas.microsoft.com/office/drawing/2014/chart" uri="{C3380CC4-5D6E-409C-BE32-E72D297353CC}">
                  <c16:uniqueId val="{00000014-DDE5-47BC-959A-2302127424EA}"/>
                </c:ext>
              </c:extLst>
            </c:dLbl>
            <c:dLbl>
              <c:idx val="21"/>
              <c:layout>
                <c:manualLayout>
                  <c:x val="-9.7451126408211658E-2"/>
                  <c:y val="-4.1144537486177343E-2"/>
                </c:manualLayout>
              </c:layout>
              <c:tx>
                <c:rich>
                  <a:bodyPr/>
                  <a:lstStyle/>
                  <a:p>
                    <a:fld id="{87DA5BB2-5D52-4A8E-AABF-3E4BA495F72E}"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{87DA5BB2-5D52-4A8E-AABF-3E4BA495F72E}</c15:txfldGUID>
                      <c15:f>'S0 2018'!$B$25</c15:f>
                      <c15:dlblFieldTableCache>
                        <c:ptCount val="1"/>
                        <c:pt idx="0">
                          <c:v>Румунија</c:v>
                        </c:pt>
                      </c15:dlblFieldTableCache>
                    </c15:dlblFTEntry>
                  </c15:dlblFieldTable>
                  <c15:showDataLabelsRange val="0"/>
                </c:ext>
                <c:ext xmlns:c16="http://schemas.microsoft.com/office/drawing/2014/chart" uri="{C3380CC4-5D6E-409C-BE32-E72D297353CC}">
                  <c16:uniqueId val="{00000015-DDE5-47BC-959A-2302127424EA}"/>
                </c:ext>
              </c:extLst>
            </c:dLbl>
            <c:dLbl>
              <c:idx val="22"/>
              <c:layout>
                <c:manualLayout>
                  <c:x val="2.8479908963152761E-2"/>
                  <c:y val="-6.3485735678103006E-2"/>
                </c:manualLayout>
              </c:layout>
              <c:tx>
                <c:rich>
                  <a:bodyPr/>
                  <a:lstStyle/>
                  <a:p>
                    <a:fld id="{AE3BE22E-F715-4DF6-BD67-DDAFFA9DC0E1}"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{AE3BE22E-F715-4DF6-BD67-DDAFFA9DC0E1}</c15:txfldGUID>
                      <c15:f>'S0 2018'!$B$26</c15:f>
                      <c15:dlblFieldTableCache>
                        <c:ptCount val="1"/>
                        <c:pt idx="0">
                          <c:v>Словачка</c:v>
                        </c:pt>
                      </c15:dlblFieldTableCache>
                    </c15:dlblFTEntry>
                  </c15:dlblFieldTable>
                  <c15:showDataLabelsRange val="0"/>
                </c:ext>
                <c:ext xmlns:c16="http://schemas.microsoft.com/office/drawing/2014/chart" uri="{C3380CC4-5D6E-409C-BE32-E72D297353CC}">
                  <c16:uniqueId val="{00000016-DDE5-47BC-959A-2302127424EA}"/>
                </c:ext>
              </c:extLst>
            </c:dLbl>
            <c:dLbl>
              <c:idx val="23"/>
              <c:layout>
                <c:manualLayout>
                  <c:x val="4.4337123314106663E-2"/>
                  <c:y val="3.0555246270172639E-2"/>
                </c:manualLayout>
              </c:layout>
              <c:tx>
                <c:rich>
                  <a:bodyPr/>
                  <a:lstStyle/>
                  <a:p>
                    <a:fld id="{C00C6D57-AD87-4C57-96BC-43AD631B673A}"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{C00C6D57-AD87-4C57-96BC-43AD631B673A}</c15:txfldGUID>
                      <c15:f>'S0 2018'!$B$27</c15:f>
                      <c15:dlblFieldTableCache>
                        <c:ptCount val="1"/>
                        <c:pt idx="0">
                          <c:v>Словенија</c:v>
                        </c:pt>
                      </c15:dlblFieldTableCache>
                    </c15:dlblFTEntry>
                  </c15:dlblFieldTable>
                  <c15:showDataLabelsRange val="0"/>
                </c:ext>
                <c:ext xmlns:c16="http://schemas.microsoft.com/office/drawing/2014/chart" uri="{C3380CC4-5D6E-409C-BE32-E72D297353CC}">
                  <c16:uniqueId val="{00000017-DDE5-47BC-959A-2302127424EA}"/>
                </c:ext>
              </c:extLst>
            </c:dLbl>
            <c:dLbl>
              <c:idx val="24"/>
              <c:layout>
                <c:manualLayout>
                  <c:x val="2.6001040041601618E-2"/>
                  <c:y val="3.3039647577092442E-2"/>
                </c:manualLayout>
              </c:layout>
              <c:tx>
                <c:rich>
                  <a:bodyPr/>
                  <a:lstStyle/>
                  <a:p>
                    <a:fld id="{2903BFEE-08D6-4338-A79A-8EE42587D941}"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{2903BFEE-08D6-4338-A79A-8EE42587D941}</c15:txfldGUID>
                      <c15:f>'S0 2018'!$B$28</c15:f>
                      <c15:dlblFieldTableCache>
                        <c:ptCount val="1"/>
                        <c:pt idx="0">
                          <c:v>Шпанија</c:v>
                        </c:pt>
                      </c15:dlblFieldTableCache>
                    </c15:dlblFTEntry>
                  </c15:dlblFieldTable>
                  <c15:showDataLabelsRange val="0"/>
                </c:ext>
                <c:ext xmlns:c16="http://schemas.microsoft.com/office/drawing/2014/chart" uri="{C3380CC4-5D6E-409C-BE32-E72D297353CC}">
                  <c16:uniqueId val="{00000018-DDE5-47BC-959A-2302127424EA}"/>
                </c:ext>
              </c:extLst>
            </c:dLbl>
            <c:dLbl>
              <c:idx val="25"/>
              <c:layout>
                <c:manualLayout>
                  <c:x val="6.7286678510905654E-2"/>
                  <c:y val="-5.8763856871277297E-2"/>
                </c:manualLayout>
              </c:layout>
              <c:tx>
                <c:rich>
                  <a:bodyPr/>
                  <a:lstStyle/>
                  <a:p>
                    <a:fld id="{B4782E60-7DDA-4ED8-A2B0-509040CB6F98}"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{B4782E60-7DDA-4ED8-A2B0-509040CB6F98}</c15:txfldGUID>
                      <c15:f>'S0 2018'!$B$29</c15:f>
                      <c15:dlblFieldTableCache>
                        <c:ptCount val="1"/>
                        <c:pt idx="0">
                          <c:v>Шведска</c:v>
                        </c:pt>
                      </c15:dlblFieldTableCache>
                    </c15:dlblFTEntry>
                  </c15:dlblFieldTable>
                  <c15:showDataLabelsRange val="0"/>
                </c:ext>
                <c:ext xmlns:c16="http://schemas.microsoft.com/office/drawing/2014/chart" uri="{C3380CC4-5D6E-409C-BE32-E72D297353CC}">
                  <c16:uniqueId val="{00000019-DDE5-47BC-959A-2302127424EA}"/>
                </c:ext>
              </c:extLst>
            </c:dLbl>
            <c:dLbl>
              <c:idx val="26"/>
              <c:layout>
                <c:manualLayout>
                  <c:x val="-0.20546945792190224"/>
                  <c:y val="4.605495741603724E-2"/>
                </c:manualLayout>
              </c:layout>
              <c:tx>
                <c:rich>
                  <a:bodyPr/>
                  <a:lstStyle/>
                  <a:p>
                    <a:fld id="{3EA81A95-719A-4BA8-BD3D-E90F5FC8467D}" type="CELLREF">
                      <a:rPr lang="sr-Cyrl-CS"/>
                      <a:pPr/>
                      <a:t>[CELLREF]</a:t>
                    </a:fld>
                    <a:endParaRPr lang="en-US"/>
                  </a:p>
                </c:rich>
              </c:tx>
              <c:showLegendKey val="0"/>
              <c:showVal val="1"/>
              <c:showCatName val="0"/>
              <c:showSerName val="0"/>
              <c:showPercent val="0"/>
              <c:showBubbleSize val="0"/>
              <c:extLst>
                <c:ext xmlns:c15="http://schemas.microsoft.com/office/drawing/2012/chart" uri="{CE6537A1-D6FC-4f65-9D91-7224C49458BB}">
                  <c15:dlblFieldTable>
                    <c15:dlblFTEntry>
                      <c15:txfldGUID>{3EA81A95-719A-4BA8-BD3D-E90F5FC8467D}</c15:txfldGUID>
                      <c15:f>'S0 2018'!$B$30</c15:f>
                      <c15:dlblFieldTableCache>
                        <c:ptCount val="1"/>
                        <c:pt idx="0">
                          <c:v>Уједињено Краљевство</c:v>
                        </c:pt>
                      </c15:dlblFieldTableCache>
                    </c15:dlblFTEntry>
                  </c15:dlblFieldTable>
                  <c15:showDataLabelsRange val="0"/>
                </c:ext>
                <c:ext xmlns:c16="http://schemas.microsoft.com/office/drawing/2014/chart" uri="{C3380CC4-5D6E-409C-BE32-E72D297353CC}">
                  <c16:uniqueId val="{0000001A-DDE5-47BC-959A-2302127424EA}"/>
                </c:ext>
              </c:extLst>
            </c:dLbl>
            <c:dLbl>
              <c:idx val="27"/>
              <c:layout>
                <c:manualLayout>
                  <c:x val="2.6209077634793031E-2"/>
                  <c:y val="1.8080547308635602E-2"/>
                </c:manualLayout>
              </c:layout>
              <c:tx>
                <c:rich>
                  <a:bodyPr rot="0" spcFirstLastPara="1" vertOverflow="ellipsis" vert="horz" wrap="square" lIns="38100" tIns="19050" rIns="38100" bIns="19050" anchor="ctr" anchorCtr="1">
                    <a:noAutofit/>
                  </a:bodyPr>
                  <a:lstStyle/>
                  <a:p>
                    <a:pPr>
                      <a:defRPr sz="750" b="1" i="0" u="none" strike="noStrike" kern="1200" baseline="0">
                        <a:solidFill>
                          <a:srgbClr val="44546A"/>
                        </a:solidFill>
                        <a:latin typeface="+mj-lt"/>
                        <a:ea typeface="+mn-ea"/>
                        <a:cs typeface="+mn-cs"/>
                      </a:defRPr>
                    </a:pPr>
                    <a:r>
                      <a:rPr lang="sr-Cyrl-CS" sz="750" b="1">
                        <a:solidFill>
                          <a:srgbClr val="44546A"/>
                        </a:solidFill>
                      </a:rPr>
                      <a:t>Србија</a:t>
                    </a:r>
                    <a:r>
                      <a:rPr lang="sr-Cyrl-CS" sz="750" b="1" baseline="0">
                        <a:solidFill>
                          <a:srgbClr val="44546A"/>
                        </a:solidFill>
                      </a:rPr>
                      <a:t> 2017, 2018</a:t>
                    </a:r>
                  </a:p>
                </c:rich>
              </c:tx>
              <c:spPr>
                <a:noFill/>
                <a:ln>
                  <a:noFill/>
                </a:ln>
                <a:effectLst/>
              </c:spPr>
              <c:txPr>
                <a:bodyPr rot="0" spcFirstLastPara="1" vertOverflow="ellipsis" vert="horz" wrap="square" lIns="38100" tIns="19050" rIns="38100" bIns="19050" anchor="ctr" anchorCtr="1">
                  <a:noAutofit/>
                </a:bodyPr>
                <a:lstStyle/>
                <a:p>
                  <a:pPr>
                    <a:defRPr sz="750" b="1" i="0" u="none" strike="noStrike" kern="1200" baseline="0">
                      <a:solidFill>
                        <a:srgbClr val="44546A"/>
                      </a:solidFill>
                      <a:latin typeface="+mj-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15:layout>
                    <c:manualLayout>
                      <c:w val="0.14893579620980454"/>
                      <c:h val="2.7584879323230092E-2"/>
                    </c:manualLayout>
                  </c15:layout>
                </c:ext>
                <c:ext xmlns:c16="http://schemas.microsoft.com/office/drawing/2014/chart" uri="{C3380CC4-5D6E-409C-BE32-E72D297353CC}">
                  <c16:uniqueId val="{0000001B-DDE5-47BC-959A-2302127424EA}"/>
                </c:ext>
              </c:extLst>
            </c:dLbl>
            <c:dLbl>
              <c:idx val="29"/>
              <c:layout>
                <c:manualLayout>
                  <c:x val="2.3646504812319959E-3"/>
                  <c:y val="-2.323934922330732E-2"/>
                </c:manualLayout>
              </c:layout>
              <c:tx>
                <c:rich>
                  <a:bodyPr rot="0" spcFirstLastPara="1" vertOverflow="ellipsis" vert="horz" wrap="square" lIns="38100" tIns="19050" rIns="38100" bIns="19050" anchor="ctr" anchorCtr="1">
                    <a:spAutoFit/>
                  </a:bodyPr>
                  <a:lstStyle/>
                  <a:p>
                    <a:pPr>
                      <a:defRPr sz="750" b="1" i="0" u="none" strike="noStrike" kern="1200" baseline="0">
                        <a:solidFill>
                          <a:srgbClr val="44546A"/>
                        </a:solidFill>
                        <a:latin typeface="+mj-lt"/>
                        <a:ea typeface="+mn-ea"/>
                        <a:cs typeface="+mn-cs"/>
                      </a:defRPr>
                    </a:pPr>
                    <a:r>
                      <a:rPr lang="sr-Cyrl-CS" sz="750" b="1">
                        <a:solidFill>
                          <a:srgbClr val="44546A"/>
                        </a:solidFill>
                      </a:rPr>
                      <a:t>Србија 2016</a:t>
                    </a:r>
                  </a:p>
                </c:rich>
              </c:tx>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rgbClr val="44546A"/>
                      </a:solidFill>
                      <a:latin typeface="+mj-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C-DDE5-47BC-959A-2302127424EA}"/>
                </c:ext>
              </c:extLst>
            </c:dLbl>
            <c:dLbl>
              <c:idx val="30"/>
              <c:layout>
                <c:manualLayout>
                  <c:x val="-7.5718672185207697E-2"/>
                  <c:y val="-5.3989640394118035E-2"/>
                </c:manualLayout>
              </c:layout>
              <c:tx>
                <c:rich>
                  <a:bodyPr rot="0" spcFirstLastPara="1" vertOverflow="ellipsis" vert="horz" wrap="square" lIns="38100" tIns="19050" rIns="38100" bIns="19050" anchor="ctr" anchorCtr="1">
                    <a:noAutofit/>
                  </a:bodyPr>
                  <a:lstStyle/>
                  <a:p>
                    <a:pPr>
                      <a:defRPr sz="750" b="1" i="0" u="none" strike="noStrike" kern="1200" baseline="0">
                        <a:solidFill>
                          <a:srgbClr val="44546A"/>
                        </a:solidFill>
                        <a:latin typeface="+mj-lt"/>
                        <a:ea typeface="+mn-ea"/>
                        <a:cs typeface="+mn-cs"/>
                      </a:defRPr>
                    </a:pPr>
                    <a:r>
                      <a:rPr lang="sr-Cyrl-CS" sz="750" b="1">
                        <a:solidFill>
                          <a:srgbClr val="44546A"/>
                        </a:solidFill>
                      </a:rPr>
                      <a:t>Србија2015</a:t>
                    </a:r>
                  </a:p>
                  <a:p>
                    <a:pPr>
                      <a:defRPr sz="750" b="1">
                        <a:solidFill>
                          <a:srgbClr val="44546A"/>
                        </a:solidFill>
                        <a:latin typeface="+mj-lt"/>
                      </a:defRPr>
                    </a:pPr>
                    <a:endParaRPr lang="sr-Cyrl-CS" sz="750" b="1">
                      <a:solidFill>
                        <a:srgbClr val="44546A"/>
                      </a:solidFill>
                    </a:endParaRPr>
                  </a:p>
                </c:rich>
              </c:tx>
              <c:spPr>
                <a:noFill/>
                <a:ln>
                  <a:noFill/>
                </a:ln>
                <a:effectLst/>
              </c:spPr>
              <c:txPr>
                <a:bodyPr rot="0" spcFirstLastPara="1" vertOverflow="ellipsis" vert="horz" wrap="square" lIns="38100" tIns="19050" rIns="38100" bIns="19050" anchor="ctr" anchorCtr="1">
                  <a:noAutofit/>
                </a:bodyPr>
                <a:lstStyle/>
                <a:p>
                  <a:pPr>
                    <a:defRPr sz="750" b="1" i="0" u="none" strike="noStrike" kern="1200" baseline="0">
                      <a:solidFill>
                        <a:srgbClr val="44546A"/>
                      </a:solidFill>
                      <a:latin typeface="+mj-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15:layout>
                    <c:manualLayout>
                      <c:w val="0.1342497812773403"/>
                      <c:h val="4.1601029999940392E-2"/>
                    </c:manualLayout>
                  </c15:layout>
                </c:ext>
                <c:ext xmlns:c16="http://schemas.microsoft.com/office/drawing/2014/chart" uri="{C3380CC4-5D6E-409C-BE32-E72D297353CC}">
                  <c16:uniqueId val="{0000001D-DDE5-47BC-959A-2302127424EA}"/>
                </c:ext>
              </c:extLst>
            </c:dLbl>
            <c:dLbl>
              <c:idx val="31"/>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E-DDE5-47BC-959A-2302127424EA}"/>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rgbClr val="44546A"/>
                    </a:solidFill>
                    <a:latin typeface="+mj-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15:showLeaderLines val="1"/>
                <c15:leaderLines>
                  <c:spPr>
                    <a:ln w="6350" cap="flat" cmpd="sng" algn="ctr">
                      <a:solidFill>
                        <a:srgbClr val="44546A"/>
                      </a:solidFill>
                      <a:round/>
                    </a:ln>
                    <a:effectLst/>
                  </c:spPr>
                </c15:leaderLines>
              </c:ext>
            </c:extLst>
          </c:dLbls>
          <c:xVal>
            <c:numRef>
              <c:f>'S0 2018'!$D$4:$D$34</c:f>
              <c:numCache>
                <c:formatCode>0.00</c:formatCode>
                <c:ptCount val="31"/>
                <c:pt idx="0">
                  <c:v>7.0000000000000007E-2</c:v>
                </c:pt>
                <c:pt idx="1">
                  <c:v>0.19</c:v>
                </c:pt>
                <c:pt idx="2">
                  <c:v>0</c:v>
                </c:pt>
                <c:pt idx="3">
                  <c:v>0</c:v>
                </c:pt>
                <c:pt idx="4">
                  <c:v>0.19</c:v>
                </c:pt>
                <c:pt idx="5">
                  <c:v>0.27</c:v>
                </c:pt>
                <c:pt idx="6">
                  <c:v>0</c:v>
                </c:pt>
                <c:pt idx="7">
                  <c:v>0</c:v>
                </c:pt>
                <c:pt idx="8">
                  <c:v>0.08</c:v>
                </c:pt>
                <c:pt idx="9">
                  <c:v>0.41</c:v>
                </c:pt>
                <c:pt idx="10">
                  <c:v>0</c:v>
                </c:pt>
                <c:pt idx="11">
                  <c:v>0.69</c:v>
                </c:pt>
                <c:pt idx="12">
                  <c:v>0</c:v>
                </c:pt>
                <c:pt idx="13">
                  <c:v>0.47</c:v>
                </c:pt>
                <c:pt idx="14">
                  <c:v>0.08</c:v>
                </c:pt>
                <c:pt idx="15">
                  <c:v>0</c:v>
                </c:pt>
                <c:pt idx="16">
                  <c:v>0</c:v>
                </c:pt>
                <c:pt idx="17">
                  <c:v>0.04</c:v>
                </c:pt>
                <c:pt idx="18">
                  <c:v>0</c:v>
                </c:pt>
                <c:pt idx="19">
                  <c:v>0</c:v>
                </c:pt>
                <c:pt idx="20">
                  <c:v>0.31</c:v>
                </c:pt>
                <c:pt idx="21">
                  <c:v>0.26</c:v>
                </c:pt>
                <c:pt idx="22">
                  <c:v>0</c:v>
                </c:pt>
                <c:pt idx="23">
                  <c:v>7.0000000000000007E-2</c:v>
                </c:pt>
                <c:pt idx="24">
                  <c:v>0.56999999999999995</c:v>
                </c:pt>
                <c:pt idx="25">
                  <c:v>0</c:v>
                </c:pt>
                <c:pt idx="26">
                  <c:v>0.31</c:v>
                </c:pt>
                <c:pt idx="27">
                  <c:v>0</c:v>
                </c:pt>
                <c:pt idx="28">
                  <c:v>0</c:v>
                </c:pt>
                <c:pt idx="29">
                  <c:v>0.19161676646706588</c:v>
                </c:pt>
                <c:pt idx="30">
                  <c:v>0.40718562874251496</c:v>
                </c:pt>
              </c:numCache>
            </c:numRef>
          </c:xVal>
          <c:yVal>
            <c:numRef>
              <c:f>'S0 2018'!$E$4:$E$34</c:f>
              <c:numCache>
                <c:formatCode>0.00</c:formatCode>
                <c:ptCount val="31"/>
                <c:pt idx="0">
                  <c:v>0</c:v>
                </c:pt>
                <c:pt idx="1">
                  <c:v>0.23</c:v>
                </c:pt>
                <c:pt idx="2">
                  <c:v>0.28000000000000003</c:v>
                </c:pt>
                <c:pt idx="3">
                  <c:v>0.27</c:v>
                </c:pt>
                <c:pt idx="4">
                  <c:v>0.26</c:v>
                </c:pt>
                <c:pt idx="5">
                  <c:v>0.56999999999999995</c:v>
                </c:pt>
                <c:pt idx="6">
                  <c:v>0.19</c:v>
                </c:pt>
                <c:pt idx="7">
                  <c:v>0.25</c:v>
                </c:pt>
                <c:pt idx="8">
                  <c:v>0.17</c:v>
                </c:pt>
                <c:pt idx="9">
                  <c:v>0.23</c:v>
                </c:pt>
                <c:pt idx="10">
                  <c:v>0</c:v>
                </c:pt>
                <c:pt idx="11">
                  <c:v>0.16</c:v>
                </c:pt>
                <c:pt idx="12">
                  <c:v>0.32</c:v>
                </c:pt>
                <c:pt idx="13">
                  <c:v>0.31</c:v>
                </c:pt>
                <c:pt idx="14">
                  <c:v>0.33</c:v>
                </c:pt>
                <c:pt idx="15">
                  <c:v>0.33</c:v>
                </c:pt>
                <c:pt idx="16">
                  <c:v>0.18</c:v>
                </c:pt>
                <c:pt idx="17">
                  <c:v>0.08</c:v>
                </c:pt>
                <c:pt idx="18">
                  <c:v>0.12</c:v>
                </c:pt>
                <c:pt idx="19">
                  <c:v>0.27</c:v>
                </c:pt>
                <c:pt idx="20">
                  <c:v>0.33</c:v>
                </c:pt>
                <c:pt idx="21">
                  <c:v>0.33</c:v>
                </c:pt>
                <c:pt idx="22">
                  <c:v>0.4</c:v>
                </c:pt>
                <c:pt idx="23">
                  <c:v>0.16</c:v>
                </c:pt>
                <c:pt idx="24">
                  <c:v>0.27</c:v>
                </c:pt>
                <c:pt idx="25">
                  <c:v>0.31</c:v>
                </c:pt>
                <c:pt idx="26">
                  <c:v>0.47</c:v>
                </c:pt>
                <c:pt idx="27">
                  <c:v>0.27243589743589747</c:v>
                </c:pt>
                <c:pt idx="28">
                  <c:v>0.27243589743589747</c:v>
                </c:pt>
                <c:pt idx="29">
                  <c:v>0.27243589743589747</c:v>
                </c:pt>
                <c:pt idx="30">
                  <c:v>0.27243589743589747</c:v>
                </c:pt>
              </c:numCache>
            </c:numRef>
          </c:yVal>
          <c:smooth val="0"/>
          <c:extLst>
            <c:ext xmlns:c16="http://schemas.microsoft.com/office/drawing/2014/chart" uri="{C3380CC4-5D6E-409C-BE32-E72D297353CC}">
              <c16:uniqueId val="{0000001F-DDE5-47BC-959A-2302127424EA}"/>
            </c:ext>
          </c:extLst>
        </c:ser>
        <c:dLbls>
          <c:showLegendKey val="0"/>
          <c:showVal val="0"/>
          <c:showCatName val="0"/>
          <c:showSerName val="0"/>
          <c:showPercent val="0"/>
          <c:showBubbleSize val="0"/>
        </c:dLbls>
        <c:axId val="455436256"/>
        <c:axId val="455436816"/>
      </c:scatterChart>
      <c:valAx>
        <c:axId val="455436256"/>
        <c:scaling>
          <c:orientation val="minMax"/>
          <c:max val="0.70000000000000007"/>
        </c:scaling>
        <c:delete val="0"/>
        <c:axPos val="b"/>
        <c:title>
          <c:tx>
            <c:rich>
              <a:bodyPr rot="0" spcFirstLastPara="1" vertOverflow="ellipsis" vert="horz" wrap="square" anchor="ctr" anchorCtr="1"/>
              <a:lstStyle/>
              <a:p>
                <a:pPr>
                  <a:defRPr sz="750" b="0" i="0" u="none" strike="noStrike" kern="1200" baseline="0">
                    <a:solidFill>
                      <a:srgbClr val="44546A"/>
                    </a:solidFill>
                    <a:latin typeface="+mn-lt"/>
                    <a:ea typeface="+mn-ea"/>
                    <a:cs typeface="+mn-cs"/>
                  </a:defRPr>
                </a:pPr>
                <a:r>
                  <a:rPr lang="sr-Cyrl-RS" sz="750" b="0">
                    <a:solidFill>
                      <a:srgbClr val="44546A"/>
                    </a:solidFill>
                    <a:latin typeface="+mn-lt"/>
                  </a:rPr>
                  <a:t>Фискални подиндекс</a:t>
                </a:r>
                <a:endParaRPr lang="en-US" sz="750" b="0">
                  <a:solidFill>
                    <a:srgbClr val="44546A"/>
                  </a:solidFill>
                  <a:latin typeface="+mn-lt"/>
                </a:endParaRPr>
              </a:p>
            </c:rich>
          </c:tx>
          <c:layout>
            <c:manualLayout>
              <c:xMode val="edge"/>
              <c:yMode val="edge"/>
              <c:x val="0.44323244863334277"/>
              <c:y val="0.9445071645679548"/>
            </c:manualLayout>
          </c:layout>
          <c:overlay val="0"/>
          <c:spPr>
            <a:noFill/>
            <a:ln>
              <a:noFill/>
            </a:ln>
            <a:effectLst/>
          </c:spPr>
          <c:txPr>
            <a:bodyPr rot="0" spcFirstLastPara="1" vertOverflow="ellipsis" vert="horz" wrap="square" anchor="ctr" anchorCtr="1"/>
            <a:lstStyle/>
            <a:p>
              <a:pPr>
                <a:defRPr sz="750" b="0" i="0" u="none" strike="noStrike" kern="1200" baseline="0">
                  <a:solidFill>
                    <a:srgbClr val="44546A"/>
                  </a:solidFill>
                  <a:latin typeface="+mn-lt"/>
                  <a:ea typeface="+mn-ea"/>
                  <a:cs typeface="+mn-cs"/>
                </a:defRPr>
              </a:pPr>
              <a:endParaRPr lang="en-US"/>
            </a:p>
          </c:txPr>
        </c:title>
        <c:numFmt formatCode="0.00" sourceLinked="1"/>
        <c:majorTickMark val="none"/>
        <c:minorTickMark val="none"/>
        <c:tickLblPos val="nextTo"/>
        <c:spPr>
          <a:noFill/>
          <a:ln w="6350" cap="flat" cmpd="sng" algn="ctr">
            <a:solidFill>
              <a:srgbClr val="44546A"/>
            </a:solidFill>
            <a:round/>
          </a:ln>
          <a:effectLst/>
        </c:spPr>
        <c:txPr>
          <a:bodyPr rot="-60000000" spcFirstLastPara="1" vertOverflow="ellipsis" vert="horz" wrap="square" anchor="ctr" anchorCtr="1"/>
          <a:lstStyle/>
          <a:p>
            <a:pPr>
              <a:defRPr sz="750" b="0" i="0" u="none" strike="noStrike" kern="1200" baseline="0">
                <a:solidFill>
                  <a:srgbClr val="44546A"/>
                </a:solidFill>
                <a:latin typeface="+mn-lt"/>
                <a:ea typeface="+mn-ea"/>
                <a:cs typeface="+mn-cs"/>
              </a:defRPr>
            </a:pPr>
            <a:endParaRPr lang="en-US"/>
          </a:p>
        </c:txPr>
        <c:crossAx val="455436816"/>
        <c:crosses val="autoZero"/>
        <c:crossBetween val="midCat"/>
      </c:valAx>
      <c:valAx>
        <c:axId val="455436816"/>
        <c:scaling>
          <c:orientation val="minMax"/>
          <c:max val="0.70000000000000007"/>
        </c:scaling>
        <c:delete val="0"/>
        <c:axPos val="l"/>
        <c:title>
          <c:tx>
            <c:rich>
              <a:bodyPr rot="-5400000" spcFirstLastPara="1" vertOverflow="ellipsis" vert="horz" wrap="square" anchor="ctr" anchorCtr="1"/>
              <a:lstStyle/>
              <a:p>
                <a:pPr>
                  <a:defRPr sz="750" b="0" i="0" u="none" strike="noStrike" kern="1200" baseline="0">
                    <a:solidFill>
                      <a:srgbClr val="44546A"/>
                    </a:solidFill>
                    <a:latin typeface="+mn-lt"/>
                    <a:ea typeface="+mn-ea"/>
                    <a:cs typeface="+mn-cs"/>
                  </a:defRPr>
                </a:pPr>
                <a:r>
                  <a:rPr lang="sr-Cyrl-RS" sz="750" b="0">
                    <a:solidFill>
                      <a:srgbClr val="44546A"/>
                    </a:solidFill>
                    <a:latin typeface="+mn-lt"/>
                  </a:rPr>
                  <a:t>Подиндекс макро-финансијске конкурентности</a:t>
                </a:r>
                <a:endParaRPr lang="en-US" sz="750" b="0">
                  <a:solidFill>
                    <a:srgbClr val="44546A"/>
                  </a:solidFill>
                  <a:latin typeface="+mn-lt"/>
                </a:endParaRPr>
              </a:p>
            </c:rich>
          </c:tx>
          <c:layout>
            <c:manualLayout>
              <c:xMode val="edge"/>
              <c:yMode val="edge"/>
              <c:x val="1.6448206962536724E-2"/>
              <c:y val="0.10793863533015818"/>
            </c:manualLayout>
          </c:layout>
          <c:overlay val="0"/>
          <c:spPr>
            <a:noFill/>
            <a:ln>
              <a:noFill/>
            </a:ln>
            <a:effectLst/>
          </c:spPr>
          <c:txPr>
            <a:bodyPr rot="-5400000" spcFirstLastPara="1" vertOverflow="ellipsis" vert="horz" wrap="square" anchor="ctr" anchorCtr="1"/>
            <a:lstStyle/>
            <a:p>
              <a:pPr>
                <a:defRPr sz="750" b="0" i="0" u="none" strike="noStrike" kern="1200" baseline="0">
                  <a:solidFill>
                    <a:srgbClr val="44546A"/>
                  </a:solidFill>
                  <a:latin typeface="+mn-lt"/>
                  <a:ea typeface="+mn-ea"/>
                  <a:cs typeface="+mn-cs"/>
                </a:defRPr>
              </a:pPr>
              <a:endParaRPr lang="en-US"/>
            </a:p>
          </c:txPr>
        </c:title>
        <c:numFmt formatCode="0.00" sourceLinked="1"/>
        <c:majorTickMark val="none"/>
        <c:minorTickMark val="none"/>
        <c:tickLblPos val="nextTo"/>
        <c:spPr>
          <a:noFill/>
          <a:ln w="6350" cap="flat" cmpd="sng" algn="ctr">
            <a:solidFill>
              <a:srgbClr val="44546A"/>
            </a:solidFill>
            <a:round/>
          </a:ln>
          <a:effectLst/>
        </c:spPr>
        <c:txPr>
          <a:bodyPr rot="-60000000" spcFirstLastPara="1" vertOverflow="ellipsis" vert="horz" wrap="square" anchor="ctr" anchorCtr="1"/>
          <a:lstStyle/>
          <a:p>
            <a:pPr>
              <a:defRPr sz="750" b="0" i="0" u="none" strike="noStrike" kern="1200" baseline="0">
                <a:solidFill>
                  <a:srgbClr val="44546A"/>
                </a:solidFill>
                <a:latin typeface="+mn-lt"/>
                <a:ea typeface="+mn-ea"/>
                <a:cs typeface="+mn-cs"/>
              </a:defRPr>
            </a:pPr>
            <a:endParaRPr lang="en-US"/>
          </a:p>
        </c:txPr>
        <c:crossAx val="455436256"/>
        <c:crosses val="autoZero"/>
        <c:crossBetween val="midCat"/>
      </c:valAx>
      <c:spPr>
        <a:noFill/>
        <a:ln>
          <a:noFill/>
        </a:ln>
        <a:effectLst/>
      </c:spPr>
    </c:plotArea>
    <c:plotVisOnly val="1"/>
    <c:dispBlanksAs val="gap"/>
    <c:showDLblsOverMax val="0"/>
  </c:chart>
  <c:spPr>
    <a:noFill/>
    <a:ln w="9525" cap="flat" cmpd="sng" algn="ctr">
      <a:noFill/>
      <a:round/>
    </a:ln>
    <a:effectLst/>
  </c:spPr>
  <c:txPr>
    <a:bodyPr/>
    <a:lstStyle/>
    <a:p>
      <a:pPr>
        <a:defRPr/>
      </a:pPr>
      <a:endParaRPr lang="en-US"/>
    </a:p>
  </c:txPr>
  <c:externalData r:id="rId4">
    <c:autoUpdate val="0"/>
  </c:externalData>
  <c:userShapes r:id="rId5"/>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5.xml><?xml version="1.0" encoding="utf-8"?>
<cs:colorStyle xmlns:cs="http://schemas.microsoft.com/office/drawing/2012/chartStyle" xmlns:a="http://schemas.openxmlformats.org/drawingml/2006/main" meth="withinLinear" id="16">
  <a:schemeClr val="accent3"/>
</cs:colorStyle>
</file>

<file path=word/charts/colors46.xml><?xml version="1.0" encoding="utf-8"?>
<cs:colorStyle xmlns:cs="http://schemas.microsoft.com/office/drawing/2012/chartStyle" xmlns:a="http://schemas.openxmlformats.org/drawingml/2006/main" meth="withinLinear" id="16">
  <a:schemeClr val="accent3"/>
</cs:colorStyle>
</file>

<file path=word/charts/colors47.xml><?xml version="1.0" encoding="utf-8"?>
<cs:colorStyle xmlns:cs="http://schemas.microsoft.com/office/drawing/2012/chartStyle" xmlns:a="http://schemas.openxmlformats.org/drawingml/2006/main" meth="cycle" id="12">
  <a:schemeClr val="accent2"/>
  <a:schemeClr val="accent4"/>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0.xml><?xml version="1.0" encoding="utf-8"?>
<cs:colorStyle xmlns:cs="http://schemas.microsoft.com/office/drawing/2012/chartStyle" xmlns:a="http://schemas.openxmlformats.org/drawingml/2006/main" meth="withinLinear" id="14">
  <a:schemeClr val="accent1"/>
</cs:colorStyle>
</file>

<file path=word/charts/colors51.xml><?xml version="1.0" encoding="utf-8"?>
<cs:colorStyle xmlns:cs="http://schemas.microsoft.com/office/drawing/2012/chartStyle" xmlns:a="http://schemas.openxmlformats.org/drawingml/2006/main" meth="withinLinear" id="14">
  <a:schemeClr val="accent1"/>
</cs:colorStyle>
</file>

<file path=word/charts/colors52.xml><?xml version="1.0" encoding="utf-8"?>
<cs:colorStyle xmlns:cs="http://schemas.microsoft.com/office/drawing/2012/chartStyle" xmlns:a="http://schemas.openxmlformats.org/drawingml/2006/main" meth="withinLinear" id="14">
  <a:schemeClr val="accent1"/>
</cs:colorStyle>
</file>

<file path=word/charts/colors53.xml><?xml version="1.0" encoding="utf-8"?>
<cs:colorStyle xmlns:cs="http://schemas.microsoft.com/office/drawing/2012/chartStyle" xmlns:a="http://schemas.openxmlformats.org/drawingml/2006/main" meth="withinLinear" id="14">
  <a:schemeClr val="accent1"/>
</cs:colorStyle>
</file>

<file path=word/charts/colors43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7.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9.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0.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2.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7.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8.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9.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1.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5.xml><?xml version="1.0" encoding="utf-8"?>
<cs:chartStyle xmlns:cs="http://schemas.microsoft.com/office/drawing/2012/chartStyle" xmlns:a="http://schemas.openxmlformats.org/drawingml/2006/main" id="136">
  <cs:axisTitle>
    <cs:lnRef idx="0"/>
    <cs:fillRef idx="0"/>
    <cs:effectRef idx="0"/>
    <cs:fontRef idx="minor">
      <a:schemeClr val="dk1"/>
    </cs:fontRef>
    <cs:defRPr sz="1000" b="1" kern="1200"/>
  </cs:axisTitle>
  <cs:categoryAxis>
    <cs:lnRef idx="1">
      <a:schemeClr val="dk1">
        <a:tint val="75000"/>
      </a:schemeClr>
    </cs:lnRef>
    <cs:fillRef idx="0"/>
    <cs:effectRef idx="0"/>
    <cs:fontRef idx="minor">
      <a:schemeClr val="dk1"/>
    </cs:fontRef>
    <cs:spPr>
      <a:ln>
        <a:round/>
      </a:ln>
    </cs:spPr>
    <cs:defRPr sz="1000" kern="1200"/>
  </cs:categoryAxis>
  <cs:chartArea>
    <cs:lnRef idx="1">
      <a:schemeClr val="dk1">
        <a:tint val="75000"/>
      </a:schemeClr>
    </cs:lnRef>
    <cs:fillRef idx="1">
      <a:schemeClr val="lt1"/>
    </cs:fillRef>
    <cs:effectRef idx="0"/>
    <cs:fontRef idx="minor">
      <a:schemeClr val="dk1"/>
    </cs:fontRef>
    <cs:spPr>
      <a:ln>
        <a:round/>
      </a:ln>
    </cs:spPr>
    <cs:defRPr sz="1000" kern="1200"/>
  </cs:chartArea>
  <cs:dataLabel>
    <cs:lnRef idx="0"/>
    <cs:fillRef idx="0"/>
    <cs:effectRef idx="0"/>
    <cs:fontRef idx="minor">
      <a:schemeClr val="dk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1" mods="ignoreCSTransforms">
      <cs:styleClr val="0">
        <a:shade val="50000"/>
      </cs:styleClr>
    </cs:lnRef>
    <cs:fillRef idx="1">
      <cs:styleClr val="auto"/>
    </cs:fillRef>
    <cs:effectRef idx="0"/>
    <cs:fontRef idx="minor">
      <a:schemeClr val="dk1"/>
    </cs:fontRef>
    <cs:spPr>
      <a:ln>
        <a:round/>
      </a:ln>
    </cs:spPr>
  </cs:dataPoint>
  <cs:dataPoint3D>
    <cs:lnRef idx="1" mods="ignoreCSTransforms">
      <cs:styleClr val="0">
        <a:shade val="50000"/>
      </cs:styleClr>
    </cs:lnRef>
    <cs:fillRef idx="1">
      <cs:styleClr val="auto"/>
    </cs:fillRef>
    <cs:effectRef idx="0"/>
    <cs:fontRef idx="minor">
      <a:schemeClr val="dk1"/>
    </cs:fontRef>
    <cs:spPr>
      <a:ln>
        <a:round/>
      </a:ln>
    </cs:spPr>
  </cs:dataPoint3D>
  <cs:dataPointLine>
    <cs:lnRef idx="1">
      <cs:styleClr val="auto"/>
    </cs:lnRef>
    <cs:lineWidthScale>5</cs:lineWidthScale>
    <cs:fillRef idx="0"/>
    <cs:effectRef idx="0"/>
    <cs:fontRef idx="minor">
      <a:schemeClr val="dk1"/>
    </cs:fontRef>
    <cs:spPr>
      <a:ln cap="rnd">
        <a:round/>
      </a:ln>
    </cs:spPr>
  </cs:dataPointLine>
  <cs:dataPointMarker>
    <cs:lnRef idx="1">
      <cs:styleClr val="auto"/>
    </cs:lnRef>
    <cs:fillRef idx="1">
      <cs:styleClr val="auto"/>
    </cs:fillRef>
    <cs:effectRef idx="0"/>
    <cs:fontRef idx="minor">
      <a:schemeClr val="dk1"/>
    </cs:fontRef>
    <cs:spPr>
      <a:ln>
        <a:round/>
      </a:ln>
    </cs:spPr>
  </cs:dataPointMarker>
  <cs:dataPointMarkerLayout/>
  <cs:dataPointWireframe>
    <cs:lnRef idx="1">
      <cs:styleClr val="auto"/>
    </cs:lnRef>
    <cs:fillRef idx="0"/>
    <cs:effectRef idx="0"/>
    <cs:fontRef idx="minor">
      <a:schemeClr val="dk1"/>
    </cs:fontRef>
    <cs:spPr>
      <a:ln>
        <a:round/>
      </a:ln>
    </cs:spPr>
  </cs:dataPointWireframe>
  <cs:dataTable>
    <cs:lnRef idx="1">
      <a:schemeClr val="dk1">
        <a:tint val="75000"/>
      </a:schemeClr>
    </cs:lnRef>
    <cs:fillRef idx="0"/>
    <cs:effectRef idx="0"/>
    <cs:fontRef idx="minor">
      <a:schemeClr val="dk1"/>
    </cs:fontRef>
    <cs:spPr>
      <a:ln>
        <a:round/>
      </a:ln>
    </cs:spPr>
    <cs:defRPr sz="1000" kern="1200"/>
  </cs:dataTable>
  <cs:downBar>
    <cs:lnRef idx="1" mods="ignoreCSTransforms">
      <cs:styleClr val="0">
        <a:shade val="25000"/>
      </cs:styleClr>
    </cs:lnRef>
    <cs:fillRef idx="1" mods="ignoreCSTransforms">
      <cs:styleClr val="0">
        <a:shade val="25000"/>
      </cs:styleClr>
    </cs:fillRef>
    <cs:effectRef idx="0"/>
    <cs:fontRef idx="minor">
      <a:schemeClr val="dk1"/>
    </cs:fontRef>
    <cs:spPr>
      <a:ln>
        <a:round/>
      </a:ln>
    </cs:spPr>
  </cs:downBar>
  <cs:dropLine>
    <cs:lnRef idx="1">
      <a:schemeClr val="dk1"/>
    </cs:lnRef>
    <cs:fillRef idx="0"/>
    <cs:effectRef idx="0"/>
    <cs:fontRef idx="minor">
      <a:schemeClr val="dk1"/>
    </cs:fontRef>
    <cs:spPr>
      <a:ln>
        <a:round/>
      </a:ln>
    </cs:spPr>
  </cs:dropLine>
  <cs:errorBar>
    <cs:lnRef idx="1">
      <a:schemeClr val="dk1"/>
    </cs:lnRef>
    <cs:fillRef idx="1">
      <a:schemeClr val="dk1"/>
    </cs:fillRef>
    <cs:effectRef idx="0"/>
    <cs:fontRef idx="minor">
      <a:schemeClr val="dk1"/>
    </cs:fontRef>
    <cs:spPr>
      <a:ln>
        <a:round/>
      </a:ln>
    </cs:spPr>
  </cs:errorBar>
  <cs:floor>
    <cs:lnRef idx="1">
      <a:schemeClr val="dk1">
        <a:tint val="75000"/>
      </a:schemeClr>
    </cs:lnRef>
    <cs:fillRef idx="1" mods="ignoreCSTransforms">
      <cs:styleClr val="0">
        <a:tint val="20000"/>
      </cs:styleClr>
    </cs:fillRef>
    <cs:effectRef idx="0"/>
    <cs:fontRef idx="minor">
      <a:schemeClr val="dk1"/>
    </cs:fontRef>
    <cs:spPr>
      <a:ln>
        <a:round/>
      </a:ln>
    </cs:spPr>
  </cs:floor>
  <cs:gridlineMajor>
    <cs:lnRef idx="1">
      <a:schemeClr val="dk1">
        <a:tint val="75000"/>
      </a:schemeClr>
    </cs:lnRef>
    <cs:fillRef idx="0"/>
    <cs:effectRef idx="0"/>
    <cs:fontRef idx="minor">
      <a:schemeClr val="dk1"/>
    </cs:fontRef>
    <cs:spPr>
      <a:ln>
        <a:round/>
      </a:ln>
    </cs:spPr>
  </cs:gridlineMajor>
  <cs:gridlineMinor>
    <cs:lnRef idx="1">
      <a:schemeClr val="dk1">
        <a:tint val="50000"/>
      </a:schemeClr>
    </cs:lnRef>
    <cs:fillRef idx="0"/>
    <cs:effectRef idx="0"/>
    <cs:fontRef idx="minor">
      <a:schemeClr val="dk1"/>
    </cs:fontRef>
    <cs:spPr>
      <a:ln>
        <a:round/>
      </a:ln>
    </cs:spPr>
  </cs:gridlineMinor>
  <cs:hiLoLine>
    <cs:lnRef idx="1">
      <a:schemeClr val="dk1"/>
    </cs:lnRef>
    <cs:fillRef idx="0"/>
    <cs:effectRef idx="0"/>
    <cs:fontRef idx="minor">
      <a:schemeClr val="dk1"/>
    </cs:fontRef>
    <cs:spPr>
      <a:ln>
        <a:round/>
      </a:ln>
    </cs:spPr>
  </cs:hiLoLine>
  <cs:leaderLine>
    <cs:lnRef idx="1">
      <a:schemeClr val="dk1"/>
    </cs:lnRef>
    <cs:fillRef idx="0"/>
    <cs:effectRef idx="0"/>
    <cs:fontRef idx="minor">
      <a:schemeClr val="dk1"/>
    </cs:fontRef>
    <cs:spPr>
      <a:ln>
        <a:round/>
      </a:ln>
    </cs:spPr>
  </cs:leaderLine>
  <cs:legend>
    <cs:lnRef idx="0"/>
    <cs:fillRef idx="0"/>
    <cs:effectRef idx="0"/>
    <cs:fontRef idx="minor">
      <a:schemeClr val="dk1"/>
    </cs:fontRef>
    <cs:defRPr sz="1000" kern="1200"/>
  </cs:legend>
  <cs:plotArea>
    <cs:lnRef idx="0"/>
    <cs:fillRef idx="1" mods="ignoreCSTransforms">
      <cs:styleClr val="0">
        <a:tint val="20000"/>
      </cs:styleClr>
    </cs:fillRef>
    <cs:effectRef idx="0"/>
    <cs:fontRef idx="minor">
      <a:schemeClr val="dk1"/>
    </cs:fontRef>
  </cs:plotArea>
  <cs:plotArea3D>
    <cs:lnRef idx="0"/>
    <cs:fillRef idx="0"/>
    <cs:effectRef idx="0"/>
    <cs:fontRef idx="minor">
      <a:schemeClr val="dk1"/>
    </cs:fontRef>
  </cs:plotArea3D>
  <cs:seriesAxis>
    <cs:lnRef idx="1">
      <a:schemeClr val="dk1">
        <a:tint val="75000"/>
      </a:schemeClr>
    </cs:lnRef>
    <cs:fillRef idx="0"/>
    <cs:effectRef idx="0"/>
    <cs:fontRef idx="minor">
      <a:schemeClr val="dk1"/>
    </cs:fontRef>
    <cs:spPr>
      <a:ln>
        <a:round/>
      </a:ln>
    </cs:spPr>
    <cs:defRPr sz="1000" kern="1200"/>
  </cs:seriesAxis>
  <cs:seriesLine>
    <cs:lnRef idx="1">
      <a:schemeClr val="dk1"/>
    </cs:lnRef>
    <cs:fillRef idx="0"/>
    <cs:effectRef idx="0"/>
    <cs:fontRef idx="minor">
      <a:schemeClr val="dk1"/>
    </cs:fontRef>
    <cs:spPr>
      <a:ln>
        <a:round/>
      </a:ln>
    </cs:spPr>
  </cs:seriesLine>
  <cs:title>
    <cs:lnRef idx="0"/>
    <cs:fillRef idx="0"/>
    <cs:effectRef idx="0"/>
    <cs:fontRef idx="minor">
      <a:schemeClr val="dk1"/>
    </cs:fontRef>
    <cs:defRPr sz="1800" b="1" kern="1200"/>
  </cs:title>
  <cs:trendline>
    <cs:lnRef idx="1">
      <a:schemeClr val="dk1"/>
    </cs:lnRef>
    <cs:fillRef idx="0"/>
    <cs:effectRef idx="0"/>
    <cs:fontRef idx="minor">
      <a:schemeClr val="dk1"/>
    </cs:fontRef>
    <cs:spPr>
      <a:ln cap="rnd">
        <a:round/>
      </a:ln>
    </cs:spPr>
  </cs:trendline>
  <cs:trendlineLabel>
    <cs:lnRef idx="0"/>
    <cs:fillRef idx="0"/>
    <cs:effectRef idx="0"/>
    <cs:fontRef idx="minor">
      <a:schemeClr val="dk1"/>
    </cs:fontRef>
    <cs:defRPr sz="1000" kern="1200"/>
  </cs:trendlineLabel>
  <cs:upBar>
    <cs:lnRef idx="1" mods="ignoreCSTransforms">
      <cs:styleClr val="0">
        <a:shade val="25000"/>
      </cs:styleClr>
    </cs:lnRef>
    <cs:fillRef idx="1">
      <a:schemeClr val="lt1"/>
    </cs:fillRef>
    <cs:effectRef idx="0"/>
    <cs:fontRef idx="minor">
      <a:schemeClr val="dk1"/>
    </cs:fontRef>
    <cs:spPr>
      <a:ln>
        <a:round/>
      </a:ln>
    </cs:spPr>
  </cs:upBar>
  <cs:valueAxis>
    <cs:lnRef idx="1">
      <a:schemeClr val="dk1">
        <a:tint val="75000"/>
      </a:schemeClr>
    </cs:lnRef>
    <cs:fillRef idx="0"/>
    <cs:effectRef idx="0"/>
    <cs:fontRef idx="minor">
      <a:schemeClr val="dk1"/>
    </cs:fontRef>
    <cs:spPr>
      <a:ln>
        <a:round/>
      </a:ln>
    </cs:spPr>
    <cs:defRPr sz="1000" kern="1200"/>
  </cs:valueAxis>
  <cs:wall>
    <cs:lnRef idx="0"/>
    <cs:fillRef idx="1" mods="ignoreCSTransforms">
      <cs:styleClr val="0">
        <a:tint val="20000"/>
      </cs:styleClr>
    </cs:fillRef>
    <cs:effectRef idx="0"/>
    <cs:fontRef idx="minor">
      <a:schemeClr val="dk1"/>
    </cs:fontRef>
  </cs:wall>
</cs:chartStyle>
</file>

<file path=word/charts/style46.xml><?xml version="1.0" encoding="utf-8"?>
<cs:chartStyle xmlns:cs="http://schemas.microsoft.com/office/drawing/2012/chartStyle" xmlns:a="http://schemas.openxmlformats.org/drawingml/2006/main" id="136">
  <cs:axisTitle>
    <cs:lnRef idx="0"/>
    <cs:fillRef idx="0"/>
    <cs:effectRef idx="0"/>
    <cs:fontRef idx="minor">
      <a:schemeClr val="dk1"/>
    </cs:fontRef>
    <cs:defRPr sz="1000" b="1" kern="1200"/>
  </cs:axisTitle>
  <cs:categoryAxis>
    <cs:lnRef idx="1">
      <a:schemeClr val="dk1">
        <a:tint val="75000"/>
      </a:schemeClr>
    </cs:lnRef>
    <cs:fillRef idx="0"/>
    <cs:effectRef idx="0"/>
    <cs:fontRef idx="minor">
      <a:schemeClr val="dk1"/>
    </cs:fontRef>
    <cs:spPr>
      <a:ln>
        <a:round/>
      </a:ln>
    </cs:spPr>
    <cs:defRPr sz="1000" kern="1200"/>
  </cs:categoryAxis>
  <cs:chartArea>
    <cs:lnRef idx="1">
      <a:schemeClr val="dk1">
        <a:tint val="75000"/>
      </a:schemeClr>
    </cs:lnRef>
    <cs:fillRef idx="1">
      <a:schemeClr val="lt1"/>
    </cs:fillRef>
    <cs:effectRef idx="0"/>
    <cs:fontRef idx="minor">
      <a:schemeClr val="dk1"/>
    </cs:fontRef>
    <cs:spPr>
      <a:ln>
        <a:round/>
      </a:ln>
    </cs:spPr>
    <cs:defRPr sz="1000" kern="1200"/>
  </cs:chartArea>
  <cs:dataLabel>
    <cs:lnRef idx="0"/>
    <cs:fillRef idx="0"/>
    <cs:effectRef idx="0"/>
    <cs:fontRef idx="minor">
      <a:schemeClr val="dk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1" mods="ignoreCSTransforms">
      <cs:styleClr val="0">
        <a:shade val="50000"/>
      </cs:styleClr>
    </cs:lnRef>
    <cs:fillRef idx="1">
      <cs:styleClr val="auto"/>
    </cs:fillRef>
    <cs:effectRef idx="0"/>
    <cs:fontRef idx="minor">
      <a:schemeClr val="dk1"/>
    </cs:fontRef>
    <cs:spPr>
      <a:ln>
        <a:round/>
      </a:ln>
    </cs:spPr>
  </cs:dataPoint>
  <cs:dataPoint3D>
    <cs:lnRef idx="1" mods="ignoreCSTransforms">
      <cs:styleClr val="0">
        <a:shade val="50000"/>
      </cs:styleClr>
    </cs:lnRef>
    <cs:fillRef idx="1">
      <cs:styleClr val="auto"/>
    </cs:fillRef>
    <cs:effectRef idx="0"/>
    <cs:fontRef idx="minor">
      <a:schemeClr val="dk1"/>
    </cs:fontRef>
    <cs:spPr>
      <a:ln>
        <a:round/>
      </a:ln>
    </cs:spPr>
  </cs:dataPoint3D>
  <cs:dataPointLine>
    <cs:lnRef idx="1">
      <cs:styleClr val="auto"/>
    </cs:lnRef>
    <cs:lineWidthScale>5</cs:lineWidthScale>
    <cs:fillRef idx="0"/>
    <cs:effectRef idx="0"/>
    <cs:fontRef idx="minor">
      <a:schemeClr val="dk1"/>
    </cs:fontRef>
    <cs:spPr>
      <a:ln cap="rnd">
        <a:round/>
      </a:ln>
    </cs:spPr>
  </cs:dataPointLine>
  <cs:dataPointMarker>
    <cs:lnRef idx="1">
      <cs:styleClr val="auto"/>
    </cs:lnRef>
    <cs:fillRef idx="1">
      <cs:styleClr val="auto"/>
    </cs:fillRef>
    <cs:effectRef idx="0"/>
    <cs:fontRef idx="minor">
      <a:schemeClr val="dk1"/>
    </cs:fontRef>
    <cs:spPr>
      <a:ln>
        <a:round/>
      </a:ln>
    </cs:spPr>
  </cs:dataPointMarker>
  <cs:dataPointMarkerLayout/>
  <cs:dataPointWireframe>
    <cs:lnRef idx="1">
      <cs:styleClr val="auto"/>
    </cs:lnRef>
    <cs:fillRef idx="0"/>
    <cs:effectRef idx="0"/>
    <cs:fontRef idx="minor">
      <a:schemeClr val="dk1"/>
    </cs:fontRef>
    <cs:spPr>
      <a:ln>
        <a:round/>
      </a:ln>
    </cs:spPr>
  </cs:dataPointWireframe>
  <cs:dataTable>
    <cs:lnRef idx="1">
      <a:schemeClr val="dk1">
        <a:tint val="75000"/>
      </a:schemeClr>
    </cs:lnRef>
    <cs:fillRef idx="0"/>
    <cs:effectRef idx="0"/>
    <cs:fontRef idx="minor">
      <a:schemeClr val="dk1"/>
    </cs:fontRef>
    <cs:spPr>
      <a:ln>
        <a:round/>
      </a:ln>
    </cs:spPr>
    <cs:defRPr sz="1000" kern="1200"/>
  </cs:dataTable>
  <cs:downBar>
    <cs:lnRef idx="1" mods="ignoreCSTransforms">
      <cs:styleClr val="0">
        <a:shade val="25000"/>
      </cs:styleClr>
    </cs:lnRef>
    <cs:fillRef idx="1" mods="ignoreCSTransforms">
      <cs:styleClr val="0">
        <a:shade val="25000"/>
      </cs:styleClr>
    </cs:fillRef>
    <cs:effectRef idx="0"/>
    <cs:fontRef idx="minor">
      <a:schemeClr val="dk1"/>
    </cs:fontRef>
    <cs:spPr>
      <a:ln>
        <a:round/>
      </a:ln>
    </cs:spPr>
  </cs:downBar>
  <cs:dropLine>
    <cs:lnRef idx="1">
      <a:schemeClr val="dk1"/>
    </cs:lnRef>
    <cs:fillRef idx="0"/>
    <cs:effectRef idx="0"/>
    <cs:fontRef idx="minor">
      <a:schemeClr val="dk1"/>
    </cs:fontRef>
    <cs:spPr>
      <a:ln>
        <a:round/>
      </a:ln>
    </cs:spPr>
  </cs:dropLine>
  <cs:errorBar>
    <cs:lnRef idx="1">
      <a:schemeClr val="dk1"/>
    </cs:lnRef>
    <cs:fillRef idx="1">
      <a:schemeClr val="dk1"/>
    </cs:fillRef>
    <cs:effectRef idx="0"/>
    <cs:fontRef idx="minor">
      <a:schemeClr val="dk1"/>
    </cs:fontRef>
    <cs:spPr>
      <a:ln>
        <a:round/>
      </a:ln>
    </cs:spPr>
  </cs:errorBar>
  <cs:floor>
    <cs:lnRef idx="1">
      <a:schemeClr val="dk1">
        <a:tint val="75000"/>
      </a:schemeClr>
    </cs:lnRef>
    <cs:fillRef idx="1" mods="ignoreCSTransforms">
      <cs:styleClr val="0">
        <a:tint val="20000"/>
      </cs:styleClr>
    </cs:fillRef>
    <cs:effectRef idx="0"/>
    <cs:fontRef idx="minor">
      <a:schemeClr val="dk1"/>
    </cs:fontRef>
    <cs:spPr>
      <a:ln>
        <a:round/>
      </a:ln>
    </cs:spPr>
  </cs:floor>
  <cs:gridlineMajor>
    <cs:lnRef idx="1">
      <a:schemeClr val="dk1">
        <a:tint val="75000"/>
      </a:schemeClr>
    </cs:lnRef>
    <cs:fillRef idx="0"/>
    <cs:effectRef idx="0"/>
    <cs:fontRef idx="minor">
      <a:schemeClr val="dk1"/>
    </cs:fontRef>
    <cs:spPr>
      <a:ln>
        <a:round/>
      </a:ln>
    </cs:spPr>
  </cs:gridlineMajor>
  <cs:gridlineMinor>
    <cs:lnRef idx="1">
      <a:schemeClr val="dk1">
        <a:tint val="50000"/>
      </a:schemeClr>
    </cs:lnRef>
    <cs:fillRef idx="0"/>
    <cs:effectRef idx="0"/>
    <cs:fontRef idx="minor">
      <a:schemeClr val="dk1"/>
    </cs:fontRef>
    <cs:spPr>
      <a:ln>
        <a:round/>
      </a:ln>
    </cs:spPr>
  </cs:gridlineMinor>
  <cs:hiLoLine>
    <cs:lnRef idx="1">
      <a:schemeClr val="dk1"/>
    </cs:lnRef>
    <cs:fillRef idx="0"/>
    <cs:effectRef idx="0"/>
    <cs:fontRef idx="minor">
      <a:schemeClr val="dk1"/>
    </cs:fontRef>
    <cs:spPr>
      <a:ln>
        <a:round/>
      </a:ln>
    </cs:spPr>
  </cs:hiLoLine>
  <cs:leaderLine>
    <cs:lnRef idx="1">
      <a:schemeClr val="dk1"/>
    </cs:lnRef>
    <cs:fillRef idx="0"/>
    <cs:effectRef idx="0"/>
    <cs:fontRef idx="minor">
      <a:schemeClr val="dk1"/>
    </cs:fontRef>
    <cs:spPr>
      <a:ln>
        <a:round/>
      </a:ln>
    </cs:spPr>
  </cs:leaderLine>
  <cs:legend>
    <cs:lnRef idx="0"/>
    <cs:fillRef idx="0"/>
    <cs:effectRef idx="0"/>
    <cs:fontRef idx="minor">
      <a:schemeClr val="dk1"/>
    </cs:fontRef>
    <cs:defRPr sz="1000" kern="1200"/>
  </cs:legend>
  <cs:plotArea>
    <cs:lnRef idx="0"/>
    <cs:fillRef idx="1" mods="ignoreCSTransforms">
      <cs:styleClr val="0">
        <a:tint val="20000"/>
      </cs:styleClr>
    </cs:fillRef>
    <cs:effectRef idx="0"/>
    <cs:fontRef idx="minor">
      <a:schemeClr val="dk1"/>
    </cs:fontRef>
  </cs:plotArea>
  <cs:plotArea3D>
    <cs:lnRef idx="0"/>
    <cs:fillRef idx="0"/>
    <cs:effectRef idx="0"/>
    <cs:fontRef idx="minor">
      <a:schemeClr val="dk1"/>
    </cs:fontRef>
  </cs:plotArea3D>
  <cs:seriesAxis>
    <cs:lnRef idx="1">
      <a:schemeClr val="dk1">
        <a:tint val="75000"/>
      </a:schemeClr>
    </cs:lnRef>
    <cs:fillRef idx="0"/>
    <cs:effectRef idx="0"/>
    <cs:fontRef idx="minor">
      <a:schemeClr val="dk1"/>
    </cs:fontRef>
    <cs:spPr>
      <a:ln>
        <a:round/>
      </a:ln>
    </cs:spPr>
    <cs:defRPr sz="1000" kern="1200"/>
  </cs:seriesAxis>
  <cs:seriesLine>
    <cs:lnRef idx="1">
      <a:schemeClr val="dk1"/>
    </cs:lnRef>
    <cs:fillRef idx="0"/>
    <cs:effectRef idx="0"/>
    <cs:fontRef idx="minor">
      <a:schemeClr val="dk1"/>
    </cs:fontRef>
    <cs:spPr>
      <a:ln>
        <a:round/>
      </a:ln>
    </cs:spPr>
  </cs:seriesLine>
  <cs:title>
    <cs:lnRef idx="0"/>
    <cs:fillRef idx="0"/>
    <cs:effectRef idx="0"/>
    <cs:fontRef idx="minor">
      <a:schemeClr val="dk1"/>
    </cs:fontRef>
    <cs:defRPr sz="1800" b="1" kern="1200"/>
  </cs:title>
  <cs:trendline>
    <cs:lnRef idx="1">
      <a:schemeClr val="dk1"/>
    </cs:lnRef>
    <cs:fillRef idx="0"/>
    <cs:effectRef idx="0"/>
    <cs:fontRef idx="minor">
      <a:schemeClr val="dk1"/>
    </cs:fontRef>
    <cs:spPr>
      <a:ln cap="rnd">
        <a:round/>
      </a:ln>
    </cs:spPr>
  </cs:trendline>
  <cs:trendlineLabel>
    <cs:lnRef idx="0"/>
    <cs:fillRef idx="0"/>
    <cs:effectRef idx="0"/>
    <cs:fontRef idx="minor">
      <a:schemeClr val="dk1"/>
    </cs:fontRef>
    <cs:defRPr sz="1000" kern="1200"/>
  </cs:trendlineLabel>
  <cs:upBar>
    <cs:lnRef idx="1" mods="ignoreCSTransforms">
      <cs:styleClr val="0">
        <a:shade val="25000"/>
      </cs:styleClr>
    </cs:lnRef>
    <cs:fillRef idx="1">
      <a:schemeClr val="lt1"/>
    </cs:fillRef>
    <cs:effectRef idx="0"/>
    <cs:fontRef idx="minor">
      <a:schemeClr val="dk1"/>
    </cs:fontRef>
    <cs:spPr>
      <a:ln>
        <a:round/>
      </a:ln>
    </cs:spPr>
  </cs:upBar>
  <cs:valueAxis>
    <cs:lnRef idx="1">
      <a:schemeClr val="dk1">
        <a:tint val="75000"/>
      </a:schemeClr>
    </cs:lnRef>
    <cs:fillRef idx="0"/>
    <cs:effectRef idx="0"/>
    <cs:fontRef idx="minor">
      <a:schemeClr val="dk1"/>
    </cs:fontRef>
    <cs:spPr>
      <a:ln>
        <a:round/>
      </a:ln>
    </cs:spPr>
    <cs:defRPr sz="1000" kern="1200"/>
  </cs:valueAxis>
  <cs:wall>
    <cs:lnRef idx="0"/>
    <cs:fillRef idx="1" mods="ignoreCSTransforms">
      <cs:styleClr val="0">
        <a:tint val="20000"/>
      </cs:styleClr>
    </cs:fillRef>
    <cs:effectRef idx="0"/>
    <cs:fontRef idx="minor">
      <a:schemeClr val="dk1"/>
    </cs:fontRef>
  </cs:wall>
</cs:chartStyle>
</file>

<file path=word/charts/style47.xml><?xml version="1.0" encoding="utf-8"?>
<cs:chartStyle xmlns:cs="http://schemas.microsoft.com/office/drawing/2012/chartStyle" xmlns:a="http://schemas.openxmlformats.org/drawingml/2006/main" id="343">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9525" cap="rnd">
        <a:solidFill>
          <a:schemeClr val="phClr"/>
        </a:solidFill>
        <a:round/>
      </a:ln>
    </cs:spPr>
  </cs:dataPointLine>
  <cs:dataPointMarker>
    <cs:lnRef idx="0">
      <cs:styleClr val="auto"/>
    </cs:lnRef>
    <cs:fillRef idx="3">
      <cs:styleClr val="auto"/>
    </cs:fillRef>
    <cs:effectRef idx="3"/>
    <cs:fontRef idx="minor">
      <a:schemeClr val="tx1"/>
    </cs:fontRef>
    <cs:spPr>
      <a:ln w="9525" cap="rnd">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48.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9.xml><?xml version="1.0" encoding="utf-8"?>
<cs:chartStyle xmlns:cs="http://schemas.microsoft.com/office/drawing/2012/chartStyle" xmlns:a="http://schemas.openxmlformats.org/drawingml/2006/main" id="342">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50.xml><?xml version="1.0" encoding="utf-8"?>
<cs:chartStyle xmlns:cs="http://schemas.microsoft.com/office/drawing/2012/chartStyle" xmlns:a="http://schemas.openxmlformats.org/drawingml/2006/main" id="298">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8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lt1"/>
    </cs:fontRef>
    <cs:defRPr sz="900" b="0" i="0" u="none" strike="noStrike" kern="1200" baseline="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51.xml><?xml version="1.0" encoding="utf-8"?>
<cs:chartStyle xmlns:cs="http://schemas.microsoft.com/office/drawing/2012/chartStyle" xmlns:a="http://schemas.openxmlformats.org/drawingml/2006/main" id="298">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8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lt1"/>
    </cs:fontRef>
    <cs:defRPr sz="900" b="0" i="0" u="none" strike="noStrike" kern="1200" baseline="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52.xml><?xml version="1.0" encoding="utf-8"?>
<cs:chartStyle xmlns:cs="http://schemas.microsoft.com/office/drawing/2012/chartStyle" xmlns:a="http://schemas.openxmlformats.org/drawingml/2006/main" id="298">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8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lt1"/>
    </cs:fontRef>
    <cs:defRPr sz="900" b="0" i="0" u="none" strike="noStrike" kern="1200" baseline="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53.xml><?xml version="1.0" encoding="utf-8"?>
<cs:chartStyle xmlns:cs="http://schemas.microsoft.com/office/drawing/2012/chartStyle" xmlns:a="http://schemas.openxmlformats.org/drawingml/2006/main" id="105">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mods="ignoreCSTransforms">
      <cs:styleClr val="0">
        <a:shade val="25000"/>
      </cs:styl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mods="ignoreCSTransforms">
      <cs:styleClr val="0">
        <a:tint val="25000"/>
      </cs:styl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430.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0.05427</cdr:x>
      <cdr:y>0.59701</cdr:y>
    </cdr:from>
    <cdr:to>
      <cdr:x>0.44097</cdr:x>
      <cdr:y>0.82089</cdr:y>
    </cdr:to>
    <cdr:sp macro="" textlink="">
      <cdr:nvSpPr>
        <cdr:cNvPr id="2" name="TextBox 1"/>
        <cdr:cNvSpPr txBox="1"/>
      </cdr:nvSpPr>
      <cdr:spPr>
        <a:xfrm xmlns:a="http://schemas.openxmlformats.org/drawingml/2006/main">
          <a:off x="76197" y="838201"/>
          <a:ext cx="542927" cy="314328"/>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0.5563</cdr:x>
      <cdr:y>0.59701</cdr:y>
    </cdr:from>
    <cdr:to>
      <cdr:x>0.94299</cdr:x>
      <cdr:y>0.82089</cdr:y>
    </cdr:to>
    <cdr:sp macro="" textlink="">
      <cdr:nvSpPr>
        <cdr:cNvPr id="3" name="TextBox 2"/>
        <cdr:cNvSpPr txBox="1"/>
      </cdr:nvSpPr>
      <cdr:spPr>
        <a:xfrm xmlns:a="http://schemas.openxmlformats.org/drawingml/2006/main">
          <a:off x="781051" y="838201"/>
          <a:ext cx="542913" cy="314327"/>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2.xml><?xml version="1.0" encoding="utf-8"?>
<c:userShapes xmlns:c="http://schemas.openxmlformats.org/drawingml/2006/chart">
  <cdr:relSizeAnchor xmlns:cdr="http://schemas.openxmlformats.org/drawingml/2006/chartDrawing">
    <cdr:from>
      <cdr:x>0.05428</cdr:x>
      <cdr:y>0.59022</cdr:y>
    </cdr:from>
    <cdr:to>
      <cdr:x>0.44098</cdr:x>
      <cdr:y>0.8141</cdr:y>
    </cdr:to>
    <cdr:sp macro="" textlink="">
      <cdr:nvSpPr>
        <cdr:cNvPr id="2" name="TextBox 1"/>
        <cdr:cNvSpPr txBox="1"/>
      </cdr:nvSpPr>
      <cdr:spPr>
        <a:xfrm xmlns:a="http://schemas.openxmlformats.org/drawingml/2006/main">
          <a:off x="76206" y="828669"/>
          <a:ext cx="542926" cy="314328"/>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0.56217</cdr:x>
      <cdr:y>0.58408</cdr:y>
    </cdr:from>
    <cdr:to>
      <cdr:x>0.94887</cdr:x>
      <cdr:y>0.80796</cdr:y>
    </cdr:to>
    <cdr:sp macro="" textlink="">
      <cdr:nvSpPr>
        <cdr:cNvPr id="3" name="TextBox 2"/>
        <cdr:cNvSpPr txBox="1"/>
      </cdr:nvSpPr>
      <cdr:spPr>
        <a:xfrm xmlns:a="http://schemas.openxmlformats.org/drawingml/2006/main">
          <a:off x="748589" y="820034"/>
          <a:ext cx="514928" cy="314324"/>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endParaRPr lang="en-GB" sz="750" b="1">
            <a:solidFill>
              <a:schemeClr val="bg1"/>
            </a:solidFill>
          </a:endParaRPr>
        </a:p>
      </cdr:txBody>
    </cdr:sp>
  </cdr:relSizeAnchor>
</c:userShapes>
</file>

<file path=word/drawings/drawing3.xml><?xml version="1.0" encoding="utf-8"?>
<c:userShapes xmlns:c="http://schemas.openxmlformats.org/drawingml/2006/chart">
  <cdr:relSizeAnchor xmlns:cdr="http://schemas.openxmlformats.org/drawingml/2006/chartDrawing">
    <cdr:from>
      <cdr:x>0.06106</cdr:x>
      <cdr:y>0.22387</cdr:y>
    </cdr:from>
    <cdr:to>
      <cdr:x>0.44776</cdr:x>
      <cdr:y>0.44775</cdr:y>
    </cdr:to>
    <cdr:sp macro="" textlink="">
      <cdr:nvSpPr>
        <cdr:cNvPr id="4" name="TextBox 1"/>
        <cdr:cNvSpPr txBox="1"/>
      </cdr:nvSpPr>
      <cdr:spPr>
        <a:xfrm xmlns:a="http://schemas.openxmlformats.org/drawingml/2006/main">
          <a:off x="85722" y="314313"/>
          <a:ext cx="542927" cy="314328"/>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0.55631</cdr:x>
      <cdr:y>0.21773</cdr:y>
    </cdr:from>
    <cdr:to>
      <cdr:x>0.94301</cdr:x>
      <cdr:y>0.44161</cdr:y>
    </cdr:to>
    <cdr:sp macro="" textlink="">
      <cdr:nvSpPr>
        <cdr:cNvPr id="5" name="TextBox 2"/>
        <cdr:cNvSpPr txBox="1"/>
      </cdr:nvSpPr>
      <cdr:spPr>
        <a:xfrm xmlns:a="http://schemas.openxmlformats.org/drawingml/2006/main">
          <a:off x="740780" y="305684"/>
          <a:ext cx="514927" cy="314324"/>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4.xml><?xml version="1.0" encoding="utf-8"?>
<c:userShapes xmlns:c="http://schemas.openxmlformats.org/drawingml/2006/chart">
  <cdr:relSizeAnchor xmlns:cdr="http://schemas.openxmlformats.org/drawingml/2006/chartDrawing">
    <cdr:from>
      <cdr:x>0.06106</cdr:x>
      <cdr:y>0.21709</cdr:y>
    </cdr:from>
    <cdr:to>
      <cdr:x>0.44776</cdr:x>
      <cdr:y>0.44097</cdr:y>
    </cdr:to>
    <cdr:sp macro="" textlink="">
      <cdr:nvSpPr>
        <cdr:cNvPr id="4" name="TextBox 1"/>
        <cdr:cNvSpPr txBox="1"/>
      </cdr:nvSpPr>
      <cdr:spPr>
        <a:xfrm xmlns:a="http://schemas.openxmlformats.org/drawingml/2006/main">
          <a:off x="85722" y="304794"/>
          <a:ext cx="542927" cy="314328"/>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0.56217</cdr:x>
      <cdr:y>0.21709</cdr:y>
    </cdr:from>
    <cdr:to>
      <cdr:x>0.94887</cdr:x>
      <cdr:y>0.44097</cdr:y>
    </cdr:to>
    <cdr:sp macro="" textlink="">
      <cdr:nvSpPr>
        <cdr:cNvPr id="5" name="TextBox 2"/>
        <cdr:cNvSpPr txBox="1"/>
      </cdr:nvSpPr>
      <cdr:spPr>
        <a:xfrm xmlns:a="http://schemas.openxmlformats.org/drawingml/2006/main">
          <a:off x="748589" y="304791"/>
          <a:ext cx="514928" cy="314324"/>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endParaRPr lang="en-GB" sz="750" b="1">
            <a:solidFill>
              <a:schemeClr val="bg1"/>
            </a:solidFill>
          </a:endParaRPr>
        </a:p>
      </cdr:txBody>
    </cdr:sp>
  </cdr:relSizeAnchor>
</c:userShapes>
</file>

<file path=word/drawings/drawing5.xml><?xml version="1.0" encoding="utf-8"?>
<c:userShapes xmlns:c="http://schemas.openxmlformats.org/drawingml/2006/chart">
  <cdr:relSizeAnchor xmlns:cdr="http://schemas.openxmlformats.org/drawingml/2006/chartDrawing">
    <cdr:from>
      <cdr:x>0.06106</cdr:x>
      <cdr:y>0.57328</cdr:y>
    </cdr:from>
    <cdr:to>
      <cdr:x>0.44776</cdr:x>
      <cdr:y>0.79716</cdr:y>
    </cdr:to>
    <cdr:sp macro="" textlink="">
      <cdr:nvSpPr>
        <cdr:cNvPr id="2" name="TextBox 1"/>
        <cdr:cNvSpPr txBox="1"/>
      </cdr:nvSpPr>
      <cdr:spPr>
        <a:xfrm xmlns:a="http://schemas.openxmlformats.org/drawingml/2006/main">
          <a:off x="85722" y="690209"/>
          <a:ext cx="542927" cy="269546"/>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0.55631</cdr:x>
      <cdr:y>0.57328</cdr:y>
    </cdr:from>
    <cdr:to>
      <cdr:x>0.943</cdr:x>
      <cdr:y>0.79716</cdr:y>
    </cdr:to>
    <cdr:sp macro="" textlink="">
      <cdr:nvSpPr>
        <cdr:cNvPr id="3" name="TextBox 2"/>
        <cdr:cNvSpPr txBox="1"/>
      </cdr:nvSpPr>
      <cdr:spPr>
        <a:xfrm xmlns:a="http://schemas.openxmlformats.org/drawingml/2006/main">
          <a:off x="781057" y="690209"/>
          <a:ext cx="542913" cy="269545"/>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6.xml><?xml version="1.0" encoding="utf-8"?>
<c:userShapes xmlns:c="http://schemas.openxmlformats.org/drawingml/2006/chart">
  <cdr:relSizeAnchor xmlns:cdr="http://schemas.openxmlformats.org/drawingml/2006/chartDrawing">
    <cdr:from>
      <cdr:x>0.06784</cdr:x>
      <cdr:y>0.57325</cdr:y>
    </cdr:from>
    <cdr:to>
      <cdr:x>0.45454</cdr:x>
      <cdr:y>0.79713</cdr:y>
    </cdr:to>
    <cdr:sp macro="" textlink="">
      <cdr:nvSpPr>
        <cdr:cNvPr id="2" name="TextBox 1"/>
        <cdr:cNvSpPr txBox="1"/>
      </cdr:nvSpPr>
      <cdr:spPr>
        <a:xfrm xmlns:a="http://schemas.openxmlformats.org/drawingml/2006/main">
          <a:off x="95247" y="689270"/>
          <a:ext cx="542927" cy="269194"/>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0.56309</cdr:x>
      <cdr:y>0.57325</cdr:y>
    </cdr:from>
    <cdr:to>
      <cdr:x>0.94978</cdr:x>
      <cdr:y>0.79713</cdr:y>
    </cdr:to>
    <cdr:sp macro="" textlink="">
      <cdr:nvSpPr>
        <cdr:cNvPr id="3" name="TextBox 2"/>
        <cdr:cNvSpPr txBox="1"/>
      </cdr:nvSpPr>
      <cdr:spPr>
        <a:xfrm xmlns:a="http://schemas.openxmlformats.org/drawingml/2006/main">
          <a:off x="790582" y="689270"/>
          <a:ext cx="542913" cy="269194"/>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endParaRPr lang="en-GB" sz="750" b="1">
            <a:solidFill>
              <a:schemeClr val="bg1"/>
            </a:solidFill>
          </a:endParaRPr>
        </a:p>
      </cdr:txBody>
    </cdr:sp>
  </cdr:relSizeAnchor>
</c:userShapes>
</file>

<file path=word/drawings/drawing7.xml><?xml version="1.0" encoding="utf-8"?>
<c:userShapes xmlns:c="http://schemas.openxmlformats.org/drawingml/2006/chart">
  <cdr:relSizeAnchor xmlns:cdr="http://schemas.openxmlformats.org/drawingml/2006/chartDrawing">
    <cdr:from>
      <cdr:x>0.56309</cdr:x>
      <cdr:y>0.41304</cdr:y>
    </cdr:from>
    <cdr:to>
      <cdr:x>0.94979</cdr:x>
      <cdr:y>0.86253</cdr:y>
    </cdr:to>
    <cdr:sp macro="" textlink="">
      <cdr:nvSpPr>
        <cdr:cNvPr id="5" name="TextBox 2"/>
        <cdr:cNvSpPr txBox="1"/>
      </cdr:nvSpPr>
      <cdr:spPr>
        <a:xfrm xmlns:a="http://schemas.openxmlformats.org/drawingml/2006/main">
          <a:off x="790578" y="340309"/>
          <a:ext cx="542927" cy="370342"/>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dr:relSizeAnchor xmlns:cdr="http://schemas.openxmlformats.org/drawingml/2006/chartDrawing">
    <cdr:from>
      <cdr:x>0.05919</cdr:x>
      <cdr:y>0.41304</cdr:y>
    </cdr:from>
    <cdr:to>
      <cdr:x>0.43419</cdr:x>
      <cdr:y>0.75369</cdr:y>
    </cdr:to>
    <cdr:sp macro="" textlink="">
      <cdr:nvSpPr>
        <cdr:cNvPr id="2" name="TextBox 1"/>
        <cdr:cNvSpPr txBox="1"/>
      </cdr:nvSpPr>
      <cdr:spPr>
        <a:xfrm xmlns:a="http://schemas.openxmlformats.org/drawingml/2006/main">
          <a:off x="83097" y="340309"/>
          <a:ext cx="526500" cy="280665"/>
        </a:xfrm>
        <a:prstGeom xmlns:a="http://schemas.openxmlformats.org/drawingml/2006/main" prst="rect">
          <a:avLst/>
        </a:prstGeom>
        <a:noFill xmlns:a="http://schemas.openxmlformats.org/drawingml/2006/main"/>
      </cdr:spPr>
      <cdr:txBody>
        <a:bodyPr xmlns:a="http://schemas.openxmlformats.org/drawingml/2006/main" vertOverflow="clip" wrap="square" lIns="0" tIns="0" rIns="0" bIns="0" rtlCol="0"/>
        <a:lstStyle xmlns:a="http://schemas.openxmlformats.org/drawingml/2006/main"/>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userShapes>
</file>

<file path=word/drawings/drawing8.xml><?xml version="1.0" encoding="utf-8"?>
<c:userShapes xmlns:c="http://schemas.openxmlformats.org/drawingml/2006/chart">
  <cdr:relSizeAnchor xmlns:cdr="http://schemas.openxmlformats.org/drawingml/2006/chartDrawing">
    <cdr:from>
      <cdr:x>0.57666</cdr:x>
      <cdr:y>0.41436</cdr:y>
    </cdr:from>
    <cdr:to>
      <cdr:x>0.96336</cdr:x>
      <cdr:y>0.72789</cdr:y>
    </cdr:to>
    <cdr:sp macro="" textlink="">
      <cdr:nvSpPr>
        <cdr:cNvPr id="5" name="TextBox 2"/>
        <cdr:cNvSpPr txBox="1"/>
      </cdr:nvSpPr>
      <cdr:spPr>
        <a:xfrm xmlns:a="http://schemas.openxmlformats.org/drawingml/2006/main">
          <a:off x="809634" y="341601"/>
          <a:ext cx="542927" cy="258474"/>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endParaRPr lang="en-GB" sz="750" b="1">
            <a:solidFill>
              <a:schemeClr val="bg1"/>
            </a:solidFill>
          </a:endParaRPr>
        </a:p>
      </cdr:txBody>
    </cdr:sp>
  </cdr:relSizeAnchor>
  <cdr:relSizeAnchor xmlns:cdr="http://schemas.openxmlformats.org/drawingml/2006/chartDrawing">
    <cdr:from>
      <cdr:x>0.08141</cdr:x>
      <cdr:y>0.41436</cdr:y>
    </cdr:from>
    <cdr:to>
      <cdr:x>0.46811</cdr:x>
      <cdr:y>0.71634</cdr:y>
    </cdr:to>
    <cdr:sp macro="" textlink="">
      <cdr:nvSpPr>
        <cdr:cNvPr id="6" name="TextBox 1"/>
        <cdr:cNvSpPr txBox="1"/>
      </cdr:nvSpPr>
      <cdr:spPr>
        <a:xfrm xmlns:a="http://schemas.openxmlformats.org/drawingml/2006/main">
          <a:off x="114301" y="341601"/>
          <a:ext cx="542927" cy="248949"/>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userShapes>
</file>

<file path=word/drawings/drawing9.xml><?xml version="1.0" encoding="utf-8"?>
<c:userShapes xmlns:c="http://schemas.openxmlformats.org/drawingml/2006/chart">
  <cdr:relSizeAnchor xmlns:cdr="http://schemas.openxmlformats.org/drawingml/2006/chartDrawing">
    <cdr:from>
      <cdr:x>0.05427</cdr:x>
      <cdr:y>0.60379</cdr:y>
    </cdr:from>
    <cdr:to>
      <cdr:x>0.44097</cdr:x>
      <cdr:y>0.82767</cdr:y>
    </cdr:to>
    <cdr:sp macro="" textlink="">
      <cdr:nvSpPr>
        <cdr:cNvPr id="2" name="TextBox 1"/>
        <cdr:cNvSpPr txBox="1"/>
      </cdr:nvSpPr>
      <cdr:spPr>
        <a:xfrm xmlns:a="http://schemas.openxmlformats.org/drawingml/2006/main">
          <a:off x="76195" y="847721"/>
          <a:ext cx="542927" cy="314328"/>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0.54952</cdr:x>
      <cdr:y>0.60379</cdr:y>
    </cdr:from>
    <cdr:to>
      <cdr:x>0.93621</cdr:x>
      <cdr:y>0.82767</cdr:y>
    </cdr:to>
    <cdr:sp macro="" textlink="">
      <cdr:nvSpPr>
        <cdr:cNvPr id="3" name="TextBox 2"/>
        <cdr:cNvSpPr txBox="1"/>
      </cdr:nvSpPr>
      <cdr:spPr>
        <a:xfrm xmlns:a="http://schemas.openxmlformats.org/drawingml/2006/main">
          <a:off x="771526" y="847721"/>
          <a:ext cx="542913" cy="314328"/>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10.xml><?xml version="1.0" encoding="utf-8"?>
<c:userShapes xmlns:c="http://schemas.openxmlformats.org/drawingml/2006/chart">
  <cdr:relSizeAnchor xmlns:cdr="http://schemas.openxmlformats.org/drawingml/2006/chartDrawing">
    <cdr:from>
      <cdr:x>0.06106</cdr:x>
      <cdr:y>0.60379</cdr:y>
    </cdr:from>
    <cdr:to>
      <cdr:x>0.44776</cdr:x>
      <cdr:y>0.82767</cdr:y>
    </cdr:to>
    <cdr:sp macro="" textlink="">
      <cdr:nvSpPr>
        <cdr:cNvPr id="2" name="TextBox 1"/>
        <cdr:cNvSpPr txBox="1"/>
      </cdr:nvSpPr>
      <cdr:spPr>
        <a:xfrm xmlns:a="http://schemas.openxmlformats.org/drawingml/2006/main">
          <a:off x="85728" y="847721"/>
          <a:ext cx="542927" cy="314328"/>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0.56309</cdr:x>
      <cdr:y>0.60379</cdr:y>
    </cdr:from>
    <cdr:to>
      <cdr:x>0.94978</cdr:x>
      <cdr:y>0.82767</cdr:y>
    </cdr:to>
    <cdr:sp macro="" textlink="">
      <cdr:nvSpPr>
        <cdr:cNvPr id="3" name="TextBox 2"/>
        <cdr:cNvSpPr txBox="1"/>
      </cdr:nvSpPr>
      <cdr:spPr>
        <a:xfrm xmlns:a="http://schemas.openxmlformats.org/drawingml/2006/main">
          <a:off x="790584" y="847721"/>
          <a:ext cx="542913" cy="314327"/>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endParaRPr lang="en-GB" sz="750" b="1">
            <a:solidFill>
              <a:schemeClr val="bg1"/>
            </a:solidFill>
          </a:endParaRPr>
        </a:p>
      </cdr:txBody>
    </cdr:sp>
  </cdr:relSizeAnchor>
</c:userShapes>
</file>

<file path=word/drawings/drawing11.xml><?xml version="1.0" encoding="utf-8"?>
<c:userShapes xmlns:c="http://schemas.openxmlformats.org/drawingml/2006/chart">
  <cdr:relSizeAnchor xmlns:cdr="http://schemas.openxmlformats.org/drawingml/2006/chartDrawing">
    <cdr:from>
      <cdr:x>0.50932</cdr:x>
      <cdr:y>0.01852</cdr:y>
    </cdr:from>
    <cdr:to>
      <cdr:x>0.94368</cdr:x>
      <cdr:y>0.72222</cdr:y>
    </cdr:to>
    <cdr:sp macro="" textlink="">
      <cdr:nvSpPr>
        <cdr:cNvPr id="3" name="TextBox 2"/>
        <cdr:cNvSpPr txBox="1"/>
      </cdr:nvSpPr>
      <cdr:spPr>
        <a:xfrm xmlns:a="http://schemas.openxmlformats.org/drawingml/2006/main">
          <a:off x="2200275" y="57150"/>
          <a:ext cx="1876424" cy="2171700"/>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vertOverflow="clip" wrap="square" rtlCol="0" anchor="t"/>
        <a:lstStyle xmlns:a="http://schemas.openxmlformats.org/drawingml/2006/main"/>
        <a:p xmlns:a="http://schemas.openxmlformats.org/drawingml/2006/main">
          <a:pPr algn="ctr"/>
          <a:r>
            <a:rPr lang="sr-Cyrl-RS" sz="750" b="1">
              <a:solidFill>
                <a:schemeClr val="tx2"/>
              </a:solidFill>
              <a:latin typeface="+mn-lt"/>
              <a:cs typeface="Arial" panose="020B0604020202020204" pitchFamily="34" charset="0"/>
            </a:rPr>
            <a:t>ПРОЈЕКЦИЈА</a:t>
          </a:r>
          <a:endParaRPr lang="en-GB" sz="750" b="1">
            <a:solidFill>
              <a:schemeClr val="tx2"/>
            </a:solidFill>
            <a:latin typeface="+mn-lt"/>
            <a:cs typeface="Arial" panose="020B0604020202020204" pitchFamily="34" charset="0"/>
          </a:endParaRPr>
        </a:p>
      </cdr:txBody>
    </cdr:sp>
  </cdr:relSizeAnchor>
</c:userShapes>
</file>

<file path=word/drawings/drawing12.xml><?xml version="1.0" encoding="utf-8"?>
<c:userShapes xmlns:c="http://schemas.openxmlformats.org/drawingml/2006/chart">
  <cdr:relSizeAnchor xmlns:cdr="http://schemas.openxmlformats.org/drawingml/2006/chartDrawing">
    <cdr:from>
      <cdr:x>0.5212</cdr:x>
      <cdr:y>0</cdr:y>
    </cdr:from>
    <cdr:to>
      <cdr:x>0.98179</cdr:x>
      <cdr:y>0.73863</cdr:y>
    </cdr:to>
    <cdr:sp macro="" textlink="">
      <cdr:nvSpPr>
        <cdr:cNvPr id="3" name="TextBox 2"/>
        <cdr:cNvSpPr txBox="1"/>
      </cdr:nvSpPr>
      <cdr:spPr>
        <a:xfrm xmlns:a="http://schemas.openxmlformats.org/drawingml/2006/main">
          <a:off x="1429768" y="-2691685"/>
          <a:ext cx="1263490" cy="1418347"/>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vertOverflow="clip" wrap="square" rtlCol="0" anchor="t"/>
        <a:lstStyle xmlns:a="http://schemas.openxmlformats.org/drawingml/2006/main"/>
        <a:p xmlns:a="http://schemas.openxmlformats.org/drawingml/2006/main">
          <a:pPr algn="ctr"/>
          <a:r>
            <a:rPr lang="sr-Cyrl-RS" sz="750" b="1">
              <a:solidFill>
                <a:schemeClr val="tx2"/>
              </a:solidFill>
              <a:latin typeface="+mn-lt"/>
              <a:cs typeface="Arial" panose="020B0604020202020204" pitchFamily="34" charset="0"/>
            </a:rPr>
            <a:t>ПРОЈЕКЦИЈА</a:t>
          </a:r>
          <a:endParaRPr lang="en-GB" sz="750" b="1">
            <a:solidFill>
              <a:schemeClr val="tx2"/>
            </a:solidFill>
            <a:latin typeface="+mn-lt"/>
            <a:cs typeface="Arial" panose="020B0604020202020204" pitchFamily="34" charset="0"/>
          </a:endParaRPr>
        </a:p>
      </cdr:txBody>
    </cdr:sp>
  </cdr:relSizeAnchor>
</c:userShapes>
</file>

<file path=word/drawings/drawing13.xml><?xml version="1.0" encoding="utf-8"?>
<c:userShapes xmlns:c="http://schemas.openxmlformats.org/drawingml/2006/chart">
  <cdr:relSizeAnchor xmlns:cdr="http://schemas.openxmlformats.org/drawingml/2006/chartDrawing">
    <cdr:from>
      <cdr:x>0.51307</cdr:x>
      <cdr:y>0.00827</cdr:y>
    </cdr:from>
    <cdr:to>
      <cdr:x>0.96515</cdr:x>
      <cdr:y>0.76895</cdr:y>
    </cdr:to>
    <cdr:sp macro="" textlink="">
      <cdr:nvSpPr>
        <cdr:cNvPr id="3" name="TextBox 2"/>
        <cdr:cNvSpPr txBox="1"/>
      </cdr:nvSpPr>
      <cdr:spPr>
        <a:xfrm xmlns:a="http://schemas.openxmlformats.org/drawingml/2006/main">
          <a:off x="1407455" y="19051"/>
          <a:ext cx="1240145" cy="1752600"/>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vertOverflow="clip" wrap="square" rtlCol="0" anchor="t"/>
        <a:lstStyle xmlns:a="http://schemas.openxmlformats.org/drawingml/2006/main"/>
        <a:p xmlns:a="http://schemas.openxmlformats.org/drawingml/2006/main">
          <a:pPr algn="ctr"/>
          <a:r>
            <a:rPr lang="sr-Cyrl-RS" sz="750" b="1">
              <a:solidFill>
                <a:schemeClr val="tx2"/>
              </a:solidFill>
              <a:latin typeface="+mn-lt"/>
              <a:cs typeface="Arial" panose="020B0604020202020204" pitchFamily="34" charset="0"/>
            </a:rPr>
            <a:t>ПРОЈЕКЦИЈА</a:t>
          </a:r>
          <a:endParaRPr lang="en-GB" sz="750" b="1">
            <a:solidFill>
              <a:schemeClr val="tx2"/>
            </a:solidFill>
            <a:latin typeface="+mn-lt"/>
            <a:cs typeface="Arial" panose="020B0604020202020204" pitchFamily="34" charset="0"/>
          </a:endParaRPr>
        </a:p>
      </cdr:txBody>
    </cdr:sp>
  </cdr:relSizeAnchor>
</c:userShapes>
</file>

<file path=word/drawings/drawing14.xml><?xml version="1.0" encoding="utf-8"?>
<c:userShapes xmlns:c="http://schemas.openxmlformats.org/drawingml/2006/chart">
  <cdr:relSizeAnchor xmlns:cdr="http://schemas.openxmlformats.org/drawingml/2006/chartDrawing">
    <cdr:from>
      <cdr:x>0.05793</cdr:x>
      <cdr:y>0.85649</cdr:y>
    </cdr:from>
    <cdr:to>
      <cdr:x>0.35061</cdr:x>
      <cdr:y>0.98363</cdr:y>
    </cdr:to>
    <cdr:sp macro="" textlink="">
      <cdr:nvSpPr>
        <cdr:cNvPr id="2" name="TextBox 1"/>
        <cdr:cNvSpPr txBox="1"/>
      </cdr:nvSpPr>
      <cdr:spPr>
        <a:xfrm xmlns:a="http://schemas.openxmlformats.org/drawingml/2006/main">
          <a:off x="180975" y="1495425"/>
          <a:ext cx="914400" cy="22199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en-GB" sz="1100"/>
        </a:p>
      </cdr:txBody>
    </cdr:sp>
  </cdr:relSizeAnchor>
  <cdr:relSizeAnchor xmlns:cdr="http://schemas.openxmlformats.org/drawingml/2006/chartDrawing">
    <cdr:from>
      <cdr:x>0.04613</cdr:x>
      <cdr:y>0.814</cdr:y>
    </cdr:from>
    <cdr:to>
      <cdr:x>0.96145</cdr:x>
      <cdr:y>0.97282</cdr:y>
    </cdr:to>
    <cdr:grpSp>
      <cdr:nvGrpSpPr>
        <cdr:cNvPr id="11" name="Group 10"/>
        <cdr:cNvGrpSpPr/>
      </cdr:nvGrpSpPr>
      <cdr:grpSpPr>
        <a:xfrm xmlns:a="http://schemas.openxmlformats.org/drawingml/2006/main">
          <a:off x="126795" y="1387209"/>
          <a:ext cx="2515713" cy="270662"/>
          <a:chOff x="205846" y="1543663"/>
          <a:chExt cx="2859616" cy="304071"/>
        </a:xfrm>
      </cdr:grpSpPr>
      <cdr:grpSp>
        <cdr:nvGrpSpPr>
          <cdr:cNvPr id="6" name="Group 5">
            <a:extLst xmlns:a="http://schemas.openxmlformats.org/drawingml/2006/main">
              <a:ext uri="{FF2B5EF4-FFF2-40B4-BE49-F238E27FC236}">
                <a16:creationId xmlns:a16="http://schemas.microsoft.com/office/drawing/2014/main" id="{6280970F-1A39-45CB-A80B-A0C7080ABCF5}"/>
              </a:ext>
            </a:extLst>
          </cdr:cNvPr>
          <cdr:cNvGrpSpPr/>
        </cdr:nvGrpSpPr>
        <cdr:grpSpPr>
          <a:xfrm xmlns:a="http://schemas.openxmlformats.org/drawingml/2006/main">
            <a:off x="219089" y="1685926"/>
            <a:ext cx="2698748" cy="161808"/>
            <a:chOff x="219075" y="1450975"/>
            <a:chExt cx="2698750" cy="276369"/>
          </a:xfrm>
        </cdr:grpSpPr>
        <cdr:sp macro="" textlink="">
          <cdr:nvSpPr>
            <cdr:cNvPr id="3" name="TextBox 2"/>
            <cdr:cNvSpPr txBox="1"/>
          </cdr:nvSpPr>
          <cdr:spPr>
            <a:xfrm xmlns:a="http://schemas.openxmlformats.org/drawingml/2006/main">
              <a:off x="219075" y="1467244"/>
              <a:ext cx="742950" cy="2601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sr-Latn-RS" sz="750" b="1" baseline="0">
                  <a:solidFill>
                    <a:srgbClr val="29489A"/>
                  </a:solidFill>
                </a:rPr>
                <a:t>2018</a:t>
              </a:r>
              <a:r>
                <a:rPr lang="sr-Latn-RS" sz="750" baseline="0">
                  <a:solidFill>
                    <a:schemeClr val="tx2"/>
                  </a:solidFill>
                </a:rPr>
                <a:t>     </a:t>
              </a:r>
              <a:r>
                <a:rPr lang="en-GB" sz="750" baseline="0">
                  <a:solidFill>
                    <a:schemeClr val="tx2"/>
                  </a:solidFill>
                </a:rPr>
                <a:t>     </a:t>
              </a:r>
              <a:r>
                <a:rPr lang="sr-Latn-RS" sz="750" b="1" baseline="0">
                  <a:solidFill>
                    <a:srgbClr val="FF0000"/>
                  </a:solidFill>
                </a:rPr>
                <a:t>2019</a:t>
              </a:r>
              <a:endParaRPr lang="en-GB" sz="750" b="1">
                <a:solidFill>
                  <a:srgbClr val="FF0000"/>
                </a:solidFill>
              </a:endParaRPr>
            </a:p>
          </cdr:txBody>
        </cdr:sp>
        <cdr:sp macro="" textlink="">
          <cdr:nvSpPr>
            <cdr:cNvPr id="4" name="TextBox 1"/>
            <cdr:cNvSpPr txBox="1"/>
          </cdr:nvSpPr>
          <cdr:spPr>
            <a:xfrm xmlns:a="http://schemas.openxmlformats.org/drawingml/2006/main">
              <a:off x="1193800" y="1450975"/>
              <a:ext cx="742950" cy="26010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Latn-RS" sz="750" b="1" baseline="0">
                  <a:solidFill>
                    <a:srgbClr val="29489A"/>
                  </a:solidFill>
                </a:rPr>
                <a:t>2018</a:t>
              </a:r>
              <a:r>
                <a:rPr lang="en-GB" sz="750" baseline="0">
                  <a:solidFill>
                    <a:schemeClr val="tx2"/>
                  </a:solidFill>
                </a:rPr>
                <a:t>   </a:t>
              </a:r>
              <a:r>
                <a:rPr lang="sr-Latn-RS" sz="750" baseline="0">
                  <a:solidFill>
                    <a:schemeClr val="tx2"/>
                  </a:solidFill>
                </a:rPr>
                <a:t>     </a:t>
              </a:r>
              <a:r>
                <a:rPr lang="en-GB" sz="750" baseline="0">
                  <a:solidFill>
                    <a:schemeClr val="tx2"/>
                  </a:solidFill>
                </a:rPr>
                <a:t>   </a:t>
              </a:r>
              <a:r>
                <a:rPr lang="sr-Latn-RS" sz="750" b="1" baseline="0">
                  <a:solidFill>
                    <a:srgbClr val="FF0000"/>
                  </a:solidFill>
                </a:rPr>
                <a:t>2019</a:t>
              </a:r>
              <a:endParaRPr lang="en-GB" sz="750" b="1">
                <a:solidFill>
                  <a:srgbClr val="FF0000"/>
                </a:solidFill>
              </a:endParaRPr>
            </a:p>
          </cdr:txBody>
        </cdr:sp>
        <cdr:sp macro="" textlink="">
          <cdr:nvSpPr>
            <cdr:cNvPr id="5" name="TextBox 1"/>
            <cdr:cNvSpPr txBox="1"/>
          </cdr:nvSpPr>
          <cdr:spPr>
            <a:xfrm xmlns:a="http://schemas.openxmlformats.org/drawingml/2006/main">
              <a:off x="2174875" y="1450975"/>
              <a:ext cx="742950" cy="26010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Latn-RS" sz="750" b="1" baseline="0">
                  <a:solidFill>
                    <a:srgbClr val="29489A"/>
                  </a:solidFill>
                </a:rPr>
                <a:t>2018 </a:t>
              </a:r>
              <a:r>
                <a:rPr lang="en-GB" sz="750" baseline="0">
                  <a:solidFill>
                    <a:schemeClr val="tx2"/>
                  </a:solidFill>
                </a:rPr>
                <a:t>   </a:t>
              </a:r>
              <a:r>
                <a:rPr lang="sr-Latn-RS" sz="750" baseline="0">
                  <a:solidFill>
                    <a:schemeClr val="tx2"/>
                  </a:solidFill>
                </a:rPr>
                <a:t>    </a:t>
              </a:r>
              <a:r>
                <a:rPr lang="en-GB" sz="750" baseline="0">
                  <a:solidFill>
                    <a:schemeClr val="tx2"/>
                  </a:solidFill>
                </a:rPr>
                <a:t>  </a:t>
              </a:r>
              <a:r>
                <a:rPr lang="sr-Latn-RS" sz="750" b="1" baseline="0">
                  <a:solidFill>
                    <a:srgbClr val="FF0000"/>
                  </a:solidFill>
                </a:rPr>
                <a:t>2019</a:t>
              </a:r>
              <a:endParaRPr lang="en-GB" sz="750" b="1">
                <a:solidFill>
                  <a:srgbClr val="FF0000"/>
                </a:solidFill>
              </a:endParaRPr>
            </a:p>
          </cdr:txBody>
        </cdr:sp>
      </cdr:grpSp>
      <cdr:grpSp>
        <cdr:nvGrpSpPr>
          <cdr:cNvPr id="10" name="Group 9"/>
          <cdr:cNvGrpSpPr/>
        </cdr:nvGrpSpPr>
        <cdr:grpSpPr>
          <a:xfrm xmlns:a="http://schemas.openxmlformats.org/drawingml/2006/main">
            <a:off x="205846" y="1543663"/>
            <a:ext cx="2859616" cy="205406"/>
            <a:chOff x="205846" y="1543663"/>
            <a:chExt cx="2859616" cy="205406"/>
          </a:xfrm>
        </cdr:grpSpPr>
        <cdr:sp macro="" textlink="">
          <cdr:nvSpPr>
            <cdr:cNvPr id="7" name="TextBox 1"/>
            <cdr:cNvSpPr txBox="1"/>
          </cdr:nvSpPr>
          <cdr:spPr>
            <a:xfrm xmlns:a="http://schemas.openxmlformats.org/drawingml/2006/main">
              <a:off x="205846" y="1543663"/>
              <a:ext cx="854075" cy="20540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GB" sz="750" b="1" baseline="0">
                  <a:solidFill>
                    <a:srgbClr val="29489A"/>
                  </a:solidFill>
                </a:rPr>
                <a:t>I</a:t>
              </a:r>
              <a:r>
                <a:rPr lang="sr-Latn-RS" sz="750" b="1" baseline="0">
                  <a:solidFill>
                    <a:schemeClr val="tx2"/>
                  </a:solidFill>
                </a:rPr>
                <a:t>    </a:t>
              </a:r>
              <a:r>
                <a:rPr lang="en-GB" sz="750" b="1" baseline="0">
                  <a:solidFill>
                    <a:schemeClr val="tx2"/>
                  </a:solidFill>
                </a:rPr>
                <a:t>   II       </a:t>
              </a:r>
              <a:r>
                <a:rPr lang="en-GB" sz="750" b="1" baseline="0">
                  <a:solidFill>
                    <a:srgbClr val="FF0000"/>
                  </a:solidFill>
                </a:rPr>
                <a:t>I </a:t>
              </a:r>
              <a:r>
                <a:rPr lang="en-GB" sz="750" b="1" baseline="0">
                  <a:solidFill>
                    <a:schemeClr val="tx2"/>
                  </a:solidFill>
                </a:rPr>
                <a:t>      </a:t>
              </a:r>
              <a:r>
                <a:rPr lang="en-GB" sz="750" b="1" baseline="0">
                  <a:solidFill>
                    <a:srgbClr val="FF0000"/>
                  </a:solidFill>
                </a:rPr>
                <a:t>II</a:t>
              </a:r>
              <a:r>
                <a:rPr lang="en-GB" sz="750" b="1" baseline="0">
                  <a:solidFill>
                    <a:schemeClr val="tx2"/>
                  </a:solidFill>
                </a:rPr>
                <a:t>  </a:t>
              </a:r>
              <a:endParaRPr lang="en-GB" sz="750" b="1">
                <a:solidFill>
                  <a:srgbClr val="FF0000"/>
                </a:solidFill>
              </a:endParaRPr>
            </a:p>
          </cdr:txBody>
        </cdr:sp>
        <cdr:sp macro="" textlink="">
          <cdr:nvSpPr>
            <cdr:cNvPr id="8" name="TextBox 1"/>
            <cdr:cNvSpPr txBox="1"/>
          </cdr:nvSpPr>
          <cdr:spPr>
            <a:xfrm xmlns:a="http://schemas.openxmlformats.org/drawingml/2006/main">
              <a:off x="1207293" y="1543663"/>
              <a:ext cx="854075" cy="20540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GB" sz="750" b="1" baseline="0">
                  <a:solidFill>
                    <a:srgbClr val="29489A"/>
                  </a:solidFill>
                </a:rPr>
                <a:t>I</a:t>
              </a:r>
              <a:r>
                <a:rPr lang="sr-Latn-RS" sz="750" b="1" baseline="0">
                  <a:solidFill>
                    <a:schemeClr val="tx2"/>
                  </a:solidFill>
                </a:rPr>
                <a:t>    </a:t>
              </a:r>
              <a:r>
                <a:rPr lang="en-GB" sz="750" b="1" baseline="0">
                  <a:solidFill>
                    <a:schemeClr val="tx2"/>
                  </a:solidFill>
                </a:rPr>
                <a:t>   II       </a:t>
              </a:r>
              <a:r>
                <a:rPr lang="en-GB" sz="750" b="1" baseline="0">
                  <a:solidFill>
                    <a:srgbClr val="FF0000"/>
                  </a:solidFill>
                </a:rPr>
                <a:t>I </a:t>
              </a:r>
              <a:r>
                <a:rPr lang="en-GB" sz="750" b="1" baseline="0">
                  <a:solidFill>
                    <a:schemeClr val="tx2"/>
                  </a:solidFill>
                </a:rPr>
                <a:t>      </a:t>
              </a:r>
              <a:r>
                <a:rPr lang="en-GB" sz="750" b="1" baseline="0">
                  <a:solidFill>
                    <a:srgbClr val="FF0000"/>
                  </a:solidFill>
                </a:rPr>
                <a:t>II</a:t>
              </a:r>
              <a:r>
                <a:rPr lang="en-GB" sz="750" b="1" baseline="0">
                  <a:solidFill>
                    <a:schemeClr val="tx2"/>
                  </a:solidFill>
                </a:rPr>
                <a:t>  </a:t>
              </a:r>
              <a:endParaRPr lang="en-GB" sz="750" b="1">
                <a:solidFill>
                  <a:srgbClr val="FF0000"/>
                </a:solidFill>
              </a:endParaRPr>
            </a:p>
          </cdr:txBody>
        </cdr:sp>
        <cdr:sp macro="" textlink="">
          <cdr:nvSpPr>
            <cdr:cNvPr id="9" name="TextBox 1"/>
            <cdr:cNvSpPr txBox="1"/>
          </cdr:nvSpPr>
          <cdr:spPr>
            <a:xfrm xmlns:a="http://schemas.openxmlformats.org/drawingml/2006/main">
              <a:off x="2211387" y="1543663"/>
              <a:ext cx="854075" cy="20540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GB" sz="750" b="1" baseline="0">
                  <a:solidFill>
                    <a:srgbClr val="29489A"/>
                  </a:solidFill>
                </a:rPr>
                <a:t>I</a:t>
              </a:r>
              <a:r>
                <a:rPr lang="sr-Latn-RS" sz="750" b="1" baseline="0">
                  <a:solidFill>
                    <a:schemeClr val="tx2"/>
                  </a:solidFill>
                </a:rPr>
                <a:t>    </a:t>
              </a:r>
              <a:r>
                <a:rPr lang="en-GB" sz="750" b="1" baseline="0">
                  <a:solidFill>
                    <a:schemeClr val="tx2"/>
                  </a:solidFill>
                </a:rPr>
                <a:t>   II       </a:t>
              </a:r>
              <a:r>
                <a:rPr lang="en-GB" sz="750" b="1" baseline="0">
                  <a:solidFill>
                    <a:srgbClr val="FF0000"/>
                  </a:solidFill>
                </a:rPr>
                <a:t>I </a:t>
              </a:r>
              <a:r>
                <a:rPr lang="en-GB" sz="750" b="1" baseline="0">
                  <a:solidFill>
                    <a:schemeClr val="tx2"/>
                  </a:solidFill>
                </a:rPr>
                <a:t>      </a:t>
              </a:r>
              <a:r>
                <a:rPr lang="en-GB" sz="750" b="1" baseline="0">
                  <a:solidFill>
                    <a:srgbClr val="FF0000"/>
                  </a:solidFill>
                </a:rPr>
                <a:t>II</a:t>
              </a:r>
              <a:r>
                <a:rPr lang="en-GB" sz="750" b="1" baseline="0">
                  <a:solidFill>
                    <a:schemeClr val="tx2"/>
                  </a:solidFill>
                </a:rPr>
                <a:t>  </a:t>
              </a:r>
              <a:endParaRPr lang="en-GB" sz="750" b="1">
                <a:solidFill>
                  <a:srgbClr val="FF0000"/>
                </a:solidFill>
              </a:endParaRPr>
            </a:p>
          </cdr:txBody>
        </cdr:sp>
      </cdr:grpSp>
    </cdr:grpSp>
  </cdr:relSizeAnchor>
</c:userShapes>
</file>

<file path=word/drawings/drawing15.xml><?xml version="1.0" encoding="utf-8"?>
<c:userShapes xmlns:c="http://schemas.openxmlformats.org/drawingml/2006/chart">
  <cdr:relSizeAnchor xmlns:cdr="http://schemas.openxmlformats.org/drawingml/2006/chartDrawing">
    <cdr:from>
      <cdr:x>0.0878</cdr:x>
      <cdr:y>0.72193</cdr:y>
    </cdr:from>
    <cdr:to>
      <cdr:x>0.95377</cdr:x>
      <cdr:y>0.72193</cdr:y>
    </cdr:to>
    <cdr:cxnSp macro="">
      <cdr:nvCxnSpPr>
        <cdr:cNvPr id="3" name="Straight Connector 2">
          <a:extLst xmlns:a="http://schemas.openxmlformats.org/drawingml/2006/main">
            <a:ext uri="{FF2B5EF4-FFF2-40B4-BE49-F238E27FC236}">
              <a16:creationId xmlns:a16="http://schemas.microsoft.com/office/drawing/2014/main" id="{92170C42-51AD-40FC-A279-09E604F64C1D}"/>
            </a:ext>
          </a:extLst>
        </cdr:cNvPr>
        <cdr:cNvCxnSpPr/>
      </cdr:nvCxnSpPr>
      <cdr:spPr>
        <a:xfrm xmlns:a="http://schemas.openxmlformats.org/drawingml/2006/main" flipV="1">
          <a:off x="240520" y="1305002"/>
          <a:ext cx="2372307" cy="0"/>
        </a:xfrm>
        <a:prstGeom xmlns:a="http://schemas.openxmlformats.org/drawingml/2006/main" prst="line">
          <a:avLst/>
        </a:prstGeom>
        <a:ln xmlns:a="http://schemas.openxmlformats.org/drawingml/2006/main" w="31750">
          <a:solidFill>
            <a:schemeClr val="bg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16.xml><?xml version="1.0" encoding="utf-8"?>
<c:userShapes xmlns:c="http://schemas.openxmlformats.org/drawingml/2006/chart">
  <cdr:relSizeAnchor xmlns:cdr="http://schemas.openxmlformats.org/drawingml/2006/chartDrawing">
    <cdr:from>
      <cdr:x>0.7665</cdr:x>
      <cdr:y>0.00469</cdr:y>
    </cdr:from>
    <cdr:to>
      <cdr:x>0.96819</cdr:x>
      <cdr:y>0.69559</cdr:y>
    </cdr:to>
    <cdr:sp macro="" textlink="">
      <cdr:nvSpPr>
        <cdr:cNvPr id="2" name="TextBox 1"/>
        <cdr:cNvSpPr txBox="1"/>
      </cdr:nvSpPr>
      <cdr:spPr>
        <a:xfrm xmlns:a="http://schemas.openxmlformats.org/drawingml/2006/main">
          <a:off x="2151289" y="8174"/>
          <a:ext cx="566057" cy="1204222"/>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wrap="square" lIns="0" rIns="0"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tx2"/>
              </a:solidFill>
              <a:latin typeface="+mn-lt"/>
              <a:cs typeface="Arial" panose="020B0604020202020204" pitchFamily="34" charset="0"/>
            </a:rPr>
            <a:t>ПРОЈЕКЦИЈА</a:t>
          </a:r>
        </a:p>
      </cdr:txBody>
    </cdr:sp>
  </cdr:relSizeAnchor>
</c:userShapes>
</file>

<file path=word/drawings/drawing17.xml><?xml version="1.0" encoding="utf-8"?>
<c:userShapes xmlns:c="http://schemas.openxmlformats.org/drawingml/2006/chart">
  <cdr:relSizeAnchor xmlns:cdr="http://schemas.openxmlformats.org/drawingml/2006/chartDrawing">
    <cdr:from>
      <cdr:x>0.5377</cdr:x>
      <cdr:y>0</cdr:y>
    </cdr:from>
    <cdr:to>
      <cdr:x>0.9881</cdr:x>
      <cdr:y>0.76585</cdr:y>
    </cdr:to>
    <cdr:sp macro="" textlink="">
      <cdr:nvSpPr>
        <cdr:cNvPr id="2" name="TextBox 1"/>
        <cdr:cNvSpPr txBox="1"/>
      </cdr:nvSpPr>
      <cdr:spPr>
        <a:xfrm xmlns:a="http://schemas.openxmlformats.org/drawingml/2006/main">
          <a:off x="1475014" y="0"/>
          <a:ext cx="1235529" cy="1824718"/>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wrap="square" lIns="0" rIns="0"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tx2"/>
              </a:solidFill>
              <a:latin typeface="+mn-lt"/>
              <a:cs typeface="Arial" panose="020B0604020202020204" pitchFamily="34" charset="0"/>
            </a:rPr>
            <a:t>ПРОЈЕКЦИЈА</a:t>
          </a:r>
        </a:p>
      </cdr:txBody>
    </cdr:sp>
  </cdr:relSizeAnchor>
</c:userShapes>
</file>

<file path=word/drawings/drawing18.xml><?xml version="1.0" encoding="utf-8"?>
<c:userShapes xmlns:c="http://schemas.openxmlformats.org/drawingml/2006/chart">
  <cdr:relSizeAnchor xmlns:cdr="http://schemas.openxmlformats.org/drawingml/2006/chartDrawing">
    <cdr:from>
      <cdr:x>0.57976</cdr:x>
      <cdr:y>0.01417</cdr:y>
    </cdr:from>
    <cdr:to>
      <cdr:x>0.9735</cdr:x>
      <cdr:y>0.75123</cdr:y>
    </cdr:to>
    <cdr:sp macro="" textlink="">
      <cdr:nvSpPr>
        <cdr:cNvPr id="2" name="TextBox 1"/>
        <cdr:cNvSpPr txBox="1"/>
      </cdr:nvSpPr>
      <cdr:spPr>
        <a:xfrm xmlns:a="http://schemas.openxmlformats.org/drawingml/2006/main">
          <a:off x="1590398" y="28575"/>
          <a:ext cx="1080107" cy="1485900"/>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wrap="square" lIns="0" rIns="0"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tx2"/>
              </a:solidFill>
              <a:latin typeface="+mn-lt"/>
              <a:cs typeface="Arial" panose="020B0604020202020204" pitchFamily="34" charset="0"/>
            </a:rPr>
            <a:t>ПРОЈЕКЦИЈА</a:t>
          </a:r>
        </a:p>
      </cdr:txBody>
    </cdr:sp>
  </cdr:relSizeAnchor>
</c:userShapes>
</file>

<file path=word/drawings/drawing19.xml><?xml version="1.0" encoding="utf-8"?>
<c:userShapes xmlns:c="http://schemas.openxmlformats.org/drawingml/2006/chart">
  <cdr:relSizeAnchor xmlns:cdr="http://schemas.openxmlformats.org/drawingml/2006/chartDrawing">
    <cdr:from>
      <cdr:x>0.53293</cdr:x>
      <cdr:y>0.03224</cdr:y>
    </cdr:from>
    <cdr:to>
      <cdr:x>0.53293</cdr:x>
      <cdr:y>0.88115</cdr:y>
    </cdr:to>
    <cdr:cxnSp macro="">
      <cdr:nvCxnSpPr>
        <cdr:cNvPr id="3" name="Straight Connector 2"/>
        <cdr:cNvCxnSpPr/>
      </cdr:nvCxnSpPr>
      <cdr:spPr>
        <a:xfrm xmlns:a="http://schemas.openxmlformats.org/drawingml/2006/main" flipH="1">
          <a:off x="3060923" y="102874"/>
          <a:ext cx="0" cy="2708766"/>
        </a:xfrm>
        <a:prstGeom xmlns:a="http://schemas.openxmlformats.org/drawingml/2006/main" prst="line">
          <a:avLst/>
        </a:prstGeom>
        <a:ln xmlns:a="http://schemas.openxmlformats.org/drawingml/2006/main" w="19050">
          <a:solidFill>
            <a:srgbClr val="7030A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0.09635</cdr:x>
      <cdr:y>0.29237</cdr:y>
    </cdr:from>
    <cdr:to>
      <cdr:x>0.97649</cdr:x>
      <cdr:y>0.29237</cdr:y>
    </cdr:to>
    <cdr:cxnSp macro="">
      <cdr:nvCxnSpPr>
        <cdr:cNvPr id="7" name="Straight Connector 6"/>
        <cdr:cNvCxnSpPr/>
      </cdr:nvCxnSpPr>
      <cdr:spPr>
        <a:xfrm xmlns:a="http://schemas.openxmlformats.org/drawingml/2006/main">
          <a:off x="553393" y="932916"/>
          <a:ext cx="5055151" cy="0"/>
        </a:xfrm>
        <a:prstGeom xmlns:a="http://schemas.openxmlformats.org/drawingml/2006/main" prst="line">
          <a:avLst/>
        </a:prstGeom>
        <a:ln xmlns:a="http://schemas.openxmlformats.org/drawingml/2006/main" w="19050">
          <a:solidFill>
            <a:srgbClr val="7030A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0.53437</cdr:x>
      <cdr:y>0.03163</cdr:y>
    </cdr:from>
    <cdr:to>
      <cdr:x>0.97649</cdr:x>
      <cdr:y>0.29029</cdr:y>
    </cdr:to>
    <cdr:sp macro="" textlink="">
      <cdr:nvSpPr>
        <cdr:cNvPr id="8" name="TextBox 7"/>
        <cdr:cNvSpPr txBox="1"/>
      </cdr:nvSpPr>
      <cdr:spPr>
        <a:xfrm xmlns:a="http://schemas.openxmlformats.org/drawingml/2006/main">
          <a:off x="3069203" y="100940"/>
          <a:ext cx="2539341" cy="825335"/>
        </a:xfrm>
        <a:prstGeom xmlns:a="http://schemas.openxmlformats.org/drawingml/2006/main" prst="rect">
          <a:avLst/>
        </a:prstGeom>
        <a:solidFill xmlns:a="http://schemas.openxmlformats.org/drawingml/2006/main">
          <a:srgbClr val="5297AC"/>
        </a:solidFill>
        <a:ln xmlns:a="http://schemas.openxmlformats.org/drawingml/2006/main">
          <a:noFill/>
        </a:ln>
      </cdr:spPr>
      <cdr:txBody>
        <a:bodyPr xmlns:a="http://schemas.openxmlformats.org/drawingml/2006/main" vertOverflow="clip" wrap="square" rtlCol="0" anchor="ctr"/>
        <a:lstStyle xmlns:a="http://schemas.openxmlformats.org/drawingml/2006/main"/>
        <a:p xmlns:a="http://schemas.openxmlformats.org/drawingml/2006/main">
          <a:pPr algn="ctr"/>
          <a:r>
            <a:rPr lang="sr-Cyrl-RS" sz="750" b="1">
              <a:solidFill>
                <a:schemeClr val="bg1"/>
              </a:solidFill>
              <a:latin typeface="+mj-lt"/>
            </a:rPr>
            <a:t>ЗОНА</a:t>
          </a:r>
          <a:r>
            <a:rPr lang="sr-Cyrl-RS" sz="750" b="1" baseline="0">
              <a:solidFill>
                <a:schemeClr val="bg1"/>
              </a:solidFill>
              <a:latin typeface="+mj-lt"/>
            </a:rPr>
            <a:t> ФИСКАЛНОГ РИЗИКА</a:t>
          </a:r>
        </a:p>
        <a:p xmlns:a="http://schemas.openxmlformats.org/drawingml/2006/main">
          <a:pPr algn="ctr"/>
          <a:r>
            <a:rPr lang="sr-Latn-RS" sz="750" b="1" baseline="0">
              <a:solidFill>
                <a:schemeClr val="bg1"/>
              </a:solidFill>
              <a:latin typeface="+mj-lt"/>
            </a:rPr>
            <a:t>S0 </a:t>
          </a:r>
          <a:r>
            <a:rPr lang="sr-Cyrl-RS" sz="750" b="1" baseline="0">
              <a:solidFill>
                <a:schemeClr val="bg1"/>
              </a:solidFill>
              <a:latin typeface="+mj-lt"/>
            </a:rPr>
            <a:t>изнад дефинисаног прага</a:t>
          </a:r>
          <a:endParaRPr lang="en-US" sz="750" b="1">
            <a:solidFill>
              <a:schemeClr val="bg1"/>
            </a:solidFill>
            <a:latin typeface="+mj-lt"/>
          </a:endParaRPr>
        </a:p>
      </cdr:txBody>
    </cdr:sp>
  </cdr:relSizeAnchor>
  <cdr:relSizeAnchor xmlns:cdr="http://schemas.openxmlformats.org/drawingml/2006/chartDrawing">
    <cdr:from>
      <cdr:x>0.10256</cdr:x>
      <cdr:y>0.5564</cdr:y>
    </cdr:from>
    <cdr:to>
      <cdr:x>0.32212</cdr:x>
      <cdr:y>0.56321</cdr:y>
    </cdr:to>
    <cdr:cxnSp macro="">
      <cdr:nvCxnSpPr>
        <cdr:cNvPr id="5" name="Straight Arrow Connector 4"/>
        <cdr:cNvCxnSpPr/>
      </cdr:nvCxnSpPr>
      <cdr:spPr>
        <a:xfrm xmlns:a="http://schemas.openxmlformats.org/drawingml/2006/main" flipH="1" flipV="1">
          <a:off x="609600" y="2333625"/>
          <a:ext cx="1304952" cy="28572"/>
        </a:xfrm>
        <a:prstGeom xmlns:a="http://schemas.openxmlformats.org/drawingml/2006/main" prst="straightConnector1">
          <a:avLst/>
        </a:prstGeom>
        <a:ln xmlns:a="http://schemas.openxmlformats.org/drawingml/2006/main">
          <a:no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0.34445</cdr:x>
      <cdr:y>0.54918</cdr:y>
    </cdr:from>
    <cdr:to>
      <cdr:x>0.58655</cdr:x>
      <cdr:y>0.55328</cdr:y>
    </cdr:to>
    <cdr:cxnSp macro="">
      <cdr:nvCxnSpPr>
        <cdr:cNvPr id="9" name="Straight Arrow Connector 8"/>
        <cdr:cNvCxnSpPr/>
      </cdr:nvCxnSpPr>
      <cdr:spPr>
        <a:xfrm xmlns:a="http://schemas.openxmlformats.org/drawingml/2006/main" flipH="1">
          <a:off x="2019302" y="2552700"/>
          <a:ext cx="1419223" cy="19051"/>
        </a:xfrm>
        <a:prstGeom xmlns:a="http://schemas.openxmlformats.org/drawingml/2006/main" prst="straightConnector1">
          <a:avLst/>
        </a:prstGeom>
        <a:ln xmlns:a="http://schemas.openxmlformats.org/drawingml/2006/main">
          <a:solidFill>
            <a:srgbClr val="44546A"/>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20.xml><?xml version="1.0" encoding="utf-8"?>
<c:userShapes xmlns:c="http://schemas.openxmlformats.org/drawingml/2006/chart">
  <cdr:relSizeAnchor xmlns:cdr="http://schemas.openxmlformats.org/drawingml/2006/chartDrawing">
    <cdr:from>
      <cdr:x>0.77751</cdr:x>
      <cdr:y>0.114</cdr:y>
    </cdr:from>
    <cdr:to>
      <cdr:x>0.77877</cdr:x>
      <cdr:y>0.93859</cdr:y>
    </cdr:to>
    <cdr:cxnSp macro="">
      <cdr:nvCxnSpPr>
        <cdr:cNvPr id="3" name="Straight Connector 2"/>
        <cdr:cNvCxnSpPr/>
      </cdr:nvCxnSpPr>
      <cdr:spPr>
        <a:xfrm xmlns:a="http://schemas.openxmlformats.org/drawingml/2006/main">
          <a:off x="2162489" y="287738"/>
          <a:ext cx="3504" cy="2081393"/>
        </a:xfrm>
        <a:prstGeom xmlns:a="http://schemas.openxmlformats.org/drawingml/2006/main" prst="line">
          <a:avLst/>
        </a:prstGeom>
        <a:ln xmlns:a="http://schemas.openxmlformats.org/drawingml/2006/main">
          <a:prstDash val="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userShapes>
</file>

<file path=word/drawings/drawing21.xml><?xml version="1.0" encoding="utf-8"?>
<c:userShapes xmlns:c="http://schemas.openxmlformats.org/drawingml/2006/chart">
  <cdr:relSizeAnchor xmlns:cdr="http://schemas.openxmlformats.org/drawingml/2006/chartDrawing">
    <cdr:from>
      <cdr:x>0.14333</cdr:x>
      <cdr:y>0.11563</cdr:y>
    </cdr:from>
    <cdr:to>
      <cdr:x>0.36918</cdr:x>
      <cdr:y>0.78981</cdr:y>
    </cdr:to>
    <cdr:sp macro="" textlink="">
      <cdr:nvSpPr>
        <cdr:cNvPr id="11" name="Oval 10"/>
        <cdr:cNvSpPr/>
      </cdr:nvSpPr>
      <cdr:spPr>
        <a:xfrm xmlns:a="http://schemas.openxmlformats.org/drawingml/2006/main">
          <a:off x="409575" y="342541"/>
          <a:ext cx="645366" cy="1997106"/>
        </a:xfrm>
        <a:prstGeom xmlns:a="http://schemas.openxmlformats.org/drawingml/2006/main" prst="ellipse">
          <a:avLst/>
        </a:prstGeom>
        <a:solidFill xmlns:a="http://schemas.openxmlformats.org/drawingml/2006/main">
          <a:srgbClr val="51BBE7">
            <a:alpha val="16000"/>
          </a:srgbClr>
        </a:solidFill>
        <a:ln xmlns:a="http://schemas.openxmlformats.org/drawingml/2006/main">
          <a:solidFill>
            <a:srgbClr val="29489A">
              <a:alpha val="50000"/>
            </a:srgb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0.27556</cdr:x>
      <cdr:y>0.16552</cdr:y>
    </cdr:from>
    <cdr:to>
      <cdr:x>0.34156</cdr:x>
      <cdr:y>0.34794</cdr:y>
    </cdr:to>
    <cdr:sp macro="" textlink="">
      <cdr:nvSpPr>
        <cdr:cNvPr id="5" name="Straight Arrow Connector 4"/>
        <cdr:cNvSpPr/>
      </cdr:nvSpPr>
      <cdr:spPr>
        <a:xfrm xmlns:a="http://schemas.openxmlformats.org/drawingml/2006/main" flipV="1">
          <a:off x="2233592" y="709470"/>
          <a:ext cx="534981" cy="781897"/>
        </a:xfrm>
        <a:prstGeom xmlns:a="http://schemas.openxmlformats.org/drawingml/2006/main" prst="straightConnector1">
          <a:avLst/>
        </a:prstGeom>
        <a:ln xmlns:a="http://schemas.openxmlformats.org/drawingml/2006/main">
          <a:solidFill>
            <a:schemeClr val="dk1">
              <a:alpha val="54000"/>
            </a:schemeClr>
          </a:solidFill>
          <a:tailEnd type="arrow"/>
        </a:ln>
      </cdr:spPr>
      <cdr:style>
        <a:lnRef xmlns:a="http://schemas.openxmlformats.org/drawingml/2006/main" idx="2">
          <a:schemeClr val="dk1"/>
        </a:lnRef>
        <a:fillRef xmlns:a="http://schemas.openxmlformats.org/drawingml/2006/main" idx="0">
          <a:schemeClr val="dk1"/>
        </a:fillRef>
        <a:effectRef xmlns:a="http://schemas.openxmlformats.org/drawingml/2006/main" idx="1">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0.31008</cdr:x>
      <cdr:y>0.11778</cdr:y>
    </cdr:from>
    <cdr:to>
      <cdr:x>0.58106</cdr:x>
      <cdr:y>0.19209</cdr:y>
    </cdr:to>
    <cdr:sp macro="" textlink="">
      <cdr:nvSpPr>
        <cdr:cNvPr id="6" name="TextBox 5"/>
        <cdr:cNvSpPr txBox="1"/>
      </cdr:nvSpPr>
      <cdr:spPr>
        <a:xfrm xmlns:a="http://schemas.openxmlformats.org/drawingml/2006/main">
          <a:off x="855140" y="321972"/>
          <a:ext cx="747323" cy="20312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600" b="1" i="0" u="none" strike="noStrike" kern="1200" baseline="0">
              <a:solidFill>
                <a:srgbClr val="44546A"/>
              </a:solidFill>
              <a:effectLst/>
              <a:latin typeface="+mn-lt"/>
              <a:ea typeface="+mn-ea"/>
              <a:cs typeface="+mn-cs"/>
            </a:rPr>
            <a:t>Експанзивна</a:t>
          </a:r>
          <a:r>
            <a:rPr lang="en-US" sz="600" baseline="0">
              <a:latin typeface="+mn-lt"/>
            </a:rPr>
            <a:t> </a:t>
          </a:r>
        </a:p>
      </cdr:txBody>
    </cdr:sp>
  </cdr:relSizeAnchor>
  <cdr:relSizeAnchor xmlns:cdr="http://schemas.openxmlformats.org/drawingml/2006/chartDrawing">
    <cdr:from>
      <cdr:x>0.49571</cdr:x>
      <cdr:y>0.80792</cdr:y>
    </cdr:from>
    <cdr:to>
      <cdr:x>0.76342</cdr:x>
      <cdr:y>0.88095</cdr:y>
    </cdr:to>
    <cdr:sp macro="" textlink="">
      <cdr:nvSpPr>
        <cdr:cNvPr id="7" name="TextBox 6"/>
        <cdr:cNvSpPr txBox="1"/>
      </cdr:nvSpPr>
      <cdr:spPr>
        <a:xfrm xmlns:a="http://schemas.openxmlformats.org/drawingml/2006/main">
          <a:off x="1367074" y="2208579"/>
          <a:ext cx="738282" cy="19964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600" b="1" baseline="0">
              <a:solidFill>
                <a:srgbClr val="44546A"/>
              </a:solidFill>
              <a:latin typeface="+mn-lt"/>
              <a:cs typeface="Times New Roman" pitchFamily="18" charset="0"/>
            </a:rPr>
            <a:t>Рестриктивна</a:t>
          </a:r>
          <a:endParaRPr lang="en-US" sz="600" b="1" baseline="0">
            <a:solidFill>
              <a:srgbClr val="44546A"/>
            </a:solidFill>
            <a:latin typeface="+mn-lt"/>
            <a:cs typeface="Times New Roman" pitchFamily="18" charset="0"/>
          </a:endParaRPr>
        </a:p>
      </cdr:txBody>
    </cdr:sp>
  </cdr:relSizeAnchor>
  <cdr:relSizeAnchor xmlns:cdr="http://schemas.openxmlformats.org/drawingml/2006/chartDrawing">
    <cdr:from>
      <cdr:x>0.39146</cdr:x>
      <cdr:y>0.24444</cdr:y>
    </cdr:from>
    <cdr:to>
      <cdr:x>0.55799</cdr:x>
      <cdr:y>0.76697</cdr:y>
    </cdr:to>
    <cdr:sp macro="" textlink="">
      <cdr:nvSpPr>
        <cdr:cNvPr id="12" name="Oval 11"/>
        <cdr:cNvSpPr/>
      </cdr:nvSpPr>
      <cdr:spPr>
        <a:xfrm xmlns:a="http://schemas.openxmlformats.org/drawingml/2006/main">
          <a:off x="1118587" y="724099"/>
          <a:ext cx="475860" cy="1547877"/>
        </a:xfrm>
        <a:prstGeom xmlns:a="http://schemas.openxmlformats.org/drawingml/2006/main" prst="ellipse">
          <a:avLst/>
        </a:prstGeom>
        <a:solidFill xmlns:a="http://schemas.openxmlformats.org/drawingml/2006/main">
          <a:srgbClr val="51BBE7">
            <a:alpha val="15000"/>
          </a:srgbClr>
        </a:solidFill>
        <a:ln xmlns:a="http://schemas.openxmlformats.org/drawingml/2006/main">
          <a:solidFill>
            <a:srgbClr val="29489A">
              <a:alpha val="50000"/>
            </a:srgb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latin typeface="+mn-lt"/>
          </a:endParaRPr>
        </a:p>
      </cdr:txBody>
    </cdr:sp>
  </cdr:relSizeAnchor>
  <cdr:relSizeAnchor xmlns:cdr="http://schemas.openxmlformats.org/drawingml/2006/chartDrawing">
    <cdr:from>
      <cdr:x>0.56041</cdr:x>
      <cdr:y>0.13825</cdr:y>
    </cdr:from>
    <cdr:to>
      <cdr:x>0.72635</cdr:x>
      <cdr:y>0.19124</cdr:y>
    </cdr:to>
    <cdr:sp macro="" textlink="">
      <cdr:nvSpPr>
        <cdr:cNvPr id="17" name="TextBox 16"/>
        <cdr:cNvSpPr txBox="1"/>
      </cdr:nvSpPr>
      <cdr:spPr>
        <a:xfrm xmlns:a="http://schemas.openxmlformats.org/drawingml/2006/main">
          <a:off x="3667126" y="571500"/>
          <a:ext cx="1085850" cy="2190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US" sz="1100"/>
        </a:p>
      </cdr:txBody>
    </cdr:sp>
  </cdr:relSizeAnchor>
  <cdr:relSizeAnchor xmlns:cdr="http://schemas.openxmlformats.org/drawingml/2006/chartDrawing">
    <cdr:from>
      <cdr:x>0.1551</cdr:x>
      <cdr:y>0.09494</cdr:y>
    </cdr:from>
    <cdr:to>
      <cdr:x>0.40819</cdr:x>
      <cdr:y>0.15527</cdr:y>
    </cdr:to>
    <cdr:sp macro="" textlink="">
      <cdr:nvSpPr>
        <cdr:cNvPr id="18" name="TextBox 17"/>
        <cdr:cNvSpPr txBox="1"/>
      </cdr:nvSpPr>
      <cdr:spPr>
        <a:xfrm xmlns:a="http://schemas.openxmlformats.org/drawingml/2006/main">
          <a:off x="443208" y="281240"/>
          <a:ext cx="723204" cy="17871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600" b="1" baseline="0">
              <a:solidFill>
                <a:srgbClr val="44546A"/>
              </a:solidFill>
              <a:latin typeface="+mn-lt"/>
              <a:cs typeface="Times New Roman" pitchFamily="18" charset="0"/>
            </a:rPr>
            <a:t>Проциклична</a:t>
          </a:r>
          <a:endParaRPr lang="en-US" sz="600" b="1" baseline="0">
            <a:solidFill>
              <a:srgbClr val="44546A"/>
            </a:solidFill>
            <a:latin typeface="+mn-lt"/>
            <a:cs typeface="Times New Roman" pitchFamily="18" charset="0"/>
          </a:endParaRPr>
        </a:p>
      </cdr:txBody>
    </cdr:sp>
  </cdr:relSizeAnchor>
  <cdr:relSizeAnchor xmlns:cdr="http://schemas.openxmlformats.org/drawingml/2006/chartDrawing">
    <cdr:from>
      <cdr:x>0.3422</cdr:x>
      <cdr:y>0.32364</cdr:y>
    </cdr:from>
    <cdr:to>
      <cdr:x>0.61369</cdr:x>
      <cdr:y>0.38486</cdr:y>
    </cdr:to>
    <cdr:sp macro="" textlink="">
      <cdr:nvSpPr>
        <cdr:cNvPr id="19" name="TextBox 18"/>
        <cdr:cNvSpPr txBox="1"/>
      </cdr:nvSpPr>
      <cdr:spPr>
        <a:xfrm xmlns:a="http://schemas.openxmlformats.org/drawingml/2006/main">
          <a:off x="977827" y="958705"/>
          <a:ext cx="775783" cy="1813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600" b="1" baseline="0">
              <a:solidFill>
                <a:srgbClr val="44546A"/>
              </a:solidFill>
              <a:latin typeface="+mn-lt"/>
              <a:cs typeface="Times New Roman" pitchFamily="18" charset="0"/>
            </a:rPr>
            <a:t>Контрациклична</a:t>
          </a:r>
          <a:endParaRPr lang="en-US" sz="600" b="1" baseline="0">
            <a:solidFill>
              <a:srgbClr val="44546A"/>
            </a:solidFill>
            <a:latin typeface="+mn-lt"/>
            <a:cs typeface="Times New Roman" pitchFamily="18" charset="0"/>
          </a:endParaRPr>
        </a:p>
      </cdr:txBody>
    </cdr:sp>
  </cdr:relSizeAnchor>
  <cdr:relSizeAnchor xmlns:cdr="http://schemas.openxmlformats.org/drawingml/2006/chartDrawing">
    <cdr:from>
      <cdr:x>0.64667</cdr:x>
      <cdr:y>0.27</cdr:y>
    </cdr:from>
    <cdr:to>
      <cdr:x>0.87976</cdr:x>
      <cdr:y>0.84944</cdr:y>
    </cdr:to>
    <cdr:sp macro="" textlink="">
      <cdr:nvSpPr>
        <cdr:cNvPr id="10" name="Oval 9"/>
        <cdr:cNvSpPr/>
      </cdr:nvSpPr>
      <cdr:spPr>
        <a:xfrm xmlns:a="http://schemas.openxmlformats.org/drawingml/2006/main">
          <a:off x="1847850" y="799817"/>
          <a:ext cx="666055" cy="1716461"/>
        </a:xfrm>
        <a:prstGeom xmlns:a="http://schemas.openxmlformats.org/drawingml/2006/main" prst="ellipse">
          <a:avLst/>
        </a:prstGeom>
        <a:solidFill xmlns:a="http://schemas.openxmlformats.org/drawingml/2006/main">
          <a:srgbClr val="51BBE7">
            <a:alpha val="15000"/>
          </a:srgbClr>
        </a:solidFill>
        <a:ln xmlns:a="http://schemas.openxmlformats.org/drawingml/2006/main">
          <a:solidFill>
            <a:schemeClr val="accent1">
              <a:shade val="50000"/>
              <a:alpha val="50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0.66296</cdr:x>
      <cdr:y>0.33744</cdr:y>
    </cdr:from>
    <cdr:to>
      <cdr:x>0.92268</cdr:x>
      <cdr:y>0.43087</cdr:y>
    </cdr:to>
    <cdr:sp macro="" textlink="">
      <cdr:nvSpPr>
        <cdr:cNvPr id="13" name="TextBox 12"/>
        <cdr:cNvSpPr txBox="1"/>
      </cdr:nvSpPr>
      <cdr:spPr>
        <a:xfrm xmlns:a="http://schemas.openxmlformats.org/drawingml/2006/main">
          <a:off x="1894418" y="999593"/>
          <a:ext cx="742150" cy="27675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CS" sz="600" b="1" baseline="0">
              <a:solidFill>
                <a:srgbClr val="44546A"/>
              </a:solidFill>
              <a:latin typeface="+mn-lt"/>
            </a:rPr>
            <a:t>Проциклична</a:t>
          </a:r>
          <a:endParaRPr lang="en-US" sz="600" b="1" baseline="0">
            <a:solidFill>
              <a:srgbClr val="44546A"/>
            </a:solidFill>
            <a:latin typeface="+mn-lt"/>
          </a:endParaRPr>
        </a:p>
      </cdr:txBody>
    </cdr:sp>
  </cdr:relSizeAnchor>
</c:userShapes>
</file>

<file path=word/drawings/drawing22.xml><?xml version="1.0" encoding="utf-8"?>
<c:userShapes xmlns:c="http://schemas.openxmlformats.org/drawingml/2006/chart">
  <cdr:relSizeAnchor xmlns:cdr="http://schemas.openxmlformats.org/drawingml/2006/chartDrawing">
    <cdr:from>
      <cdr:x>0.04375</cdr:x>
      <cdr:y>0.88368</cdr:y>
    </cdr:from>
    <cdr:to>
      <cdr:x>0.16667</cdr:x>
      <cdr:y>0.93576</cdr:y>
    </cdr:to>
    <cdr:sp macro="" textlink="">
      <cdr:nvSpPr>
        <cdr:cNvPr id="2" name="TextBox 1"/>
        <cdr:cNvSpPr txBox="1"/>
      </cdr:nvSpPr>
      <cdr:spPr>
        <a:xfrm xmlns:a="http://schemas.openxmlformats.org/drawingml/2006/main">
          <a:off x="200025" y="2424113"/>
          <a:ext cx="561975" cy="1428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1100"/>
        </a:p>
      </cdr:txBody>
    </cdr:sp>
  </cdr:relSizeAnchor>
  <cdr:relSizeAnchor xmlns:cdr="http://schemas.openxmlformats.org/drawingml/2006/chartDrawing">
    <cdr:from>
      <cdr:x>0.04792</cdr:x>
      <cdr:y>0.73785</cdr:y>
    </cdr:from>
    <cdr:to>
      <cdr:x>0.24167</cdr:x>
      <cdr:y>0.86979</cdr:y>
    </cdr:to>
    <cdr:sp macro="" textlink="">
      <cdr:nvSpPr>
        <cdr:cNvPr id="3" name="TextBox 2"/>
        <cdr:cNvSpPr txBox="1"/>
      </cdr:nvSpPr>
      <cdr:spPr>
        <a:xfrm xmlns:a="http://schemas.openxmlformats.org/drawingml/2006/main">
          <a:off x="228061" y="2482144"/>
          <a:ext cx="922095" cy="44384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800">
            <a:latin typeface="+mj-lt"/>
          </a:endParaRPr>
        </a:p>
      </cdr:txBody>
    </cdr:sp>
  </cdr:relSizeAnchor>
  <cdr:relSizeAnchor xmlns:cdr="http://schemas.openxmlformats.org/drawingml/2006/chartDrawing">
    <cdr:from>
      <cdr:x>0.66875</cdr:x>
      <cdr:y>0.74826</cdr:y>
    </cdr:from>
    <cdr:to>
      <cdr:x>0.9125</cdr:x>
      <cdr:y>0.84549</cdr:y>
    </cdr:to>
    <cdr:sp macro="" textlink="">
      <cdr:nvSpPr>
        <cdr:cNvPr id="4" name="TextBox 3"/>
        <cdr:cNvSpPr txBox="1"/>
      </cdr:nvSpPr>
      <cdr:spPr>
        <a:xfrm xmlns:a="http://schemas.openxmlformats.org/drawingml/2006/main">
          <a:off x="3057525" y="2052638"/>
          <a:ext cx="1114425" cy="2667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1100"/>
        </a:p>
      </cdr:txBody>
    </cdr:sp>
  </cdr:relSizeAnchor>
  <cdr:relSizeAnchor xmlns:cdr="http://schemas.openxmlformats.org/drawingml/2006/chartDrawing">
    <cdr:from>
      <cdr:x>0.76703</cdr:x>
      <cdr:y>0.16819</cdr:y>
    </cdr:from>
    <cdr:to>
      <cdr:x>0.98856</cdr:x>
      <cdr:y>0.2903</cdr:y>
    </cdr:to>
    <cdr:sp macro="" textlink="">
      <cdr:nvSpPr>
        <cdr:cNvPr id="5" name="TextBox 1"/>
        <cdr:cNvSpPr txBox="1"/>
      </cdr:nvSpPr>
      <cdr:spPr>
        <a:xfrm xmlns:a="http://schemas.openxmlformats.org/drawingml/2006/main">
          <a:off x="3650440" y="565780"/>
          <a:ext cx="1054306" cy="41078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sr-Cyrl-CS" sz="800">
            <a:latin typeface="+mj-lt"/>
          </a:endParaRPr>
        </a:p>
      </cdr:txBody>
    </cdr:sp>
  </cdr:relSizeAnchor>
  <cdr:relSizeAnchor xmlns:cdr="http://schemas.openxmlformats.org/drawingml/2006/chartDrawing">
    <cdr:from>
      <cdr:x>0.73125</cdr:x>
      <cdr:y>0.8206</cdr:y>
    </cdr:from>
    <cdr:to>
      <cdr:x>0.95417</cdr:x>
      <cdr:y>0.94271</cdr:y>
    </cdr:to>
    <cdr:sp macro="" textlink="">
      <cdr:nvSpPr>
        <cdr:cNvPr id="6" name="TextBox 1"/>
        <cdr:cNvSpPr txBox="1"/>
      </cdr:nvSpPr>
      <cdr:spPr>
        <a:xfrm xmlns:a="http://schemas.openxmlformats.org/drawingml/2006/main">
          <a:off x="3480164" y="2760516"/>
          <a:ext cx="1060921" cy="41078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sr-Cyrl-CS" sz="800">
            <a:latin typeface="+mj-lt"/>
          </a:endParaRPr>
        </a:p>
      </cdr:txBody>
    </cdr:sp>
  </cdr:relSizeAnchor>
  <cdr:relSizeAnchor xmlns:cdr="http://schemas.openxmlformats.org/drawingml/2006/chartDrawing">
    <cdr:from>
      <cdr:x>0.04928</cdr:x>
      <cdr:y>0.22036</cdr:y>
    </cdr:from>
    <cdr:to>
      <cdr:x>0.27219</cdr:x>
      <cdr:y>0.34247</cdr:y>
    </cdr:to>
    <cdr:sp macro="" textlink="">
      <cdr:nvSpPr>
        <cdr:cNvPr id="7" name="TextBox 1"/>
        <cdr:cNvSpPr txBox="1"/>
      </cdr:nvSpPr>
      <cdr:spPr>
        <a:xfrm xmlns:a="http://schemas.openxmlformats.org/drawingml/2006/main">
          <a:off x="234530" y="741312"/>
          <a:ext cx="1060873" cy="41078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sr-Cyrl-CS" sz="800">
            <a:latin typeface="Cambria" panose="02040503050406030204" pitchFamily="18" charset="0"/>
          </a:endParaRPr>
        </a:p>
      </cdr:txBody>
    </cdr:sp>
  </cdr:relSizeAnchor>
  <cdr:relSizeAnchor xmlns:cdr="http://schemas.openxmlformats.org/drawingml/2006/chartDrawing">
    <cdr:from>
      <cdr:x>0.04375</cdr:x>
      <cdr:y>0.88368</cdr:y>
    </cdr:from>
    <cdr:to>
      <cdr:x>0.16667</cdr:x>
      <cdr:y>0.93576</cdr:y>
    </cdr:to>
    <cdr:sp macro="" textlink="">
      <cdr:nvSpPr>
        <cdr:cNvPr id="14" name="TextBox 1"/>
        <cdr:cNvSpPr txBox="1"/>
      </cdr:nvSpPr>
      <cdr:spPr>
        <a:xfrm xmlns:a="http://schemas.openxmlformats.org/drawingml/2006/main">
          <a:off x="200025" y="2424113"/>
          <a:ext cx="561975" cy="1428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1100"/>
        </a:p>
      </cdr:txBody>
    </cdr:sp>
  </cdr:relSizeAnchor>
  <cdr:relSizeAnchor xmlns:cdr="http://schemas.openxmlformats.org/drawingml/2006/chartDrawing">
    <cdr:from>
      <cdr:x>0.03189</cdr:x>
      <cdr:y>0.86806</cdr:y>
    </cdr:from>
    <cdr:to>
      <cdr:x>0.30531</cdr:x>
      <cdr:y>1</cdr:y>
    </cdr:to>
    <cdr:sp macro="" textlink="">
      <cdr:nvSpPr>
        <cdr:cNvPr id="15" name="TextBox 2"/>
        <cdr:cNvSpPr txBox="1"/>
      </cdr:nvSpPr>
      <cdr:spPr>
        <a:xfrm xmlns:a="http://schemas.openxmlformats.org/drawingml/2006/main">
          <a:off x="87946" y="2349292"/>
          <a:ext cx="754026" cy="35707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CS" sz="700" b="1">
              <a:solidFill>
                <a:srgbClr val="44546A"/>
              </a:solidFill>
              <a:latin typeface="Calibri" panose="020F0502020204030204" pitchFamily="34" charset="0"/>
            </a:rPr>
            <a:t>проциклично</a:t>
          </a:r>
          <a:r>
            <a:rPr lang="sr-Cyrl-CS" sz="700" b="1" baseline="0">
              <a:solidFill>
                <a:srgbClr val="44546A"/>
              </a:solidFill>
              <a:latin typeface="Calibri" panose="020F0502020204030204" pitchFamily="34" charset="0"/>
            </a:rPr>
            <a:t> - рестриктивна</a:t>
          </a:r>
          <a:endParaRPr lang="sr-Cyrl-CS" sz="700" b="1">
            <a:solidFill>
              <a:srgbClr val="44546A"/>
            </a:solidFill>
            <a:latin typeface="Calibri" panose="020F0502020204030204" pitchFamily="34" charset="0"/>
          </a:endParaRPr>
        </a:p>
      </cdr:txBody>
    </cdr:sp>
  </cdr:relSizeAnchor>
  <cdr:relSizeAnchor xmlns:cdr="http://schemas.openxmlformats.org/drawingml/2006/chartDrawing">
    <cdr:from>
      <cdr:x>0.66875</cdr:x>
      <cdr:y>0.74826</cdr:y>
    </cdr:from>
    <cdr:to>
      <cdr:x>0.9125</cdr:x>
      <cdr:y>0.84549</cdr:y>
    </cdr:to>
    <cdr:sp macro="" textlink="">
      <cdr:nvSpPr>
        <cdr:cNvPr id="16" name="TextBox 3"/>
        <cdr:cNvSpPr txBox="1"/>
      </cdr:nvSpPr>
      <cdr:spPr>
        <a:xfrm xmlns:a="http://schemas.openxmlformats.org/drawingml/2006/main">
          <a:off x="3057525" y="2052638"/>
          <a:ext cx="1114425" cy="2667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1100"/>
        </a:p>
      </cdr:txBody>
    </cdr:sp>
  </cdr:relSizeAnchor>
  <cdr:relSizeAnchor xmlns:cdr="http://schemas.openxmlformats.org/drawingml/2006/chartDrawing">
    <cdr:from>
      <cdr:x>0.7091</cdr:x>
      <cdr:y>0</cdr:y>
    </cdr:from>
    <cdr:to>
      <cdr:x>0.97702</cdr:x>
      <cdr:y>0.12211</cdr:y>
    </cdr:to>
    <cdr:sp macro="" textlink="">
      <cdr:nvSpPr>
        <cdr:cNvPr id="17" name="TextBox 1"/>
        <cdr:cNvSpPr txBox="1"/>
      </cdr:nvSpPr>
      <cdr:spPr>
        <a:xfrm xmlns:a="http://schemas.openxmlformats.org/drawingml/2006/main">
          <a:off x="1955548" y="0"/>
          <a:ext cx="738883" cy="33047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Cyrl-CS" sz="700" b="1">
              <a:solidFill>
                <a:srgbClr val="44546A"/>
              </a:solidFill>
              <a:latin typeface="Calibri" panose="020F0502020204030204" pitchFamily="34" charset="0"/>
            </a:rPr>
            <a:t>проциклично</a:t>
          </a:r>
          <a:r>
            <a:rPr lang="sr-Cyrl-CS" sz="700" b="1" baseline="0">
              <a:solidFill>
                <a:srgbClr val="44546A"/>
              </a:solidFill>
              <a:latin typeface="Calibri" panose="020F0502020204030204" pitchFamily="34" charset="0"/>
            </a:rPr>
            <a:t> - експанзивна</a:t>
          </a:r>
          <a:endParaRPr lang="sr-Cyrl-CS" sz="700" b="1">
            <a:solidFill>
              <a:srgbClr val="44546A"/>
            </a:solidFill>
            <a:latin typeface="Calibri" panose="020F0502020204030204" pitchFamily="34" charset="0"/>
          </a:endParaRPr>
        </a:p>
      </cdr:txBody>
    </cdr:sp>
  </cdr:relSizeAnchor>
  <cdr:relSizeAnchor xmlns:cdr="http://schemas.openxmlformats.org/drawingml/2006/chartDrawing">
    <cdr:from>
      <cdr:x>0.68283</cdr:x>
      <cdr:y>0.84635</cdr:y>
    </cdr:from>
    <cdr:to>
      <cdr:x>1</cdr:x>
      <cdr:y>1</cdr:y>
    </cdr:to>
    <cdr:sp macro="" textlink="">
      <cdr:nvSpPr>
        <cdr:cNvPr id="18" name="TextBox 1"/>
        <cdr:cNvSpPr txBox="1"/>
      </cdr:nvSpPr>
      <cdr:spPr>
        <a:xfrm xmlns:a="http://schemas.openxmlformats.org/drawingml/2006/main">
          <a:off x="1883121" y="2290527"/>
          <a:ext cx="874684" cy="41584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Cyrl-CS" sz="700" b="1">
              <a:solidFill>
                <a:srgbClr val="44546A"/>
              </a:solidFill>
              <a:latin typeface="Calibri" panose="020F0502020204030204" pitchFamily="34" charset="0"/>
            </a:rPr>
            <a:t>контрациклично</a:t>
          </a:r>
          <a:r>
            <a:rPr lang="sr-Cyrl-CS" sz="700" b="1" baseline="0">
              <a:solidFill>
                <a:srgbClr val="44546A"/>
              </a:solidFill>
              <a:latin typeface="Calibri" panose="020F0502020204030204" pitchFamily="34" charset="0"/>
            </a:rPr>
            <a:t> - рестриктивна</a:t>
          </a:r>
          <a:endParaRPr lang="sr-Cyrl-CS" sz="700" b="1">
            <a:solidFill>
              <a:srgbClr val="44546A"/>
            </a:solidFill>
            <a:latin typeface="Calibri" panose="020F0502020204030204" pitchFamily="34" charset="0"/>
          </a:endParaRPr>
        </a:p>
      </cdr:txBody>
    </cdr:sp>
  </cdr:relSizeAnchor>
  <cdr:relSizeAnchor xmlns:cdr="http://schemas.openxmlformats.org/drawingml/2006/chartDrawing">
    <cdr:from>
      <cdr:x>0</cdr:x>
      <cdr:y>0</cdr:y>
    </cdr:from>
    <cdr:to>
      <cdr:x>0.32172</cdr:x>
      <cdr:y>0.12211</cdr:y>
    </cdr:to>
    <cdr:sp macro="" textlink="">
      <cdr:nvSpPr>
        <cdr:cNvPr id="19" name="TextBox 1"/>
        <cdr:cNvSpPr txBox="1"/>
      </cdr:nvSpPr>
      <cdr:spPr>
        <a:xfrm xmlns:a="http://schemas.openxmlformats.org/drawingml/2006/main">
          <a:off x="0" y="0"/>
          <a:ext cx="887238" cy="33047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Cyrl-CS" sz="700" b="1">
              <a:solidFill>
                <a:srgbClr val="44546A"/>
              </a:solidFill>
              <a:latin typeface="Calibri" panose="020F0502020204030204" pitchFamily="34" charset="0"/>
            </a:rPr>
            <a:t>контрациклично</a:t>
          </a:r>
          <a:r>
            <a:rPr lang="sr-Cyrl-CS" sz="700" b="1" baseline="0">
              <a:solidFill>
                <a:srgbClr val="44546A"/>
              </a:solidFill>
              <a:latin typeface="Calibri" panose="020F0502020204030204" pitchFamily="34" charset="0"/>
            </a:rPr>
            <a:t> - експанзивна</a:t>
          </a:r>
          <a:endParaRPr lang="sr-Cyrl-CS" sz="700" b="1">
            <a:solidFill>
              <a:srgbClr val="44546A"/>
            </a:solidFill>
            <a:latin typeface="Calibri" panose="020F0502020204030204" pitchFamily="34" charset="0"/>
          </a:endParaRPr>
        </a:p>
      </cdr:txBody>
    </cdr:sp>
  </cdr:relSizeAnchor>
</c:userShapes>
</file>

<file path=word/drawings/drawing23.xml><?xml version="1.0" encoding="utf-8"?>
<c:userShapes xmlns:c="http://schemas.openxmlformats.org/drawingml/2006/chart">
  <cdr:relSizeAnchor xmlns:cdr="http://schemas.openxmlformats.org/drawingml/2006/chartDrawing">
    <cdr:from>
      <cdr:x>0.14341</cdr:x>
      <cdr:y>0.42361</cdr:y>
    </cdr:from>
    <cdr:to>
      <cdr:x>0.96504</cdr:x>
      <cdr:y>0.43908</cdr:y>
    </cdr:to>
    <cdr:sp macro="" textlink="">
      <cdr:nvSpPr>
        <cdr:cNvPr id="3" name="Straight Connector 2"/>
        <cdr:cNvSpPr/>
      </cdr:nvSpPr>
      <cdr:spPr>
        <a:xfrm xmlns:a="http://schemas.openxmlformats.org/drawingml/2006/main">
          <a:off x="403682" y="1053098"/>
          <a:ext cx="2312852" cy="38459"/>
        </a:xfrm>
        <a:prstGeom xmlns:a="http://schemas.openxmlformats.org/drawingml/2006/main" prst="line">
          <a:avLst/>
        </a:prstGeom>
        <a:ln xmlns:a="http://schemas.openxmlformats.org/drawingml/2006/main" w="19050">
          <a:solidFill>
            <a:srgbClr val="2F489A"/>
          </a:solidFill>
          <a:prstDash val="sys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sz="600"/>
        </a:p>
      </cdr:txBody>
    </cdr:sp>
  </cdr:relSizeAnchor>
  <cdr:relSizeAnchor xmlns:cdr="http://schemas.openxmlformats.org/drawingml/2006/chartDrawing">
    <cdr:from>
      <cdr:x>0.14386</cdr:x>
      <cdr:y>0.13761</cdr:y>
    </cdr:from>
    <cdr:to>
      <cdr:x>0.97089</cdr:x>
      <cdr:y>0.13761</cdr:y>
    </cdr:to>
    <cdr:cxnSp macro="">
      <cdr:nvCxnSpPr>
        <cdr:cNvPr id="4" name="Straight Connector 3"/>
        <cdr:cNvCxnSpPr/>
      </cdr:nvCxnSpPr>
      <cdr:spPr>
        <a:xfrm xmlns:a="http://schemas.openxmlformats.org/drawingml/2006/main">
          <a:off x="390525" y="323850"/>
          <a:ext cx="2245088" cy="0"/>
        </a:xfrm>
        <a:prstGeom xmlns:a="http://schemas.openxmlformats.org/drawingml/2006/main" prst="line">
          <a:avLst/>
        </a:prstGeom>
        <a:ln xmlns:a="http://schemas.openxmlformats.org/drawingml/2006/main" w="19050">
          <a:solidFill>
            <a:srgbClr val="FF0000">
              <a:alpha val="95000"/>
            </a:srgbClr>
          </a:solidFill>
          <a:prstDash val="sysDash"/>
        </a:ln>
      </cdr:spPr>
      <cdr:style>
        <a:lnRef xmlns:a="http://schemas.openxmlformats.org/drawingml/2006/main" idx="1">
          <a:schemeClr val="accent2"/>
        </a:lnRef>
        <a:fillRef xmlns:a="http://schemas.openxmlformats.org/drawingml/2006/main" idx="0">
          <a:schemeClr val="accent2"/>
        </a:fillRef>
        <a:effectRef xmlns:a="http://schemas.openxmlformats.org/drawingml/2006/main" idx="0">
          <a:schemeClr val="accent2"/>
        </a:effectRef>
        <a:fontRef xmlns:a="http://schemas.openxmlformats.org/drawingml/2006/main" idx="minor">
          <a:schemeClr val="tx1"/>
        </a:fontRef>
      </cdr:style>
    </cdr:cxnSp>
  </cdr:relSizeAnchor>
</c:userShapes>
</file>

<file path=word/drawings/drawing190.xml><?xml version="1.0" encoding="utf-8"?>
<c:userShapes xmlns:c="http://schemas.openxmlformats.org/drawingml/2006/chart">
  <cdr:relSizeAnchor xmlns:cdr="http://schemas.openxmlformats.org/drawingml/2006/chartDrawing">
    <cdr:from>
      <cdr:x>0.53293</cdr:x>
      <cdr:y>0.03224</cdr:y>
    </cdr:from>
    <cdr:to>
      <cdr:x>0.53293</cdr:x>
      <cdr:y>0.88115</cdr:y>
    </cdr:to>
    <cdr:cxnSp macro="">
      <cdr:nvCxnSpPr>
        <cdr:cNvPr id="3" name="Straight Connector 2"/>
        <cdr:cNvCxnSpPr/>
      </cdr:nvCxnSpPr>
      <cdr:spPr>
        <a:xfrm xmlns:a="http://schemas.openxmlformats.org/drawingml/2006/main" flipH="1">
          <a:off x="3060923" y="102874"/>
          <a:ext cx="0" cy="2708766"/>
        </a:xfrm>
        <a:prstGeom xmlns:a="http://schemas.openxmlformats.org/drawingml/2006/main" prst="line">
          <a:avLst/>
        </a:prstGeom>
        <a:ln xmlns:a="http://schemas.openxmlformats.org/drawingml/2006/main" w="19050">
          <a:solidFill>
            <a:srgbClr val="7030A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0.09635</cdr:x>
      <cdr:y>0.29237</cdr:y>
    </cdr:from>
    <cdr:to>
      <cdr:x>0.97649</cdr:x>
      <cdr:y>0.29237</cdr:y>
    </cdr:to>
    <cdr:cxnSp macro="">
      <cdr:nvCxnSpPr>
        <cdr:cNvPr id="7" name="Straight Connector 6"/>
        <cdr:cNvCxnSpPr/>
      </cdr:nvCxnSpPr>
      <cdr:spPr>
        <a:xfrm xmlns:a="http://schemas.openxmlformats.org/drawingml/2006/main">
          <a:off x="553393" y="932916"/>
          <a:ext cx="5055151" cy="0"/>
        </a:xfrm>
        <a:prstGeom xmlns:a="http://schemas.openxmlformats.org/drawingml/2006/main" prst="line">
          <a:avLst/>
        </a:prstGeom>
        <a:ln xmlns:a="http://schemas.openxmlformats.org/drawingml/2006/main" w="19050">
          <a:solidFill>
            <a:srgbClr val="7030A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0.53437</cdr:x>
      <cdr:y>0.03163</cdr:y>
    </cdr:from>
    <cdr:to>
      <cdr:x>0.97649</cdr:x>
      <cdr:y>0.29029</cdr:y>
    </cdr:to>
    <cdr:sp macro="" textlink="">
      <cdr:nvSpPr>
        <cdr:cNvPr id="8" name="TextBox 7"/>
        <cdr:cNvSpPr txBox="1"/>
      </cdr:nvSpPr>
      <cdr:spPr>
        <a:xfrm xmlns:a="http://schemas.openxmlformats.org/drawingml/2006/main">
          <a:off x="3069203" y="100940"/>
          <a:ext cx="2539341" cy="825335"/>
        </a:xfrm>
        <a:prstGeom xmlns:a="http://schemas.openxmlformats.org/drawingml/2006/main" prst="rect">
          <a:avLst/>
        </a:prstGeom>
        <a:solidFill xmlns:a="http://schemas.openxmlformats.org/drawingml/2006/main">
          <a:srgbClr val="5297AC"/>
        </a:solidFill>
        <a:ln xmlns:a="http://schemas.openxmlformats.org/drawingml/2006/main">
          <a:noFill/>
        </a:ln>
      </cdr:spPr>
      <cdr:txBody>
        <a:bodyPr xmlns:a="http://schemas.openxmlformats.org/drawingml/2006/main" vertOverflow="clip" wrap="square" rtlCol="0" anchor="ctr"/>
        <a:lstStyle xmlns:a="http://schemas.openxmlformats.org/drawingml/2006/main"/>
        <a:p xmlns:a="http://schemas.openxmlformats.org/drawingml/2006/main">
          <a:pPr algn="ctr"/>
          <a:r>
            <a:rPr lang="sr-Cyrl-RS" sz="750" b="1">
              <a:solidFill>
                <a:schemeClr val="bg1"/>
              </a:solidFill>
              <a:latin typeface="+mj-lt"/>
            </a:rPr>
            <a:t>ЗОНА</a:t>
          </a:r>
          <a:r>
            <a:rPr lang="sr-Cyrl-RS" sz="750" b="1" baseline="0">
              <a:solidFill>
                <a:schemeClr val="bg1"/>
              </a:solidFill>
              <a:latin typeface="+mj-lt"/>
            </a:rPr>
            <a:t> ФИСКАЛНОГ РИЗИКА</a:t>
          </a:r>
        </a:p>
        <a:p xmlns:a="http://schemas.openxmlformats.org/drawingml/2006/main">
          <a:pPr algn="ctr"/>
          <a:r>
            <a:rPr lang="sr-Latn-RS" sz="750" b="1" baseline="0">
              <a:solidFill>
                <a:schemeClr val="bg1"/>
              </a:solidFill>
              <a:latin typeface="+mj-lt"/>
            </a:rPr>
            <a:t>S0 </a:t>
          </a:r>
          <a:r>
            <a:rPr lang="sr-Cyrl-RS" sz="750" b="1" baseline="0">
              <a:solidFill>
                <a:schemeClr val="bg1"/>
              </a:solidFill>
              <a:latin typeface="+mj-lt"/>
            </a:rPr>
            <a:t>изнад дефинисаног прага</a:t>
          </a:r>
          <a:endParaRPr lang="en-US" sz="750" b="1">
            <a:solidFill>
              <a:schemeClr val="bg1"/>
            </a:solidFill>
            <a:latin typeface="+mj-lt"/>
          </a:endParaRPr>
        </a:p>
      </cdr:txBody>
    </cdr:sp>
  </cdr:relSizeAnchor>
  <cdr:relSizeAnchor xmlns:cdr="http://schemas.openxmlformats.org/drawingml/2006/chartDrawing">
    <cdr:from>
      <cdr:x>0.10256</cdr:x>
      <cdr:y>0.5564</cdr:y>
    </cdr:from>
    <cdr:to>
      <cdr:x>0.32212</cdr:x>
      <cdr:y>0.56321</cdr:y>
    </cdr:to>
    <cdr:cxnSp macro="">
      <cdr:nvCxnSpPr>
        <cdr:cNvPr id="5" name="Straight Arrow Connector 4"/>
        <cdr:cNvCxnSpPr/>
      </cdr:nvCxnSpPr>
      <cdr:spPr>
        <a:xfrm xmlns:a="http://schemas.openxmlformats.org/drawingml/2006/main" flipH="1" flipV="1">
          <a:off x="609600" y="2333625"/>
          <a:ext cx="1304952" cy="28572"/>
        </a:xfrm>
        <a:prstGeom xmlns:a="http://schemas.openxmlformats.org/drawingml/2006/main" prst="straightConnector1">
          <a:avLst/>
        </a:prstGeom>
        <a:ln xmlns:a="http://schemas.openxmlformats.org/drawingml/2006/main">
          <a:no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0.34445</cdr:x>
      <cdr:y>0.54918</cdr:y>
    </cdr:from>
    <cdr:to>
      <cdr:x>0.58655</cdr:x>
      <cdr:y>0.55328</cdr:y>
    </cdr:to>
    <cdr:cxnSp macro="">
      <cdr:nvCxnSpPr>
        <cdr:cNvPr id="9" name="Straight Arrow Connector 8"/>
        <cdr:cNvCxnSpPr/>
      </cdr:nvCxnSpPr>
      <cdr:spPr>
        <a:xfrm xmlns:a="http://schemas.openxmlformats.org/drawingml/2006/main" flipH="1">
          <a:off x="2019302" y="2552700"/>
          <a:ext cx="1419223" cy="19051"/>
        </a:xfrm>
        <a:prstGeom xmlns:a="http://schemas.openxmlformats.org/drawingml/2006/main" prst="straightConnector1">
          <a:avLst/>
        </a:prstGeom>
        <a:ln xmlns:a="http://schemas.openxmlformats.org/drawingml/2006/main">
          <a:solidFill>
            <a:srgbClr val="44546A"/>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4.xml><?xml version="1.0" encoding="utf-8"?>
<a:themeOverride xmlns:a="http://schemas.openxmlformats.org/drawingml/2006/main">
  <a:clrScheme name="Business Set_Red">
    <a:dk1>
      <a:sysClr val="windowText" lastClr="000000"/>
    </a:dk1>
    <a:lt1>
      <a:sysClr val="window" lastClr="FFFFFF"/>
    </a:lt1>
    <a:dk2>
      <a:srgbClr val="000000"/>
    </a:dk2>
    <a:lt2>
      <a:srgbClr val="F8F8F8"/>
    </a:lt2>
    <a:accent1>
      <a:srgbClr val="EF4623"/>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Classic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4.xml><?xml version="1.0" encoding="utf-8"?>
<a:themeOverride xmlns:a="http://schemas.openxmlformats.org/drawingml/2006/main">
  <a:clrScheme name="Serbia">
    <a:dk1>
      <a:srgbClr val="000000"/>
    </a:dk1>
    <a:lt1>
      <a:srgbClr val="FFFFFF"/>
    </a:lt1>
    <a:dk2>
      <a:srgbClr val="000000"/>
    </a:dk2>
    <a:lt2>
      <a:srgbClr val="8D8D8D"/>
    </a:lt2>
    <a:accent1>
      <a:srgbClr val="9D3439"/>
    </a:accent1>
    <a:accent2>
      <a:srgbClr val="3E3E3D"/>
    </a:accent2>
    <a:accent3>
      <a:srgbClr val="DFAF26"/>
    </a:accent3>
    <a:accent4>
      <a:srgbClr val="203D74"/>
    </a:accent4>
    <a:accent5>
      <a:srgbClr val="7E7E7E"/>
    </a:accent5>
    <a:accent6>
      <a:srgbClr val="6C5623"/>
    </a:accent6>
    <a:hlink>
      <a:srgbClr val="DFAF26"/>
    </a:hlink>
    <a:folHlink>
      <a:srgbClr val="203D74"/>
    </a:folHlink>
  </a:clrScheme>
  <a:fontScheme name="ICG Fonts">
    <a:majorFont>
      <a:latin typeface="Arial"/>
      <a:ea typeface="STKaiti"/>
      <a:cs typeface=""/>
    </a:majorFont>
    <a:minorFont>
      <a:latin typeface="Arial"/>
      <a:ea typeface="STKaiti"/>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2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FF105A8-0CCE-4BD3-8A5D-397C5AB430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88</Pages>
  <Words>37079</Words>
  <Characters>211351</Characters>
  <Application>Microsoft Office Word</Application>
  <DocSecurity>0</DocSecurity>
  <Lines>1761</Lines>
  <Paragraphs>495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247935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Nenad Jevtović</dc:creator>
  <cp:keywords/>
  <dc:description/>
  <cp:lastModifiedBy>Bojan Grgic</cp:lastModifiedBy>
  <cp:revision>2</cp:revision>
  <cp:lastPrinted>2019-11-01T13:26:00Z</cp:lastPrinted>
  <dcterms:created xsi:type="dcterms:W3CDTF">2019-11-04T10:31:00Z</dcterms:created>
  <dcterms:modified xsi:type="dcterms:W3CDTF">2019-11-04T10:31:00Z</dcterms:modified>
</cp:coreProperties>
</file>