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E3" w:rsidRPr="005038A0" w:rsidRDefault="006961E3" w:rsidP="00A37D3D">
      <w:pPr>
        <w:ind w:left="-720" w:firstLine="720"/>
        <w:jc w:val="center"/>
        <w:rPr>
          <w:lang w:val="sr-Cyrl-CS"/>
        </w:rPr>
      </w:pPr>
      <w:r w:rsidRPr="005038A0">
        <w:rPr>
          <w:lang w:val="sr-Cyrl-CS"/>
        </w:rPr>
        <w:t>О Б Р А З Л О Ж Е Њ Е</w:t>
      </w:r>
    </w:p>
    <w:p w:rsidR="00113ACC" w:rsidRPr="005038A0" w:rsidRDefault="00113ACC" w:rsidP="00A37D3D">
      <w:pPr>
        <w:ind w:left="-720" w:firstLine="720"/>
        <w:jc w:val="center"/>
        <w:rPr>
          <w:lang w:val="sr-Cyrl-CS"/>
        </w:rPr>
      </w:pPr>
    </w:p>
    <w:p w:rsidR="00FC1322" w:rsidRPr="005038A0" w:rsidRDefault="00FC1322" w:rsidP="00A37D3D">
      <w:pPr>
        <w:ind w:left="-720" w:firstLine="720"/>
        <w:jc w:val="center"/>
        <w:rPr>
          <w:lang w:val="sr-Cyrl-CS"/>
        </w:rPr>
      </w:pPr>
    </w:p>
    <w:p w:rsidR="006961E3" w:rsidRPr="005038A0" w:rsidRDefault="006961E3" w:rsidP="00A37D3D">
      <w:pPr>
        <w:rPr>
          <w:bCs/>
          <w:lang w:val="ru-RU"/>
        </w:rPr>
      </w:pPr>
      <w:r w:rsidRPr="005038A0">
        <w:rPr>
          <w:bCs/>
          <w:lang w:val="sr-Cyrl-CS"/>
        </w:rPr>
        <w:t xml:space="preserve"> </w:t>
      </w:r>
      <w:r w:rsidRPr="005038A0">
        <w:rPr>
          <w:bCs/>
          <w:lang w:val="sr-Cyrl-CS"/>
        </w:rPr>
        <w:tab/>
        <w:t xml:space="preserve">I. УСТАВНИ </w:t>
      </w:r>
      <w:r w:rsidRPr="005038A0">
        <w:rPr>
          <w:bCs/>
          <w:lang w:val="ru-RU"/>
        </w:rPr>
        <w:t>ОСНОВ ЗА ДОНОШЕЊЕ ЗАКОНА</w:t>
      </w:r>
    </w:p>
    <w:p w:rsidR="006961E3" w:rsidRPr="005038A0" w:rsidRDefault="006961E3" w:rsidP="00A37D3D">
      <w:pPr>
        <w:rPr>
          <w:bCs/>
          <w:lang w:val="ru-RU"/>
        </w:rPr>
      </w:pPr>
    </w:p>
    <w:p w:rsidR="0040226C" w:rsidRPr="005038A0" w:rsidRDefault="006961E3" w:rsidP="00A37D3D">
      <w:pPr>
        <w:jc w:val="both"/>
        <w:rPr>
          <w:lang w:val="ru-RU"/>
        </w:rPr>
      </w:pPr>
      <w:r w:rsidRPr="005038A0">
        <w:rPr>
          <w:lang w:val="ru-RU"/>
        </w:rPr>
        <w:t xml:space="preserve"> </w:t>
      </w:r>
      <w:r w:rsidRPr="005038A0">
        <w:rPr>
          <w:lang w:val="ru-RU"/>
        </w:rPr>
        <w:tab/>
      </w:r>
      <w:r w:rsidR="0040226C" w:rsidRPr="005038A0">
        <w:rPr>
          <w:lang w:val="ru-RU"/>
        </w:rPr>
        <w:t xml:space="preserve">Уставни основ за доношење овог закона садржан је у одредби члана 99. </w:t>
      </w:r>
      <w:r w:rsidR="0040226C" w:rsidRPr="005038A0">
        <w:rPr>
          <w:lang w:val="sr-Cyrl-CS"/>
        </w:rPr>
        <w:t xml:space="preserve">став 1. </w:t>
      </w:r>
      <w:r w:rsidR="0040226C" w:rsidRPr="005038A0">
        <w:rPr>
          <w:lang w:val="ru-RU"/>
        </w:rPr>
        <w:t>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00AC23DB" w:rsidRPr="005038A0">
        <w:rPr>
          <w:lang w:val="ru-RU"/>
        </w:rPr>
        <w:t xml:space="preserve"> </w:t>
      </w:r>
    </w:p>
    <w:p w:rsidR="006961E3" w:rsidRPr="005038A0" w:rsidRDefault="0040226C" w:rsidP="00A37D3D">
      <w:pPr>
        <w:jc w:val="both"/>
        <w:rPr>
          <w:lang w:val="sr-Cyrl-CS"/>
        </w:rPr>
      </w:pPr>
      <w:r w:rsidRPr="005038A0">
        <w:rPr>
          <w:lang w:val="sr-Cyrl-CS"/>
        </w:rPr>
        <w:t xml:space="preserve"> </w:t>
      </w:r>
    </w:p>
    <w:p w:rsidR="006961E3" w:rsidRPr="005038A0" w:rsidRDefault="006961E3" w:rsidP="00A37D3D">
      <w:pPr>
        <w:ind w:firstLine="720"/>
        <w:jc w:val="both"/>
      </w:pPr>
      <w:r w:rsidRPr="005038A0">
        <w:rPr>
          <w:bCs/>
          <w:lang w:val="sr-Cyrl-CS"/>
        </w:rPr>
        <w:t xml:space="preserve"> </w:t>
      </w:r>
      <w:r w:rsidRPr="005038A0">
        <w:rPr>
          <w:bCs/>
        </w:rPr>
        <w:t>II</w:t>
      </w:r>
      <w:r w:rsidRPr="005038A0">
        <w:rPr>
          <w:bCs/>
          <w:lang w:val="sr-Cyrl-CS"/>
        </w:rPr>
        <w:t xml:space="preserve">. РАЗЛОЗИ ЗА </w:t>
      </w:r>
      <w:r w:rsidR="0069359B" w:rsidRPr="005038A0">
        <w:rPr>
          <w:bCs/>
          <w:lang w:val="sr-Cyrl-CS"/>
        </w:rPr>
        <w:t>ПОТВРЂИВАЊЕ</w:t>
      </w:r>
      <w:r w:rsidR="00E8335C" w:rsidRPr="005038A0">
        <w:rPr>
          <w:bCs/>
        </w:rPr>
        <w:t xml:space="preserve"> УГОВОРА</w:t>
      </w:r>
    </w:p>
    <w:p w:rsidR="006961E3" w:rsidRPr="005038A0" w:rsidRDefault="006961E3" w:rsidP="00A37D3D">
      <w:pPr>
        <w:rPr>
          <w:bCs/>
          <w:lang w:val="sr-Cyrl-CS"/>
        </w:rPr>
      </w:pPr>
    </w:p>
    <w:p w:rsidR="00E80D89" w:rsidRDefault="00E80D89" w:rsidP="00A37D3D">
      <w:pPr>
        <w:ind w:firstLine="708"/>
        <w:jc w:val="both"/>
        <w:rPr>
          <w:lang w:val="sr-Cyrl-CS"/>
        </w:rPr>
      </w:pPr>
      <w:r w:rsidRPr="005038A0">
        <w:rPr>
          <w:lang w:val="sr-Cyrl-CS"/>
        </w:rPr>
        <w:t xml:space="preserve">Разлози за </w:t>
      </w:r>
      <w:r w:rsidR="00E8335C" w:rsidRPr="005038A0">
        <w:rPr>
          <w:lang w:val="sr-Cyrl-CS"/>
        </w:rPr>
        <w:t>потврђивање</w:t>
      </w:r>
      <w:r w:rsidRPr="005038A0">
        <w:rPr>
          <w:lang w:val="sr-Cyrl-CS"/>
        </w:rPr>
        <w:t xml:space="preserve"> </w:t>
      </w:r>
      <w:r w:rsidR="007A6987">
        <w:rPr>
          <w:lang w:val="sr-Cyrl-CS"/>
        </w:rPr>
        <w:t>Ф</w:t>
      </w:r>
      <w:r w:rsidR="007A6987" w:rsidRPr="007A6987">
        <w:rPr>
          <w:lang w:val="sr-Cyrl-CS"/>
        </w:rPr>
        <w:t xml:space="preserve">инансијског уговора </w:t>
      </w:r>
      <w:r w:rsidR="00445EA7">
        <w:t>Аутопут Е-80, деоница Ниш</w:t>
      </w:r>
      <w:r w:rsidR="00BB2724">
        <w:rPr>
          <w:rFonts w:eastAsia="SimSun"/>
          <w:lang w:eastAsia="zh-CN"/>
        </w:rPr>
        <w:t>−</w:t>
      </w:r>
      <w:r w:rsidR="00445EA7">
        <w:t xml:space="preserve">Мердаре фаза I, </w:t>
      </w:r>
      <w:r w:rsidR="007A6987" w:rsidRPr="007A6987">
        <w:rPr>
          <w:lang w:val="sr-Cyrl-CS"/>
        </w:rPr>
        <w:t>између Републике Србије и Европске инвестиционе банке</w:t>
      </w:r>
      <w:r w:rsidR="001417E0" w:rsidRPr="005038A0">
        <w:rPr>
          <w:lang w:val="sr-Cyrl-CS"/>
        </w:rPr>
        <w:t xml:space="preserve">, </w:t>
      </w:r>
      <w:r w:rsidR="007A6987" w:rsidRPr="007A6987">
        <w:rPr>
          <w:lang w:val="sr-Cyrl-CS"/>
        </w:rPr>
        <w:t xml:space="preserve">који је потписан </w:t>
      </w:r>
      <w:r w:rsidR="007A6987" w:rsidRPr="00E2660E">
        <w:rPr>
          <w:lang w:val="sr-Cyrl-CS"/>
        </w:rPr>
        <w:t xml:space="preserve">у Београду, </w:t>
      </w:r>
      <w:r w:rsidR="00445EA7">
        <w:rPr>
          <w:lang w:val="sr-Cyrl-CS"/>
        </w:rPr>
        <w:t>12</w:t>
      </w:r>
      <w:r w:rsidR="007A6987" w:rsidRPr="00E2660E">
        <w:rPr>
          <w:lang w:val="sr-Cyrl-CS"/>
        </w:rPr>
        <w:t xml:space="preserve">. </w:t>
      </w:r>
      <w:r w:rsidR="00445EA7">
        <w:rPr>
          <w:lang w:val="sr-Cyrl-CS"/>
        </w:rPr>
        <w:t>септембра</w:t>
      </w:r>
      <w:r w:rsidR="007A6987" w:rsidRPr="00E2660E">
        <w:rPr>
          <w:lang w:val="sr-Cyrl-CS"/>
        </w:rPr>
        <w:t xml:space="preserve"> 2019.</w:t>
      </w:r>
      <w:r w:rsidR="007A6987" w:rsidRPr="007A6987">
        <w:rPr>
          <w:lang w:val="sr-Cyrl-CS"/>
        </w:rPr>
        <w:t xml:space="preserve"> године </w:t>
      </w:r>
      <w:r w:rsidR="00824570" w:rsidRPr="005038A0">
        <w:rPr>
          <w:lang w:val="sr-Cyrl-CS"/>
        </w:rPr>
        <w:t xml:space="preserve">(у даљем тексту: </w:t>
      </w:r>
      <w:r w:rsidR="001417E0" w:rsidRPr="005038A0">
        <w:rPr>
          <w:lang w:val="sr-Cyrl-CS"/>
        </w:rPr>
        <w:t>Финансијски уговор</w:t>
      </w:r>
      <w:r w:rsidR="00824570" w:rsidRPr="005038A0">
        <w:rPr>
          <w:lang w:val="sr-Cyrl-CS"/>
        </w:rPr>
        <w:t>)</w:t>
      </w:r>
      <w:r w:rsidR="00356442" w:rsidRPr="005038A0">
        <w:rPr>
          <w:lang w:val="sr-Cyrl-CS"/>
        </w:rPr>
        <w:t>,</w:t>
      </w:r>
      <w:r w:rsidRPr="005038A0">
        <w:rPr>
          <w:lang w:val="sr-Cyrl-CS"/>
        </w:rPr>
        <w:t xml:space="preserve"> садржани су у одредби члана </w:t>
      </w:r>
      <w:r w:rsidRPr="005038A0">
        <w:rPr>
          <w:lang w:val="ru-RU"/>
        </w:rPr>
        <w:t>5</w:t>
      </w:r>
      <w:r w:rsidRPr="005038A0">
        <w:rPr>
          <w:lang w:val="sr-Cyrl-CS"/>
        </w:rPr>
        <w:t>. став 2. Закона о јавном дугу („Службени гласник РС”,</w:t>
      </w:r>
      <w:r w:rsidR="00356442" w:rsidRPr="005038A0">
        <w:rPr>
          <w:lang w:val="sr-Cyrl-CS"/>
        </w:rPr>
        <w:t xml:space="preserve"> </w:t>
      </w:r>
      <w:r w:rsidRPr="005038A0">
        <w:rPr>
          <w:lang w:val="sr-Cyrl-CS"/>
        </w:rPr>
        <w:t xml:space="preserve">бр. </w:t>
      </w:r>
      <w:r w:rsidR="007A6987" w:rsidRPr="007A6987">
        <w:rPr>
          <w:lang w:val="sr-Cyrl-CS"/>
        </w:rPr>
        <w:t>61/05, 107/09, 78/11, 68/15 и 95/18</w:t>
      </w:r>
      <w:r w:rsidR="00F56DA4" w:rsidRPr="005038A0">
        <w:rPr>
          <w:lang w:val="sr-Cyrl-CS"/>
        </w:rPr>
        <w:t>)</w:t>
      </w:r>
      <w:r w:rsidR="00BE5DE1" w:rsidRPr="005038A0">
        <w:rPr>
          <w:lang w:val="sr-Cyrl-CS"/>
        </w:rPr>
        <w:t>,</w:t>
      </w:r>
      <w:r w:rsidRPr="005038A0">
        <w:rPr>
          <w:lang w:val="sr-Cyrl-CS"/>
        </w:rPr>
        <w:t xml:space="preserve"> према којој Народна скупштина одлучује о задуживању Републике Србије</w:t>
      </w:r>
      <w:r w:rsidR="0038219E" w:rsidRPr="005038A0">
        <w:rPr>
          <w:lang w:val="sr-Cyrl-CS"/>
        </w:rPr>
        <w:t xml:space="preserve"> и одредби члана 14</w:t>
      </w:r>
      <w:r w:rsidRPr="005038A0">
        <w:rPr>
          <w:lang w:val="sr-Cyrl-CS"/>
        </w:rPr>
        <w:t>.</w:t>
      </w:r>
      <w:r w:rsidR="0038219E" w:rsidRPr="005038A0">
        <w:rPr>
          <w:lang w:val="sr-Cyrl-CS"/>
        </w:rPr>
        <w:t xml:space="preserve"> став 1. Закона о закључивању и извршавању међународних уговора („Службени гласник РС</w:t>
      </w:r>
      <w:r w:rsidR="001A3B02" w:rsidRPr="005038A0">
        <w:rPr>
          <w:lang w:val="sr-Cyrl-CS"/>
        </w:rPr>
        <w:t>”</w:t>
      </w:r>
      <w:r w:rsidR="0038219E" w:rsidRPr="005038A0">
        <w:rPr>
          <w:lang w:val="sr-Cyrl-CS"/>
        </w:rPr>
        <w:t>, број 32/13)</w:t>
      </w:r>
      <w:r w:rsidR="00BE5DE1" w:rsidRPr="005038A0">
        <w:rPr>
          <w:lang w:val="sr-Cyrl-CS"/>
        </w:rPr>
        <w:t>,</w:t>
      </w:r>
      <w:r w:rsidR="0082735B" w:rsidRPr="005038A0">
        <w:rPr>
          <w:lang w:val="sr-Cyrl-CS"/>
        </w:rPr>
        <w:t xml:space="preserve"> према којој Народна скупштина, између осталог, потврђује уговоре којима се стварају финансијске обавезе за Републику Србију.</w:t>
      </w:r>
    </w:p>
    <w:p w:rsidR="00445EA7" w:rsidRPr="003A6564" w:rsidRDefault="00445EA7" w:rsidP="00445EA7">
      <w:pPr>
        <w:ind w:firstLine="720"/>
        <w:jc w:val="both"/>
        <w:rPr>
          <w:lang w:val="sr-Cyrl-CS"/>
        </w:rPr>
      </w:pPr>
      <w:r w:rsidRPr="00433DF9">
        <w:t>Европска инвестициона банка (у даљем тексту: ЕИБ) усмерена је на постизање уравнотеженог и складног развоја заједничког тржишта у интересу Европске уније, давањем зајмова и гаранција на непрофитној</w:t>
      </w:r>
      <w:r w:rsidRPr="003A6564">
        <w:rPr>
          <w:lang w:val="sr-Cyrl-CS"/>
        </w:rPr>
        <w:t xml:space="preserve"> основи, из сопствених средстава и средстава која се прибављају на тржишту капитала, односно финансирањем инвестиционих програма уз учешће структурних фондова и других финансијских инструмената Европске уније.</w:t>
      </w:r>
    </w:p>
    <w:p w:rsidR="00445EA7" w:rsidRPr="00DD5B70" w:rsidRDefault="00445EA7" w:rsidP="00445EA7">
      <w:pPr>
        <w:ind w:firstLine="720"/>
        <w:jc w:val="both"/>
        <w:rPr>
          <w:lang w:eastAsia="sr-Latn-CS"/>
        </w:rPr>
      </w:pPr>
      <w:r w:rsidRPr="00EE1ECA">
        <w:rPr>
          <w:lang w:eastAsia="sr-Latn-CS"/>
        </w:rPr>
        <w:t>Законом о буџету Републике Србије за 2019. годину („Службени гласник РСˮ, бр</w:t>
      </w:r>
      <w:r w:rsidR="00BB2724">
        <w:rPr>
          <w:lang w:val="sr-Cyrl-RS" w:eastAsia="sr-Latn-CS"/>
        </w:rPr>
        <w:t>.</w:t>
      </w:r>
      <w:r w:rsidRPr="00EE1ECA">
        <w:rPr>
          <w:lang w:eastAsia="sr-Latn-CS"/>
        </w:rPr>
        <w:t xml:space="preserve"> 95/18</w:t>
      </w:r>
      <w:r w:rsidR="00BB2724">
        <w:rPr>
          <w:lang w:val="sr-Cyrl-RS" w:eastAsia="sr-Latn-CS"/>
        </w:rPr>
        <w:t xml:space="preserve"> и 72/19</w:t>
      </w:r>
      <w:r w:rsidRPr="00EE1ECA">
        <w:rPr>
          <w:lang w:eastAsia="sr-Latn-CS"/>
        </w:rPr>
        <w:t xml:space="preserve">) у члану 3. </w:t>
      </w:r>
      <w:r w:rsidR="003B4A92">
        <w:rPr>
          <w:lang w:eastAsia="sr-Latn-CS"/>
        </w:rPr>
        <w:t>планирано</w:t>
      </w:r>
      <w:r w:rsidRPr="0087296D">
        <w:rPr>
          <w:lang w:eastAsia="sr-Latn-CS"/>
        </w:rPr>
        <w:t xml:space="preserve"> је задуживање</w:t>
      </w:r>
      <w:r>
        <w:rPr>
          <w:lang w:eastAsia="sr-Latn-CS"/>
        </w:rPr>
        <w:t xml:space="preserve"> Републике Србије</w:t>
      </w:r>
      <w:r w:rsidRPr="0087296D">
        <w:rPr>
          <w:lang w:eastAsia="sr-Latn-CS"/>
        </w:rPr>
        <w:t xml:space="preserve"> код </w:t>
      </w:r>
      <w:r w:rsidRPr="0087296D">
        <w:t>ЕИБ</w:t>
      </w:r>
      <w:r w:rsidRPr="0087296D">
        <w:rPr>
          <w:lang w:eastAsia="sr-Latn-CS"/>
        </w:rPr>
        <w:t xml:space="preserve"> за </w:t>
      </w:r>
      <w:r>
        <w:rPr>
          <w:lang w:eastAsia="sr-Latn-CS"/>
        </w:rPr>
        <w:t xml:space="preserve">финансирање </w:t>
      </w:r>
      <w:r w:rsidRPr="0087296D">
        <w:rPr>
          <w:lang w:eastAsia="sr-Latn-CS"/>
        </w:rPr>
        <w:t>Пројек</w:t>
      </w:r>
      <w:r>
        <w:rPr>
          <w:lang w:eastAsia="sr-Latn-CS"/>
        </w:rPr>
        <w:t>та</w:t>
      </w:r>
      <w:r w:rsidRPr="0087296D">
        <w:rPr>
          <w:lang w:eastAsia="sr-Latn-CS"/>
        </w:rPr>
        <w:t xml:space="preserve"> изградње аутопута Ниш</w:t>
      </w:r>
      <w:r w:rsidR="00BB2724">
        <w:rPr>
          <w:rFonts w:eastAsia="SimSun"/>
          <w:lang w:eastAsia="zh-CN"/>
        </w:rPr>
        <w:t>−</w:t>
      </w:r>
      <w:r w:rsidRPr="0087296D">
        <w:rPr>
          <w:lang w:eastAsia="sr-Latn-CS"/>
        </w:rPr>
        <w:t>Плочник</w:t>
      </w:r>
      <w:r w:rsidR="00BB2724">
        <w:rPr>
          <w:rFonts w:eastAsia="SimSun"/>
          <w:lang w:eastAsia="zh-CN"/>
        </w:rPr>
        <w:t>−</w:t>
      </w:r>
      <w:r w:rsidRPr="0087296D">
        <w:rPr>
          <w:lang w:eastAsia="sr-Latn-CS"/>
        </w:rPr>
        <w:t>Мердаре I фаза (Ниш</w:t>
      </w:r>
      <w:r w:rsidR="00BB2724">
        <w:rPr>
          <w:rFonts w:eastAsia="SimSun"/>
          <w:lang w:eastAsia="zh-CN"/>
        </w:rPr>
        <w:t>−</w:t>
      </w:r>
      <w:r w:rsidRPr="0087296D">
        <w:rPr>
          <w:lang w:eastAsia="sr-Latn-CS"/>
        </w:rPr>
        <w:t>Плочник), у износу до 100</w:t>
      </w:r>
      <w:r w:rsidRPr="00EE1ECA">
        <w:rPr>
          <w:lang w:eastAsia="sr-Latn-CS"/>
        </w:rPr>
        <w:t>.000.000 евра</w:t>
      </w:r>
      <w:r>
        <w:rPr>
          <w:lang w:eastAsia="sr-Latn-CS"/>
        </w:rPr>
        <w:t xml:space="preserve">, </w:t>
      </w:r>
      <w:r w:rsidR="003B4A92">
        <w:rPr>
          <w:lang w:eastAsia="sr-Latn-CS"/>
        </w:rPr>
        <w:t>што се односи на зајам за Аутопут Е-80, деоница Ниш</w:t>
      </w:r>
      <w:r w:rsidR="00BB2724">
        <w:rPr>
          <w:rFonts w:eastAsia="SimSun"/>
          <w:lang w:eastAsia="zh-CN"/>
        </w:rPr>
        <w:t>−</w:t>
      </w:r>
      <w:r w:rsidR="003B4A92">
        <w:rPr>
          <w:lang w:eastAsia="sr-Latn-CS"/>
        </w:rPr>
        <w:t>Мердаре фаза</w:t>
      </w:r>
      <w:r w:rsidR="003B4A92" w:rsidRPr="003B4A92">
        <w:rPr>
          <w:lang w:eastAsia="sr-Latn-CS"/>
        </w:rPr>
        <w:t xml:space="preserve"> </w:t>
      </w:r>
      <w:r w:rsidR="003B4A92" w:rsidRPr="0087296D">
        <w:rPr>
          <w:lang w:eastAsia="sr-Latn-CS"/>
        </w:rPr>
        <w:t>I</w:t>
      </w:r>
      <w:r w:rsidR="003B4A92">
        <w:rPr>
          <w:lang w:eastAsia="sr-Latn-CS"/>
        </w:rPr>
        <w:t xml:space="preserve"> (у даљем тексту: Пројекат) који је одобрен закључивањем Финансијског уговора. </w:t>
      </w:r>
    </w:p>
    <w:p w:rsidR="00C055BD" w:rsidRPr="00DD5B70" w:rsidRDefault="00C055BD" w:rsidP="00C055BD">
      <w:pPr>
        <w:spacing w:line="276" w:lineRule="auto"/>
        <w:ind w:firstLine="708"/>
        <w:jc w:val="both"/>
        <w:rPr>
          <w:bCs/>
        </w:rPr>
      </w:pPr>
      <w:r w:rsidRPr="00DD5B70">
        <w:rPr>
          <w:bCs/>
        </w:rPr>
        <w:t xml:space="preserve">Пројекат </w:t>
      </w:r>
      <w:r w:rsidR="003E0A5A">
        <w:rPr>
          <w:bCs/>
        </w:rPr>
        <w:t xml:space="preserve">обухвата </w:t>
      </w:r>
      <w:r>
        <w:rPr>
          <w:bCs/>
        </w:rPr>
        <w:t>изградњу око 32 km полу</w:t>
      </w:r>
      <w:r w:rsidRPr="00DD5B70">
        <w:rPr>
          <w:bCs/>
        </w:rPr>
        <w:t>профила аутопута, у великој мери на новој траси, од постојеће петље „Мерошина (Прокупље)</w:t>
      </w:r>
      <w:r>
        <w:rPr>
          <w:bCs/>
        </w:rPr>
        <w:t>ˮ</w:t>
      </w:r>
      <w:r w:rsidRPr="00DD5B70">
        <w:rPr>
          <w:bCs/>
        </w:rPr>
        <w:t xml:space="preserve"> на аутопуту Е</w:t>
      </w:r>
      <w:r>
        <w:rPr>
          <w:bCs/>
        </w:rPr>
        <w:t>-</w:t>
      </w:r>
      <w:r w:rsidRPr="00DD5B70">
        <w:rPr>
          <w:bCs/>
        </w:rPr>
        <w:t>75 до општине Белољин.</w:t>
      </w:r>
      <w:r w:rsidR="009641FC" w:rsidRPr="009641FC">
        <w:rPr>
          <w:rFonts w:cs="Arial"/>
        </w:rPr>
        <w:t xml:space="preserve"> </w:t>
      </w:r>
      <w:r w:rsidR="003E0A5A">
        <w:rPr>
          <w:rFonts w:cs="Arial"/>
        </w:rPr>
        <w:t>То је</w:t>
      </w:r>
      <w:r w:rsidRPr="00DD5B70">
        <w:rPr>
          <w:bCs/>
        </w:rPr>
        <w:t xml:space="preserve"> прва фаза </w:t>
      </w:r>
      <w:r>
        <w:rPr>
          <w:bCs/>
        </w:rPr>
        <w:t>етапног</w:t>
      </w:r>
      <w:r w:rsidRPr="00DD5B70">
        <w:rPr>
          <w:bCs/>
        </w:rPr>
        <w:t xml:space="preserve"> побо</w:t>
      </w:r>
      <w:r>
        <w:rPr>
          <w:bCs/>
        </w:rPr>
        <w:t>љ</w:t>
      </w:r>
      <w:r w:rsidRPr="00DD5B70">
        <w:rPr>
          <w:bCs/>
        </w:rPr>
        <w:t>шања путног правца дужине 77 km између Ниша и административног прелаза Мердаре, који представ</w:t>
      </w:r>
      <w:r>
        <w:rPr>
          <w:bCs/>
        </w:rPr>
        <w:t>љ</w:t>
      </w:r>
      <w:r w:rsidRPr="00DD5B70">
        <w:rPr>
          <w:bCs/>
        </w:rPr>
        <w:t>а главну карику која недостаје на SEETO</w:t>
      </w:r>
      <w:r>
        <w:rPr>
          <w:bCs/>
        </w:rPr>
        <w:t xml:space="preserve"> (</w:t>
      </w:r>
      <w:r w:rsidRPr="00F86D31">
        <w:rPr>
          <w:bCs/>
        </w:rPr>
        <w:t>South East Europe Transport Observatory</w:t>
      </w:r>
      <w:r>
        <w:rPr>
          <w:bCs/>
        </w:rPr>
        <w:t xml:space="preserve"> - Надгледање саобраћаја Југоисточне Европе)</w:t>
      </w:r>
      <w:r w:rsidRPr="00DD5B70">
        <w:rPr>
          <w:bCs/>
        </w:rPr>
        <w:t xml:space="preserve"> путном правцу 7 (Рута 7). Овај пројекат је важан део Руте 7 која представља везу између </w:t>
      </w:r>
      <w:r w:rsidR="00BB2724">
        <w:rPr>
          <w:bCs/>
        </w:rPr>
        <w:t xml:space="preserve">SEETO Руте 6 и Коридора Xc (Ниш </w:t>
      </w:r>
      <w:r w:rsidR="00BB2724">
        <w:rPr>
          <w:rFonts w:eastAsia="SimSun"/>
          <w:lang w:eastAsia="zh-CN"/>
        </w:rPr>
        <w:t>−</w:t>
      </w:r>
      <w:r w:rsidR="00BB2724">
        <w:rPr>
          <w:rFonts w:eastAsia="SimSun"/>
          <w:lang w:val="sr-Cyrl-RS" w:eastAsia="zh-CN"/>
        </w:rPr>
        <w:t xml:space="preserve"> </w:t>
      </w:r>
      <w:r w:rsidRPr="00DD5B70">
        <w:rPr>
          <w:bCs/>
        </w:rPr>
        <w:t>бугарска граница) и који повезује Ниш са Албанијом и Јадранским и Јонским морем и њиховим лукама</w:t>
      </w:r>
      <w:r w:rsidR="003E0A5A">
        <w:rPr>
          <w:bCs/>
        </w:rPr>
        <w:t xml:space="preserve">, чиме </w:t>
      </w:r>
      <w:r w:rsidRPr="00DD5B70">
        <w:rPr>
          <w:bCs/>
        </w:rPr>
        <w:t>ће се постићи побољшање везе Бугарска</w:t>
      </w:r>
      <w:r w:rsidR="00BB2724">
        <w:rPr>
          <w:rFonts w:eastAsia="SimSun"/>
          <w:lang w:eastAsia="zh-CN"/>
        </w:rPr>
        <w:t>−</w:t>
      </w:r>
      <w:r w:rsidRPr="00DD5B70">
        <w:rPr>
          <w:bCs/>
        </w:rPr>
        <w:t>Србија</w:t>
      </w:r>
      <w:r w:rsidR="00BB2724">
        <w:rPr>
          <w:rFonts w:eastAsia="SimSun"/>
          <w:lang w:eastAsia="zh-CN"/>
        </w:rPr>
        <w:t>−</w:t>
      </w:r>
      <w:r w:rsidRPr="00DD5B70">
        <w:rPr>
          <w:bCs/>
        </w:rPr>
        <w:t>Албанија.</w:t>
      </w:r>
      <w:r>
        <w:rPr>
          <w:bCs/>
        </w:rPr>
        <w:t xml:space="preserve"> </w:t>
      </w:r>
      <w:r w:rsidRPr="00DD5B70">
        <w:rPr>
          <w:bCs/>
        </w:rPr>
        <w:t>Рута 7 се налази на Листи приоритетних пројеката SEETO Вишегодишњег акционог плана 2014-2018.</w:t>
      </w:r>
      <w:r>
        <w:rPr>
          <w:bCs/>
        </w:rPr>
        <w:t xml:space="preserve"> година</w:t>
      </w:r>
      <w:r w:rsidR="003E0A5A">
        <w:rPr>
          <w:bCs/>
        </w:rPr>
        <w:t>,</w:t>
      </w:r>
      <w:r w:rsidRPr="00DD5B70">
        <w:rPr>
          <w:bCs/>
        </w:rPr>
        <w:t xml:space="preserve"> као део развојног плана за југоисточну основну регионалну транспортну мрежу, заједно са везом од Приштине до Мерд</w:t>
      </w:r>
      <w:r>
        <w:rPr>
          <w:bCs/>
        </w:rPr>
        <w:t xml:space="preserve">ара која се такође финансира средствима </w:t>
      </w:r>
      <w:r w:rsidRPr="00DD5B70">
        <w:rPr>
          <w:bCs/>
        </w:rPr>
        <w:t>WBIF</w:t>
      </w:r>
      <w:r>
        <w:rPr>
          <w:bCs/>
        </w:rPr>
        <w:t xml:space="preserve"> (</w:t>
      </w:r>
      <w:r w:rsidRPr="00F86D31">
        <w:rPr>
          <w:bCs/>
        </w:rPr>
        <w:t>Western Balkans Investment Framework</w:t>
      </w:r>
      <w:r w:rsidR="00BB2724">
        <w:rPr>
          <w:bCs/>
          <w:lang w:val="sr-Cyrl-RS"/>
        </w:rPr>
        <w:t xml:space="preserve"> </w:t>
      </w:r>
      <w:r w:rsidR="00BB2724">
        <w:rPr>
          <w:rFonts w:eastAsia="SimSun"/>
          <w:lang w:eastAsia="zh-CN"/>
        </w:rPr>
        <w:t>−</w:t>
      </w:r>
      <w:r w:rsidR="00BB2724">
        <w:rPr>
          <w:rFonts w:eastAsia="SimSun"/>
          <w:lang w:val="sr-Cyrl-RS" w:eastAsia="zh-CN"/>
        </w:rPr>
        <w:t xml:space="preserve"> </w:t>
      </w:r>
      <w:r w:rsidRPr="00F86D31">
        <w:rPr>
          <w:bCs/>
        </w:rPr>
        <w:t>Инвестициони оквир за западни Балкан</w:t>
      </w:r>
      <w:r>
        <w:rPr>
          <w:bCs/>
        </w:rPr>
        <w:t>)</w:t>
      </w:r>
      <w:r w:rsidRPr="00DD5B70">
        <w:rPr>
          <w:bCs/>
        </w:rPr>
        <w:t>.</w:t>
      </w:r>
    </w:p>
    <w:p w:rsidR="00C055BD" w:rsidRPr="00DD5B70" w:rsidRDefault="003E0A5A" w:rsidP="00C055BD">
      <w:pPr>
        <w:spacing w:line="276" w:lineRule="auto"/>
        <w:ind w:firstLine="708"/>
        <w:jc w:val="both"/>
        <w:rPr>
          <w:bCs/>
        </w:rPr>
      </w:pPr>
      <w:r>
        <w:rPr>
          <w:bCs/>
        </w:rPr>
        <w:lastRenderedPageBreak/>
        <w:t>Деоница</w:t>
      </w:r>
      <w:r w:rsidR="00C055BD" w:rsidRPr="00DD5B70">
        <w:rPr>
          <w:bCs/>
        </w:rPr>
        <w:t xml:space="preserve"> Ниш</w:t>
      </w:r>
      <w:r w:rsidR="00BB2724">
        <w:rPr>
          <w:bCs/>
          <w:lang w:val="sr-Cyrl-RS"/>
        </w:rPr>
        <w:t xml:space="preserve"> </w:t>
      </w:r>
      <w:r w:rsidR="00BB2724">
        <w:rPr>
          <w:rFonts w:eastAsia="SimSun"/>
          <w:lang w:eastAsia="zh-CN"/>
        </w:rPr>
        <w:t>−</w:t>
      </w:r>
      <w:r w:rsidR="00BB2724">
        <w:rPr>
          <w:rFonts w:eastAsia="SimSun"/>
          <w:lang w:val="sr-Cyrl-RS" w:eastAsia="zh-CN"/>
        </w:rPr>
        <w:t xml:space="preserve"> </w:t>
      </w:r>
      <w:r w:rsidR="00C055BD" w:rsidRPr="00DD5B70">
        <w:rPr>
          <w:bCs/>
        </w:rPr>
        <w:t>Мердаре ће бити део</w:t>
      </w:r>
      <w:r w:rsidR="00D710B0">
        <w:rPr>
          <w:bCs/>
        </w:rPr>
        <w:t xml:space="preserve"> коридора а</w:t>
      </w:r>
      <w:r w:rsidR="00C055BD" w:rsidRPr="00DD5B70">
        <w:rPr>
          <w:bCs/>
        </w:rPr>
        <w:t>утопута Е</w:t>
      </w:r>
      <w:r w:rsidR="00C055BD">
        <w:rPr>
          <w:bCs/>
        </w:rPr>
        <w:t>-</w:t>
      </w:r>
      <w:r w:rsidR="00C055BD" w:rsidRPr="00DD5B70">
        <w:rPr>
          <w:bCs/>
        </w:rPr>
        <w:t>80</w:t>
      </w:r>
      <w:r>
        <w:rPr>
          <w:bCs/>
        </w:rPr>
        <w:t>, чијом ће се изградњом</w:t>
      </w:r>
      <w:r w:rsidR="00C055BD" w:rsidRPr="00DD5B70">
        <w:rPr>
          <w:bCs/>
        </w:rPr>
        <w:t xml:space="preserve"> </w:t>
      </w:r>
      <w:r>
        <w:rPr>
          <w:bCs/>
        </w:rPr>
        <w:t xml:space="preserve">знатно </w:t>
      </w:r>
      <w:r w:rsidR="00D710B0">
        <w:rPr>
          <w:bCs/>
        </w:rPr>
        <w:t>скратити</w:t>
      </w:r>
      <w:r>
        <w:rPr>
          <w:bCs/>
        </w:rPr>
        <w:t xml:space="preserve"> </w:t>
      </w:r>
      <w:r w:rsidR="00C055BD" w:rsidRPr="00DD5B70">
        <w:rPr>
          <w:bCs/>
        </w:rPr>
        <w:t>време путовања и</w:t>
      </w:r>
      <w:r w:rsidR="00D710B0">
        <w:rPr>
          <w:bCs/>
        </w:rPr>
        <w:t xml:space="preserve"> повећати</w:t>
      </w:r>
      <w:r w:rsidR="00C055BD" w:rsidRPr="00DD5B70">
        <w:rPr>
          <w:bCs/>
        </w:rPr>
        <w:t xml:space="preserve"> </w:t>
      </w:r>
      <w:r>
        <w:rPr>
          <w:bCs/>
        </w:rPr>
        <w:t>безбедност,</w:t>
      </w:r>
      <w:r w:rsidR="00C055BD" w:rsidRPr="00DD5B70">
        <w:rPr>
          <w:bCs/>
        </w:rPr>
        <w:t xml:space="preserve"> посебно за промет, и побољша</w:t>
      </w:r>
      <w:r w:rsidR="00D710B0">
        <w:rPr>
          <w:bCs/>
        </w:rPr>
        <w:t>ти</w:t>
      </w:r>
      <w:r w:rsidR="00C055BD" w:rsidRPr="00DD5B70">
        <w:rPr>
          <w:bCs/>
        </w:rPr>
        <w:t xml:space="preserve"> путне везе са Албанијом и Бугарском што ће допринети интеграцији Србије у саобраћајни систем региона и целе Европе.</w:t>
      </w:r>
    </w:p>
    <w:p w:rsidR="00C055BD" w:rsidRPr="00DD5B70" w:rsidRDefault="00C055BD" w:rsidP="00C055BD">
      <w:pPr>
        <w:spacing w:line="276" w:lineRule="auto"/>
        <w:ind w:firstLine="708"/>
        <w:jc w:val="both"/>
        <w:rPr>
          <w:bCs/>
        </w:rPr>
      </w:pPr>
      <w:r w:rsidRPr="00DD5B70">
        <w:rPr>
          <w:bCs/>
        </w:rPr>
        <w:t>Пројекат је поде</w:t>
      </w:r>
      <w:r>
        <w:rPr>
          <w:bCs/>
        </w:rPr>
        <w:t>љ</w:t>
      </w:r>
      <w:r w:rsidRPr="00DD5B70">
        <w:rPr>
          <w:bCs/>
        </w:rPr>
        <w:t>ен на:</w:t>
      </w:r>
    </w:p>
    <w:p w:rsidR="00C055BD" w:rsidRPr="00DD5B70" w:rsidRDefault="00C055BD" w:rsidP="00C055BD">
      <w:pPr>
        <w:spacing w:line="276" w:lineRule="auto"/>
        <w:ind w:firstLine="708"/>
        <w:jc w:val="both"/>
        <w:rPr>
          <w:bCs/>
        </w:rPr>
      </w:pPr>
      <w:r w:rsidRPr="00DD5B70">
        <w:rPr>
          <w:bCs/>
        </w:rPr>
        <w:t>Сектор 1: Ниш–Плочник (деонице 1-4), у дужини од 32,</w:t>
      </w:r>
      <w:r>
        <w:rPr>
          <w:bCs/>
        </w:rPr>
        <w:t>7</w:t>
      </w:r>
      <w:r w:rsidRPr="00DD5B70">
        <w:rPr>
          <w:bCs/>
        </w:rPr>
        <w:t xml:space="preserve"> km:</w:t>
      </w:r>
    </w:p>
    <w:p w:rsidR="00C055BD" w:rsidRPr="00DD5B70" w:rsidRDefault="00C055BD" w:rsidP="00C055BD">
      <w:pPr>
        <w:spacing w:line="276" w:lineRule="auto"/>
        <w:ind w:firstLine="708"/>
        <w:jc w:val="both"/>
        <w:rPr>
          <w:bCs/>
        </w:rPr>
      </w:pPr>
      <w:r w:rsidRPr="00DD5B70">
        <w:rPr>
          <w:bCs/>
        </w:rPr>
        <w:t>•</w:t>
      </w:r>
      <w:r w:rsidRPr="00DD5B70">
        <w:rPr>
          <w:bCs/>
        </w:rPr>
        <w:tab/>
        <w:t xml:space="preserve">Деоница 1 (km 0+000 </w:t>
      </w:r>
      <w:r w:rsidR="00BB2724">
        <w:rPr>
          <w:rFonts w:eastAsia="SimSun"/>
          <w:lang w:eastAsia="zh-CN"/>
        </w:rPr>
        <w:t>−</w:t>
      </w:r>
      <w:r w:rsidRPr="00DD5B70">
        <w:rPr>
          <w:bCs/>
        </w:rPr>
        <w:t xml:space="preserve"> km 5+500), дужине од 5,5 km - почиње на постојећој пет</w:t>
      </w:r>
      <w:r>
        <w:rPr>
          <w:bCs/>
        </w:rPr>
        <w:t>љи „Мерошина (Прокупљ</w:t>
      </w:r>
      <w:r w:rsidRPr="00DD5B70">
        <w:rPr>
          <w:bCs/>
        </w:rPr>
        <w:t>е)</w:t>
      </w:r>
      <w:r>
        <w:rPr>
          <w:bCs/>
        </w:rPr>
        <w:t>ˮ</w:t>
      </w:r>
      <w:r w:rsidRPr="00DD5B70">
        <w:rPr>
          <w:bCs/>
        </w:rPr>
        <w:t xml:space="preserve"> на коридору аутопута Е</w:t>
      </w:r>
      <w:r>
        <w:rPr>
          <w:bCs/>
        </w:rPr>
        <w:t>-</w:t>
      </w:r>
      <w:r w:rsidRPr="00DD5B70">
        <w:rPr>
          <w:bCs/>
        </w:rPr>
        <w:t>75 и завршава се после планиране пет</w:t>
      </w:r>
      <w:r>
        <w:rPr>
          <w:bCs/>
        </w:rPr>
        <w:t>љ</w:t>
      </w:r>
      <w:r w:rsidRPr="00DD5B70">
        <w:rPr>
          <w:bCs/>
        </w:rPr>
        <w:t>е „Мерошина-исток</w:t>
      </w:r>
      <w:r>
        <w:rPr>
          <w:bCs/>
        </w:rPr>
        <w:t>ˮ</w:t>
      </w:r>
      <w:r w:rsidRPr="00DD5B70">
        <w:rPr>
          <w:bCs/>
        </w:rPr>
        <w:t xml:space="preserve">. Деоница је пројектована за брзину од 130 km/h. </w:t>
      </w:r>
    </w:p>
    <w:p w:rsidR="00C055BD" w:rsidRPr="00DD5B70" w:rsidRDefault="00C055BD" w:rsidP="00C055BD">
      <w:pPr>
        <w:spacing w:line="276" w:lineRule="auto"/>
        <w:ind w:firstLine="708"/>
        <w:jc w:val="both"/>
        <w:rPr>
          <w:bCs/>
        </w:rPr>
      </w:pPr>
      <w:r w:rsidRPr="00DD5B70">
        <w:rPr>
          <w:bCs/>
        </w:rPr>
        <w:t>•</w:t>
      </w:r>
      <w:r w:rsidRPr="00DD5B70">
        <w:rPr>
          <w:bCs/>
        </w:rPr>
        <w:tab/>
        <w:t xml:space="preserve">Деоница 2 (km 5+500 - km 14+280), дужине 8,8 km </w:t>
      </w:r>
      <w:r w:rsidR="00BB2724">
        <w:rPr>
          <w:rFonts w:eastAsia="SimSun"/>
          <w:lang w:eastAsia="zh-CN"/>
        </w:rPr>
        <w:t>−</w:t>
      </w:r>
      <w:r w:rsidRPr="00DD5B70">
        <w:rPr>
          <w:bCs/>
        </w:rPr>
        <w:t xml:space="preserve"> почиње после пет</w:t>
      </w:r>
      <w:r>
        <w:rPr>
          <w:bCs/>
        </w:rPr>
        <w:t>љ</w:t>
      </w:r>
      <w:r w:rsidRPr="00DD5B70">
        <w:rPr>
          <w:bCs/>
        </w:rPr>
        <w:t>е „Мерошина-исток</w:t>
      </w:r>
      <w:r>
        <w:rPr>
          <w:bCs/>
        </w:rPr>
        <w:t>ˮ</w:t>
      </w:r>
      <w:r w:rsidRPr="00DD5B70">
        <w:rPr>
          <w:bCs/>
        </w:rPr>
        <w:t xml:space="preserve"> и завршава се пре планиране пет</w:t>
      </w:r>
      <w:r>
        <w:rPr>
          <w:bCs/>
        </w:rPr>
        <w:t>љ</w:t>
      </w:r>
      <w:r w:rsidRPr="00DD5B70">
        <w:rPr>
          <w:bCs/>
        </w:rPr>
        <w:t>е „Прокуп</w:t>
      </w:r>
      <w:r>
        <w:rPr>
          <w:bCs/>
        </w:rPr>
        <w:t>љ</w:t>
      </w:r>
      <w:r w:rsidRPr="00DD5B70">
        <w:rPr>
          <w:bCs/>
        </w:rPr>
        <w:t>е-исток</w:t>
      </w:r>
      <w:r>
        <w:rPr>
          <w:bCs/>
        </w:rPr>
        <w:t>ˮ</w:t>
      </w:r>
      <w:r w:rsidRPr="00DD5B70">
        <w:rPr>
          <w:bCs/>
        </w:rPr>
        <w:t>. Деоница је пројектована за брзину од 130 km/h.</w:t>
      </w:r>
    </w:p>
    <w:p w:rsidR="00C055BD" w:rsidRPr="00DD5B70" w:rsidRDefault="00C055BD" w:rsidP="00C055BD">
      <w:pPr>
        <w:spacing w:line="276" w:lineRule="auto"/>
        <w:ind w:firstLine="708"/>
        <w:jc w:val="both"/>
        <w:rPr>
          <w:bCs/>
        </w:rPr>
      </w:pPr>
      <w:r w:rsidRPr="00DD5B70">
        <w:rPr>
          <w:bCs/>
        </w:rPr>
        <w:t>•</w:t>
      </w:r>
      <w:r w:rsidRPr="00DD5B70">
        <w:rPr>
          <w:bCs/>
        </w:rPr>
        <w:tab/>
        <w:t xml:space="preserve">Деоница 3 (km 14+280 - km 27+096), дужине 12,8 km </w:t>
      </w:r>
      <w:r w:rsidR="00BB2724">
        <w:rPr>
          <w:rFonts w:eastAsia="SimSun"/>
          <w:lang w:eastAsia="zh-CN"/>
        </w:rPr>
        <w:t>−</w:t>
      </w:r>
      <w:r w:rsidRPr="00DD5B70">
        <w:rPr>
          <w:bCs/>
        </w:rPr>
        <w:t xml:space="preserve"> пролази кроз грађевинско подручје Прокуп</w:t>
      </w:r>
      <w:r>
        <w:rPr>
          <w:bCs/>
        </w:rPr>
        <w:t>љ</w:t>
      </w:r>
      <w:r w:rsidRPr="00DD5B70">
        <w:rPr>
          <w:bCs/>
        </w:rPr>
        <w:t>а и карактеришу је веома сложени просторни услови. Пројектована је за брзину од 130 km/h.</w:t>
      </w:r>
    </w:p>
    <w:p w:rsidR="00C055BD" w:rsidRPr="00DD5B70" w:rsidRDefault="00C055BD" w:rsidP="00C055BD">
      <w:pPr>
        <w:spacing w:line="276" w:lineRule="auto"/>
        <w:ind w:firstLine="708"/>
        <w:jc w:val="both"/>
        <w:rPr>
          <w:bCs/>
        </w:rPr>
      </w:pPr>
      <w:r w:rsidRPr="00DD5B70">
        <w:rPr>
          <w:bCs/>
        </w:rPr>
        <w:t>•</w:t>
      </w:r>
      <w:r w:rsidRPr="00DD5B70">
        <w:rPr>
          <w:bCs/>
        </w:rPr>
        <w:tab/>
        <w:t xml:space="preserve">Деоница 4 (km 27+096 - km 32+650), дужине 5,6 km </w:t>
      </w:r>
      <w:r w:rsidR="00BB2724">
        <w:rPr>
          <w:rFonts w:eastAsia="SimSun"/>
          <w:lang w:eastAsia="zh-CN"/>
        </w:rPr>
        <w:t>−</w:t>
      </w:r>
      <w:r w:rsidRPr="00DD5B70">
        <w:rPr>
          <w:bCs/>
        </w:rPr>
        <w:t xml:space="preserve"> почиње у долини реке Т</w:t>
      </w:r>
      <w:r>
        <w:rPr>
          <w:bCs/>
        </w:rPr>
        <w:t>оплице по изласку коридора ауто</w:t>
      </w:r>
      <w:r w:rsidRPr="00DD5B70">
        <w:rPr>
          <w:bCs/>
        </w:rPr>
        <w:t>пута из грађевинског подручја Прокуп</w:t>
      </w:r>
      <w:r>
        <w:rPr>
          <w:bCs/>
        </w:rPr>
        <w:t>љ</w:t>
      </w:r>
      <w:r w:rsidRPr="00DD5B70">
        <w:rPr>
          <w:bCs/>
        </w:rPr>
        <w:t xml:space="preserve">а, и завршава се </w:t>
      </w:r>
      <w:r>
        <w:rPr>
          <w:bCs/>
        </w:rPr>
        <w:t>н</w:t>
      </w:r>
      <w:r w:rsidRPr="00DD5B70">
        <w:rPr>
          <w:bCs/>
        </w:rPr>
        <w:t>епосредно после планиране пет</w:t>
      </w:r>
      <w:r>
        <w:rPr>
          <w:bCs/>
        </w:rPr>
        <w:t>љ</w:t>
      </w:r>
      <w:r w:rsidRPr="00DD5B70">
        <w:rPr>
          <w:bCs/>
        </w:rPr>
        <w:t>е „Белољин</w:t>
      </w:r>
      <w:r>
        <w:rPr>
          <w:bCs/>
        </w:rPr>
        <w:t>ˮ</w:t>
      </w:r>
      <w:r w:rsidRPr="00DD5B70">
        <w:rPr>
          <w:bCs/>
        </w:rPr>
        <w:t xml:space="preserve">. Пројектована је за брзину од 130 km/h. </w:t>
      </w:r>
    </w:p>
    <w:p w:rsidR="00C055BD" w:rsidRDefault="00C055BD" w:rsidP="00C055BD">
      <w:pPr>
        <w:spacing w:line="276" w:lineRule="auto"/>
        <w:ind w:firstLine="708"/>
        <w:jc w:val="both"/>
      </w:pPr>
      <w:r w:rsidRPr="00DD5B70">
        <w:t>Укупна вредност Пројекта, према процени ЕИБ-а, износи 255 милиона евра, од којих наведена банка, у виду кредита обезбеђује 100 милиона евра, док ће се преостали износ вредности Пројекта суфинансирати из средстава зајма Европске банке за обнову и развој</w:t>
      </w:r>
      <w:r>
        <w:t xml:space="preserve"> (80 милиона евра)</w:t>
      </w:r>
      <w:r w:rsidRPr="00DD5B70">
        <w:t xml:space="preserve">, </w:t>
      </w:r>
      <w:r>
        <w:t xml:space="preserve">бесповратних средстава </w:t>
      </w:r>
      <w:r w:rsidRPr="00DD5B70">
        <w:t xml:space="preserve">ЕУ </w:t>
      </w:r>
      <w:r>
        <w:t>(40,6 милиона евра</w:t>
      </w:r>
      <w:r w:rsidR="00D710B0">
        <w:t xml:space="preserve"> према Споразуму о инвестиционом гранту, закљученом 12. септембра</w:t>
      </w:r>
      <w:r w:rsidR="00BC52C4">
        <w:t xml:space="preserve"> 2019. године између Републике Србије, ЕИБ-а и Коридора Србије, д.о.о, Београд</w:t>
      </w:r>
      <w:r>
        <w:t>)</w:t>
      </w:r>
      <w:r w:rsidRPr="00DD5B70">
        <w:t xml:space="preserve"> и буџета Републике Србије.</w:t>
      </w:r>
    </w:p>
    <w:p w:rsidR="009641FC" w:rsidRPr="00DD5B70" w:rsidRDefault="000771C8" w:rsidP="00C055BD">
      <w:pPr>
        <w:spacing w:line="276" w:lineRule="auto"/>
        <w:ind w:firstLine="708"/>
        <w:jc w:val="both"/>
      </w:pPr>
      <w:r>
        <w:t xml:space="preserve">Акивности на реализацији </w:t>
      </w:r>
      <w:r w:rsidR="00BC52C4">
        <w:t>Пројек</w:t>
      </w:r>
      <w:r>
        <w:t>та</w:t>
      </w:r>
      <w:r w:rsidR="00BC52C4">
        <w:t xml:space="preserve"> спроводи</w:t>
      </w:r>
      <w:r>
        <w:t>ће</w:t>
      </w:r>
      <w:r w:rsidR="00BC52C4">
        <w:t xml:space="preserve"> Коридори Србије д.о.о, Београд, уз подршку</w:t>
      </w:r>
      <w:r w:rsidR="009641FC">
        <w:t xml:space="preserve"> Министарств</w:t>
      </w:r>
      <w:r w:rsidR="00BC52C4">
        <w:t>а</w:t>
      </w:r>
      <w:r w:rsidR="009641FC">
        <w:t xml:space="preserve"> грађевинарс</w:t>
      </w:r>
      <w:r w:rsidR="00BC52C4">
        <w:t>тва, саобраћаја и инфраструктур</w:t>
      </w:r>
      <w:r>
        <w:t>е</w:t>
      </w:r>
      <w:r w:rsidR="00BC52C4">
        <w:t>.</w:t>
      </w:r>
    </w:p>
    <w:p w:rsidR="007A6987" w:rsidRPr="00E2660E" w:rsidRDefault="007A6987" w:rsidP="00A37D3D">
      <w:pPr>
        <w:ind w:firstLine="708"/>
        <w:jc w:val="both"/>
        <w:rPr>
          <w:lang w:val="sr-Cyrl-CS"/>
        </w:rPr>
      </w:pPr>
      <w:r w:rsidRPr="007A6987">
        <w:rPr>
          <w:lang w:val="sr-Cyrl-CS"/>
        </w:rPr>
        <w:t>Влада је Закључком 05 Број</w:t>
      </w:r>
      <w:r w:rsidR="00BB2724">
        <w:rPr>
          <w:lang w:val="sr-Cyrl-CS"/>
        </w:rPr>
        <w:t>:</w:t>
      </w:r>
      <w:r w:rsidRPr="007A6987">
        <w:rPr>
          <w:lang w:val="sr-Cyrl-CS"/>
        </w:rPr>
        <w:t xml:space="preserve"> </w:t>
      </w:r>
      <w:r w:rsidR="009641FC">
        <w:rPr>
          <w:lang w:val="sr-Cyrl-CS"/>
        </w:rPr>
        <w:t>48-8515/2019 од 29. августа 2019. године ут</w:t>
      </w:r>
      <w:r w:rsidRPr="007A6987">
        <w:rPr>
          <w:lang w:val="sr-Cyrl-CS"/>
        </w:rPr>
        <w:t>врдила Основу</w:t>
      </w:r>
      <w:r w:rsidR="009641FC">
        <w:rPr>
          <w:lang w:val="sr-Cyrl-CS"/>
        </w:rPr>
        <w:t xml:space="preserve"> за преговоре</w:t>
      </w:r>
      <w:r w:rsidR="00322E59">
        <w:rPr>
          <w:lang w:val="sr-Cyrl-CS"/>
        </w:rPr>
        <w:t>,</w:t>
      </w:r>
      <w:r w:rsidRPr="007A6987">
        <w:rPr>
          <w:lang w:val="sr-Cyrl-CS"/>
        </w:rPr>
        <w:t xml:space="preserve"> одредила састав делегације за вођење преговора са ЕИБ-ом</w:t>
      </w:r>
      <w:r w:rsidR="00322E59">
        <w:rPr>
          <w:lang w:val="sr-Cyrl-CS"/>
        </w:rPr>
        <w:t xml:space="preserve"> и усвојила Нацрт </w:t>
      </w:r>
      <w:r w:rsidR="00BB2724">
        <w:rPr>
          <w:lang w:val="sr-Cyrl-CS"/>
        </w:rPr>
        <w:t>ф</w:t>
      </w:r>
      <w:r w:rsidR="00322E59">
        <w:rPr>
          <w:lang w:val="sr-Cyrl-CS"/>
        </w:rPr>
        <w:t>инан</w:t>
      </w:r>
      <w:r w:rsidR="00BC52C4">
        <w:rPr>
          <w:lang w:val="sr-Cyrl-CS"/>
        </w:rPr>
        <w:t>сијског</w:t>
      </w:r>
      <w:r w:rsidR="00322E59">
        <w:rPr>
          <w:lang w:val="sr-Cyrl-CS"/>
        </w:rPr>
        <w:t xml:space="preserve"> уговора</w:t>
      </w:r>
      <w:r w:rsidRPr="007A6987">
        <w:rPr>
          <w:lang w:val="sr-Cyrl-CS"/>
        </w:rPr>
        <w:t xml:space="preserve">, након чега је </w:t>
      </w:r>
      <w:r w:rsidR="008B3877">
        <w:rPr>
          <w:lang w:val="sr-Cyrl-CS"/>
        </w:rPr>
        <w:t xml:space="preserve">исти </w:t>
      </w:r>
      <w:r w:rsidRPr="007A6987">
        <w:rPr>
          <w:lang w:val="sr-Cyrl-CS"/>
        </w:rPr>
        <w:t xml:space="preserve">и потписан </w:t>
      </w:r>
      <w:r w:rsidR="00322E59" w:rsidRPr="00E2660E">
        <w:rPr>
          <w:lang w:val="sr-Cyrl-CS"/>
        </w:rPr>
        <w:t xml:space="preserve">у </w:t>
      </w:r>
      <w:r w:rsidR="009641FC">
        <w:rPr>
          <w:lang w:val="sr-Cyrl-CS"/>
        </w:rPr>
        <w:t>Београду</w:t>
      </w:r>
      <w:r w:rsidR="00322E59" w:rsidRPr="00E2660E">
        <w:rPr>
          <w:lang w:val="sr-Cyrl-CS"/>
        </w:rPr>
        <w:t xml:space="preserve">, </w:t>
      </w:r>
      <w:r w:rsidR="009641FC">
        <w:rPr>
          <w:lang w:val="sr-Cyrl-CS"/>
        </w:rPr>
        <w:t>12. септембра 2019. године</w:t>
      </w:r>
      <w:r w:rsidRPr="00E2660E">
        <w:rPr>
          <w:lang w:val="sr-Cyrl-CS"/>
        </w:rPr>
        <w:t>.</w:t>
      </w:r>
    </w:p>
    <w:p w:rsidR="00BB2724" w:rsidRDefault="00BC52C4" w:rsidP="00BB2724">
      <w:pPr>
        <w:ind w:firstLine="720"/>
        <w:jc w:val="both"/>
        <w:rPr>
          <w:lang w:eastAsia="sr-Latn-CS"/>
        </w:rPr>
      </w:pPr>
      <w:r>
        <w:rPr>
          <w:lang w:eastAsia="sr-Latn-CS"/>
        </w:rPr>
        <w:t>ЕИБ је одобрила зајам под</w:t>
      </w:r>
      <w:r w:rsidR="00322E59" w:rsidRPr="00E2660E">
        <w:rPr>
          <w:lang w:eastAsia="sr-Latn-CS"/>
        </w:rPr>
        <w:t xml:space="preserve"> следећим финансијским условима: </w:t>
      </w:r>
    </w:p>
    <w:p w:rsidR="00322E59" w:rsidRPr="00BB2724" w:rsidRDefault="00BB2724" w:rsidP="00BB2724">
      <w:pPr>
        <w:ind w:firstLine="720"/>
        <w:jc w:val="both"/>
        <w:rPr>
          <w:lang w:eastAsia="sr-Latn-CS"/>
        </w:rPr>
      </w:pPr>
      <w:r>
        <w:rPr>
          <w:rFonts w:eastAsia="SimSun"/>
          <w:lang w:eastAsia="zh-CN"/>
        </w:rPr>
        <w:t>−</w:t>
      </w:r>
      <w:r>
        <w:rPr>
          <w:rFonts w:eastAsia="SimSun"/>
          <w:lang w:val="sr-Cyrl-RS" w:eastAsia="zh-CN"/>
        </w:rPr>
        <w:t xml:space="preserve"> </w:t>
      </w:r>
      <w:r w:rsidR="00322E59" w:rsidRPr="00E2660E">
        <w:rPr>
          <w:rFonts w:eastAsia="Batang"/>
          <w:bCs/>
          <w:lang w:eastAsia="ko-KR"/>
        </w:rPr>
        <w:t xml:space="preserve">задужење Републике Србије: </w:t>
      </w:r>
      <w:r w:rsidR="000771C8">
        <w:rPr>
          <w:rFonts w:eastAsia="Batang"/>
          <w:bCs/>
          <w:lang w:eastAsia="ko-KR"/>
        </w:rPr>
        <w:t>100</w:t>
      </w:r>
      <w:r w:rsidR="00322E59" w:rsidRPr="00E2660E">
        <w:rPr>
          <w:rFonts w:eastAsia="Batang"/>
          <w:lang w:eastAsia="ko-KR"/>
        </w:rPr>
        <w:t xml:space="preserve"> милиона евра;</w:t>
      </w:r>
    </w:p>
    <w:p w:rsidR="00322E59" w:rsidRPr="00F97A52" w:rsidRDefault="00BB2724" w:rsidP="00BB2724">
      <w:pPr>
        <w:tabs>
          <w:tab w:val="left" w:pos="709"/>
          <w:tab w:val="left" w:pos="993"/>
        </w:tabs>
        <w:jc w:val="both"/>
        <w:rPr>
          <w:rFonts w:eastAsia="Batang"/>
          <w:bCs/>
          <w:lang w:eastAsia="ko-KR"/>
        </w:rPr>
      </w:pPr>
      <w:r>
        <w:rPr>
          <w:rFonts w:eastAsia="Batang"/>
          <w:bCs/>
          <w:lang w:eastAsia="ko-KR"/>
        </w:rPr>
        <w:tab/>
      </w:r>
      <w:r>
        <w:rPr>
          <w:rFonts w:eastAsia="SimSun"/>
          <w:lang w:eastAsia="zh-CN"/>
        </w:rPr>
        <w:t>−</w:t>
      </w:r>
      <w:r>
        <w:rPr>
          <w:rFonts w:eastAsia="SimSun"/>
          <w:lang w:val="sr-Cyrl-RS" w:eastAsia="zh-CN"/>
        </w:rPr>
        <w:t xml:space="preserve"> </w:t>
      </w:r>
      <w:r w:rsidR="00322E59" w:rsidRPr="00F97A52">
        <w:rPr>
          <w:rFonts w:eastAsia="Batang"/>
          <w:bCs/>
          <w:lang w:eastAsia="ko-KR"/>
        </w:rPr>
        <w:t>промотер:</w:t>
      </w:r>
      <w:r>
        <w:rPr>
          <w:rFonts w:eastAsia="Batang"/>
          <w:bCs/>
          <w:lang w:val="sr-Cyrl-RS" w:eastAsia="ko-KR"/>
        </w:rPr>
        <w:t xml:space="preserve"> </w:t>
      </w:r>
      <w:r w:rsidR="000771C8">
        <w:rPr>
          <w:rFonts w:eastAsia="Batang"/>
          <w:bCs/>
          <w:lang w:eastAsia="ko-KR"/>
        </w:rPr>
        <w:t>Министарство грађевинарства, саобраћаја и инфраструктуре;</w:t>
      </w:r>
    </w:p>
    <w:p w:rsidR="00322E59" w:rsidRPr="00F97A52" w:rsidRDefault="00BB2724" w:rsidP="00BB2724">
      <w:pPr>
        <w:tabs>
          <w:tab w:val="left" w:pos="709"/>
          <w:tab w:val="left" w:pos="993"/>
        </w:tabs>
        <w:jc w:val="both"/>
        <w:rPr>
          <w:rFonts w:eastAsia="Batang"/>
          <w:bCs/>
          <w:lang w:eastAsia="ko-KR"/>
        </w:rPr>
      </w:pPr>
      <w:r>
        <w:rPr>
          <w:rFonts w:eastAsia="Batang"/>
          <w:bCs/>
          <w:lang w:eastAsia="ko-KR"/>
        </w:rPr>
        <w:tab/>
      </w:r>
      <w:r>
        <w:rPr>
          <w:rFonts w:eastAsia="SimSun"/>
          <w:lang w:eastAsia="zh-CN"/>
        </w:rPr>
        <w:t>−</w:t>
      </w:r>
      <w:r>
        <w:rPr>
          <w:rFonts w:eastAsia="SimSun"/>
          <w:lang w:val="sr-Cyrl-RS" w:eastAsia="zh-CN"/>
        </w:rPr>
        <w:t xml:space="preserve"> </w:t>
      </w:r>
      <w:r w:rsidR="00322E59" w:rsidRPr="00F97A52">
        <w:rPr>
          <w:rFonts w:eastAsia="Batang"/>
          <w:bCs/>
          <w:lang w:eastAsia="ko-KR"/>
        </w:rPr>
        <w:t>период отплате кредита</w:t>
      </w:r>
      <w:r w:rsidR="000771C8">
        <w:rPr>
          <w:rFonts w:eastAsia="Batang"/>
          <w:bCs/>
          <w:lang w:eastAsia="ko-KR"/>
        </w:rPr>
        <w:t>:</w:t>
      </w:r>
      <w:r w:rsidR="00322E59" w:rsidRPr="00F97A52">
        <w:rPr>
          <w:rFonts w:eastAsia="Batang"/>
          <w:bCs/>
          <w:lang w:eastAsia="ko-KR"/>
        </w:rPr>
        <w:t xml:space="preserve"> 30 година, укључујући периода почека од </w:t>
      </w:r>
      <w:r>
        <w:rPr>
          <w:rFonts w:eastAsia="Batang"/>
          <w:bCs/>
          <w:lang w:val="sr-Cyrl-RS" w:eastAsia="ko-KR"/>
        </w:rPr>
        <w:t>пет</w:t>
      </w:r>
      <w:r w:rsidR="00322E59" w:rsidRPr="00F97A52">
        <w:rPr>
          <w:rFonts w:eastAsia="Batang"/>
          <w:bCs/>
          <w:lang w:eastAsia="ko-KR"/>
        </w:rPr>
        <w:t xml:space="preserve"> година;</w:t>
      </w:r>
    </w:p>
    <w:p w:rsidR="00322E59" w:rsidRPr="00F97A52" w:rsidRDefault="00BB2724" w:rsidP="00BB2724">
      <w:pPr>
        <w:tabs>
          <w:tab w:val="left" w:pos="709"/>
          <w:tab w:val="left" w:pos="993"/>
        </w:tabs>
        <w:jc w:val="both"/>
        <w:rPr>
          <w:rFonts w:eastAsia="Batang"/>
          <w:bCs/>
          <w:lang w:eastAsia="ko-KR"/>
        </w:rPr>
      </w:pPr>
      <w:r>
        <w:rPr>
          <w:rFonts w:eastAsia="Batang"/>
          <w:bCs/>
          <w:lang w:eastAsia="ko-KR"/>
        </w:rPr>
        <w:tab/>
      </w:r>
      <w:r>
        <w:rPr>
          <w:rFonts w:eastAsia="SimSun"/>
          <w:lang w:eastAsia="zh-CN"/>
        </w:rPr>
        <w:t>−</w:t>
      </w:r>
      <w:r>
        <w:rPr>
          <w:rFonts w:eastAsia="SimSun"/>
          <w:lang w:val="sr-Cyrl-RS" w:eastAsia="zh-CN"/>
        </w:rPr>
        <w:t xml:space="preserve"> </w:t>
      </w:r>
      <w:r w:rsidR="00322E59" w:rsidRPr="00F97A52">
        <w:rPr>
          <w:rFonts w:eastAsia="Batang"/>
          <w:bCs/>
          <w:lang w:eastAsia="ko-KR"/>
        </w:rPr>
        <w:t>каматна стопа</w:t>
      </w:r>
      <w:r w:rsidR="000771C8">
        <w:rPr>
          <w:rFonts w:eastAsia="Batang"/>
          <w:bCs/>
          <w:lang w:eastAsia="ko-KR"/>
        </w:rPr>
        <w:t>:</w:t>
      </w:r>
      <w:r w:rsidR="00322E59" w:rsidRPr="00F97A52">
        <w:rPr>
          <w:rFonts w:eastAsia="Batang"/>
          <w:bCs/>
          <w:lang w:eastAsia="ko-KR"/>
        </w:rPr>
        <w:t xml:space="preserve"> одређује </w:t>
      </w:r>
      <w:r w:rsidR="000771C8">
        <w:rPr>
          <w:rFonts w:eastAsia="Batang"/>
          <w:bCs/>
          <w:lang w:eastAsia="ko-KR"/>
        </w:rPr>
        <w:t xml:space="preserve">се </w:t>
      </w:r>
      <w:r w:rsidR="00322E59" w:rsidRPr="00F97A52">
        <w:rPr>
          <w:rFonts w:eastAsia="Batang"/>
          <w:bCs/>
          <w:lang w:eastAsia="ko-KR"/>
        </w:rPr>
        <w:t>приликом повлачења сваке транше посебно, уз могућност избора фиксне или варијабилне каматне стопе;</w:t>
      </w:r>
    </w:p>
    <w:p w:rsidR="00322E59" w:rsidRPr="00F97A52" w:rsidRDefault="00BB2724" w:rsidP="00BB2724">
      <w:pPr>
        <w:tabs>
          <w:tab w:val="left" w:pos="709"/>
          <w:tab w:val="left" w:pos="993"/>
          <w:tab w:val="left" w:pos="1134"/>
        </w:tabs>
        <w:jc w:val="both"/>
        <w:rPr>
          <w:rFonts w:eastAsia="Batang"/>
          <w:bCs/>
          <w:lang w:eastAsia="ko-KR"/>
        </w:rPr>
      </w:pPr>
      <w:r>
        <w:rPr>
          <w:rFonts w:eastAsia="Batang"/>
          <w:bCs/>
          <w:lang w:eastAsia="ko-KR"/>
        </w:rPr>
        <w:tab/>
      </w:r>
      <w:r>
        <w:rPr>
          <w:rFonts w:eastAsia="SimSun"/>
          <w:lang w:eastAsia="zh-CN"/>
        </w:rPr>
        <w:t>−</w:t>
      </w:r>
      <w:r>
        <w:rPr>
          <w:rFonts w:eastAsia="SimSun"/>
          <w:lang w:val="sr-Cyrl-RS" w:eastAsia="zh-CN"/>
        </w:rPr>
        <w:t xml:space="preserve"> </w:t>
      </w:r>
      <w:r w:rsidR="00322E59" w:rsidRPr="00F97A52">
        <w:rPr>
          <w:rFonts w:eastAsia="Batang"/>
          <w:bCs/>
          <w:lang w:eastAsia="ko-KR"/>
        </w:rPr>
        <w:t>фиксна каматна стопа</w:t>
      </w:r>
      <w:r w:rsidR="000771C8">
        <w:rPr>
          <w:rFonts w:eastAsia="Batang"/>
          <w:bCs/>
          <w:lang w:eastAsia="ko-KR"/>
        </w:rPr>
        <w:t>:</w:t>
      </w:r>
      <w:r w:rsidR="00322E59" w:rsidRPr="00F97A52">
        <w:rPr>
          <w:rFonts w:eastAsia="Batang"/>
          <w:bCs/>
          <w:lang w:eastAsia="ko-KR"/>
        </w:rPr>
        <w:t xml:space="preserve"> означава годишњу каматну стопу одређену од стране банке, у складу са принципима које повремено утврђују управна тела банке за кредите изражене у валути евро;</w:t>
      </w:r>
    </w:p>
    <w:p w:rsidR="00322E59" w:rsidRPr="00F97A52" w:rsidRDefault="00BB2724" w:rsidP="00BB2724">
      <w:pPr>
        <w:tabs>
          <w:tab w:val="left" w:pos="709"/>
          <w:tab w:val="left" w:pos="993"/>
          <w:tab w:val="left" w:pos="1200"/>
        </w:tabs>
        <w:jc w:val="both"/>
        <w:rPr>
          <w:rFonts w:eastAsia="Batang"/>
          <w:bCs/>
          <w:lang w:eastAsia="ko-KR"/>
        </w:rPr>
      </w:pPr>
      <w:r>
        <w:rPr>
          <w:rFonts w:eastAsia="Batang"/>
          <w:bCs/>
          <w:lang w:eastAsia="ko-KR"/>
        </w:rPr>
        <w:tab/>
      </w:r>
      <w:r>
        <w:rPr>
          <w:rFonts w:eastAsia="SimSun"/>
          <w:lang w:eastAsia="zh-CN"/>
        </w:rPr>
        <w:t>−</w:t>
      </w:r>
      <w:r>
        <w:rPr>
          <w:rFonts w:eastAsia="SimSun"/>
          <w:lang w:val="sr-Cyrl-RS" w:eastAsia="zh-CN"/>
        </w:rPr>
        <w:t xml:space="preserve"> </w:t>
      </w:r>
      <w:r w:rsidR="00322E59" w:rsidRPr="00F97A52">
        <w:rPr>
          <w:rFonts w:eastAsia="Batang"/>
          <w:bCs/>
          <w:lang w:eastAsia="ko-KR"/>
        </w:rPr>
        <w:t>варијабилна каматна стопа</w:t>
      </w:r>
      <w:r w:rsidR="000771C8">
        <w:rPr>
          <w:rFonts w:eastAsia="Batang"/>
          <w:bCs/>
          <w:lang w:eastAsia="ko-KR"/>
        </w:rPr>
        <w:t>:</w:t>
      </w:r>
      <w:r w:rsidR="00322E59" w:rsidRPr="00F97A52">
        <w:rPr>
          <w:rFonts w:eastAsia="Batang"/>
          <w:bCs/>
          <w:lang w:eastAsia="ko-KR"/>
        </w:rPr>
        <w:t xml:space="preserve"> означава каматну стопу на годишњем нивоу која је једнака шестомесечном EURIBOR-у </w:t>
      </w:r>
      <w:r w:rsidR="00322E59" w:rsidRPr="00F97A52">
        <w:t>(у случају да EURIBOR има негативну вредност, одређује се као нула)</w:t>
      </w:r>
      <w:r w:rsidR="00322E59" w:rsidRPr="00F97A52">
        <w:rPr>
          <w:rFonts w:eastAsia="Batang"/>
          <w:bCs/>
          <w:lang w:eastAsia="ko-KR"/>
        </w:rPr>
        <w:t xml:space="preserve">, плус </w:t>
      </w:r>
      <w:r w:rsidR="000771C8">
        <w:rPr>
          <w:rFonts w:eastAsia="Batang"/>
          <w:bCs/>
          <w:lang w:eastAsia="ko-KR"/>
        </w:rPr>
        <w:t xml:space="preserve">фиксни </w:t>
      </w:r>
      <w:r w:rsidR="00322E59" w:rsidRPr="00F97A52">
        <w:rPr>
          <w:rFonts w:eastAsia="Batang"/>
          <w:bCs/>
          <w:lang w:eastAsia="ko-KR"/>
        </w:rPr>
        <w:t>распон</w:t>
      </w:r>
      <w:r w:rsidR="000771C8">
        <w:rPr>
          <w:rFonts w:eastAsia="Batang"/>
          <w:bCs/>
          <w:lang w:eastAsia="ko-KR"/>
        </w:rPr>
        <w:t xml:space="preserve"> (маржа)</w:t>
      </w:r>
      <w:r w:rsidR="00322E59" w:rsidRPr="00F97A52">
        <w:rPr>
          <w:rFonts w:eastAsia="Batang"/>
          <w:bCs/>
          <w:lang w:eastAsia="ko-KR"/>
        </w:rPr>
        <w:t xml:space="preserve">, који банка </w:t>
      </w:r>
      <w:r w:rsidR="000771C8">
        <w:rPr>
          <w:rFonts w:eastAsia="Batang"/>
          <w:bCs/>
          <w:lang w:eastAsia="ko-KR"/>
        </w:rPr>
        <w:t>утврђује</w:t>
      </w:r>
      <w:r w:rsidR="00322E59" w:rsidRPr="00F97A52">
        <w:rPr>
          <w:rFonts w:eastAsia="Batang"/>
          <w:bCs/>
          <w:lang w:eastAsia="ko-KR"/>
        </w:rPr>
        <w:t xml:space="preserve"> </w:t>
      </w:r>
      <w:r w:rsidR="00322E59" w:rsidRPr="00F97A52">
        <w:rPr>
          <w:rFonts w:eastAsia="Batang"/>
          <w:bCs/>
          <w:lang w:eastAsia="ko-KR"/>
        </w:rPr>
        <w:lastRenderedPageBreak/>
        <w:t>за сваки референтни период</w:t>
      </w:r>
      <w:r w:rsidR="000771C8">
        <w:rPr>
          <w:rFonts w:eastAsia="Batang"/>
          <w:bCs/>
          <w:lang w:eastAsia="ko-KR"/>
        </w:rPr>
        <w:t xml:space="preserve"> и важећи је током целокупног периода</w:t>
      </w:r>
      <w:r w:rsidR="00322E59" w:rsidRPr="00F97A52">
        <w:rPr>
          <w:rFonts w:eastAsia="Batang"/>
          <w:bCs/>
          <w:lang w:eastAsia="ko-KR"/>
        </w:rPr>
        <w:t xml:space="preserve"> отплате транше;</w:t>
      </w:r>
    </w:p>
    <w:p w:rsidR="00322E59" w:rsidRPr="00F97A52" w:rsidRDefault="00BB2724" w:rsidP="00BB2724">
      <w:pPr>
        <w:tabs>
          <w:tab w:val="left" w:pos="709"/>
          <w:tab w:val="left" w:pos="993"/>
          <w:tab w:val="left" w:pos="1200"/>
        </w:tabs>
        <w:jc w:val="both"/>
        <w:rPr>
          <w:bCs/>
        </w:rPr>
      </w:pPr>
      <w:r>
        <w:rPr>
          <w:bCs/>
        </w:rPr>
        <w:tab/>
      </w:r>
      <w:r>
        <w:rPr>
          <w:rFonts w:eastAsia="SimSun"/>
          <w:lang w:eastAsia="zh-CN"/>
        </w:rPr>
        <w:t>−</w:t>
      </w:r>
      <w:r>
        <w:rPr>
          <w:rFonts w:eastAsia="SimSun"/>
          <w:lang w:val="sr-Cyrl-RS" w:eastAsia="zh-CN"/>
        </w:rPr>
        <w:t xml:space="preserve"> </w:t>
      </w:r>
      <w:r w:rsidR="00322E59" w:rsidRPr="00F97A52">
        <w:rPr>
          <w:bCs/>
        </w:rPr>
        <w:t>приликом повлачења транше зајмопримац има могућност избора између годишње, полугодишње и тромесечне отплате кредита;</w:t>
      </w:r>
    </w:p>
    <w:p w:rsidR="00322E59" w:rsidRPr="00F97A52" w:rsidRDefault="00BB2724" w:rsidP="00BB2724">
      <w:pPr>
        <w:tabs>
          <w:tab w:val="left" w:pos="709"/>
          <w:tab w:val="left" w:pos="993"/>
          <w:tab w:val="left" w:pos="1200"/>
        </w:tabs>
        <w:jc w:val="both"/>
        <w:rPr>
          <w:rFonts w:eastAsia="Batang"/>
          <w:bCs/>
          <w:lang w:eastAsia="ko-KR"/>
        </w:rPr>
      </w:pPr>
      <w:r>
        <w:rPr>
          <w:rFonts w:eastAsia="Batang"/>
          <w:bCs/>
          <w:lang w:eastAsia="ko-KR"/>
        </w:rPr>
        <w:tab/>
      </w:r>
      <w:r>
        <w:rPr>
          <w:rFonts w:eastAsia="SimSun"/>
          <w:lang w:eastAsia="zh-CN"/>
        </w:rPr>
        <w:t>−</w:t>
      </w:r>
      <w:r>
        <w:rPr>
          <w:rFonts w:eastAsia="SimSun"/>
          <w:lang w:val="sr-Cyrl-RS" w:eastAsia="zh-CN"/>
        </w:rPr>
        <w:t xml:space="preserve"> </w:t>
      </w:r>
      <w:r w:rsidR="00322E59" w:rsidRPr="00F97A52">
        <w:rPr>
          <w:rFonts w:eastAsia="Batang"/>
          <w:bCs/>
          <w:lang w:eastAsia="ko-KR"/>
        </w:rPr>
        <w:t>без плаћања банци приступне накнаде и провизије на неповучена средства;</w:t>
      </w:r>
    </w:p>
    <w:p w:rsidR="00322E59" w:rsidRPr="00F97A52" w:rsidRDefault="00BB2724" w:rsidP="00BB2724">
      <w:pPr>
        <w:tabs>
          <w:tab w:val="left" w:pos="709"/>
          <w:tab w:val="left" w:pos="993"/>
          <w:tab w:val="num" w:pos="1680"/>
        </w:tabs>
        <w:jc w:val="both"/>
        <w:rPr>
          <w:rFonts w:eastAsia="Batang"/>
          <w:lang w:eastAsia="ko-KR"/>
        </w:rPr>
      </w:pPr>
      <w:r>
        <w:rPr>
          <w:rFonts w:eastAsia="Batang"/>
          <w:lang w:eastAsia="ko-KR"/>
        </w:rPr>
        <w:tab/>
      </w:r>
      <w:r>
        <w:rPr>
          <w:rFonts w:eastAsia="SimSun"/>
          <w:lang w:eastAsia="zh-CN"/>
        </w:rPr>
        <w:t>−</w:t>
      </w:r>
      <w:r>
        <w:rPr>
          <w:rFonts w:eastAsia="SimSun"/>
          <w:lang w:val="sr-Cyrl-RS" w:eastAsia="zh-CN"/>
        </w:rPr>
        <w:t xml:space="preserve"> </w:t>
      </w:r>
      <w:r w:rsidR="00322E59" w:rsidRPr="00F97A52">
        <w:rPr>
          <w:rFonts w:eastAsia="Batang"/>
          <w:lang w:eastAsia="ko-KR"/>
        </w:rPr>
        <w:t>транша са фиксном каматном стопом отплаћује се у ануитетима или ратама са једнаким уделом главнице;</w:t>
      </w:r>
    </w:p>
    <w:p w:rsidR="00322E59" w:rsidRPr="00F97A52" w:rsidRDefault="00BB2724" w:rsidP="00BB2724">
      <w:pPr>
        <w:tabs>
          <w:tab w:val="left" w:pos="709"/>
          <w:tab w:val="left" w:pos="993"/>
          <w:tab w:val="num" w:pos="1680"/>
        </w:tabs>
        <w:jc w:val="both"/>
        <w:rPr>
          <w:rFonts w:eastAsia="Batang"/>
          <w:lang w:eastAsia="ko-KR"/>
        </w:rPr>
      </w:pPr>
      <w:r>
        <w:rPr>
          <w:rFonts w:eastAsia="Batang"/>
          <w:lang w:eastAsia="ko-KR"/>
        </w:rPr>
        <w:tab/>
      </w:r>
      <w:r>
        <w:rPr>
          <w:rFonts w:eastAsia="SimSun"/>
          <w:lang w:eastAsia="zh-CN"/>
        </w:rPr>
        <w:t>−</w:t>
      </w:r>
      <w:r>
        <w:rPr>
          <w:rFonts w:eastAsia="SimSun"/>
          <w:lang w:val="sr-Cyrl-RS" w:eastAsia="zh-CN"/>
        </w:rPr>
        <w:t xml:space="preserve"> </w:t>
      </w:r>
      <w:r w:rsidR="00322E59" w:rsidRPr="00F97A52">
        <w:rPr>
          <w:rFonts w:eastAsia="Batang"/>
          <w:lang w:eastAsia="ko-KR"/>
        </w:rPr>
        <w:t xml:space="preserve">кредит се реализује у највише </w:t>
      </w:r>
      <w:r w:rsidR="000771C8">
        <w:rPr>
          <w:rFonts w:eastAsia="Batang"/>
          <w:lang w:eastAsia="ko-KR"/>
        </w:rPr>
        <w:t>15</w:t>
      </w:r>
      <w:r w:rsidR="00322E59" w:rsidRPr="00F97A52">
        <w:rPr>
          <w:rFonts w:eastAsia="Batang"/>
          <w:lang w:eastAsia="ko-KR"/>
        </w:rPr>
        <w:t xml:space="preserve"> транши, са минималним износом транше од </w:t>
      </w:r>
      <w:r w:rsidR="000771C8">
        <w:rPr>
          <w:rFonts w:eastAsia="Batang"/>
          <w:lang w:eastAsia="ko-KR"/>
        </w:rPr>
        <w:t>1 милион евра</w:t>
      </w:r>
      <w:r w:rsidR="00322E59" w:rsidRPr="00F97A52">
        <w:rPr>
          <w:rFonts w:eastAsia="Batang"/>
          <w:lang w:eastAsia="ko-KR"/>
        </w:rPr>
        <w:t>;</w:t>
      </w:r>
    </w:p>
    <w:p w:rsidR="00322E59" w:rsidRPr="00F97A52" w:rsidRDefault="00BB2724" w:rsidP="00BB2724">
      <w:pPr>
        <w:tabs>
          <w:tab w:val="left" w:pos="709"/>
          <w:tab w:val="left" w:pos="993"/>
          <w:tab w:val="num" w:pos="1680"/>
        </w:tabs>
        <w:jc w:val="both"/>
        <w:rPr>
          <w:rFonts w:eastAsia="Batang"/>
          <w:lang w:eastAsia="ko-KR"/>
        </w:rPr>
      </w:pPr>
      <w:r>
        <w:rPr>
          <w:rFonts w:eastAsia="Batang"/>
          <w:lang w:eastAsia="ko-KR"/>
        </w:rPr>
        <w:tab/>
      </w:r>
      <w:r>
        <w:rPr>
          <w:rFonts w:eastAsia="SimSun"/>
          <w:lang w:eastAsia="zh-CN"/>
        </w:rPr>
        <w:t>−</w:t>
      </w:r>
      <w:r>
        <w:rPr>
          <w:rFonts w:eastAsia="SimSun"/>
          <w:lang w:val="sr-Cyrl-RS" w:eastAsia="zh-CN"/>
        </w:rPr>
        <w:t xml:space="preserve"> </w:t>
      </w:r>
      <w:r w:rsidR="00322E59" w:rsidRPr="00F97A52">
        <w:rPr>
          <w:rFonts w:eastAsia="Batang"/>
          <w:lang w:eastAsia="ko-KR"/>
        </w:rPr>
        <w:t xml:space="preserve">период расположивости зајма: </w:t>
      </w:r>
      <w:r>
        <w:rPr>
          <w:rFonts w:eastAsia="Batang"/>
          <w:lang w:val="sr-Cyrl-RS" w:eastAsia="ko-KR"/>
        </w:rPr>
        <w:t>пет</w:t>
      </w:r>
      <w:r w:rsidR="00322E59" w:rsidRPr="00F97A52">
        <w:rPr>
          <w:rFonts w:eastAsia="Batang"/>
          <w:lang w:eastAsia="ko-KR"/>
        </w:rPr>
        <w:t xml:space="preserve"> година од датума закључивања финансијског уговора, уз могућност продужетка; </w:t>
      </w:r>
    </w:p>
    <w:p w:rsidR="000771C8" w:rsidRPr="000771C8" w:rsidRDefault="00BB2724" w:rsidP="00BB2724">
      <w:pPr>
        <w:tabs>
          <w:tab w:val="left" w:pos="709"/>
          <w:tab w:val="left" w:pos="993"/>
          <w:tab w:val="num" w:pos="1680"/>
        </w:tabs>
        <w:jc w:val="both"/>
        <w:rPr>
          <w:rFonts w:eastAsia="Batang"/>
          <w:bCs/>
          <w:lang w:eastAsia="ko-KR"/>
        </w:rPr>
      </w:pPr>
      <w:r>
        <w:rPr>
          <w:rFonts w:eastAsia="Batang"/>
          <w:lang w:eastAsia="ko-KR"/>
        </w:rPr>
        <w:tab/>
      </w:r>
      <w:r>
        <w:rPr>
          <w:rFonts w:eastAsia="SimSun"/>
          <w:lang w:eastAsia="zh-CN"/>
        </w:rPr>
        <w:t>−</w:t>
      </w:r>
      <w:r>
        <w:rPr>
          <w:rFonts w:eastAsia="SimSun"/>
          <w:lang w:val="sr-Cyrl-RS" w:eastAsia="zh-CN"/>
        </w:rPr>
        <w:t xml:space="preserve"> </w:t>
      </w:r>
      <w:r w:rsidR="00322E59" w:rsidRPr="00F97A52">
        <w:rPr>
          <w:rFonts w:eastAsia="Batang"/>
          <w:lang w:eastAsia="ko-KR"/>
        </w:rPr>
        <w:t>предвиђена могућност превремене отплате свих транши или дела било које транше, уколико се процени да је то повољније са становишта управљања јавним дугом, уз плаћање свих доспелих обавеза по основу камате и других трошкова банке.</w:t>
      </w:r>
    </w:p>
    <w:p w:rsidR="00773832" w:rsidRPr="005038A0" w:rsidRDefault="00322E59" w:rsidP="00BB2724">
      <w:pPr>
        <w:tabs>
          <w:tab w:val="num" w:pos="1680"/>
        </w:tabs>
        <w:ind w:firstLine="709"/>
        <w:jc w:val="both"/>
        <w:rPr>
          <w:lang w:val="sr-Cyrl-CS"/>
        </w:rPr>
      </w:pPr>
      <w:r w:rsidRPr="00F97A52">
        <w:rPr>
          <w:rFonts w:eastAsia="Batang"/>
          <w:lang w:eastAsia="ko-KR"/>
        </w:rPr>
        <w:t xml:space="preserve">  </w:t>
      </w:r>
    </w:p>
    <w:p w:rsidR="00692046" w:rsidRPr="005038A0" w:rsidRDefault="00816A77" w:rsidP="00816A77">
      <w:pPr>
        <w:tabs>
          <w:tab w:val="left" w:pos="1170"/>
        </w:tabs>
        <w:ind w:firstLine="720"/>
        <w:jc w:val="both"/>
        <w:rPr>
          <w:lang w:val="sr-Cyrl-CS"/>
        </w:rPr>
      </w:pPr>
      <w:r w:rsidRPr="005038A0">
        <w:rPr>
          <w:lang w:val="sr-Cyrl-CS"/>
        </w:rPr>
        <w:t xml:space="preserve">III. </w:t>
      </w:r>
      <w:r w:rsidR="00692046" w:rsidRPr="005038A0">
        <w:rPr>
          <w:lang w:val="sr-Cyrl-CS"/>
        </w:rPr>
        <w:t xml:space="preserve">ОБЈАШЊЕЊЕ ОСНОВНИХ ПРАВНИХ ИНСТИТУТА И ПОЈЕДИНАЧНИХ РЕШЕЊА </w:t>
      </w:r>
    </w:p>
    <w:p w:rsidR="00692046" w:rsidRPr="005038A0" w:rsidRDefault="00692046" w:rsidP="00A37D3D">
      <w:pPr>
        <w:jc w:val="both"/>
        <w:rPr>
          <w:lang w:val="sr-Cyrl-CS"/>
        </w:rPr>
      </w:pPr>
    </w:p>
    <w:p w:rsidR="00692046" w:rsidRPr="005038A0" w:rsidRDefault="00692046" w:rsidP="00A37D3D">
      <w:pPr>
        <w:ind w:firstLine="720"/>
        <w:jc w:val="both"/>
        <w:rPr>
          <w:rFonts w:eastAsia="SimSun"/>
          <w:lang w:val="sr-Cyrl-CS"/>
        </w:rPr>
      </w:pPr>
      <w:r w:rsidRPr="00427A07">
        <w:rPr>
          <w:lang w:val="ru-RU"/>
        </w:rPr>
        <w:t>О</w:t>
      </w:r>
      <w:r w:rsidRPr="00427A07">
        <w:rPr>
          <w:lang w:val="sr-Cyrl-CS"/>
        </w:rPr>
        <w:t xml:space="preserve">дредбом члана 1. </w:t>
      </w:r>
      <w:r w:rsidR="00BB2724">
        <w:rPr>
          <w:lang w:val="sr-Cyrl-CS"/>
        </w:rPr>
        <w:t xml:space="preserve">Предлога </w:t>
      </w:r>
      <w:r w:rsidR="00FA40D9" w:rsidRPr="00427A07">
        <w:rPr>
          <w:lang w:val="sr-Cyrl-CS"/>
        </w:rPr>
        <w:t xml:space="preserve">закона </w:t>
      </w:r>
      <w:r w:rsidRPr="00427A07">
        <w:rPr>
          <w:lang w:val="sr-Cyrl-CS"/>
        </w:rPr>
        <w:t>предвиђа се потврђивање</w:t>
      </w:r>
      <w:r w:rsidR="00746BDE" w:rsidRPr="00427A07">
        <w:rPr>
          <w:rFonts w:eastAsia="SimSun"/>
          <w:lang w:val="sr-Cyrl-CS"/>
        </w:rPr>
        <w:t xml:space="preserve"> </w:t>
      </w:r>
      <w:r w:rsidR="00B54EA5" w:rsidRPr="00427A07">
        <w:rPr>
          <w:rFonts w:eastAsia="SimSun"/>
          <w:lang w:val="sr-Cyrl-CS"/>
        </w:rPr>
        <w:t>Финансијског уговора</w:t>
      </w:r>
      <w:r w:rsidRPr="00427A07">
        <w:rPr>
          <w:rFonts w:eastAsia="SimSun"/>
          <w:lang w:val="sr-Cyrl-CS"/>
        </w:rPr>
        <w:t>, у оригиналу</w:t>
      </w:r>
      <w:r w:rsidRPr="005038A0">
        <w:rPr>
          <w:rFonts w:eastAsia="SimSun"/>
          <w:lang w:val="sr-Cyrl-CS"/>
        </w:rPr>
        <w:t xml:space="preserve"> на енглеском језику.</w:t>
      </w:r>
    </w:p>
    <w:p w:rsidR="00692046" w:rsidRPr="005038A0" w:rsidRDefault="00692046" w:rsidP="00A37D3D">
      <w:pPr>
        <w:ind w:firstLine="720"/>
        <w:jc w:val="both"/>
        <w:rPr>
          <w:lang w:val="sr-Cyrl-CS"/>
        </w:rPr>
      </w:pPr>
      <w:r w:rsidRPr="005038A0">
        <w:rPr>
          <w:lang w:val="sr-Cyrl-CS"/>
        </w:rPr>
        <w:t xml:space="preserve"> Одредба члана 2. </w:t>
      </w:r>
      <w:r w:rsidR="00BB2724">
        <w:rPr>
          <w:lang w:val="sr-Cyrl-CS"/>
        </w:rPr>
        <w:t>Предлога</w:t>
      </w:r>
      <w:r w:rsidR="00C713DE" w:rsidRPr="005038A0">
        <w:rPr>
          <w:lang w:val="sr-Cyrl-CS"/>
        </w:rPr>
        <w:t xml:space="preserve"> </w:t>
      </w:r>
      <w:r w:rsidR="00FA40D9" w:rsidRPr="005038A0">
        <w:rPr>
          <w:lang w:val="sr-Cyrl-CS"/>
        </w:rPr>
        <w:t xml:space="preserve">закона </w:t>
      </w:r>
      <w:r w:rsidRPr="005038A0">
        <w:rPr>
          <w:lang w:val="sr-Cyrl-CS"/>
        </w:rPr>
        <w:t xml:space="preserve">садржи текст </w:t>
      </w:r>
      <w:r w:rsidR="00B54EA5" w:rsidRPr="00B54EA5">
        <w:rPr>
          <w:rFonts w:eastAsia="SimSun"/>
          <w:lang w:val="sr-Cyrl-CS"/>
        </w:rPr>
        <w:t>Финансијског уговора</w:t>
      </w:r>
      <w:r w:rsidRPr="005038A0">
        <w:rPr>
          <w:rFonts w:eastAsia="SimSun"/>
          <w:lang w:val="sr-Cyrl-CS"/>
        </w:rPr>
        <w:t xml:space="preserve">, </w:t>
      </w:r>
      <w:r w:rsidRPr="005038A0">
        <w:rPr>
          <w:lang w:val="sr-Cyrl-CS"/>
        </w:rPr>
        <w:t>у оригиналу на енглеском језику и у преводу на српски језик.</w:t>
      </w:r>
    </w:p>
    <w:p w:rsidR="00A37D3D" w:rsidRDefault="00C713DE" w:rsidP="00A37D3D">
      <w:pPr>
        <w:ind w:firstLine="720"/>
        <w:jc w:val="both"/>
        <w:rPr>
          <w:lang w:val="sr-Cyrl-CS"/>
        </w:rPr>
      </w:pPr>
      <w:r w:rsidRPr="005038A0">
        <w:rPr>
          <w:lang w:val="sr-Cyrl-CS"/>
        </w:rPr>
        <w:t>Одредбом члана 3.</w:t>
      </w:r>
      <w:r w:rsidR="00FA40D9" w:rsidRPr="005038A0">
        <w:rPr>
          <w:lang w:val="sr-Cyrl-CS"/>
        </w:rPr>
        <w:t xml:space="preserve"> </w:t>
      </w:r>
      <w:r w:rsidR="00BB2724">
        <w:rPr>
          <w:lang w:val="sr-Cyrl-CS"/>
        </w:rPr>
        <w:t xml:space="preserve">Предлога закона </w:t>
      </w:r>
      <w:bookmarkStart w:id="0" w:name="_GoBack"/>
      <w:bookmarkEnd w:id="0"/>
      <w:r w:rsidR="00692046" w:rsidRPr="005038A0">
        <w:rPr>
          <w:lang w:val="sr-Cyrl-CS"/>
        </w:rPr>
        <w:t xml:space="preserve">уређује се ступање на снагу овог закона. </w:t>
      </w:r>
    </w:p>
    <w:p w:rsidR="00B54EA5" w:rsidRDefault="00B54EA5" w:rsidP="00A37D3D">
      <w:pPr>
        <w:ind w:firstLine="720"/>
        <w:jc w:val="both"/>
        <w:rPr>
          <w:lang w:val="sr-Cyrl-CS"/>
        </w:rPr>
      </w:pPr>
    </w:p>
    <w:p w:rsidR="00692046" w:rsidRPr="005038A0" w:rsidRDefault="00692046" w:rsidP="00A37D3D">
      <w:pPr>
        <w:ind w:firstLine="720"/>
        <w:jc w:val="both"/>
        <w:rPr>
          <w:bCs/>
          <w:lang w:val="sr-Cyrl-CS"/>
        </w:rPr>
      </w:pPr>
      <w:r w:rsidRPr="005038A0">
        <w:rPr>
          <w:bCs/>
        </w:rPr>
        <w:t>IV</w:t>
      </w:r>
      <w:r w:rsidRPr="005038A0">
        <w:rPr>
          <w:bCs/>
          <w:lang w:val="ru-RU"/>
        </w:rPr>
        <w:t xml:space="preserve">. </w:t>
      </w:r>
      <w:r w:rsidRPr="005038A0">
        <w:rPr>
          <w:bCs/>
          <w:lang w:val="sr-Cyrl-CS"/>
        </w:rPr>
        <w:t>ПРОЦЕНА ИЗНОСА ФИНАНСИЈСКИХ СРЕДСТАВА ПОТРЕБНИХ ЗА   СПРОВОЂЕЊЕ ЗАКОНА</w:t>
      </w:r>
    </w:p>
    <w:p w:rsidR="00692046" w:rsidRPr="005038A0" w:rsidRDefault="00692046" w:rsidP="00A37D3D">
      <w:pPr>
        <w:jc w:val="both"/>
        <w:rPr>
          <w:lang w:val="sr-Cyrl-CS"/>
        </w:rPr>
      </w:pPr>
    </w:p>
    <w:p w:rsidR="00692046" w:rsidRPr="005038A0" w:rsidRDefault="00692046" w:rsidP="00A37D3D">
      <w:pPr>
        <w:jc w:val="both"/>
        <w:rPr>
          <w:lang w:val="sr-Cyrl-CS"/>
        </w:rPr>
      </w:pPr>
      <w:r w:rsidRPr="005038A0">
        <w:rPr>
          <w:lang w:val="sr-Cyrl-CS"/>
        </w:rPr>
        <w:tab/>
        <w:t>За спровођење овог закона обезбеђиваће се средства у буџету Републике Србије.</w:t>
      </w:r>
    </w:p>
    <w:p w:rsidR="00FA40D9" w:rsidRDefault="00FA40D9" w:rsidP="00A37D3D">
      <w:pPr>
        <w:jc w:val="both"/>
        <w:rPr>
          <w:lang w:val="sr-Cyrl-CS"/>
        </w:rPr>
      </w:pPr>
    </w:p>
    <w:p w:rsidR="00427A07" w:rsidRPr="005038A0" w:rsidRDefault="00427A07" w:rsidP="00A37D3D">
      <w:pPr>
        <w:jc w:val="both"/>
        <w:rPr>
          <w:lang w:val="sr-Cyrl-CS"/>
        </w:rPr>
      </w:pPr>
    </w:p>
    <w:sectPr w:rsidR="00427A07" w:rsidRPr="005038A0"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F6D" w:rsidRDefault="00787F6D">
      <w:r>
        <w:separator/>
      </w:r>
    </w:p>
  </w:endnote>
  <w:endnote w:type="continuationSeparator" w:id="0">
    <w:p w:rsidR="00787F6D" w:rsidRDefault="00787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938D0" w:rsidP="00774BEC">
    <w:pPr>
      <w:pStyle w:val="Foot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F6D" w:rsidRDefault="00787F6D">
      <w:r>
        <w:separator/>
      </w:r>
    </w:p>
  </w:footnote>
  <w:footnote w:type="continuationSeparator" w:id="0">
    <w:p w:rsidR="00787F6D" w:rsidRDefault="00787F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938D0" w:rsidP="00062F06">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938D0" w:rsidP="004A33F0">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separate"/>
    </w:r>
    <w:r w:rsidR="00BB2724">
      <w:rPr>
        <w:rStyle w:val="PageNumber"/>
        <w:noProof/>
      </w:rPr>
      <w:t>3</w:t>
    </w:r>
    <w:r>
      <w:rPr>
        <w:rStyle w:val="PageNumber"/>
      </w:rPr>
      <w:fldChar w:fldCharType="end"/>
    </w:r>
  </w:p>
  <w:p w:rsidR="00726477" w:rsidRDefault="007264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15:restartNumberingAfterBreak="0">
    <w:nsid w:val="2E802BF6"/>
    <w:multiLevelType w:val="hybridMultilevel"/>
    <w:tmpl w:val="E89C636C"/>
    <w:lvl w:ilvl="0" w:tplc="E294F4D4">
      <w:start w:val="1"/>
      <w:numFmt w:val="bullet"/>
      <w:lvlText w:val="-"/>
      <w:lvlJc w:val="left"/>
      <w:pPr>
        <w:ind w:left="1080" w:hanging="360"/>
      </w:pPr>
      <w:rPr>
        <w:rFonts w:ascii="Times New Roman" w:eastAsia="Batang"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024CFF"/>
    <w:multiLevelType w:val="hybridMultilevel"/>
    <w:tmpl w:val="DE46A94A"/>
    <w:lvl w:ilvl="0" w:tplc="903825BA">
      <w:numFmt w:val="bullet"/>
      <w:lvlText w:val="-"/>
      <w:lvlJc w:val="left"/>
      <w:pPr>
        <w:tabs>
          <w:tab w:val="num" w:pos="960"/>
        </w:tabs>
        <w:ind w:left="960" w:hanging="9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D21AC3"/>
    <w:multiLevelType w:val="hybridMultilevel"/>
    <w:tmpl w:val="A894A4F0"/>
    <w:lvl w:ilvl="0" w:tplc="DB5AB022">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D707B1"/>
    <w:multiLevelType w:val="hybridMultilevel"/>
    <w:tmpl w:val="31ACEDD0"/>
    <w:lvl w:ilvl="0" w:tplc="B59CBD2E">
      <w:numFmt w:val="bullet"/>
      <w:lvlText w:val="-"/>
      <w:lvlJc w:val="left"/>
      <w:pPr>
        <w:ind w:left="990" w:hanging="360"/>
      </w:pPr>
      <w:rPr>
        <w:rFonts w:ascii="Times New Roman" w:eastAsia="Calibri" w:hAnsi="Times New Roman" w:cs="Times New Roman" w:hint="default"/>
      </w:rPr>
    </w:lvl>
    <w:lvl w:ilvl="1" w:tplc="081A0003" w:tentative="1">
      <w:start w:val="1"/>
      <w:numFmt w:val="bullet"/>
      <w:lvlText w:val="o"/>
      <w:lvlJc w:val="left"/>
      <w:pPr>
        <w:ind w:left="1710" w:hanging="360"/>
      </w:pPr>
      <w:rPr>
        <w:rFonts w:ascii="Courier New" w:hAnsi="Courier New" w:cs="Courier New" w:hint="default"/>
      </w:rPr>
    </w:lvl>
    <w:lvl w:ilvl="2" w:tplc="081A0005" w:tentative="1">
      <w:start w:val="1"/>
      <w:numFmt w:val="bullet"/>
      <w:lvlText w:val=""/>
      <w:lvlJc w:val="left"/>
      <w:pPr>
        <w:ind w:left="2430" w:hanging="360"/>
      </w:pPr>
      <w:rPr>
        <w:rFonts w:ascii="Wingdings" w:hAnsi="Wingdings" w:hint="default"/>
      </w:rPr>
    </w:lvl>
    <w:lvl w:ilvl="3" w:tplc="081A0001" w:tentative="1">
      <w:start w:val="1"/>
      <w:numFmt w:val="bullet"/>
      <w:lvlText w:val=""/>
      <w:lvlJc w:val="left"/>
      <w:pPr>
        <w:ind w:left="3150" w:hanging="360"/>
      </w:pPr>
      <w:rPr>
        <w:rFonts w:ascii="Symbol" w:hAnsi="Symbol" w:hint="default"/>
      </w:rPr>
    </w:lvl>
    <w:lvl w:ilvl="4" w:tplc="081A0003" w:tentative="1">
      <w:start w:val="1"/>
      <w:numFmt w:val="bullet"/>
      <w:lvlText w:val="o"/>
      <w:lvlJc w:val="left"/>
      <w:pPr>
        <w:ind w:left="3870" w:hanging="360"/>
      </w:pPr>
      <w:rPr>
        <w:rFonts w:ascii="Courier New" w:hAnsi="Courier New" w:cs="Courier New" w:hint="default"/>
      </w:rPr>
    </w:lvl>
    <w:lvl w:ilvl="5" w:tplc="081A0005" w:tentative="1">
      <w:start w:val="1"/>
      <w:numFmt w:val="bullet"/>
      <w:lvlText w:val=""/>
      <w:lvlJc w:val="left"/>
      <w:pPr>
        <w:ind w:left="4590" w:hanging="360"/>
      </w:pPr>
      <w:rPr>
        <w:rFonts w:ascii="Wingdings" w:hAnsi="Wingdings" w:hint="default"/>
      </w:rPr>
    </w:lvl>
    <w:lvl w:ilvl="6" w:tplc="081A0001" w:tentative="1">
      <w:start w:val="1"/>
      <w:numFmt w:val="bullet"/>
      <w:lvlText w:val=""/>
      <w:lvlJc w:val="left"/>
      <w:pPr>
        <w:ind w:left="5310" w:hanging="360"/>
      </w:pPr>
      <w:rPr>
        <w:rFonts w:ascii="Symbol" w:hAnsi="Symbol" w:hint="default"/>
      </w:rPr>
    </w:lvl>
    <w:lvl w:ilvl="7" w:tplc="081A0003" w:tentative="1">
      <w:start w:val="1"/>
      <w:numFmt w:val="bullet"/>
      <w:lvlText w:val="o"/>
      <w:lvlJc w:val="left"/>
      <w:pPr>
        <w:ind w:left="6030" w:hanging="360"/>
      </w:pPr>
      <w:rPr>
        <w:rFonts w:ascii="Courier New" w:hAnsi="Courier New" w:cs="Courier New" w:hint="default"/>
      </w:rPr>
    </w:lvl>
    <w:lvl w:ilvl="8" w:tplc="081A0005" w:tentative="1">
      <w:start w:val="1"/>
      <w:numFmt w:val="bullet"/>
      <w:lvlText w:val=""/>
      <w:lvlJc w:val="left"/>
      <w:pPr>
        <w:ind w:left="6750" w:hanging="360"/>
      </w:pPr>
      <w:rPr>
        <w:rFonts w:ascii="Wingdings" w:hAnsi="Wingdings" w:hint="default"/>
      </w:rPr>
    </w:lvl>
  </w:abstractNum>
  <w:abstractNum w:abstractNumId="10"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CCA760B"/>
    <w:multiLevelType w:val="hybridMultilevel"/>
    <w:tmpl w:val="27CC2F14"/>
    <w:lvl w:ilvl="0" w:tplc="E63E5ABA">
      <w:start w:val="5"/>
      <w:numFmt w:val="bullet"/>
      <w:lvlText w:val="–"/>
      <w:lvlJc w:val="left"/>
      <w:pPr>
        <w:ind w:left="1068" w:hanging="360"/>
      </w:pPr>
      <w:rPr>
        <w:rFonts w:ascii="Times New Roman" w:eastAsia="SimSu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6D2853B0"/>
    <w:multiLevelType w:val="hybridMultilevel"/>
    <w:tmpl w:val="1B1C4D1E"/>
    <w:lvl w:ilvl="0" w:tplc="95AEDEBA">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4"/>
  </w:num>
  <w:num w:numId="6">
    <w:abstractNumId w:val="2"/>
  </w:num>
  <w:num w:numId="7">
    <w:abstractNumId w:val="7"/>
  </w:num>
  <w:num w:numId="8">
    <w:abstractNumId w:val="1"/>
  </w:num>
  <w:num w:numId="9">
    <w:abstractNumId w:val="6"/>
  </w:num>
  <w:num w:numId="10">
    <w:abstractNumId w:val="9"/>
  </w:num>
  <w:num w:numId="11">
    <w:abstractNumId w:val="3"/>
  </w:num>
  <w:num w:numId="12">
    <w:abstractNumId w:val="8"/>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25E17"/>
    <w:rsid w:val="0000623F"/>
    <w:rsid w:val="00020FCC"/>
    <w:rsid w:val="00032B9A"/>
    <w:rsid w:val="000437FA"/>
    <w:rsid w:val="00053953"/>
    <w:rsid w:val="00062F06"/>
    <w:rsid w:val="00063735"/>
    <w:rsid w:val="00064108"/>
    <w:rsid w:val="00073E3C"/>
    <w:rsid w:val="000771C8"/>
    <w:rsid w:val="00081E8A"/>
    <w:rsid w:val="000821BE"/>
    <w:rsid w:val="000828FE"/>
    <w:rsid w:val="0008372F"/>
    <w:rsid w:val="000934C3"/>
    <w:rsid w:val="0009350A"/>
    <w:rsid w:val="000A0D8B"/>
    <w:rsid w:val="000A50DC"/>
    <w:rsid w:val="000B0459"/>
    <w:rsid w:val="000B433B"/>
    <w:rsid w:val="000B4E48"/>
    <w:rsid w:val="000B53A9"/>
    <w:rsid w:val="000B5749"/>
    <w:rsid w:val="000C1F4C"/>
    <w:rsid w:val="000C4E82"/>
    <w:rsid w:val="000C624C"/>
    <w:rsid w:val="000E05B7"/>
    <w:rsid w:val="00103B05"/>
    <w:rsid w:val="00113ACC"/>
    <w:rsid w:val="00115F04"/>
    <w:rsid w:val="00117CB4"/>
    <w:rsid w:val="00126325"/>
    <w:rsid w:val="001417E0"/>
    <w:rsid w:val="00144767"/>
    <w:rsid w:val="00147749"/>
    <w:rsid w:val="00153626"/>
    <w:rsid w:val="001667F5"/>
    <w:rsid w:val="001938D0"/>
    <w:rsid w:val="001A3B02"/>
    <w:rsid w:val="001A7148"/>
    <w:rsid w:val="001A77EC"/>
    <w:rsid w:val="001B0831"/>
    <w:rsid w:val="001B66FD"/>
    <w:rsid w:val="001C546D"/>
    <w:rsid w:val="001C5E2D"/>
    <w:rsid w:val="001E1C8B"/>
    <w:rsid w:val="001E418E"/>
    <w:rsid w:val="001E57EF"/>
    <w:rsid w:val="001E7107"/>
    <w:rsid w:val="001E7301"/>
    <w:rsid w:val="001F1228"/>
    <w:rsid w:val="001F52BB"/>
    <w:rsid w:val="001F7148"/>
    <w:rsid w:val="00204A89"/>
    <w:rsid w:val="002052E3"/>
    <w:rsid w:val="00241C0E"/>
    <w:rsid w:val="00243DD8"/>
    <w:rsid w:val="002451DF"/>
    <w:rsid w:val="00253453"/>
    <w:rsid w:val="00255BA5"/>
    <w:rsid w:val="0025659C"/>
    <w:rsid w:val="0025742D"/>
    <w:rsid w:val="00272201"/>
    <w:rsid w:val="00280305"/>
    <w:rsid w:val="00284188"/>
    <w:rsid w:val="00286C70"/>
    <w:rsid w:val="00291078"/>
    <w:rsid w:val="002912F5"/>
    <w:rsid w:val="002A19F2"/>
    <w:rsid w:val="002B3B77"/>
    <w:rsid w:val="002B468F"/>
    <w:rsid w:val="002C0EF5"/>
    <w:rsid w:val="002C140C"/>
    <w:rsid w:val="002F1750"/>
    <w:rsid w:val="0030234C"/>
    <w:rsid w:val="00316AB7"/>
    <w:rsid w:val="00322E59"/>
    <w:rsid w:val="00336CD2"/>
    <w:rsid w:val="00343088"/>
    <w:rsid w:val="00343D47"/>
    <w:rsid w:val="00344F7E"/>
    <w:rsid w:val="00356442"/>
    <w:rsid w:val="0035699D"/>
    <w:rsid w:val="003627B1"/>
    <w:rsid w:val="0036351A"/>
    <w:rsid w:val="00375309"/>
    <w:rsid w:val="0037575B"/>
    <w:rsid w:val="0038219E"/>
    <w:rsid w:val="00382719"/>
    <w:rsid w:val="00382C30"/>
    <w:rsid w:val="00384EA3"/>
    <w:rsid w:val="00387AD2"/>
    <w:rsid w:val="003B34BB"/>
    <w:rsid w:val="003B4A92"/>
    <w:rsid w:val="003B52EA"/>
    <w:rsid w:val="003C0CD0"/>
    <w:rsid w:val="003C2142"/>
    <w:rsid w:val="003E0A5A"/>
    <w:rsid w:val="003E6854"/>
    <w:rsid w:val="003E6BA6"/>
    <w:rsid w:val="003F7B23"/>
    <w:rsid w:val="0040226C"/>
    <w:rsid w:val="00423BF8"/>
    <w:rsid w:val="00427A07"/>
    <w:rsid w:val="00445EA7"/>
    <w:rsid w:val="00452464"/>
    <w:rsid w:val="00470AE5"/>
    <w:rsid w:val="00475346"/>
    <w:rsid w:val="00475C98"/>
    <w:rsid w:val="00481EDB"/>
    <w:rsid w:val="00485D86"/>
    <w:rsid w:val="004A33F0"/>
    <w:rsid w:val="004A3461"/>
    <w:rsid w:val="004B0478"/>
    <w:rsid w:val="004B4959"/>
    <w:rsid w:val="004B74C6"/>
    <w:rsid w:val="004C5540"/>
    <w:rsid w:val="004E3B5A"/>
    <w:rsid w:val="004E689B"/>
    <w:rsid w:val="004F5575"/>
    <w:rsid w:val="005038A0"/>
    <w:rsid w:val="005038FB"/>
    <w:rsid w:val="00505712"/>
    <w:rsid w:val="00507384"/>
    <w:rsid w:val="00507842"/>
    <w:rsid w:val="00525E17"/>
    <w:rsid w:val="00526BD0"/>
    <w:rsid w:val="00534BAD"/>
    <w:rsid w:val="00542F03"/>
    <w:rsid w:val="00543111"/>
    <w:rsid w:val="0056231B"/>
    <w:rsid w:val="00562EF5"/>
    <w:rsid w:val="00564468"/>
    <w:rsid w:val="005667F8"/>
    <w:rsid w:val="005759C0"/>
    <w:rsid w:val="00584A3D"/>
    <w:rsid w:val="00590734"/>
    <w:rsid w:val="005937ED"/>
    <w:rsid w:val="00596B97"/>
    <w:rsid w:val="005B7034"/>
    <w:rsid w:val="005B78AF"/>
    <w:rsid w:val="005C0446"/>
    <w:rsid w:val="005C39E1"/>
    <w:rsid w:val="005C442E"/>
    <w:rsid w:val="005C62A0"/>
    <w:rsid w:val="005D0A0B"/>
    <w:rsid w:val="005D4E8E"/>
    <w:rsid w:val="005F3A87"/>
    <w:rsid w:val="005F7752"/>
    <w:rsid w:val="00604F72"/>
    <w:rsid w:val="00606517"/>
    <w:rsid w:val="00612F27"/>
    <w:rsid w:val="006130E2"/>
    <w:rsid w:val="00621F25"/>
    <w:rsid w:val="00624117"/>
    <w:rsid w:val="00624FFB"/>
    <w:rsid w:val="0064720E"/>
    <w:rsid w:val="00654444"/>
    <w:rsid w:val="006610A8"/>
    <w:rsid w:val="006655D8"/>
    <w:rsid w:val="006767ED"/>
    <w:rsid w:val="0069053B"/>
    <w:rsid w:val="00692046"/>
    <w:rsid w:val="0069359B"/>
    <w:rsid w:val="006941D5"/>
    <w:rsid w:val="006961E3"/>
    <w:rsid w:val="006B2DE0"/>
    <w:rsid w:val="006B3D26"/>
    <w:rsid w:val="006B4040"/>
    <w:rsid w:val="006B6E0D"/>
    <w:rsid w:val="006C0CB7"/>
    <w:rsid w:val="006C671B"/>
    <w:rsid w:val="006C6834"/>
    <w:rsid w:val="006D1429"/>
    <w:rsid w:val="006E2373"/>
    <w:rsid w:val="006E3BFE"/>
    <w:rsid w:val="006F005C"/>
    <w:rsid w:val="006F0436"/>
    <w:rsid w:val="006F1D87"/>
    <w:rsid w:val="006F412B"/>
    <w:rsid w:val="0070299B"/>
    <w:rsid w:val="007064E3"/>
    <w:rsid w:val="0071651A"/>
    <w:rsid w:val="007173D8"/>
    <w:rsid w:val="0072050A"/>
    <w:rsid w:val="00723279"/>
    <w:rsid w:val="0072640A"/>
    <w:rsid w:val="00726477"/>
    <w:rsid w:val="00740858"/>
    <w:rsid w:val="00746BDE"/>
    <w:rsid w:val="00756EEE"/>
    <w:rsid w:val="00757A2E"/>
    <w:rsid w:val="007603E0"/>
    <w:rsid w:val="00773832"/>
    <w:rsid w:val="00774BEC"/>
    <w:rsid w:val="007769D6"/>
    <w:rsid w:val="007831CB"/>
    <w:rsid w:val="00787F6D"/>
    <w:rsid w:val="00790D84"/>
    <w:rsid w:val="00792FB6"/>
    <w:rsid w:val="00796DC0"/>
    <w:rsid w:val="007A1385"/>
    <w:rsid w:val="007A6987"/>
    <w:rsid w:val="007B14FA"/>
    <w:rsid w:val="007C3802"/>
    <w:rsid w:val="007C5ECC"/>
    <w:rsid w:val="007D3CBB"/>
    <w:rsid w:val="007D53F6"/>
    <w:rsid w:val="007F45DA"/>
    <w:rsid w:val="007F76C7"/>
    <w:rsid w:val="00812742"/>
    <w:rsid w:val="00816A77"/>
    <w:rsid w:val="00824570"/>
    <w:rsid w:val="0082735B"/>
    <w:rsid w:val="00836B68"/>
    <w:rsid w:val="00845874"/>
    <w:rsid w:val="00860400"/>
    <w:rsid w:val="008604C6"/>
    <w:rsid w:val="00862E50"/>
    <w:rsid w:val="00864A3D"/>
    <w:rsid w:val="008652F7"/>
    <w:rsid w:val="00866F6D"/>
    <w:rsid w:val="00874CB0"/>
    <w:rsid w:val="00887ECE"/>
    <w:rsid w:val="00890B04"/>
    <w:rsid w:val="00890DFB"/>
    <w:rsid w:val="0089793E"/>
    <w:rsid w:val="008A2893"/>
    <w:rsid w:val="008A5900"/>
    <w:rsid w:val="008B3877"/>
    <w:rsid w:val="008B4ED3"/>
    <w:rsid w:val="008B4F87"/>
    <w:rsid w:val="008C220C"/>
    <w:rsid w:val="008C39C2"/>
    <w:rsid w:val="008C45A6"/>
    <w:rsid w:val="008D29F9"/>
    <w:rsid w:val="008F15A3"/>
    <w:rsid w:val="008F54A3"/>
    <w:rsid w:val="008F79A8"/>
    <w:rsid w:val="00902EE5"/>
    <w:rsid w:val="0090601F"/>
    <w:rsid w:val="009142C3"/>
    <w:rsid w:val="00923785"/>
    <w:rsid w:val="009327F0"/>
    <w:rsid w:val="009333FB"/>
    <w:rsid w:val="00933B8D"/>
    <w:rsid w:val="00935EEF"/>
    <w:rsid w:val="0094174E"/>
    <w:rsid w:val="00947089"/>
    <w:rsid w:val="00947F14"/>
    <w:rsid w:val="0095097B"/>
    <w:rsid w:val="009641FC"/>
    <w:rsid w:val="0096620B"/>
    <w:rsid w:val="00966D91"/>
    <w:rsid w:val="0097521F"/>
    <w:rsid w:val="009811A0"/>
    <w:rsid w:val="0099088A"/>
    <w:rsid w:val="009A781A"/>
    <w:rsid w:val="009B3000"/>
    <w:rsid w:val="009C0011"/>
    <w:rsid w:val="009C0876"/>
    <w:rsid w:val="009C535A"/>
    <w:rsid w:val="009D1A3E"/>
    <w:rsid w:val="009E43BE"/>
    <w:rsid w:val="009E62DB"/>
    <w:rsid w:val="009E66D1"/>
    <w:rsid w:val="009E6D0B"/>
    <w:rsid w:val="009F0496"/>
    <w:rsid w:val="009F310E"/>
    <w:rsid w:val="00A037E5"/>
    <w:rsid w:val="00A054F7"/>
    <w:rsid w:val="00A1714E"/>
    <w:rsid w:val="00A218FF"/>
    <w:rsid w:val="00A24C0E"/>
    <w:rsid w:val="00A32081"/>
    <w:rsid w:val="00A36EB5"/>
    <w:rsid w:val="00A37D3D"/>
    <w:rsid w:val="00A56DC0"/>
    <w:rsid w:val="00A66499"/>
    <w:rsid w:val="00A67B90"/>
    <w:rsid w:val="00A77C1B"/>
    <w:rsid w:val="00A91491"/>
    <w:rsid w:val="00AA5172"/>
    <w:rsid w:val="00AA5E8B"/>
    <w:rsid w:val="00AA7FD3"/>
    <w:rsid w:val="00AB0889"/>
    <w:rsid w:val="00AB09A7"/>
    <w:rsid w:val="00AB1D87"/>
    <w:rsid w:val="00AC23DB"/>
    <w:rsid w:val="00AC319E"/>
    <w:rsid w:val="00AC6967"/>
    <w:rsid w:val="00AC6E28"/>
    <w:rsid w:val="00AD2A88"/>
    <w:rsid w:val="00AF05CC"/>
    <w:rsid w:val="00AF7D76"/>
    <w:rsid w:val="00B01134"/>
    <w:rsid w:val="00B0221D"/>
    <w:rsid w:val="00B11D1A"/>
    <w:rsid w:val="00B12106"/>
    <w:rsid w:val="00B15893"/>
    <w:rsid w:val="00B207D5"/>
    <w:rsid w:val="00B236F6"/>
    <w:rsid w:val="00B31EEB"/>
    <w:rsid w:val="00B41779"/>
    <w:rsid w:val="00B41E3D"/>
    <w:rsid w:val="00B50F49"/>
    <w:rsid w:val="00B54EA5"/>
    <w:rsid w:val="00B6096C"/>
    <w:rsid w:val="00B66801"/>
    <w:rsid w:val="00B8231A"/>
    <w:rsid w:val="00B8286E"/>
    <w:rsid w:val="00B82F86"/>
    <w:rsid w:val="00B92820"/>
    <w:rsid w:val="00BA558F"/>
    <w:rsid w:val="00BA5836"/>
    <w:rsid w:val="00BB2724"/>
    <w:rsid w:val="00BC462E"/>
    <w:rsid w:val="00BC52C4"/>
    <w:rsid w:val="00BE4ADF"/>
    <w:rsid w:val="00BE5DE1"/>
    <w:rsid w:val="00BF1E3A"/>
    <w:rsid w:val="00BF6BB4"/>
    <w:rsid w:val="00C055BD"/>
    <w:rsid w:val="00C14179"/>
    <w:rsid w:val="00C161E1"/>
    <w:rsid w:val="00C21708"/>
    <w:rsid w:val="00C454A1"/>
    <w:rsid w:val="00C574E3"/>
    <w:rsid w:val="00C60AEB"/>
    <w:rsid w:val="00C645D8"/>
    <w:rsid w:val="00C661C9"/>
    <w:rsid w:val="00C713DE"/>
    <w:rsid w:val="00C72296"/>
    <w:rsid w:val="00C8159D"/>
    <w:rsid w:val="00C8376C"/>
    <w:rsid w:val="00C847B1"/>
    <w:rsid w:val="00C90848"/>
    <w:rsid w:val="00C92DDC"/>
    <w:rsid w:val="00C95A13"/>
    <w:rsid w:val="00CB0050"/>
    <w:rsid w:val="00CB11E2"/>
    <w:rsid w:val="00CB1589"/>
    <w:rsid w:val="00CB387A"/>
    <w:rsid w:val="00CC41C3"/>
    <w:rsid w:val="00CF1B02"/>
    <w:rsid w:val="00D01EB5"/>
    <w:rsid w:val="00D055F0"/>
    <w:rsid w:val="00D06244"/>
    <w:rsid w:val="00D07955"/>
    <w:rsid w:val="00D14908"/>
    <w:rsid w:val="00D244E6"/>
    <w:rsid w:val="00D324C9"/>
    <w:rsid w:val="00D57EE4"/>
    <w:rsid w:val="00D60D13"/>
    <w:rsid w:val="00D710B0"/>
    <w:rsid w:val="00D7163A"/>
    <w:rsid w:val="00D71C65"/>
    <w:rsid w:val="00D724E0"/>
    <w:rsid w:val="00D77EA7"/>
    <w:rsid w:val="00D809EF"/>
    <w:rsid w:val="00DA3A35"/>
    <w:rsid w:val="00DD4B60"/>
    <w:rsid w:val="00DD71DE"/>
    <w:rsid w:val="00DE046C"/>
    <w:rsid w:val="00DE3BDE"/>
    <w:rsid w:val="00DF2E0D"/>
    <w:rsid w:val="00DF2F34"/>
    <w:rsid w:val="00DF3348"/>
    <w:rsid w:val="00E05F2F"/>
    <w:rsid w:val="00E12AB8"/>
    <w:rsid w:val="00E17F77"/>
    <w:rsid w:val="00E219CE"/>
    <w:rsid w:val="00E2660E"/>
    <w:rsid w:val="00E3026C"/>
    <w:rsid w:val="00E40475"/>
    <w:rsid w:val="00E45A97"/>
    <w:rsid w:val="00E45C01"/>
    <w:rsid w:val="00E64495"/>
    <w:rsid w:val="00E77BF9"/>
    <w:rsid w:val="00E80D89"/>
    <w:rsid w:val="00E80F05"/>
    <w:rsid w:val="00E8335C"/>
    <w:rsid w:val="00E85949"/>
    <w:rsid w:val="00E8762A"/>
    <w:rsid w:val="00E92AE5"/>
    <w:rsid w:val="00E93238"/>
    <w:rsid w:val="00EA60E5"/>
    <w:rsid w:val="00EC2CAE"/>
    <w:rsid w:val="00EC61DD"/>
    <w:rsid w:val="00EE585F"/>
    <w:rsid w:val="00EE6B63"/>
    <w:rsid w:val="00EF692F"/>
    <w:rsid w:val="00EF6FF3"/>
    <w:rsid w:val="00EF7238"/>
    <w:rsid w:val="00F01185"/>
    <w:rsid w:val="00F05D4B"/>
    <w:rsid w:val="00F332F8"/>
    <w:rsid w:val="00F40184"/>
    <w:rsid w:val="00F56DA4"/>
    <w:rsid w:val="00F62120"/>
    <w:rsid w:val="00F765C6"/>
    <w:rsid w:val="00F84AFF"/>
    <w:rsid w:val="00F86715"/>
    <w:rsid w:val="00F90C89"/>
    <w:rsid w:val="00F9386E"/>
    <w:rsid w:val="00FA2F95"/>
    <w:rsid w:val="00FA40D9"/>
    <w:rsid w:val="00FC1322"/>
    <w:rsid w:val="00FC42E6"/>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7B733F"/>
  <w15:docId w15:val="{7B20635E-F6C4-407C-8E87-0BA27B46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link w:val="BodyTextIndent2Char"/>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34"/>
    <w:qFormat/>
    <w:rsid w:val="00DA3A35"/>
    <w:pPr>
      <w:ind w:left="720"/>
      <w:contextualSpacing/>
    </w:pPr>
  </w:style>
  <w:style w:type="character" w:customStyle="1" w:styleId="BodyTextIndent2Char">
    <w:name w:val="Body Text Indent 2 Char"/>
    <w:link w:val="BodyTextIndent2"/>
    <w:rsid w:val="006767ED"/>
    <w:rPr>
      <w:bCs/>
      <w:sz w:val="24"/>
      <w:szCs w:val="24"/>
      <w:lang w:val="sr-Cyrl-CS"/>
    </w:rPr>
  </w:style>
  <w:style w:type="character" w:styleId="Hyperlink">
    <w:name w:val="Hyperlink"/>
    <w:uiPriority w:val="99"/>
    <w:rsid w:val="009F310E"/>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Jovana Jovic</cp:lastModifiedBy>
  <cp:revision>6</cp:revision>
  <cp:lastPrinted>2016-11-15T09:05:00Z</cp:lastPrinted>
  <dcterms:created xsi:type="dcterms:W3CDTF">2019-05-07T09:38:00Z</dcterms:created>
  <dcterms:modified xsi:type="dcterms:W3CDTF">2019-10-17T09:38:00Z</dcterms:modified>
</cp:coreProperties>
</file>