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B63" w:rsidRPr="007709F2" w:rsidRDefault="002E7B63" w:rsidP="002E7B6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7B63" w:rsidRPr="00BE2581" w:rsidRDefault="002E7B63" w:rsidP="002E7B63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C13000"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</w:p>
    <w:p w:rsidR="00C13000" w:rsidRPr="00BE2581" w:rsidRDefault="00C13000" w:rsidP="00C13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</w:t>
      </w:r>
    </w:p>
    <w:p w:rsidR="00C13000" w:rsidRPr="00BE2581" w:rsidRDefault="00C13000" w:rsidP="00C13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ЗАКОНА О ПОРЕЗИМА НА УПОТРЕБУ, ДРЖАЊЕ И НОШЕЊЕ ДОБАРА</w:t>
      </w:r>
    </w:p>
    <w:p w:rsidR="00C13000" w:rsidRPr="00BE2581" w:rsidRDefault="00C13000" w:rsidP="00DF45E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E7B63" w:rsidRPr="00BE2581" w:rsidRDefault="002E7B63" w:rsidP="00DF45E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000" w:rsidRPr="00BE2581" w:rsidRDefault="00C13000" w:rsidP="00C13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C13000" w:rsidRPr="00BE2581" w:rsidRDefault="00C13000" w:rsidP="0085722E">
      <w:pPr>
        <w:spacing w:after="0" w:line="240" w:lineRule="auto"/>
        <w:ind w:firstLine="567"/>
        <w:jc w:val="both"/>
        <w:rPr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BE258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Закону 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о порезима на употребу, држање и ношење добара 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(„Службени гласник РС”,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26/01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80/02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43/04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132/04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112/05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114/06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118/07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114/08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31/09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106/09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95/10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101/10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24/11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100/11</w:t>
      </w:r>
      <w:r w:rsidR="00F47B07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120/12, 113/13, 68/14-</w:t>
      </w:r>
      <w:r w:rsidR="00F47B07" w:rsidRPr="00BE2581">
        <w:rPr>
          <w:rStyle w:val="trs2"/>
          <w:rFonts w:ascii="Times New Roman" w:hAnsi="Times New Roman" w:cs="Times New Roman"/>
          <w:sz w:val="24"/>
          <w:szCs w:val="24"/>
          <w:lang w:val="sr-Cyrl-CS"/>
        </w:rPr>
        <w:t xml:space="preserve">др. закон, </w:t>
      </w:r>
      <w:r w:rsidR="00F47B07" w:rsidRPr="00BE2581">
        <w:rPr>
          <w:rFonts w:ascii="Times New Roman" w:hAnsi="Times New Roman" w:cs="Times New Roman"/>
          <w:sz w:val="24"/>
          <w:szCs w:val="24"/>
          <w:lang w:val="sr-Cyrl-CS"/>
        </w:rPr>
        <w:t>140/14, 109/15, 112/15, 105/16, 119/17 и 104/18)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, у 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члану 5. став 1. тачка 6) после речи: „електрични” додај</w:t>
      </w:r>
      <w:r w:rsidR="007801B5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се запета и речи: „односно чији је један од погона електрични (хибридна возила)”</w:t>
      </w:r>
      <w:r w:rsidR="00DF45E1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C13000" w:rsidRPr="00BE2581" w:rsidRDefault="00C13000" w:rsidP="00C13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3000" w:rsidRPr="00BE2581" w:rsidRDefault="00C13000" w:rsidP="00C13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85722E" w:rsidRPr="00BE258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C303D" w:rsidRPr="00BE2581" w:rsidRDefault="00C13000" w:rsidP="005C303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члану 5б став 1. реч</w:t>
      </w:r>
      <w:r w:rsidR="005C303D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: </w:t>
      </w:r>
      <w:r w:rsidR="005C303D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„уплатни рачун” замењују се речима: „рачун за уплату”.</w:t>
      </w:r>
    </w:p>
    <w:p w:rsidR="009935DF" w:rsidRPr="00BE2581" w:rsidRDefault="009935DF" w:rsidP="00FB3BE9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:rsidR="00C13000" w:rsidRPr="00BE2581" w:rsidRDefault="00C13000" w:rsidP="00C13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85722E" w:rsidRPr="00BE258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3000" w:rsidRPr="00BE2581" w:rsidRDefault="00C13000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После члана 15а додаје се члан 15б</w:t>
      </w:r>
      <w:r w:rsidR="00CC410D" w:rsidRPr="00BE2581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:rsidR="002F5E1D" w:rsidRPr="00BE2581" w:rsidRDefault="002F5E1D" w:rsidP="002F5E1D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</w:p>
    <w:p w:rsidR="002F5E1D" w:rsidRPr="00BE2581" w:rsidRDefault="00C13000" w:rsidP="002F5E1D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„</w:t>
      </w:r>
      <w:r w:rsidR="002F5E1D" w:rsidRPr="00BE2581">
        <w:rPr>
          <w:color w:val="000000" w:themeColor="text1"/>
          <w:lang w:val="sr-Cyrl-CS"/>
        </w:rPr>
        <w:t>Члан 15б</w:t>
      </w:r>
    </w:p>
    <w:p w:rsidR="00C13000" w:rsidRPr="00BE2581" w:rsidRDefault="00C13000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lang w:val="sr-Cyrl-CS"/>
        </w:rPr>
      </w:pPr>
      <w:r w:rsidRPr="00BE2581">
        <w:rPr>
          <w:color w:val="000000" w:themeColor="text1"/>
          <w:lang w:val="sr-Cyrl-CS"/>
        </w:rPr>
        <w:t>Порез на употребу пловила не плаћа се на пловила за кој</w:t>
      </w:r>
      <w:r w:rsidR="0043119B" w:rsidRPr="00BE2581">
        <w:rPr>
          <w:color w:val="000000" w:themeColor="text1"/>
          <w:lang w:val="sr-Cyrl-CS"/>
        </w:rPr>
        <w:t>a</w:t>
      </w:r>
      <w:r w:rsidRPr="00BE2581">
        <w:rPr>
          <w:color w:val="000000" w:themeColor="text1"/>
          <w:lang w:val="sr-Cyrl-CS"/>
        </w:rPr>
        <w:t xml:space="preserve"> је обвезник пореза министарство надлежно за унутрашње послове.” </w:t>
      </w:r>
    </w:p>
    <w:p w:rsidR="00C13000" w:rsidRPr="00BE2581" w:rsidRDefault="00C13000" w:rsidP="00C13000">
      <w:pPr>
        <w:tabs>
          <w:tab w:val="left" w:pos="720"/>
        </w:tabs>
        <w:spacing w:after="0" w:line="240" w:lineRule="auto"/>
        <w:jc w:val="both"/>
        <w:rPr>
          <w:sz w:val="24"/>
          <w:szCs w:val="24"/>
          <w:lang w:val="sr-Cyrl-CS"/>
        </w:rPr>
      </w:pPr>
    </w:p>
    <w:p w:rsidR="00C13000" w:rsidRPr="00BE2581" w:rsidRDefault="0085722E" w:rsidP="00DF45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C13000"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13000" w:rsidRPr="00BE2581" w:rsidRDefault="00C13000" w:rsidP="00B74DF9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члану 21. тачка 3) мења се и гласи:</w:t>
      </w:r>
    </w:p>
    <w:p w:rsidR="00C13000" w:rsidRPr="00BE2581" w:rsidRDefault="00C13000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3) оружје за личну безбедност категорије </w:t>
      </w:r>
      <w:r w:rsidR="00CC410D"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Б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”</w:t>
      </w:r>
    </w:p>
    <w:p w:rsidR="00C13000" w:rsidRPr="00BE2581" w:rsidRDefault="00C13000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Додаје се став 2</w:t>
      </w:r>
      <w:r w:rsidR="00CC410D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 гласи</w:t>
      </w:r>
      <w:r w:rsidR="00DF45E1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:</w:t>
      </w:r>
    </w:p>
    <w:p w:rsidR="00C13000" w:rsidRPr="00BE2581" w:rsidRDefault="00994E79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„Регистровано оружје, у смислу става 1. овог члана, јесте оружје за које је надлежни орган издао исправу</w:t>
      </w:r>
      <w:r w:rsidR="004273A9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(оружни лист, односно дозволу 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 сл.) за држање, или за држање и ношење оружја, или за ношење оружја, у складу са законом којим се уређују оружје и муниција, односно исправу у складу са законом који је важио до дана почетка примене закона којим се уређују оружје и муниција чија важност није престала.”</w:t>
      </w:r>
    </w:p>
    <w:p w:rsidR="00C13000" w:rsidRPr="00BE2581" w:rsidRDefault="00C13000" w:rsidP="00C13000">
      <w:pPr>
        <w:spacing w:after="0" w:line="240" w:lineRule="auto"/>
        <w:jc w:val="both"/>
        <w:rPr>
          <w:color w:val="000000" w:themeColor="text1"/>
          <w:sz w:val="24"/>
          <w:szCs w:val="24"/>
          <w:lang w:val="sr-Cyrl-CS"/>
        </w:rPr>
      </w:pPr>
      <w:bookmarkStart w:id="0" w:name="c0022"/>
      <w:bookmarkEnd w:id="0"/>
      <w:r w:rsidRPr="00BE2581">
        <w:rPr>
          <w:color w:val="000000" w:themeColor="text1"/>
          <w:sz w:val="24"/>
          <w:szCs w:val="24"/>
          <w:lang w:val="sr-Cyrl-CS"/>
        </w:rPr>
        <w:tab/>
      </w:r>
    </w:p>
    <w:p w:rsidR="00994E79" w:rsidRPr="00BE2581" w:rsidRDefault="00994E79" w:rsidP="00994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74DF9" w:rsidRPr="00BE258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94E79" w:rsidRPr="00BE2581" w:rsidRDefault="00994E79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лан 22. мења се и гласи:</w:t>
      </w:r>
    </w:p>
    <w:p w:rsidR="002F5E1D" w:rsidRPr="00BE2581" w:rsidRDefault="002F5E1D" w:rsidP="002F5E1D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</w:p>
    <w:p w:rsidR="002F5E1D" w:rsidRPr="00BE2581" w:rsidRDefault="00994E79" w:rsidP="002F5E1D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„</w:t>
      </w:r>
      <w:r w:rsidR="002F5E1D" w:rsidRPr="00BE2581">
        <w:rPr>
          <w:color w:val="000000" w:themeColor="text1"/>
          <w:lang w:val="sr-Cyrl-CS"/>
        </w:rPr>
        <w:t>Члан 22.</w:t>
      </w:r>
    </w:p>
    <w:p w:rsidR="00994E79" w:rsidRPr="00BE2581" w:rsidRDefault="00994E79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 xml:space="preserve">Обавеза плаћања пореза на регистровано оружје настаје даном </w:t>
      </w:r>
      <w:r w:rsidRPr="00BE2581">
        <w:rPr>
          <w:bCs/>
          <w:color w:val="000000" w:themeColor="text1"/>
          <w:lang w:val="sr-Cyrl-CS"/>
        </w:rPr>
        <w:t>регистрације оружја из</w:t>
      </w:r>
      <w:r w:rsidRPr="00BE2581">
        <w:rPr>
          <w:rStyle w:val="apple-converted-space"/>
          <w:rFonts w:eastAsiaTheme="majorEastAsia"/>
          <w:bCs/>
          <w:color w:val="000000" w:themeColor="text1"/>
          <w:lang w:val="sr-Cyrl-CS"/>
        </w:rPr>
        <w:t> </w:t>
      </w:r>
      <w:r w:rsidRPr="00BE2581">
        <w:rPr>
          <w:bCs/>
          <w:lang w:val="sr-Cyrl-CS"/>
        </w:rPr>
        <w:t>члана 21.</w:t>
      </w:r>
      <w:r w:rsidRPr="00BE2581">
        <w:rPr>
          <w:rStyle w:val="apple-converted-space"/>
          <w:rFonts w:eastAsiaTheme="majorEastAsia"/>
          <w:bCs/>
          <w:color w:val="000000" w:themeColor="text1"/>
          <w:lang w:val="sr-Cyrl-CS"/>
        </w:rPr>
        <w:t> </w:t>
      </w:r>
      <w:r w:rsidRPr="00BE2581">
        <w:rPr>
          <w:bCs/>
          <w:color w:val="000000" w:themeColor="text1"/>
          <w:lang w:val="sr-Cyrl-CS"/>
        </w:rPr>
        <w:t>овог закона</w:t>
      </w:r>
      <w:r w:rsidRPr="00BE2581">
        <w:rPr>
          <w:color w:val="000000" w:themeColor="text1"/>
          <w:lang w:val="sr-Cyrl-CS"/>
        </w:rPr>
        <w:t>.”</w:t>
      </w:r>
    </w:p>
    <w:p w:rsidR="00994E79" w:rsidRPr="00BE2581" w:rsidRDefault="00994E79" w:rsidP="00C13000">
      <w:pPr>
        <w:tabs>
          <w:tab w:val="left" w:pos="720"/>
        </w:tabs>
        <w:spacing w:after="0" w:line="240" w:lineRule="auto"/>
        <w:jc w:val="both"/>
        <w:rPr>
          <w:sz w:val="24"/>
          <w:szCs w:val="24"/>
          <w:lang w:val="sr-Cyrl-CS"/>
        </w:rPr>
      </w:pPr>
    </w:p>
    <w:p w:rsidR="00994E79" w:rsidRPr="00BE2581" w:rsidRDefault="00994E79" w:rsidP="00994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74DF9" w:rsidRPr="00BE258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94E79" w:rsidRPr="00BE2581" w:rsidRDefault="00994E79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лан 23. мења се и гласи:</w:t>
      </w:r>
    </w:p>
    <w:p w:rsidR="002F5E1D" w:rsidRPr="00BE2581" w:rsidRDefault="002F5E1D" w:rsidP="002F5E1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val="sr-Cyrl-CS"/>
        </w:rPr>
      </w:pPr>
    </w:p>
    <w:p w:rsidR="002F5E1D" w:rsidRPr="00BE2581" w:rsidRDefault="00994E79" w:rsidP="002F5E1D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„</w:t>
      </w:r>
      <w:r w:rsidR="002F5E1D" w:rsidRPr="00BE2581">
        <w:rPr>
          <w:color w:val="000000" w:themeColor="text1"/>
          <w:lang w:val="sr-Cyrl-CS"/>
        </w:rPr>
        <w:t>Члан 23.</w:t>
      </w:r>
    </w:p>
    <w:p w:rsidR="00994E79" w:rsidRPr="00BE2581" w:rsidRDefault="00994E79" w:rsidP="002F5E1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Обвезник пореза на регистровано оружје је лице на које гласи исправа за држање, односно исправа за држање и ношење, односно исправа за ношење оружја, из члана 21. став 2. овог закона.</w:t>
      </w:r>
      <w:r w:rsidRPr="00BE2581">
        <w:rPr>
          <w:color w:val="000000" w:themeColor="text1"/>
          <w:lang w:val="sr-Cyrl-CS"/>
        </w:rPr>
        <w:t>”</w:t>
      </w:r>
    </w:p>
    <w:p w:rsidR="002E7B63" w:rsidRPr="00BE2581" w:rsidRDefault="002E7B63" w:rsidP="002F5E1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</w:p>
    <w:p w:rsidR="002E7B63" w:rsidRPr="00BE2581" w:rsidRDefault="002E7B63" w:rsidP="002F5E1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</w:p>
    <w:p w:rsidR="002E7B63" w:rsidRPr="00BE2581" w:rsidRDefault="002E7B63" w:rsidP="002F5E1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</w:p>
    <w:p w:rsidR="002E7B63" w:rsidRPr="00BE2581" w:rsidRDefault="002E7B63" w:rsidP="002F5E1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</w:p>
    <w:p w:rsidR="00994E79" w:rsidRPr="00BE2581" w:rsidRDefault="00994E79" w:rsidP="00994E79">
      <w:pPr>
        <w:tabs>
          <w:tab w:val="left" w:pos="720"/>
        </w:tabs>
        <w:spacing w:after="0" w:line="240" w:lineRule="auto"/>
        <w:jc w:val="both"/>
        <w:rPr>
          <w:sz w:val="24"/>
          <w:szCs w:val="24"/>
          <w:lang w:val="sr-Cyrl-CS"/>
        </w:rPr>
      </w:pPr>
    </w:p>
    <w:p w:rsidR="00994E79" w:rsidRPr="00BE2581" w:rsidRDefault="00994E79" w:rsidP="00994E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74DF9" w:rsidRPr="00BE258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94E79" w:rsidRPr="00BE2581" w:rsidRDefault="00994E79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У члану 24. тачка 3) речи: „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за које је издат оружни лист за држање оружја, односно колекционарска дозвола” за</w:t>
      </w:r>
      <w:r w:rsidR="00AC2FD8"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мењују се речима: „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категорије Б за које је издата исправа за држање оружја”.</w:t>
      </w:r>
    </w:p>
    <w:p w:rsidR="00994E79" w:rsidRPr="00BE2581" w:rsidRDefault="00994E79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У тачки 4) речи: „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за које су издати оружни лист за држање, односно колекционарска дозвола, као и дозвола за ношење оружја”</w:t>
      </w:r>
      <w:r w:rsidR="007801B5"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замењују се речима:</w:t>
      </w:r>
      <w:r w:rsidR="00AC2FD8"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„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категорије Б за које је је издата исправа за држање и ношење оружја (укључујући оружни лист за правна лица и предузетнике)”.</w:t>
      </w:r>
    </w:p>
    <w:p w:rsidR="00994E79" w:rsidRPr="00BE2581" w:rsidRDefault="00994E79" w:rsidP="00DF45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bookmarkStart w:id="1" w:name="c0024-01"/>
      <w:bookmarkEnd w:id="1"/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Додаје се став 2</w:t>
      </w:r>
      <w:r w:rsidR="00CC410D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 гласи: </w:t>
      </w:r>
    </w:p>
    <w:p w:rsidR="00994E79" w:rsidRPr="00BE2581" w:rsidRDefault="00994E79" w:rsidP="00DF45E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„Изузетно од става 1. овог члана, обвезник пореза за више комада регистрованог  оружја за личну безбедност коме је издата исправа за ношење оружја, порез на регистровано оружје плаћа у годишњем износу, једнаком збиру износа из става 1. тачка 4) овог члана (за један комад регистрованог оружја на које се порез плаћа) и износа из</w:t>
      </w:r>
      <w:r w:rsidR="007709F2" w:rsidRPr="007709F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7709F2"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става 1. 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тачк</w:t>
      </w:r>
      <w:r w:rsidR="007709F2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3) овог члана за сваки наредни комад регистрованог оружја на који се порез плаћа.”</w:t>
      </w:r>
    </w:p>
    <w:p w:rsidR="00AC2FD8" w:rsidRPr="00BE2581" w:rsidRDefault="00AC2FD8" w:rsidP="00994E7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:rsidR="00994E79" w:rsidRPr="00BE2581" w:rsidRDefault="00994E79" w:rsidP="00857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74DF9" w:rsidRPr="00BE258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94E79" w:rsidRPr="00BE2581" w:rsidRDefault="00994E79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У члану 24а став 2. речи: „</w:t>
      </w:r>
      <w:r w:rsidRPr="00BE2581">
        <w:rPr>
          <w:rFonts w:ascii="Times New Roman" w:hAnsi="Times New Roman" w:cs="Times New Roman"/>
          <w:bCs/>
          <w:sz w:val="24"/>
          <w:szCs w:val="24"/>
          <w:lang w:val="sr-Cyrl-CS"/>
        </w:rPr>
        <w:t>одузет оружни лист, односно колекционарска дозвола, односно дозвола за ношење оружја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” замењују се речима: „одузета исправа за држање, односно исправа за држање и ношење оружја (укључујући оружје), односно исправа за ношење оружја”.</w:t>
      </w:r>
    </w:p>
    <w:p w:rsidR="00DF45E1" w:rsidRPr="00BE2581" w:rsidRDefault="00DF45E1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94E79" w:rsidRPr="00BE258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BB6309"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94E79"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 3. </w:t>
      </w:r>
      <w:r w:rsidR="00BB6309"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и 4. 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мења</w:t>
      </w:r>
      <w:r w:rsidR="00BB6309" w:rsidRPr="00BE2581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 се и глас</w:t>
      </w:r>
      <w:r w:rsidR="00BB6309" w:rsidRPr="00BE258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BB6309" w:rsidRPr="00BE2581" w:rsidRDefault="00994E79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„</w:t>
      </w:r>
      <w:r w:rsidR="00DF45E1" w:rsidRPr="00BE2581">
        <w:rPr>
          <w:bCs/>
          <w:color w:val="000000" w:themeColor="text1"/>
          <w:lang w:val="sr-Cyrl-CS"/>
        </w:rPr>
        <w:t>Ако је порез на регистровано оружје утврђен и плаћен за годину у којој је правоснажним решењем надлежног органа одузета исправа за држање, односно исправа за држање и ношење оружја (укључујући оружје), односно исправа за ношење оружја, припадајући износ пореза за период од дана правоснажности решења о одузимању те исправе, до истека те године, сматра се више плаћеним порезом, у складу са законом којим се уређују порески поступак и пореска администрација.</w:t>
      </w:r>
    </w:p>
    <w:p w:rsidR="00994E79" w:rsidRPr="00BE2581" w:rsidRDefault="00BB6309" w:rsidP="00BB630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 xml:space="preserve">За регистровано оружје из члана 24. </w:t>
      </w:r>
      <w:r w:rsidR="007709F2" w:rsidRPr="00BE2581">
        <w:rPr>
          <w:color w:val="000000" w:themeColor="text1"/>
          <w:lang w:val="sr-Cyrl-CS"/>
        </w:rPr>
        <w:t xml:space="preserve">став 1. </w:t>
      </w:r>
      <w:r w:rsidRPr="00BE2581">
        <w:rPr>
          <w:bCs/>
          <w:color w:val="000000" w:themeColor="text1"/>
          <w:lang w:val="sr-Cyrl-CS"/>
        </w:rPr>
        <w:t xml:space="preserve">тачка 3) овог закона за које обвезник у току календарске године добије исправу за ношење оружја, пореска обавеза за ту годину из </w:t>
      </w:r>
      <w:r w:rsidR="007709F2" w:rsidRPr="00BE2581">
        <w:rPr>
          <w:color w:val="000000" w:themeColor="text1"/>
          <w:lang w:val="sr-Cyrl-CS"/>
        </w:rPr>
        <w:t xml:space="preserve">става 1. </w:t>
      </w:r>
      <w:r w:rsidRPr="00BE2581">
        <w:rPr>
          <w:bCs/>
          <w:color w:val="000000" w:themeColor="text1"/>
          <w:lang w:val="sr-Cyrl-CS"/>
        </w:rPr>
        <w:t>тачк</w:t>
      </w:r>
      <w:r w:rsidR="007709F2">
        <w:rPr>
          <w:bCs/>
          <w:color w:val="000000" w:themeColor="text1"/>
          <w:lang w:val="sr-Cyrl-CS"/>
        </w:rPr>
        <w:t>а</w:t>
      </w:r>
      <w:r w:rsidRPr="00BE2581">
        <w:rPr>
          <w:bCs/>
          <w:color w:val="000000" w:themeColor="text1"/>
          <w:lang w:val="sr-Cyrl-CS"/>
        </w:rPr>
        <w:t xml:space="preserve"> 3) тог члана увећава се за припадајући износ, који се обрачунава у односу на разлику износа пореза из</w:t>
      </w:r>
      <w:r w:rsidR="007709F2" w:rsidRPr="007709F2">
        <w:rPr>
          <w:color w:val="000000" w:themeColor="text1"/>
          <w:lang w:val="sr-Cyrl-CS"/>
        </w:rPr>
        <w:t xml:space="preserve"> </w:t>
      </w:r>
      <w:r w:rsidR="007709F2" w:rsidRPr="00BE2581">
        <w:rPr>
          <w:color w:val="000000" w:themeColor="text1"/>
          <w:lang w:val="sr-Cyrl-CS"/>
        </w:rPr>
        <w:t xml:space="preserve">става 1. </w:t>
      </w:r>
      <w:proofErr w:type="spellStart"/>
      <w:r w:rsidRPr="00BE2581">
        <w:rPr>
          <w:bCs/>
          <w:color w:val="000000" w:themeColor="text1"/>
          <w:lang w:val="sr-Cyrl-CS"/>
        </w:rPr>
        <w:t>тач</w:t>
      </w:r>
      <w:proofErr w:type="spellEnd"/>
      <w:r w:rsidRPr="00BE2581">
        <w:rPr>
          <w:bCs/>
          <w:color w:val="000000" w:themeColor="text1"/>
          <w:lang w:val="sr-Cyrl-CS"/>
        </w:rPr>
        <w:t>. 4) и 3) тог члана, односно у складу са ставом 2. тог члана, сразмерно периоду од дана издавања исправе за ношење оружја до истека те календарске године.</w:t>
      </w:r>
      <w:r w:rsidR="0059466B" w:rsidRPr="00BE2581">
        <w:rPr>
          <w:bCs/>
          <w:color w:val="000000" w:themeColor="text1"/>
          <w:lang w:val="sr-Cyrl-CS"/>
        </w:rPr>
        <w:t>”</w:t>
      </w:r>
      <w:r w:rsidR="008E5BEF" w:rsidRPr="00BE2581">
        <w:rPr>
          <w:bCs/>
          <w:color w:val="000000" w:themeColor="text1"/>
          <w:lang w:val="sr-Cyrl-CS"/>
        </w:rPr>
        <w:t>.</w:t>
      </w:r>
    </w:p>
    <w:p w:rsidR="00994E79" w:rsidRPr="00BE2581" w:rsidRDefault="0059466B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У ставу 5. тачка 1) речи: 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оружног листа, односно колекционарске дозволе, односно дозволе за ношење оружја” замењују се речима: „исправе за држање, односно исправе за држање и ношење оружја, односно исправе за ношење оружја”.</w:t>
      </w:r>
    </w:p>
    <w:p w:rsidR="00994E79" w:rsidRPr="00BE2581" w:rsidRDefault="0059466B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Додају се ст. 6. до 8</w:t>
      </w:r>
      <w:r w:rsidR="00CC410D"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,</w:t>
      </w:r>
      <w:r w:rsidRPr="00BE2581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који гласе:</w:t>
      </w:r>
    </w:p>
    <w:p w:rsidR="00994E79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bookmarkStart w:id="2" w:name="c0026"/>
      <w:bookmarkEnd w:id="2"/>
      <w:r w:rsidRPr="00BE2581">
        <w:rPr>
          <w:color w:val="000000" w:themeColor="text1"/>
          <w:lang w:val="sr-Cyrl-CS"/>
        </w:rPr>
        <w:t>„</w:t>
      </w:r>
      <w:r w:rsidR="00994E79" w:rsidRPr="00BE2581">
        <w:rPr>
          <w:color w:val="000000" w:themeColor="text1"/>
          <w:lang w:val="sr-Cyrl-CS"/>
        </w:rPr>
        <w:t>Н</w:t>
      </w:r>
      <w:r w:rsidRPr="00BE2581">
        <w:rPr>
          <w:color w:val="000000" w:themeColor="text1"/>
          <w:lang w:val="sr-Cyrl-CS"/>
        </w:rPr>
        <w:t>а нестало регистровано оружје чији је нестанак пријављен надлежном органу, које тај орган евидентира као пасивизирано оружје, порез се не плаћа у периоду од дана пријаве нестанка закључно са даном који претходи дану враћања нађеног оружја власнику.</w:t>
      </w:r>
    </w:p>
    <w:p w:rsidR="00994E79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Ако је порез на нестало п</w:t>
      </w:r>
      <w:bookmarkStart w:id="3" w:name="_GoBack"/>
      <w:bookmarkEnd w:id="3"/>
      <w:r w:rsidRPr="00BE2581">
        <w:rPr>
          <w:bCs/>
          <w:color w:val="000000" w:themeColor="text1"/>
          <w:lang w:val="sr-Cyrl-CS"/>
        </w:rPr>
        <w:t xml:space="preserve">асивизирано регистровано оружје утврђен и плаћен за период из става </w:t>
      </w:r>
      <w:r w:rsidR="00994E79" w:rsidRPr="00BE2581">
        <w:rPr>
          <w:bCs/>
          <w:color w:val="000000" w:themeColor="text1"/>
          <w:lang w:val="sr-Cyrl-CS"/>
        </w:rPr>
        <w:t>6</w:t>
      </w:r>
      <w:r w:rsidRPr="00BE2581">
        <w:rPr>
          <w:bCs/>
          <w:color w:val="000000" w:themeColor="text1"/>
          <w:lang w:val="sr-Cyrl-CS"/>
        </w:rPr>
        <w:t xml:space="preserve">. овог члана, плаћени припадајући износ пореза за период од дана пријаве до дана </w:t>
      </w:r>
      <w:r w:rsidRPr="00BE2581">
        <w:rPr>
          <w:color w:val="000000" w:themeColor="text1"/>
          <w:lang w:val="sr-Cyrl-CS"/>
        </w:rPr>
        <w:t>који претходи дану враћања нађеног оружја власнику</w:t>
      </w:r>
      <w:r w:rsidR="00994E79" w:rsidRPr="00BE2581">
        <w:rPr>
          <w:color w:val="000000" w:themeColor="text1"/>
          <w:lang w:val="sr-Cyrl-CS"/>
        </w:rPr>
        <w:t>,</w:t>
      </w:r>
      <w:r w:rsidRPr="00BE2581">
        <w:rPr>
          <w:bCs/>
          <w:color w:val="000000" w:themeColor="text1"/>
          <w:lang w:val="sr-Cyrl-CS"/>
        </w:rPr>
        <w:t xml:space="preserve"> сматра се више плаћеним порезом, у складу са законом којим се уређују порески поступак и пореска администрација.</w:t>
      </w:r>
    </w:p>
    <w:p w:rsidR="002E7B63" w:rsidRPr="00BE2581" w:rsidRDefault="0059466B" w:rsidP="002E7B63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 xml:space="preserve">У случају неосноване пријаве нестанка регистрованог оружја због које порез није утврђен и плаћен за период из става 6. овог члана, обвезник је дужан да плати припадајући неутврђени порез за сваку годину обухваћену тим  периодом, са каматом </w:t>
      </w:r>
      <w:r w:rsidRPr="00BE2581">
        <w:rPr>
          <w:bCs/>
          <w:color w:val="000000" w:themeColor="text1"/>
          <w:lang w:val="sr-Cyrl-CS"/>
        </w:rPr>
        <w:lastRenderedPageBreak/>
        <w:t xml:space="preserve">која се обрачунава почев од 1. јануара сваке од тих година, у складу </w:t>
      </w:r>
      <w:r w:rsidR="007709F2" w:rsidRPr="00BE2581">
        <w:rPr>
          <w:bCs/>
          <w:color w:val="000000" w:themeColor="text1"/>
          <w:lang w:val="sr-Cyrl-CS"/>
        </w:rPr>
        <w:t>са законом којим се уређују порески поступак и пореска администрација</w:t>
      </w:r>
      <w:r w:rsidR="002E7B63" w:rsidRPr="00BE2581">
        <w:rPr>
          <w:bCs/>
          <w:color w:val="000000" w:themeColor="text1"/>
          <w:lang w:val="sr-Cyrl-CS"/>
        </w:rPr>
        <w:t>.</w:t>
      </w:r>
      <w:r w:rsidR="008E5BEF" w:rsidRPr="00BE2581">
        <w:rPr>
          <w:bCs/>
          <w:color w:val="000000" w:themeColor="text1"/>
          <w:lang w:val="sr-Cyrl-CS"/>
        </w:rPr>
        <w:t>”</w:t>
      </w:r>
    </w:p>
    <w:p w:rsidR="002E7B63" w:rsidRPr="00BE2581" w:rsidRDefault="002E7B63" w:rsidP="002E7B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466B" w:rsidRPr="00BE2581" w:rsidRDefault="0059466B" w:rsidP="005946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74DF9" w:rsidRPr="00BE2581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9466B" w:rsidRPr="00BE2581" w:rsidRDefault="00AC2FD8" w:rsidP="00DF45E1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Члан 26. мења се и гласи:</w:t>
      </w:r>
    </w:p>
    <w:p w:rsidR="002F5E1D" w:rsidRPr="00BE2581" w:rsidRDefault="002F5E1D" w:rsidP="002F5E1D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lang w:val="sr-Cyrl-CS"/>
        </w:rPr>
      </w:pPr>
    </w:p>
    <w:p w:rsidR="002F5E1D" w:rsidRPr="00BE2581" w:rsidRDefault="0059466B" w:rsidP="002F5E1D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lang w:val="sr-Cyrl-CS"/>
        </w:rPr>
      </w:pPr>
      <w:r w:rsidRPr="00BE2581">
        <w:rPr>
          <w:lang w:val="sr-Cyrl-CS"/>
        </w:rPr>
        <w:t>„</w:t>
      </w:r>
      <w:r w:rsidR="002F5E1D" w:rsidRPr="00BE2581">
        <w:rPr>
          <w:lang w:val="sr-Cyrl-CS"/>
        </w:rPr>
        <w:t>Члан 26.</w:t>
      </w:r>
    </w:p>
    <w:p w:rsidR="0059466B" w:rsidRPr="00BE2581" w:rsidRDefault="0059466B" w:rsidP="00DF45E1">
      <w:pPr>
        <w:pStyle w:val="NormalWe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Порез на регистровано оружје утврђује решењем надлежни порески орган, на основу података које</w:t>
      </w:r>
      <w:r w:rsidRPr="00BE2581">
        <w:rPr>
          <w:rStyle w:val="apple-converted-space"/>
          <w:rFonts w:eastAsiaTheme="majorEastAsia"/>
          <w:color w:val="000000" w:themeColor="text1"/>
          <w:lang w:val="sr-Cyrl-CS"/>
        </w:rPr>
        <w:t> </w:t>
      </w:r>
      <w:r w:rsidR="00C937F2" w:rsidRPr="00BE2581">
        <w:rPr>
          <w:rStyle w:val="apple-converted-space"/>
          <w:rFonts w:eastAsiaTheme="majorEastAsia"/>
          <w:color w:val="000000" w:themeColor="text1"/>
          <w:lang w:val="sr-Cyrl-CS"/>
        </w:rPr>
        <w:t>П</w:t>
      </w:r>
      <w:r w:rsidRPr="00BE2581">
        <w:rPr>
          <w:rStyle w:val="apple-converted-space"/>
          <w:rFonts w:eastAsiaTheme="majorEastAsia"/>
          <w:color w:val="000000" w:themeColor="text1"/>
          <w:lang w:val="sr-Cyrl-CS"/>
        </w:rPr>
        <w:t xml:space="preserve">ореској управи, </w:t>
      </w:r>
      <w:r w:rsidRPr="00BE2581">
        <w:rPr>
          <w:bCs/>
          <w:color w:val="000000" w:themeColor="text1"/>
          <w:lang w:val="sr-Cyrl-CS"/>
        </w:rPr>
        <w:t>за оружје из</w:t>
      </w:r>
      <w:r w:rsidRPr="00BE2581">
        <w:rPr>
          <w:rStyle w:val="apple-converted-space"/>
          <w:rFonts w:eastAsiaTheme="majorEastAsia"/>
          <w:bCs/>
          <w:color w:val="000000" w:themeColor="text1"/>
          <w:lang w:val="sr-Cyrl-CS"/>
        </w:rPr>
        <w:t> </w:t>
      </w:r>
      <w:r w:rsidRPr="00BE2581">
        <w:rPr>
          <w:bCs/>
          <w:lang w:val="sr-Cyrl-CS"/>
        </w:rPr>
        <w:t>члана 21.</w:t>
      </w:r>
      <w:r w:rsidRPr="00BE2581">
        <w:rPr>
          <w:rStyle w:val="apple-converted-space"/>
          <w:rFonts w:eastAsiaTheme="majorEastAsia"/>
          <w:bCs/>
          <w:color w:val="000000" w:themeColor="text1"/>
          <w:lang w:val="sr-Cyrl-CS"/>
        </w:rPr>
        <w:t> о</w:t>
      </w:r>
      <w:r w:rsidRPr="00BE2581">
        <w:rPr>
          <w:bCs/>
          <w:color w:val="000000" w:themeColor="text1"/>
          <w:lang w:val="sr-Cyrl-CS"/>
        </w:rPr>
        <w:t>вог закона,</w:t>
      </w:r>
      <w:r w:rsidRPr="00BE2581">
        <w:rPr>
          <w:rStyle w:val="apple-converted-space"/>
          <w:rFonts w:eastAsiaTheme="majorEastAsia"/>
          <w:bCs/>
          <w:color w:val="000000" w:themeColor="text1"/>
          <w:lang w:val="sr-Cyrl-CS"/>
        </w:rPr>
        <w:t> </w:t>
      </w:r>
      <w:r w:rsidRPr="00BE2581">
        <w:rPr>
          <w:color w:val="000000" w:themeColor="text1"/>
          <w:lang w:val="sr-Cyrl-CS"/>
        </w:rPr>
        <w:t>доставља републички орган управе надлежан за унутрашње послове који је издао</w:t>
      </w:r>
      <w:r w:rsidRPr="00BE2581">
        <w:rPr>
          <w:rStyle w:val="apple-converted-space"/>
          <w:rFonts w:eastAsiaTheme="majorEastAsia"/>
          <w:color w:val="000000" w:themeColor="text1"/>
          <w:lang w:val="sr-Cyrl-CS"/>
        </w:rPr>
        <w:t> </w:t>
      </w:r>
      <w:r w:rsidRPr="00BE2581">
        <w:rPr>
          <w:bCs/>
          <w:color w:val="000000" w:themeColor="text1"/>
          <w:lang w:val="sr-Cyrl-CS"/>
        </w:rPr>
        <w:t>исправу о регистровању оружја (у даљем тексту: републички орган надлежан за унутрашње послове)</w:t>
      </w:r>
      <w:r w:rsidRPr="00BE2581">
        <w:rPr>
          <w:color w:val="000000" w:themeColor="text1"/>
          <w:lang w:val="sr-Cyrl-CS"/>
        </w:rPr>
        <w:t>.</w:t>
      </w:r>
    </w:p>
    <w:p w:rsidR="0059466B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Надлежни порески орган, у смислу става 1. о</w:t>
      </w:r>
      <w:r w:rsidR="00C937F2" w:rsidRPr="00BE2581">
        <w:rPr>
          <w:color w:val="000000" w:themeColor="text1"/>
          <w:lang w:val="sr-Cyrl-CS"/>
        </w:rPr>
        <w:t>вог члана, јесте П</w:t>
      </w:r>
      <w:r w:rsidRPr="00BE2581">
        <w:rPr>
          <w:color w:val="000000" w:themeColor="text1"/>
          <w:lang w:val="sr-Cyrl-CS"/>
        </w:rPr>
        <w:t>ореска управа – организациона јединица надлежна за територију на којој обвезник има седиште, односно пребивалиште, односно боравиште кад за то постоје оправдани  разлози.</w:t>
      </w:r>
    </w:p>
    <w:p w:rsidR="0059466B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Орган</w:t>
      </w:r>
      <w:r w:rsidR="00C937F2" w:rsidRPr="00BE2581">
        <w:rPr>
          <w:color w:val="000000" w:themeColor="text1"/>
          <w:lang w:val="sr-Cyrl-CS"/>
        </w:rPr>
        <w:t>изациона јединица П</w:t>
      </w:r>
      <w:r w:rsidRPr="00BE2581">
        <w:rPr>
          <w:color w:val="000000" w:themeColor="text1"/>
          <w:lang w:val="sr-Cyrl-CS"/>
        </w:rPr>
        <w:t>ореске управе надлежна за територију на којој обвезник – физичко лице има боравиште, која је физичком лицу утврдила порез на регистровано оружје, дужна је да у року од 15 дана од доношења решења о томе об</w:t>
      </w:r>
      <w:r w:rsidR="00C937F2" w:rsidRPr="00BE2581">
        <w:rPr>
          <w:color w:val="000000" w:themeColor="text1"/>
          <w:lang w:val="sr-Cyrl-CS"/>
        </w:rPr>
        <w:t>авести  организациону јединицу П</w:t>
      </w:r>
      <w:r w:rsidRPr="00BE2581">
        <w:rPr>
          <w:color w:val="000000" w:themeColor="text1"/>
          <w:lang w:val="sr-Cyrl-CS"/>
        </w:rPr>
        <w:t>ореске управе надлежну за територију на којој то физичко лице има пребивалиште.</w:t>
      </w:r>
    </w:p>
    <w:p w:rsidR="0059466B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Порез на регистровано оружје плаћа се у року од 15 дана од дана достављања решења из става 1. овог члана.</w:t>
      </w:r>
      <w:r w:rsidRPr="00BE2581">
        <w:rPr>
          <w:bCs/>
          <w:color w:val="000000" w:themeColor="text1"/>
          <w:lang w:val="sr-Cyrl-CS"/>
        </w:rPr>
        <w:t>”</w:t>
      </w:r>
    </w:p>
    <w:p w:rsidR="0059466B" w:rsidRPr="00BE2581" w:rsidRDefault="0059466B" w:rsidP="005946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bCs/>
          <w:color w:val="000000" w:themeColor="text1"/>
          <w:sz w:val="16"/>
          <w:szCs w:val="16"/>
          <w:lang w:val="sr-Cyrl-CS"/>
        </w:rPr>
      </w:pPr>
    </w:p>
    <w:p w:rsidR="0059466B" w:rsidRPr="00BE2581" w:rsidRDefault="0059466B" w:rsidP="005946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B74DF9" w:rsidRPr="00BE2581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BE258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9466B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lang w:val="sr-Cyrl-CS"/>
        </w:rPr>
      </w:pPr>
      <w:r w:rsidRPr="00BE2581">
        <w:rPr>
          <w:lang w:val="sr-Cyrl-CS"/>
        </w:rPr>
        <w:t>После члана 26. додаје се члан 26а</w:t>
      </w:r>
      <w:r w:rsidR="00CC410D" w:rsidRPr="00BE2581">
        <w:rPr>
          <w:lang w:val="sr-Cyrl-CS"/>
        </w:rPr>
        <w:t>,</w:t>
      </w:r>
      <w:r w:rsidRPr="00BE2581">
        <w:rPr>
          <w:lang w:val="sr-Cyrl-CS"/>
        </w:rPr>
        <w:t xml:space="preserve"> који гласи: </w:t>
      </w:r>
    </w:p>
    <w:p w:rsidR="0059466B" w:rsidRPr="00BE2581" w:rsidRDefault="0059466B" w:rsidP="005946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:rsidR="0059466B" w:rsidRPr="00BE2581" w:rsidRDefault="0059466B" w:rsidP="0059466B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sr-Cyrl-CS"/>
        </w:rPr>
      </w:pPr>
      <w:r w:rsidRPr="00BE2581">
        <w:rPr>
          <w:lang w:val="sr-Cyrl-CS"/>
        </w:rPr>
        <w:t>„</w:t>
      </w:r>
      <w:r w:rsidRPr="00BE2581">
        <w:rPr>
          <w:color w:val="000000" w:themeColor="text1"/>
          <w:lang w:val="sr-Cyrl-CS"/>
        </w:rPr>
        <w:t>Члан 26а</w:t>
      </w:r>
    </w:p>
    <w:p w:rsidR="0059466B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 xml:space="preserve">Републички орган надлежан за унутрашње послове дужан је да податке из члана 26. став 1. овог закона достави </w:t>
      </w:r>
      <w:r w:rsidR="00C937F2" w:rsidRPr="00BE2581">
        <w:rPr>
          <w:bCs/>
          <w:color w:val="000000" w:themeColor="text1"/>
          <w:lang w:val="sr-Cyrl-CS"/>
        </w:rPr>
        <w:t>П</w:t>
      </w:r>
      <w:r w:rsidRPr="00BE2581">
        <w:rPr>
          <w:bCs/>
          <w:color w:val="000000" w:themeColor="text1"/>
          <w:lang w:val="sr-Cyrl-CS"/>
        </w:rPr>
        <w:t>ореској управи, у року од 15 дана од дана:</w:t>
      </w:r>
    </w:p>
    <w:p w:rsidR="0059466B" w:rsidRPr="00BE2581" w:rsidRDefault="0059466B" w:rsidP="0059466B">
      <w:pPr>
        <w:pStyle w:val="NormalWeb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lang w:val="sr-Cyrl-CS"/>
        </w:rPr>
      </w:pPr>
      <w:r w:rsidRPr="00BE2581">
        <w:rPr>
          <w:color w:val="000000" w:themeColor="text1"/>
          <w:lang w:val="sr-Cyrl-CS"/>
        </w:rPr>
        <w:t>почетка сваке календарске године;</w:t>
      </w:r>
    </w:p>
    <w:p w:rsidR="0059466B" w:rsidRPr="00BE2581" w:rsidRDefault="0059466B" w:rsidP="0059466B">
      <w:pPr>
        <w:pStyle w:val="NormalWeb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bCs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регистрације оружја, односно издавања исправе за ношење оружја;</w:t>
      </w:r>
    </w:p>
    <w:p w:rsidR="0059466B" w:rsidRPr="00BE2581" w:rsidRDefault="0059466B" w:rsidP="005946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b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3) правоснажности решења о одузимању исправе за држање, односно држање и ношење (укључујући оружје), односно за ношење оружја</w:t>
      </w:r>
      <w:r w:rsidRPr="000F51F9">
        <w:rPr>
          <w:bCs/>
          <w:color w:val="000000" w:themeColor="text1"/>
          <w:lang w:val="sr-Cyrl-CS"/>
        </w:rPr>
        <w:t>;</w:t>
      </w:r>
    </w:p>
    <w:p w:rsidR="0059466B" w:rsidRPr="00BE2581" w:rsidRDefault="0059466B" w:rsidP="005946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4) истицања важности исправе за држање, односно за држање и ношење, односно за ношење оружја;</w:t>
      </w:r>
    </w:p>
    <w:p w:rsidR="0059466B" w:rsidRPr="00BE2581" w:rsidRDefault="0059466B" w:rsidP="005946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5) пријаве онеспособљавања оружја;</w:t>
      </w:r>
    </w:p>
    <w:p w:rsidR="0059466B" w:rsidRPr="00BE2581" w:rsidRDefault="0059466B" w:rsidP="005946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6) пасивизације несталог оружја;</w:t>
      </w:r>
    </w:p>
    <w:p w:rsidR="0059466B" w:rsidRPr="00BE2581" w:rsidRDefault="0059466B" w:rsidP="005946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 xml:space="preserve">7) враћања нађеног оружја власнику; </w:t>
      </w:r>
    </w:p>
    <w:p w:rsidR="0059466B" w:rsidRPr="00BE2581" w:rsidRDefault="0059466B" w:rsidP="005946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8) преноса права својине на регистрованом оружју;</w:t>
      </w:r>
    </w:p>
    <w:p w:rsidR="0059466B" w:rsidRPr="00BE2581" w:rsidRDefault="0059466B" w:rsidP="0059466B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9) преузимања оружја од стране тог органа након смрти власника;</w:t>
      </w:r>
    </w:p>
    <w:p w:rsidR="0059466B" w:rsidRPr="00BE2581" w:rsidRDefault="0059466B" w:rsidP="0059466B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>10) наступања других чињеница, у складу са законом којим се уређују оружје и муниција, које доводе до настанка или престанка пореске обавезе у складу са овим законом.</w:t>
      </w:r>
    </w:p>
    <w:p w:rsidR="0059466B" w:rsidRPr="00BE2581" w:rsidRDefault="0059466B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 xml:space="preserve">Пореској управи се, у складу са ставом 1. тачка 1) овог члана, не достављају подаци о регистрованом оружју чији је нестанак пријављен а које није враћено власнику, за године које следе години у којој је нестанак оружја пријављен до враћања оружја власнику.” </w:t>
      </w:r>
    </w:p>
    <w:p w:rsidR="00D66C37" w:rsidRPr="00BE2581" w:rsidRDefault="00D66C37" w:rsidP="00DF45E1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 w:themeColor="text1"/>
          <w:sz w:val="20"/>
          <w:szCs w:val="20"/>
          <w:lang w:val="sr-Cyrl-CS"/>
        </w:rPr>
      </w:pPr>
    </w:p>
    <w:p w:rsidR="0059466B" w:rsidRPr="00BE2581" w:rsidRDefault="0059466B" w:rsidP="0059466B">
      <w:pPr>
        <w:pStyle w:val="Heading4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</w:pPr>
      <w:r w:rsidRPr="00BE2581"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  <w:t>Члан 1</w:t>
      </w:r>
      <w:r w:rsidR="00B74DF9" w:rsidRPr="00BE2581"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  <w:t>1</w:t>
      </w:r>
      <w:r w:rsidRPr="00BE2581"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  <w:t>.</w:t>
      </w:r>
    </w:p>
    <w:p w:rsidR="0059466B" w:rsidRPr="00BE2581" w:rsidRDefault="0059466B" w:rsidP="0085722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  <w:r w:rsidRPr="00BE2581">
        <w:rPr>
          <w:bCs/>
          <w:color w:val="000000" w:themeColor="text1"/>
          <w:lang w:val="sr-Cyrl-CS"/>
        </w:rPr>
        <w:t xml:space="preserve">Ако је за држање, односно за ношење, једног истог оружја, у складу са Законом о оружју и муницији </w:t>
      </w:r>
      <w:r w:rsidRPr="00BE2581">
        <w:rPr>
          <w:bCs/>
          <w:color w:val="000000" w:themeColor="text1"/>
          <w:shd w:val="clear" w:color="auto" w:fill="FFFFFF"/>
          <w:lang w:val="sr-Cyrl-CS"/>
        </w:rPr>
        <w:t>(„Службени гласник РС</w:t>
      </w:r>
      <w:r w:rsidR="009D0861" w:rsidRPr="00BE2581">
        <w:rPr>
          <w:color w:val="000000" w:themeColor="text1"/>
          <w:lang w:val="sr-Cyrl-CS"/>
        </w:rPr>
        <w:t>”</w:t>
      </w:r>
      <w:r w:rsidRPr="00BE2581">
        <w:rPr>
          <w:bCs/>
          <w:color w:val="000000" w:themeColor="text1"/>
          <w:shd w:val="clear" w:color="auto" w:fill="FFFFFF"/>
          <w:lang w:val="sr-Cyrl-CS"/>
        </w:rPr>
        <w:t>, бр.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9/92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53/93</w:t>
      </w:r>
      <w:r w:rsidR="00C9705E" w:rsidRPr="00BE2581">
        <w:rPr>
          <w:rFonts w:eastAsiaTheme="majorEastAsia"/>
          <w:bCs/>
          <w:shd w:val="clear" w:color="auto" w:fill="FFFFFF"/>
          <w:lang w:val="sr-Cyrl-CS"/>
        </w:rPr>
        <w:t>-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др. закон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67/93</w:t>
      </w:r>
      <w:r w:rsidR="00C9705E" w:rsidRPr="00BE2581">
        <w:rPr>
          <w:rFonts w:eastAsiaTheme="majorEastAsia"/>
          <w:bCs/>
          <w:shd w:val="clear" w:color="auto" w:fill="FFFFFF"/>
          <w:lang w:val="sr-Cyrl-CS"/>
        </w:rPr>
        <w:t>-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др. закон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48/94</w:t>
      </w:r>
      <w:r w:rsidR="00C9705E" w:rsidRPr="00BE2581">
        <w:rPr>
          <w:rFonts w:eastAsiaTheme="majorEastAsia"/>
          <w:bCs/>
          <w:shd w:val="clear" w:color="auto" w:fill="FFFFFF"/>
          <w:lang w:val="sr-Cyrl-CS"/>
        </w:rPr>
        <w:t>-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др.</w:t>
      </w:r>
      <w:r w:rsidR="00AC2FD8" w:rsidRPr="00BE2581">
        <w:rPr>
          <w:rStyle w:val="trs"/>
          <w:color w:val="000000" w:themeColor="text1"/>
          <w:shd w:val="clear" w:color="auto" w:fill="FFFFFF"/>
          <w:lang w:val="sr-Cyrl-CS"/>
        </w:rPr>
        <w:t xml:space="preserve"> 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закон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44/98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39/03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85/05</w:t>
      </w:r>
      <w:r w:rsidR="00C9705E" w:rsidRPr="00BE2581">
        <w:rPr>
          <w:rFonts w:eastAsiaTheme="majorEastAsia"/>
          <w:bCs/>
          <w:shd w:val="clear" w:color="auto" w:fill="FFFFFF"/>
          <w:lang w:val="sr-Cyrl-CS"/>
        </w:rPr>
        <w:t>-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др.</w:t>
      </w:r>
      <w:r w:rsidR="00AC2FD8" w:rsidRPr="00BE2581">
        <w:rPr>
          <w:rStyle w:val="trs"/>
          <w:color w:val="000000" w:themeColor="text1"/>
          <w:shd w:val="clear" w:color="auto" w:fill="FFFFFF"/>
          <w:lang w:val="sr-Cyrl-CS"/>
        </w:rPr>
        <w:t xml:space="preserve"> 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закон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101/05</w:t>
      </w:r>
      <w:r w:rsidR="00C9705E" w:rsidRPr="00BE2581">
        <w:rPr>
          <w:rFonts w:eastAsiaTheme="majorEastAsia"/>
          <w:bCs/>
          <w:shd w:val="clear" w:color="auto" w:fill="FFFFFF"/>
          <w:lang w:val="sr-Cyrl-CS"/>
        </w:rPr>
        <w:t>-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др. закон</w:t>
      </w:r>
      <w:r w:rsidRPr="00BE2581">
        <w:rPr>
          <w:bCs/>
          <w:color w:val="000000" w:themeColor="text1"/>
          <w:shd w:val="clear" w:color="auto" w:fill="FFFFFF"/>
          <w:lang w:val="sr-Cyrl-CS"/>
        </w:rPr>
        <w:t>,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27/11</w:t>
      </w:r>
      <w:r w:rsidR="00C9705E" w:rsidRPr="00BE2581">
        <w:rPr>
          <w:rFonts w:eastAsiaTheme="majorEastAsia"/>
          <w:bCs/>
          <w:shd w:val="clear" w:color="auto" w:fill="FFFFFF"/>
          <w:lang w:val="sr-Cyrl-CS"/>
        </w:rPr>
        <w:t>-</w:t>
      </w:r>
      <w:r w:rsidR="00AC2FD8" w:rsidRPr="00BE2581">
        <w:rPr>
          <w:rStyle w:val="trs"/>
          <w:color w:val="000000" w:themeColor="text1"/>
          <w:shd w:val="clear" w:color="auto" w:fill="FFFFFF"/>
          <w:lang w:val="sr-Cyrl-CS"/>
        </w:rPr>
        <w:t>УС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 xml:space="preserve"> 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lastRenderedPageBreak/>
        <w:t>и</w:t>
      </w:r>
      <w:r w:rsidRPr="00BE2581">
        <w:rPr>
          <w:rStyle w:val="apple-converted-space"/>
          <w:rFonts w:eastAsiaTheme="majorEastAsia"/>
          <w:bCs/>
          <w:color w:val="000000" w:themeColor="text1"/>
          <w:shd w:val="clear" w:color="auto" w:fill="FFFFFF"/>
          <w:lang w:val="sr-Cyrl-CS"/>
        </w:rPr>
        <w:t> </w:t>
      </w:r>
      <w:r w:rsidRPr="00BE2581">
        <w:rPr>
          <w:rFonts w:eastAsiaTheme="majorEastAsia"/>
          <w:bCs/>
          <w:shd w:val="clear" w:color="auto" w:fill="FFFFFF"/>
          <w:lang w:val="sr-Cyrl-CS"/>
        </w:rPr>
        <w:t>104/13</w:t>
      </w:r>
      <w:r w:rsidR="00C9705E" w:rsidRPr="00BE2581">
        <w:rPr>
          <w:rFonts w:eastAsiaTheme="majorEastAsia"/>
          <w:bCs/>
          <w:shd w:val="clear" w:color="auto" w:fill="FFFFFF"/>
          <w:lang w:val="sr-Cyrl-CS"/>
        </w:rPr>
        <w:t>-</w:t>
      </w:r>
      <w:r w:rsidRPr="00BE2581">
        <w:rPr>
          <w:rStyle w:val="trs"/>
          <w:color w:val="000000" w:themeColor="text1"/>
          <w:shd w:val="clear" w:color="auto" w:fill="FFFFFF"/>
          <w:lang w:val="sr-Cyrl-CS"/>
        </w:rPr>
        <w:t>др. закон</w:t>
      </w:r>
      <w:r w:rsidRPr="00BE2581">
        <w:rPr>
          <w:bCs/>
          <w:color w:val="000000" w:themeColor="text1"/>
          <w:shd w:val="clear" w:color="auto" w:fill="FFFFFF"/>
          <w:lang w:val="sr-Cyrl-CS"/>
        </w:rPr>
        <w:t>)</w:t>
      </w:r>
      <w:r w:rsidRPr="00BE2581">
        <w:rPr>
          <w:bCs/>
          <w:color w:val="000000" w:themeColor="text1"/>
          <w:lang w:val="sr-Cyrl-CS"/>
        </w:rPr>
        <w:t xml:space="preserve"> за више лица издата исправа чија важност није истекла, обвезник пореза на регистровано оружје је власник оружја.</w:t>
      </w:r>
    </w:p>
    <w:p w:rsidR="0059466B" w:rsidRPr="00BE2581" w:rsidRDefault="0059466B" w:rsidP="005946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i/>
          <w:color w:val="000000" w:themeColor="text1"/>
          <w:sz w:val="20"/>
          <w:szCs w:val="20"/>
          <w:lang w:val="sr-Cyrl-CS"/>
        </w:rPr>
      </w:pPr>
    </w:p>
    <w:p w:rsidR="0059466B" w:rsidRPr="00BE2581" w:rsidRDefault="0059466B" w:rsidP="0059466B">
      <w:pPr>
        <w:pStyle w:val="Heading4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</w:pPr>
      <w:r w:rsidRPr="00BE2581"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  <w:t>Члан 1</w:t>
      </w:r>
      <w:r w:rsidR="00B74DF9" w:rsidRPr="00BE2581"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  <w:t>2</w:t>
      </w:r>
      <w:r w:rsidRPr="00BE2581">
        <w:rPr>
          <w:rFonts w:ascii="Times New Roman" w:hAnsi="Times New Roman" w:cs="Times New Roman"/>
          <w:b w:val="0"/>
          <w:i w:val="0"/>
          <w:color w:val="000000" w:themeColor="text1"/>
          <w:lang w:val="sr-Cyrl-CS"/>
        </w:rPr>
        <w:t>.</w:t>
      </w:r>
    </w:p>
    <w:p w:rsidR="0059466B" w:rsidRPr="00BE2581" w:rsidRDefault="0059466B" w:rsidP="0059466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E2581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Овај закон ступа на снагу 1. јануара 2020. године.</w:t>
      </w:r>
    </w:p>
    <w:sectPr w:rsidR="0059466B" w:rsidRPr="00BE2581" w:rsidSect="002E7B63">
      <w:footerReference w:type="default" r:id="rId8"/>
      <w:pgSz w:w="11906" w:h="16838"/>
      <w:pgMar w:top="1134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24" w:rsidRDefault="00740024" w:rsidP="006A3450">
      <w:pPr>
        <w:spacing w:after="0" w:line="240" w:lineRule="auto"/>
      </w:pPr>
      <w:r>
        <w:separator/>
      </w:r>
    </w:p>
  </w:endnote>
  <w:endnote w:type="continuationSeparator" w:id="0">
    <w:p w:rsidR="00740024" w:rsidRDefault="00740024" w:rsidP="006A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917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697F" w:rsidRDefault="006969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9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A3450" w:rsidRDefault="006A3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24" w:rsidRDefault="00740024" w:rsidP="006A3450">
      <w:pPr>
        <w:spacing w:after="0" w:line="240" w:lineRule="auto"/>
      </w:pPr>
      <w:r>
        <w:separator/>
      </w:r>
    </w:p>
  </w:footnote>
  <w:footnote w:type="continuationSeparator" w:id="0">
    <w:p w:rsidR="00740024" w:rsidRDefault="00740024" w:rsidP="006A3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1BA8"/>
    <w:multiLevelType w:val="hybridMultilevel"/>
    <w:tmpl w:val="BE30B9A8"/>
    <w:lvl w:ilvl="0" w:tplc="EA64B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4E56FC5"/>
    <w:multiLevelType w:val="hybridMultilevel"/>
    <w:tmpl w:val="AF5845F4"/>
    <w:lvl w:ilvl="0" w:tplc="67D4B8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F85555"/>
    <w:multiLevelType w:val="hybridMultilevel"/>
    <w:tmpl w:val="5816BC16"/>
    <w:lvl w:ilvl="0" w:tplc="06183C94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5AB30A2"/>
    <w:multiLevelType w:val="hybridMultilevel"/>
    <w:tmpl w:val="7B6A306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601FE"/>
    <w:multiLevelType w:val="hybridMultilevel"/>
    <w:tmpl w:val="0ADCF72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F0831"/>
    <w:multiLevelType w:val="hybridMultilevel"/>
    <w:tmpl w:val="D0E2EC5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F0"/>
    <w:rsid w:val="0001023E"/>
    <w:rsid w:val="000121EC"/>
    <w:rsid w:val="00060C7C"/>
    <w:rsid w:val="0008042E"/>
    <w:rsid w:val="000C2266"/>
    <w:rsid w:val="000D32EA"/>
    <w:rsid w:val="000E5CA6"/>
    <w:rsid w:val="000F51F9"/>
    <w:rsid w:val="000F7275"/>
    <w:rsid w:val="00110926"/>
    <w:rsid w:val="0014488C"/>
    <w:rsid w:val="00180F83"/>
    <w:rsid w:val="0018759E"/>
    <w:rsid w:val="0024518B"/>
    <w:rsid w:val="00250F82"/>
    <w:rsid w:val="0025587A"/>
    <w:rsid w:val="002E7B63"/>
    <w:rsid w:val="002F5E1D"/>
    <w:rsid w:val="002F710E"/>
    <w:rsid w:val="00305C57"/>
    <w:rsid w:val="0032695F"/>
    <w:rsid w:val="00331ED0"/>
    <w:rsid w:val="003422AC"/>
    <w:rsid w:val="0038570F"/>
    <w:rsid w:val="003C499B"/>
    <w:rsid w:val="003D78F0"/>
    <w:rsid w:val="003E46D9"/>
    <w:rsid w:val="00425A19"/>
    <w:rsid w:val="004273A9"/>
    <w:rsid w:val="0043119B"/>
    <w:rsid w:val="004A4AC3"/>
    <w:rsid w:val="004E4CAB"/>
    <w:rsid w:val="00507C26"/>
    <w:rsid w:val="00553614"/>
    <w:rsid w:val="00580F82"/>
    <w:rsid w:val="0059466B"/>
    <w:rsid w:val="005B4058"/>
    <w:rsid w:val="005C0157"/>
    <w:rsid w:val="005C303D"/>
    <w:rsid w:val="005D17F0"/>
    <w:rsid w:val="00645417"/>
    <w:rsid w:val="006815F3"/>
    <w:rsid w:val="0069697F"/>
    <w:rsid w:val="006A3450"/>
    <w:rsid w:val="00733975"/>
    <w:rsid w:val="00740024"/>
    <w:rsid w:val="00757E2D"/>
    <w:rsid w:val="00766238"/>
    <w:rsid w:val="007709F2"/>
    <w:rsid w:val="007801B5"/>
    <w:rsid w:val="007A3E77"/>
    <w:rsid w:val="007D4690"/>
    <w:rsid w:val="008126FA"/>
    <w:rsid w:val="0085722E"/>
    <w:rsid w:val="00865C9F"/>
    <w:rsid w:val="00874F3E"/>
    <w:rsid w:val="008A0F76"/>
    <w:rsid w:val="008E5BEF"/>
    <w:rsid w:val="00973CBF"/>
    <w:rsid w:val="009935DF"/>
    <w:rsid w:val="00994E79"/>
    <w:rsid w:val="009C5E34"/>
    <w:rsid w:val="009D0861"/>
    <w:rsid w:val="00A669B8"/>
    <w:rsid w:val="00A90970"/>
    <w:rsid w:val="00AC2FD8"/>
    <w:rsid w:val="00AF7C06"/>
    <w:rsid w:val="00B00D2C"/>
    <w:rsid w:val="00B01C67"/>
    <w:rsid w:val="00B33CB2"/>
    <w:rsid w:val="00B74DF9"/>
    <w:rsid w:val="00BB6309"/>
    <w:rsid w:val="00BE2581"/>
    <w:rsid w:val="00C13000"/>
    <w:rsid w:val="00C44ADC"/>
    <w:rsid w:val="00C92852"/>
    <w:rsid w:val="00C937F2"/>
    <w:rsid w:val="00C9705E"/>
    <w:rsid w:val="00C97550"/>
    <w:rsid w:val="00CB4590"/>
    <w:rsid w:val="00CC410D"/>
    <w:rsid w:val="00CF3946"/>
    <w:rsid w:val="00D27048"/>
    <w:rsid w:val="00D54268"/>
    <w:rsid w:val="00D66C37"/>
    <w:rsid w:val="00D8056A"/>
    <w:rsid w:val="00DD230E"/>
    <w:rsid w:val="00DF45E1"/>
    <w:rsid w:val="00E32DE6"/>
    <w:rsid w:val="00E3722E"/>
    <w:rsid w:val="00E763D3"/>
    <w:rsid w:val="00EA5D1A"/>
    <w:rsid w:val="00EB59F5"/>
    <w:rsid w:val="00EF2BC2"/>
    <w:rsid w:val="00F47B07"/>
    <w:rsid w:val="00F51BA6"/>
    <w:rsid w:val="00F6407D"/>
    <w:rsid w:val="00F74D2C"/>
    <w:rsid w:val="00F93950"/>
    <w:rsid w:val="00FB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DA582"/>
  <w15:chartTrackingRefBased/>
  <w15:docId w15:val="{255D47EB-E205-40C9-AF89-BFB7BE04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000"/>
    <w:pPr>
      <w:spacing w:after="200" w:line="276" w:lineRule="auto"/>
    </w:pPr>
    <w:rPr>
      <w:rFonts w:eastAsiaTheme="minorEastAsia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6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300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13000"/>
    <w:rPr>
      <w:color w:val="8C290A"/>
      <w:u w:val="single"/>
    </w:rPr>
  </w:style>
  <w:style w:type="paragraph" w:styleId="NormalWeb">
    <w:name w:val="Normal (Web)"/>
    <w:basedOn w:val="Normal"/>
    <w:uiPriority w:val="99"/>
    <w:unhideWhenUsed/>
    <w:rsid w:val="00C1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13000"/>
  </w:style>
  <w:style w:type="character" w:customStyle="1" w:styleId="trs2">
    <w:name w:val="trs2"/>
    <w:basedOn w:val="DefaultParagraphFont"/>
    <w:rsid w:val="00C13000"/>
  </w:style>
  <w:style w:type="character" w:customStyle="1" w:styleId="propisclassinner">
    <w:name w:val="propisclassinner"/>
    <w:basedOn w:val="DefaultParagraphFont"/>
    <w:rsid w:val="00C13000"/>
  </w:style>
  <w:style w:type="character" w:customStyle="1" w:styleId="Heading4Char">
    <w:name w:val="Heading 4 Char"/>
    <w:basedOn w:val="DefaultParagraphFont"/>
    <w:link w:val="Heading4"/>
    <w:uiPriority w:val="9"/>
    <w:rsid w:val="00C13000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46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lat">
    <w:name w:val="lat"/>
    <w:basedOn w:val="DefaultParagraphFont"/>
    <w:rsid w:val="0059466B"/>
  </w:style>
  <w:style w:type="character" w:customStyle="1" w:styleId="trs">
    <w:name w:val="trs"/>
    <w:basedOn w:val="DefaultParagraphFont"/>
    <w:rsid w:val="0059466B"/>
  </w:style>
  <w:style w:type="paragraph" w:styleId="BalloonText">
    <w:name w:val="Balloon Text"/>
    <w:basedOn w:val="Normal"/>
    <w:link w:val="BalloonTextChar"/>
    <w:uiPriority w:val="99"/>
    <w:semiHidden/>
    <w:unhideWhenUsed/>
    <w:rsid w:val="00AC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FD8"/>
    <w:rPr>
      <w:rFonts w:ascii="Segoe UI" w:eastAsiaTheme="minorEastAsia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E4CAB"/>
    <w:pPr>
      <w:ind w:left="720"/>
      <w:contextualSpacing/>
    </w:pPr>
  </w:style>
  <w:style w:type="table" w:styleId="TableGrid">
    <w:name w:val="Table Grid"/>
    <w:basedOn w:val="TableNormal"/>
    <w:uiPriority w:val="59"/>
    <w:rsid w:val="004E4CAB"/>
    <w:pPr>
      <w:spacing w:after="0" w:line="240" w:lineRule="auto"/>
      <w:jc w:val="both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A34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450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A34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450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FDB81-DED7-4114-9BD8-7AB9ED1B4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Dragojlović</dc:creator>
  <cp:keywords/>
  <dc:description/>
  <cp:lastModifiedBy>Snezana Marinovic</cp:lastModifiedBy>
  <cp:revision>34</cp:revision>
  <cp:lastPrinted>2019-10-17T12:06:00Z</cp:lastPrinted>
  <dcterms:created xsi:type="dcterms:W3CDTF">2019-10-16T06:34:00Z</dcterms:created>
  <dcterms:modified xsi:type="dcterms:W3CDTF">2019-10-18T06:50:00Z</dcterms:modified>
</cp:coreProperties>
</file>